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27D7">
      <w:pPr>
        <w:spacing w:line="880" w:lineRule="exact"/>
        <w:ind w:left="0" w:leftChars="0" w:firstLine="0" w:firstLineChars="0"/>
        <w:jc w:val="center"/>
        <w:outlineLvl w:val="0"/>
        <w:rPr>
          <w:rFonts w:hint="eastAsia" w:ascii="宋体" w:hAnsi="宋体" w:eastAsia="宋体" w:cs="宋体"/>
          <w:color w:val="auto"/>
          <w:highlight w:val="none"/>
        </w:rPr>
      </w:pPr>
      <w:bookmarkStart w:id="0" w:name="_Toc7937"/>
      <w:r>
        <w:rPr>
          <w:rFonts w:hint="eastAsia" w:ascii="宋体" w:hAnsi="宋体" w:cs="宋体"/>
          <w:b/>
          <w:bCs/>
          <w:color w:val="auto"/>
          <w:spacing w:val="80"/>
          <w:w w:val="98"/>
          <w:sz w:val="58"/>
          <w:szCs w:val="58"/>
          <w:highlight w:val="none"/>
          <w:lang w:eastAsia="zh-CN"/>
        </w:rPr>
        <w:t>广西龙建工程管理有限公司</w:t>
      </w:r>
      <w:r>
        <w:rPr>
          <w:rFonts w:hint="eastAsia" w:ascii="宋体" w:hAnsi="宋体" w:eastAsia="宋体" w:cs="宋体"/>
          <w:color w:val="auto"/>
          <w:w w:val="98"/>
          <w:sz w:val="58"/>
          <w:szCs w:val="58"/>
          <w:highlight w:val="none"/>
        </w:rPr>
        <w:cr/>
      </w:r>
      <w:bookmarkEnd w:id="0"/>
    </w:p>
    <w:p w14:paraId="101B8C14">
      <w:pPr>
        <w:spacing w:line="880" w:lineRule="exact"/>
        <w:jc w:val="center"/>
        <w:rPr>
          <w:rFonts w:hint="eastAsia" w:ascii="宋体" w:hAnsi="宋体" w:eastAsia="宋体" w:cs="宋体"/>
          <w:color w:val="auto"/>
          <w:sz w:val="48"/>
          <w:szCs w:val="48"/>
          <w:highlight w:val="none"/>
        </w:rPr>
      </w:pPr>
    </w:p>
    <w:p w14:paraId="74F96C9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color w:val="auto"/>
          <w:sz w:val="84"/>
          <w:szCs w:val="84"/>
          <w:highlight w:val="none"/>
        </w:rPr>
      </w:pPr>
      <w:bookmarkStart w:id="1" w:name="_Toc4947"/>
      <w:r>
        <w:rPr>
          <w:rFonts w:hint="eastAsia" w:ascii="宋体" w:hAnsi="宋体" w:eastAsia="宋体" w:cs="宋体"/>
          <w:b/>
          <w:color w:val="auto"/>
          <w:sz w:val="96"/>
          <w:szCs w:val="96"/>
          <w:highlight w:val="none"/>
        </w:rPr>
        <w:t>竞争性磋商文件</w:t>
      </w:r>
      <w:r>
        <w:rPr>
          <w:rFonts w:hint="eastAsia" w:ascii="宋体" w:hAnsi="宋体" w:eastAsia="宋体" w:cs="宋体"/>
          <w:b/>
          <w:color w:val="auto"/>
          <w:sz w:val="84"/>
          <w:szCs w:val="84"/>
          <w:highlight w:val="none"/>
        </w:rPr>
        <w:cr/>
      </w:r>
      <w:bookmarkEnd w:id="1"/>
    </w:p>
    <w:p w14:paraId="27DCFF4F">
      <w:pPr>
        <w:pStyle w:val="34"/>
        <w:rPr>
          <w:rFonts w:hint="eastAsia"/>
          <w:color w:val="auto"/>
          <w:highlight w:val="none"/>
          <w:lang w:val="en-US" w:eastAsia="zh-CN"/>
        </w:rPr>
      </w:pPr>
    </w:p>
    <w:p w14:paraId="6CFB3B19">
      <w:pPr>
        <w:pStyle w:val="34"/>
        <w:rPr>
          <w:rFonts w:hint="eastAsia" w:ascii="宋体" w:hAnsi="宋体" w:cs="宋体"/>
          <w:b/>
          <w:color w:val="auto"/>
          <w:sz w:val="84"/>
          <w:szCs w:val="84"/>
          <w:highlight w:val="none"/>
          <w:lang w:val="en-US" w:eastAsia="zh-CN"/>
        </w:rPr>
      </w:pPr>
    </w:p>
    <w:p w14:paraId="3A167E97">
      <w:pPr>
        <w:pStyle w:val="34"/>
        <w:rPr>
          <w:rFonts w:hint="eastAsia" w:ascii="宋体" w:hAnsi="宋体" w:cs="宋体"/>
          <w:b/>
          <w:color w:val="auto"/>
          <w:sz w:val="84"/>
          <w:szCs w:val="84"/>
          <w:highlight w:val="none"/>
          <w:lang w:val="en-US" w:eastAsia="zh-CN"/>
        </w:rPr>
      </w:pPr>
    </w:p>
    <w:p w14:paraId="621CFB6B">
      <w:pPr>
        <w:spacing w:line="480" w:lineRule="auto"/>
        <w:ind w:left="1440" w:leftChars="-648" w:hanging="2800" w:hangingChars="700"/>
        <w:jc w:val="center"/>
        <w:outlineLvl w:val="0"/>
        <w:rPr>
          <w:rFonts w:hint="eastAsia" w:ascii="宋体" w:hAnsi="宋体" w:eastAsia="宋体" w:cs="宋体"/>
          <w:color w:val="auto"/>
          <w:spacing w:val="40"/>
          <w:sz w:val="32"/>
          <w:szCs w:val="32"/>
          <w:highlight w:val="none"/>
          <w:u w:val="single"/>
          <w:lang w:val="en-US" w:eastAsia="zh-CN"/>
        </w:rPr>
      </w:pPr>
      <w:bookmarkStart w:id="2" w:name="_Toc23549"/>
      <w:r>
        <w:rPr>
          <w:rFonts w:hint="eastAsia" w:ascii="宋体" w:hAnsi="宋体" w:cs="宋体"/>
          <w:b/>
          <w:bCs/>
          <w:color w:val="auto"/>
          <w:spacing w:val="40"/>
          <w:sz w:val="32"/>
          <w:szCs w:val="32"/>
          <w:highlight w:val="none"/>
          <w:lang w:val="en-US" w:eastAsia="zh-CN"/>
        </w:rPr>
        <w:t xml:space="preserve">         </w:t>
      </w:r>
      <w:r>
        <w:rPr>
          <w:rFonts w:hint="eastAsia" w:ascii="宋体" w:hAnsi="宋体" w:eastAsia="宋体" w:cs="宋体"/>
          <w:b/>
          <w:bCs/>
          <w:color w:val="auto"/>
          <w:spacing w:val="40"/>
          <w:sz w:val="32"/>
          <w:szCs w:val="32"/>
          <w:highlight w:val="none"/>
        </w:rPr>
        <w:t>项目名称：</w:t>
      </w:r>
      <w:bookmarkEnd w:id="2"/>
      <w:r>
        <w:rPr>
          <w:rFonts w:hint="eastAsia" w:ascii="宋体" w:hAnsi="宋体" w:cs="宋体"/>
          <w:b/>
          <w:bCs/>
          <w:color w:val="auto"/>
          <w:spacing w:val="40"/>
          <w:sz w:val="30"/>
          <w:szCs w:val="30"/>
          <w:highlight w:val="none"/>
          <w:lang w:eastAsia="zh-CN"/>
        </w:rPr>
        <w:t>苍梧县人民医院业务楼康复科治疗区装饰改造项目（重）</w:t>
      </w:r>
    </w:p>
    <w:p w14:paraId="21947B86">
      <w:pPr>
        <w:spacing w:line="480" w:lineRule="auto"/>
        <w:ind w:left="0" w:leftChars="0" w:firstLine="0" w:firstLineChars="0"/>
        <w:jc w:val="both"/>
        <w:rPr>
          <w:rFonts w:hint="eastAsia" w:ascii="宋体" w:hAnsi="宋体" w:eastAsia="宋体" w:cs="宋体"/>
          <w:b/>
          <w:bCs/>
          <w:color w:val="auto"/>
          <w:spacing w:val="40"/>
          <w:sz w:val="32"/>
          <w:szCs w:val="32"/>
          <w:highlight w:val="none"/>
        </w:rPr>
      </w:pPr>
    </w:p>
    <w:p w14:paraId="0BC3988C">
      <w:pPr>
        <w:spacing w:line="480" w:lineRule="auto"/>
        <w:ind w:firstLine="1200" w:firstLineChars="300"/>
        <w:jc w:val="both"/>
        <w:rPr>
          <w:rFonts w:hint="eastAsia" w:ascii="宋体" w:hAnsi="宋体" w:eastAsia="宋体" w:cs="宋体"/>
          <w:color w:val="auto"/>
          <w:sz w:val="32"/>
          <w:szCs w:val="32"/>
          <w:highlight w:val="none"/>
          <w:lang w:eastAsia="zh-CN"/>
        </w:rPr>
      </w:pPr>
      <w:r>
        <w:rPr>
          <w:rFonts w:hint="eastAsia" w:ascii="宋体" w:hAnsi="宋体" w:eastAsia="宋体" w:cs="宋体"/>
          <w:b/>
          <w:bCs/>
          <w:color w:val="auto"/>
          <w:spacing w:val="40"/>
          <w:sz w:val="32"/>
          <w:szCs w:val="32"/>
          <w:highlight w:val="none"/>
        </w:rPr>
        <w:t>项目编号：</w:t>
      </w:r>
      <w:r>
        <w:rPr>
          <w:rFonts w:hint="eastAsia" w:ascii="宋体" w:hAnsi="宋体" w:cs="宋体"/>
          <w:b/>
          <w:bCs/>
          <w:color w:val="auto"/>
          <w:spacing w:val="40"/>
          <w:sz w:val="32"/>
          <w:szCs w:val="32"/>
          <w:highlight w:val="none"/>
          <w:lang w:val="en-US" w:eastAsia="zh-CN"/>
        </w:rPr>
        <w:t>WZZC2025-C2-210189-GXLJ</w:t>
      </w:r>
      <w:r>
        <w:rPr>
          <w:rFonts w:hint="eastAsia" w:ascii="宋体" w:hAnsi="宋体" w:eastAsia="宋体" w:cs="宋体"/>
          <w:b/>
          <w:bCs/>
          <w:color w:val="auto"/>
          <w:spacing w:val="40"/>
          <w:sz w:val="32"/>
          <w:szCs w:val="32"/>
          <w:highlight w:val="none"/>
          <w:lang w:val="en-US" w:eastAsia="zh-CN"/>
        </w:rPr>
        <w:t xml:space="preserve">     </w:t>
      </w:r>
    </w:p>
    <w:p w14:paraId="55D52824">
      <w:pPr>
        <w:jc w:val="center"/>
        <w:rPr>
          <w:rFonts w:hint="eastAsia" w:ascii="宋体" w:hAnsi="宋体" w:eastAsia="宋体" w:cs="宋体"/>
          <w:color w:val="auto"/>
          <w:sz w:val="32"/>
          <w:szCs w:val="32"/>
          <w:highlight w:val="none"/>
        </w:rPr>
      </w:pPr>
    </w:p>
    <w:p w14:paraId="3ABF5885">
      <w:pPr>
        <w:ind w:left="0" w:leftChars="0" w:firstLine="0" w:firstLineChars="0"/>
        <w:jc w:val="both"/>
        <w:rPr>
          <w:rFonts w:hint="eastAsia" w:ascii="宋体" w:hAnsi="宋体" w:eastAsia="宋体" w:cs="宋体"/>
          <w:color w:val="auto"/>
          <w:sz w:val="32"/>
          <w:szCs w:val="32"/>
          <w:highlight w:val="none"/>
        </w:rPr>
      </w:pPr>
    </w:p>
    <w:p w14:paraId="43274F0D">
      <w:pPr>
        <w:pStyle w:val="16"/>
        <w:rPr>
          <w:rFonts w:hint="eastAsia" w:ascii="宋体" w:hAnsi="宋体" w:eastAsia="宋体" w:cs="宋体"/>
          <w:color w:val="auto"/>
          <w:highlight w:val="none"/>
        </w:rPr>
      </w:pPr>
    </w:p>
    <w:p w14:paraId="3A003550">
      <w:pPr>
        <w:keepNext w:val="0"/>
        <w:keepLines w:val="0"/>
        <w:pageBreakBefore w:val="0"/>
        <w:widowControl w:val="0"/>
        <w:kinsoku/>
        <w:wordWrap/>
        <w:overflowPunct/>
        <w:topLinePunct w:val="0"/>
        <w:autoSpaceDE/>
        <w:autoSpaceDN/>
        <w:bidi w:val="0"/>
        <w:adjustRightInd/>
        <w:snapToGrid/>
        <w:spacing w:line="720" w:lineRule="exact"/>
        <w:ind w:left="0" w:leftChars="0" w:hanging="14" w:firstLineChars="0"/>
        <w:jc w:val="center"/>
        <w:textAlignment w:val="auto"/>
        <w:rPr>
          <w:rFonts w:hint="eastAsia" w:ascii="宋体" w:hAnsi="宋体" w:cs="宋体"/>
          <w:bCs/>
          <w:color w:val="auto"/>
          <w:w w:val="90"/>
          <w:kern w:val="0"/>
          <w:sz w:val="36"/>
          <w:szCs w:val="36"/>
          <w:highlight w:val="none"/>
          <w:lang w:eastAsia="zh-CN"/>
        </w:rPr>
      </w:pPr>
      <w:r>
        <w:rPr>
          <w:rFonts w:hint="eastAsia" w:ascii="宋体" w:hAnsi="宋体" w:eastAsia="宋体" w:cs="宋体"/>
          <w:b/>
          <w:bCs/>
          <w:color w:val="auto"/>
          <w:w w:val="90"/>
          <w:kern w:val="0"/>
          <w:sz w:val="36"/>
          <w:szCs w:val="36"/>
          <w:highlight w:val="none"/>
        </w:rPr>
        <w:t>采 购 单 位：</w:t>
      </w:r>
      <w:r>
        <w:rPr>
          <w:rFonts w:hint="eastAsia" w:ascii="宋体" w:hAnsi="宋体" w:cs="宋体"/>
          <w:bCs/>
          <w:color w:val="auto"/>
          <w:w w:val="90"/>
          <w:kern w:val="0"/>
          <w:sz w:val="36"/>
          <w:szCs w:val="36"/>
          <w:highlight w:val="none"/>
          <w:lang w:eastAsia="zh-CN"/>
        </w:rPr>
        <w:t>苍梧县人民医院</w:t>
      </w:r>
    </w:p>
    <w:p w14:paraId="495E7AB8">
      <w:pPr>
        <w:keepNext w:val="0"/>
        <w:keepLines w:val="0"/>
        <w:pageBreakBefore w:val="0"/>
        <w:widowControl w:val="0"/>
        <w:kinsoku/>
        <w:wordWrap/>
        <w:overflowPunct/>
        <w:topLinePunct w:val="0"/>
        <w:autoSpaceDE/>
        <w:autoSpaceDN/>
        <w:bidi w:val="0"/>
        <w:adjustRightInd/>
        <w:snapToGrid/>
        <w:spacing w:line="720" w:lineRule="exact"/>
        <w:ind w:left="0" w:leftChars="0" w:hanging="14" w:firstLineChars="0"/>
        <w:jc w:val="center"/>
        <w:textAlignment w:val="auto"/>
        <w:rPr>
          <w:rFonts w:hint="eastAsia" w:ascii="宋体" w:hAnsi="宋体" w:cs="宋体"/>
          <w:bCs/>
          <w:color w:val="auto"/>
          <w:w w:val="90"/>
          <w:kern w:val="0"/>
          <w:sz w:val="36"/>
          <w:szCs w:val="36"/>
          <w:highlight w:val="none"/>
          <w:lang w:eastAsia="zh-CN"/>
        </w:rPr>
      </w:pPr>
      <w:r>
        <w:rPr>
          <w:rFonts w:hint="eastAsia" w:ascii="宋体" w:hAnsi="宋体" w:eastAsia="宋体" w:cs="宋体"/>
          <w:bCs/>
          <w:color w:val="auto"/>
          <w:spacing w:val="40"/>
          <w:w w:val="90"/>
          <w:sz w:val="36"/>
          <w:szCs w:val="36"/>
          <w:highlight w:val="none"/>
        </w:rPr>
        <w:cr/>
      </w:r>
      <w:r>
        <w:rPr>
          <w:rFonts w:hint="eastAsia" w:ascii="宋体" w:hAnsi="宋体" w:eastAsia="宋体" w:cs="宋体"/>
          <w:b/>
          <w:bCs/>
          <w:color w:val="auto"/>
          <w:w w:val="90"/>
          <w:kern w:val="0"/>
          <w:sz w:val="36"/>
          <w:szCs w:val="36"/>
          <w:highlight w:val="none"/>
        </w:rPr>
        <w:t>采购代理机构：</w:t>
      </w:r>
      <w:r>
        <w:rPr>
          <w:rFonts w:hint="eastAsia" w:ascii="宋体" w:hAnsi="宋体" w:cs="宋体"/>
          <w:bCs/>
          <w:color w:val="auto"/>
          <w:w w:val="90"/>
          <w:kern w:val="0"/>
          <w:sz w:val="36"/>
          <w:szCs w:val="36"/>
          <w:highlight w:val="none"/>
          <w:lang w:eastAsia="zh-CN"/>
        </w:rPr>
        <w:t>广西龙建工程管理有限公司</w:t>
      </w:r>
    </w:p>
    <w:p w14:paraId="37EA2D1D">
      <w:pPr>
        <w:pStyle w:val="2"/>
        <w:rPr>
          <w:rFonts w:hint="eastAsia"/>
          <w:lang w:eastAsia="zh-CN"/>
        </w:rPr>
      </w:pPr>
    </w:p>
    <w:p w14:paraId="34F6B593">
      <w:pPr>
        <w:keepNext w:val="0"/>
        <w:keepLines w:val="0"/>
        <w:pageBreakBefore w:val="0"/>
        <w:widowControl w:val="0"/>
        <w:kinsoku/>
        <w:wordWrap/>
        <w:overflowPunct/>
        <w:topLinePunct w:val="0"/>
        <w:autoSpaceDE/>
        <w:autoSpaceDN/>
        <w:bidi w:val="0"/>
        <w:adjustRightInd/>
        <w:snapToGrid/>
        <w:spacing w:line="720" w:lineRule="exact"/>
        <w:ind w:left="14" w:leftChars="7" w:firstLine="1576" w:firstLineChars="438"/>
        <w:jc w:val="center"/>
        <w:textAlignment w:val="auto"/>
        <w:rPr>
          <w:rFonts w:hint="eastAsia" w:ascii="宋体" w:hAnsi="宋体" w:cs="宋体"/>
          <w:color w:val="auto"/>
          <w:sz w:val="36"/>
          <w:szCs w:val="36"/>
          <w:highlight w:val="none"/>
          <w:lang w:val="en-US" w:eastAsia="zh-CN"/>
        </w:rPr>
      </w:pPr>
      <w:r>
        <w:rPr>
          <w:rFonts w:hint="eastAsia" w:ascii="宋体" w:hAnsi="宋体" w:cs="宋体"/>
          <w:color w:val="auto"/>
          <w:sz w:val="36"/>
          <w:szCs w:val="36"/>
          <w:highlight w:val="none"/>
          <w:lang w:val="en-US" w:eastAsia="zh-CN"/>
        </w:rPr>
        <w:t>2025年12月</w:t>
      </w:r>
    </w:p>
    <w:p w14:paraId="6AA61FC6">
      <w:pPr>
        <w:pStyle w:val="2"/>
        <w:rPr>
          <w:rFonts w:hint="eastAsia" w:ascii="宋体" w:hAnsi="宋体" w:cs="宋体"/>
          <w:color w:val="auto"/>
          <w:sz w:val="36"/>
          <w:szCs w:val="36"/>
          <w:highlight w:val="none"/>
          <w:lang w:val="en-US" w:eastAsia="zh-CN"/>
        </w:rPr>
      </w:pPr>
    </w:p>
    <w:p w14:paraId="2DF1E2AA">
      <w:pPr>
        <w:pStyle w:val="2"/>
        <w:rPr>
          <w:rFonts w:hint="eastAsia" w:ascii="宋体" w:hAnsi="宋体" w:cs="宋体"/>
          <w:color w:val="auto"/>
          <w:sz w:val="36"/>
          <w:szCs w:val="36"/>
          <w:highlight w:val="none"/>
          <w:lang w:val="en-US" w:eastAsia="zh-CN"/>
        </w:rPr>
        <w:sectPr>
          <w:headerReference r:id="rId6" w:type="first"/>
          <w:headerReference r:id="rId5" w:type="default"/>
          <w:pgSz w:w="11906" w:h="16838"/>
          <w:pgMar w:top="1134" w:right="1361" w:bottom="1134" w:left="1361" w:header="567" w:footer="567" w:gutter="0"/>
          <w:pgNumType w:fmt="decimal" w:start="1"/>
          <w:cols w:space="720" w:num="1"/>
          <w:titlePg/>
          <w:docGrid w:type="linesAndChars" w:linePitch="312" w:charSpace="0"/>
        </w:sectPr>
      </w:pPr>
    </w:p>
    <w:p w14:paraId="2EADF958">
      <w:pPr>
        <w:spacing w:before="0" w:beforeLines="0" w:after="0" w:afterLines="0" w:line="240" w:lineRule="auto"/>
        <w:ind w:left="0" w:leftChars="0" w:right="0" w:rightChars="0" w:firstLine="0" w:firstLineChars="0"/>
        <w:jc w:val="center"/>
        <w:rPr>
          <w:b/>
          <w:bCs/>
          <w:color w:val="auto"/>
          <w:sz w:val="44"/>
          <w:szCs w:val="44"/>
        </w:rPr>
      </w:pPr>
      <w:bookmarkStart w:id="3" w:name="_Toc27397_WPSOffice_Level1"/>
      <w:r>
        <w:rPr>
          <w:rFonts w:ascii="宋体" w:hAnsi="宋体" w:eastAsia="宋体"/>
          <w:b/>
          <w:bCs/>
          <w:color w:val="auto"/>
          <w:sz w:val="44"/>
          <w:szCs w:val="44"/>
        </w:rPr>
        <w:t>目录</w:t>
      </w:r>
    </w:p>
    <w:p w14:paraId="0FC733A8">
      <w:pPr>
        <w:pStyle w:val="25"/>
        <w:tabs>
          <w:tab w:val="right" w:leader="dot" w:pos="9606"/>
          <w:tab w:val="clear" w:pos="8820"/>
        </w:tabs>
        <w:rPr>
          <w:color w:val="auto"/>
        </w:rPr>
      </w:pPr>
      <w:r>
        <w:rPr>
          <w:color w:val="auto"/>
        </w:rPr>
        <w:fldChar w:fldCharType="begin"/>
      </w:r>
      <w:r>
        <w:rPr>
          <w:color w:val="auto"/>
        </w:rPr>
        <w:instrText xml:space="preserve">TOC \o "1-1" \h \u </w:instrText>
      </w:r>
      <w:r>
        <w:rPr>
          <w:color w:val="auto"/>
        </w:rPr>
        <w:fldChar w:fldCharType="separate"/>
      </w:r>
    </w:p>
    <w:p w14:paraId="54FB9E8F">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_Toc7054 </w:instrText>
      </w:r>
      <w:r>
        <w:rPr>
          <w:b w:val="0"/>
          <w:bCs w:val="0"/>
          <w:caps/>
          <w:smallCaps w:val="0"/>
          <w:color w:val="auto"/>
          <w:sz w:val="32"/>
        </w:rPr>
        <w:fldChar w:fldCharType="separate"/>
      </w:r>
      <w:r>
        <w:rPr>
          <w:rFonts w:hint="eastAsia"/>
          <w:b w:val="0"/>
          <w:bCs w:val="0"/>
          <w:caps/>
          <w:smallCaps w:val="0"/>
          <w:color w:val="auto"/>
          <w:sz w:val="32"/>
        </w:rPr>
        <w:t xml:space="preserve">第一章 </w:t>
      </w:r>
      <w:r>
        <w:rPr>
          <w:rFonts w:hint="eastAsia"/>
          <w:b w:val="0"/>
          <w:bCs w:val="0"/>
          <w:caps/>
          <w:smallCaps w:val="0"/>
          <w:color w:val="auto"/>
          <w:sz w:val="32"/>
          <w:lang w:val="en-US" w:eastAsia="zh-CN"/>
        </w:rPr>
        <w:t xml:space="preserve"> </w:t>
      </w:r>
      <w:r>
        <w:rPr>
          <w:rFonts w:hint="eastAsia"/>
          <w:b w:val="0"/>
          <w:bCs w:val="0"/>
          <w:caps/>
          <w:smallCaps w:val="0"/>
          <w:color w:val="auto"/>
          <w:sz w:val="32"/>
        </w:rPr>
        <w:t xml:space="preserve"> 竞争性磋商公告</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_Toc7054 \h </w:instrText>
      </w:r>
      <w:r>
        <w:rPr>
          <w:b w:val="0"/>
          <w:bCs w:val="0"/>
          <w:caps/>
          <w:smallCaps w:val="0"/>
          <w:color w:val="auto"/>
          <w:sz w:val="32"/>
        </w:rPr>
        <w:fldChar w:fldCharType="separate"/>
      </w:r>
      <w:r>
        <w:rPr>
          <w:b w:val="0"/>
          <w:bCs w:val="0"/>
          <w:caps/>
          <w:smallCaps w:val="0"/>
          <w:color w:val="auto"/>
          <w:sz w:val="32"/>
        </w:rPr>
        <w:t>1</w:t>
      </w:r>
      <w:r>
        <w:rPr>
          <w:b w:val="0"/>
          <w:bCs w:val="0"/>
          <w:caps/>
          <w:smallCaps w:val="0"/>
          <w:color w:val="auto"/>
          <w:sz w:val="32"/>
        </w:rPr>
        <w:fldChar w:fldCharType="end"/>
      </w:r>
      <w:r>
        <w:rPr>
          <w:b w:val="0"/>
          <w:bCs w:val="0"/>
          <w:caps/>
          <w:smallCaps w:val="0"/>
          <w:color w:val="auto"/>
          <w:sz w:val="32"/>
        </w:rPr>
        <w:fldChar w:fldCharType="end"/>
      </w:r>
    </w:p>
    <w:p w14:paraId="25CF5104">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_Toc12506 </w:instrText>
      </w:r>
      <w:r>
        <w:rPr>
          <w:b w:val="0"/>
          <w:bCs w:val="0"/>
          <w:caps/>
          <w:smallCaps w:val="0"/>
          <w:color w:val="auto"/>
          <w:sz w:val="32"/>
        </w:rPr>
        <w:fldChar w:fldCharType="separate"/>
      </w:r>
      <w:r>
        <w:rPr>
          <w:rFonts w:hint="eastAsia"/>
          <w:b w:val="0"/>
          <w:bCs w:val="0"/>
          <w:caps/>
          <w:smallCaps w:val="0"/>
          <w:color w:val="auto"/>
          <w:sz w:val="32"/>
          <w:szCs w:val="44"/>
        </w:rPr>
        <w:t xml:space="preserve">第二章   </w:t>
      </w:r>
      <w:r>
        <w:rPr>
          <w:rFonts w:hint="eastAsia"/>
          <w:b w:val="0"/>
          <w:bCs w:val="0"/>
          <w:caps/>
          <w:smallCaps w:val="0"/>
          <w:color w:val="auto"/>
          <w:sz w:val="32"/>
          <w:szCs w:val="44"/>
          <w:lang w:eastAsia="zh-CN"/>
        </w:rPr>
        <w:t>供应商</w:t>
      </w:r>
      <w:r>
        <w:rPr>
          <w:rFonts w:hint="eastAsia"/>
          <w:b w:val="0"/>
          <w:bCs w:val="0"/>
          <w:caps/>
          <w:smallCaps w:val="0"/>
          <w:color w:val="auto"/>
          <w:sz w:val="32"/>
          <w:szCs w:val="44"/>
        </w:rPr>
        <w:t>须知及前附表</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_Toc12506 \h </w:instrText>
      </w:r>
      <w:r>
        <w:rPr>
          <w:b w:val="0"/>
          <w:bCs w:val="0"/>
          <w:caps/>
          <w:smallCaps w:val="0"/>
          <w:color w:val="auto"/>
          <w:sz w:val="32"/>
        </w:rPr>
        <w:fldChar w:fldCharType="separate"/>
      </w:r>
      <w:r>
        <w:rPr>
          <w:b w:val="0"/>
          <w:bCs w:val="0"/>
          <w:caps/>
          <w:smallCaps w:val="0"/>
          <w:color w:val="auto"/>
          <w:sz w:val="32"/>
        </w:rPr>
        <w:t>4</w:t>
      </w:r>
      <w:r>
        <w:rPr>
          <w:b w:val="0"/>
          <w:bCs w:val="0"/>
          <w:caps/>
          <w:smallCaps w:val="0"/>
          <w:color w:val="auto"/>
          <w:sz w:val="32"/>
        </w:rPr>
        <w:fldChar w:fldCharType="end"/>
      </w:r>
      <w:r>
        <w:rPr>
          <w:b w:val="0"/>
          <w:bCs w:val="0"/>
          <w:caps/>
          <w:smallCaps w:val="0"/>
          <w:color w:val="auto"/>
          <w:sz w:val="32"/>
        </w:rPr>
        <w:fldChar w:fldCharType="end"/>
      </w:r>
    </w:p>
    <w:p w14:paraId="23382DCA">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_Toc14375 </w:instrText>
      </w:r>
      <w:r>
        <w:rPr>
          <w:b w:val="0"/>
          <w:bCs w:val="0"/>
          <w:caps/>
          <w:smallCaps w:val="0"/>
          <w:color w:val="auto"/>
          <w:sz w:val="32"/>
        </w:rPr>
        <w:fldChar w:fldCharType="separate"/>
      </w:r>
      <w:r>
        <w:rPr>
          <w:rFonts w:hint="eastAsia"/>
          <w:b w:val="0"/>
          <w:bCs w:val="0"/>
          <w:caps/>
          <w:smallCaps w:val="0"/>
          <w:color w:val="auto"/>
          <w:sz w:val="32"/>
          <w:szCs w:val="44"/>
        </w:rPr>
        <w:t xml:space="preserve">第三章   </w:t>
      </w:r>
      <w:r>
        <w:rPr>
          <w:rFonts w:hint="eastAsia"/>
          <w:b w:val="0"/>
          <w:bCs w:val="0"/>
          <w:caps/>
          <w:smallCaps w:val="0"/>
          <w:color w:val="auto"/>
          <w:sz w:val="32"/>
          <w:szCs w:val="44"/>
          <w:lang w:eastAsia="zh-CN"/>
        </w:rPr>
        <w:t>项目</w:t>
      </w:r>
      <w:r>
        <w:rPr>
          <w:rFonts w:hint="eastAsia"/>
          <w:b w:val="0"/>
          <w:bCs w:val="0"/>
          <w:caps/>
          <w:smallCaps w:val="0"/>
          <w:color w:val="auto"/>
          <w:sz w:val="32"/>
          <w:szCs w:val="44"/>
        </w:rPr>
        <w:t>内容及要求</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_Toc14375 \h </w:instrText>
      </w:r>
      <w:r>
        <w:rPr>
          <w:b w:val="0"/>
          <w:bCs w:val="0"/>
          <w:caps/>
          <w:smallCaps w:val="0"/>
          <w:color w:val="auto"/>
          <w:sz w:val="32"/>
        </w:rPr>
        <w:fldChar w:fldCharType="separate"/>
      </w:r>
      <w:r>
        <w:rPr>
          <w:b w:val="0"/>
          <w:bCs w:val="0"/>
          <w:caps/>
          <w:smallCaps w:val="0"/>
          <w:color w:val="auto"/>
          <w:sz w:val="32"/>
        </w:rPr>
        <w:t>26</w:t>
      </w:r>
      <w:r>
        <w:rPr>
          <w:b w:val="0"/>
          <w:bCs w:val="0"/>
          <w:caps/>
          <w:smallCaps w:val="0"/>
          <w:color w:val="auto"/>
          <w:sz w:val="32"/>
        </w:rPr>
        <w:fldChar w:fldCharType="end"/>
      </w:r>
      <w:r>
        <w:rPr>
          <w:b w:val="0"/>
          <w:bCs w:val="0"/>
          <w:caps/>
          <w:smallCaps w:val="0"/>
          <w:color w:val="auto"/>
          <w:sz w:val="32"/>
        </w:rPr>
        <w:fldChar w:fldCharType="end"/>
      </w:r>
    </w:p>
    <w:p w14:paraId="2CD25E23">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_Toc12604 </w:instrText>
      </w:r>
      <w:r>
        <w:rPr>
          <w:b w:val="0"/>
          <w:bCs w:val="0"/>
          <w:caps/>
          <w:smallCaps w:val="0"/>
          <w:color w:val="auto"/>
          <w:sz w:val="32"/>
        </w:rPr>
        <w:fldChar w:fldCharType="separate"/>
      </w:r>
      <w:r>
        <w:rPr>
          <w:rFonts w:hint="eastAsia"/>
          <w:b w:val="0"/>
          <w:bCs w:val="0"/>
          <w:caps/>
          <w:smallCaps w:val="0"/>
          <w:color w:val="auto"/>
          <w:sz w:val="32"/>
          <w:highlight w:val="none"/>
        </w:rPr>
        <w:t xml:space="preserve">第四章 </w:t>
      </w:r>
      <w:r>
        <w:rPr>
          <w:rFonts w:hint="eastAsia"/>
          <w:b w:val="0"/>
          <w:bCs w:val="0"/>
          <w:caps/>
          <w:smallCaps w:val="0"/>
          <w:color w:val="auto"/>
          <w:sz w:val="32"/>
          <w:highlight w:val="none"/>
          <w:lang w:val="en-US" w:eastAsia="zh-CN"/>
        </w:rPr>
        <w:t xml:space="preserve"> </w:t>
      </w:r>
      <w:r>
        <w:rPr>
          <w:rFonts w:hint="eastAsia"/>
          <w:b w:val="0"/>
          <w:bCs w:val="0"/>
          <w:caps/>
          <w:smallCaps w:val="0"/>
          <w:color w:val="auto"/>
          <w:sz w:val="32"/>
          <w:highlight w:val="none"/>
        </w:rPr>
        <w:t xml:space="preserve"> 合同条款及格式</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_Toc12604 \h </w:instrText>
      </w:r>
      <w:r>
        <w:rPr>
          <w:b w:val="0"/>
          <w:bCs w:val="0"/>
          <w:caps/>
          <w:smallCaps w:val="0"/>
          <w:color w:val="auto"/>
          <w:sz w:val="32"/>
        </w:rPr>
        <w:fldChar w:fldCharType="separate"/>
      </w:r>
      <w:r>
        <w:rPr>
          <w:b w:val="0"/>
          <w:bCs w:val="0"/>
          <w:caps/>
          <w:smallCaps w:val="0"/>
          <w:color w:val="auto"/>
          <w:sz w:val="32"/>
        </w:rPr>
        <w:t>27</w:t>
      </w:r>
      <w:r>
        <w:rPr>
          <w:b w:val="0"/>
          <w:bCs w:val="0"/>
          <w:caps/>
          <w:smallCaps w:val="0"/>
          <w:color w:val="auto"/>
          <w:sz w:val="32"/>
        </w:rPr>
        <w:fldChar w:fldCharType="end"/>
      </w:r>
      <w:r>
        <w:rPr>
          <w:b w:val="0"/>
          <w:bCs w:val="0"/>
          <w:caps/>
          <w:smallCaps w:val="0"/>
          <w:color w:val="auto"/>
          <w:sz w:val="32"/>
        </w:rPr>
        <w:fldChar w:fldCharType="end"/>
      </w:r>
    </w:p>
    <w:p w14:paraId="33083BFF">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_Toc13601 </w:instrText>
      </w:r>
      <w:r>
        <w:rPr>
          <w:b w:val="0"/>
          <w:bCs w:val="0"/>
          <w:caps/>
          <w:smallCaps w:val="0"/>
          <w:color w:val="auto"/>
          <w:sz w:val="32"/>
        </w:rPr>
        <w:fldChar w:fldCharType="separate"/>
      </w:r>
      <w:r>
        <w:rPr>
          <w:rFonts w:hint="eastAsia"/>
          <w:b w:val="0"/>
          <w:bCs w:val="0"/>
          <w:caps/>
          <w:smallCaps w:val="0"/>
          <w:color w:val="auto"/>
          <w:sz w:val="32"/>
        </w:rPr>
        <w:t>第五章   评标办法</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_Toc13601 \h </w:instrText>
      </w:r>
      <w:r>
        <w:rPr>
          <w:b w:val="0"/>
          <w:bCs w:val="0"/>
          <w:caps/>
          <w:smallCaps w:val="0"/>
          <w:color w:val="auto"/>
          <w:sz w:val="32"/>
        </w:rPr>
        <w:fldChar w:fldCharType="separate"/>
      </w:r>
      <w:r>
        <w:rPr>
          <w:b w:val="0"/>
          <w:bCs w:val="0"/>
          <w:caps/>
          <w:smallCaps w:val="0"/>
          <w:color w:val="auto"/>
          <w:sz w:val="32"/>
        </w:rPr>
        <w:t>57</w:t>
      </w:r>
      <w:r>
        <w:rPr>
          <w:b w:val="0"/>
          <w:bCs w:val="0"/>
          <w:caps/>
          <w:smallCaps w:val="0"/>
          <w:color w:val="auto"/>
          <w:sz w:val="32"/>
        </w:rPr>
        <w:fldChar w:fldCharType="end"/>
      </w:r>
      <w:r>
        <w:rPr>
          <w:b w:val="0"/>
          <w:bCs w:val="0"/>
          <w:caps/>
          <w:smallCaps w:val="0"/>
          <w:color w:val="auto"/>
          <w:sz w:val="32"/>
        </w:rPr>
        <w:fldChar w:fldCharType="end"/>
      </w:r>
    </w:p>
    <w:p w14:paraId="14B3C543">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_Toc23390 </w:instrText>
      </w:r>
      <w:r>
        <w:rPr>
          <w:b w:val="0"/>
          <w:bCs w:val="0"/>
          <w:caps/>
          <w:smallCaps w:val="0"/>
          <w:color w:val="auto"/>
          <w:sz w:val="32"/>
        </w:rPr>
        <w:fldChar w:fldCharType="separate"/>
      </w:r>
      <w:r>
        <w:rPr>
          <w:rFonts w:hint="eastAsia"/>
          <w:b w:val="0"/>
          <w:bCs w:val="0"/>
          <w:caps/>
          <w:smallCaps w:val="0"/>
          <w:color w:val="auto"/>
          <w:sz w:val="32"/>
        </w:rPr>
        <w:t xml:space="preserve">第六章   </w:t>
      </w:r>
      <w:r>
        <w:rPr>
          <w:b w:val="0"/>
          <w:bCs w:val="0"/>
          <w:caps/>
          <w:smallCaps w:val="0"/>
          <w:color w:val="auto"/>
          <w:sz w:val="32"/>
        </w:rPr>
        <w:t>磋商响应文件格式</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_Toc23390 \h </w:instrText>
      </w:r>
      <w:r>
        <w:rPr>
          <w:b w:val="0"/>
          <w:bCs w:val="0"/>
          <w:caps/>
          <w:smallCaps w:val="0"/>
          <w:color w:val="auto"/>
          <w:sz w:val="32"/>
        </w:rPr>
        <w:fldChar w:fldCharType="separate"/>
      </w:r>
      <w:r>
        <w:rPr>
          <w:b w:val="0"/>
          <w:bCs w:val="0"/>
          <w:caps/>
          <w:smallCaps w:val="0"/>
          <w:color w:val="auto"/>
          <w:sz w:val="32"/>
        </w:rPr>
        <w:t>61</w:t>
      </w:r>
      <w:r>
        <w:rPr>
          <w:b w:val="0"/>
          <w:bCs w:val="0"/>
          <w:caps/>
          <w:smallCaps w:val="0"/>
          <w:color w:val="auto"/>
          <w:sz w:val="32"/>
        </w:rPr>
        <w:fldChar w:fldCharType="end"/>
      </w:r>
      <w:r>
        <w:rPr>
          <w:b w:val="0"/>
          <w:bCs w:val="0"/>
          <w:caps/>
          <w:smallCaps w:val="0"/>
          <w:color w:val="auto"/>
          <w:sz w:val="32"/>
        </w:rPr>
        <w:fldChar w:fldCharType="end"/>
      </w:r>
    </w:p>
    <w:p w14:paraId="5FF068EB">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color w:val="auto"/>
        </w:rPr>
      </w:pPr>
      <w:r>
        <w:rPr>
          <w:b w:val="0"/>
          <w:bCs w:val="0"/>
          <w:caps/>
          <w:smallCaps w:val="0"/>
          <w:color w:val="auto"/>
          <w:sz w:val="32"/>
        </w:rPr>
        <w:fldChar w:fldCharType="begin"/>
      </w:r>
      <w:r>
        <w:rPr>
          <w:b w:val="0"/>
          <w:bCs w:val="0"/>
          <w:caps/>
          <w:smallCaps w:val="0"/>
          <w:color w:val="auto"/>
          <w:sz w:val="32"/>
        </w:rPr>
        <w:instrText xml:space="preserve"> HYPERLINK \l _Toc31198 </w:instrText>
      </w:r>
      <w:r>
        <w:rPr>
          <w:b w:val="0"/>
          <w:bCs w:val="0"/>
          <w:caps/>
          <w:smallCaps w:val="0"/>
          <w:color w:val="auto"/>
          <w:sz w:val="32"/>
        </w:rPr>
        <w:fldChar w:fldCharType="separate"/>
      </w:r>
      <w:r>
        <w:rPr>
          <w:rFonts w:hint="eastAsia"/>
          <w:b w:val="0"/>
          <w:bCs w:val="0"/>
          <w:caps/>
          <w:smallCaps w:val="0"/>
          <w:color w:val="auto"/>
          <w:sz w:val="32"/>
          <w:highlight w:val="none"/>
        </w:rPr>
        <w:t>第七章   附件</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_Toc31198 \h </w:instrText>
      </w:r>
      <w:r>
        <w:rPr>
          <w:b w:val="0"/>
          <w:bCs w:val="0"/>
          <w:caps/>
          <w:smallCaps w:val="0"/>
          <w:color w:val="auto"/>
          <w:sz w:val="32"/>
        </w:rPr>
        <w:fldChar w:fldCharType="separate"/>
      </w:r>
      <w:r>
        <w:rPr>
          <w:b w:val="0"/>
          <w:bCs w:val="0"/>
          <w:caps/>
          <w:smallCaps w:val="0"/>
          <w:color w:val="auto"/>
          <w:sz w:val="32"/>
        </w:rPr>
        <w:t>86</w:t>
      </w:r>
      <w:r>
        <w:rPr>
          <w:b w:val="0"/>
          <w:bCs w:val="0"/>
          <w:caps/>
          <w:smallCaps w:val="0"/>
          <w:color w:val="auto"/>
          <w:sz w:val="32"/>
        </w:rPr>
        <w:fldChar w:fldCharType="end"/>
      </w:r>
      <w:r>
        <w:rPr>
          <w:b w:val="0"/>
          <w:bCs w:val="0"/>
          <w:caps/>
          <w:smallCaps w:val="0"/>
          <w:color w:val="auto"/>
          <w:sz w:val="32"/>
        </w:rPr>
        <w:fldChar w:fldCharType="end"/>
      </w:r>
    </w:p>
    <w:p w14:paraId="27A1DD4E">
      <w:pPr>
        <w:rPr>
          <w:color w:val="auto"/>
        </w:rPr>
        <w:sectPr>
          <w:headerReference r:id="rId7" w:type="default"/>
          <w:footerReference r:id="rId8" w:type="default"/>
          <w:pgSz w:w="11906" w:h="16860"/>
          <w:pgMar w:top="960" w:right="1100" w:bottom="860" w:left="1200" w:header="737" w:footer="669" w:gutter="0"/>
          <w:pgNumType w:fmt="decimal" w:start="1"/>
          <w:cols w:space="720" w:num="1"/>
        </w:sectPr>
      </w:pPr>
      <w:r>
        <w:rPr>
          <w:color w:val="auto"/>
        </w:rPr>
        <w:fldChar w:fldCharType="end"/>
      </w:r>
    </w:p>
    <w:p w14:paraId="41DAE0BA">
      <w:pPr>
        <w:rPr>
          <w:color w:val="auto"/>
        </w:rPr>
      </w:pPr>
    </w:p>
    <w:p w14:paraId="73096F4D">
      <w:pPr>
        <w:pStyle w:val="3"/>
        <w:bidi w:val="0"/>
        <w:rPr>
          <w:rFonts w:hint="eastAsia"/>
          <w:color w:val="auto"/>
        </w:rPr>
      </w:pPr>
      <w:bookmarkStart w:id="4" w:name="_Toc7054"/>
      <w:r>
        <w:rPr>
          <w:rFonts w:hint="eastAsia"/>
          <w:color w:val="auto"/>
        </w:rPr>
        <w:t xml:space="preserve">第一章 </w:t>
      </w:r>
      <w:r>
        <w:rPr>
          <w:rFonts w:hint="eastAsia"/>
          <w:color w:val="auto"/>
          <w:lang w:val="en-US" w:eastAsia="zh-CN"/>
        </w:rPr>
        <w:t xml:space="preserve"> </w:t>
      </w:r>
      <w:r>
        <w:rPr>
          <w:rFonts w:hint="eastAsia"/>
          <w:color w:val="auto"/>
        </w:rPr>
        <w:t xml:space="preserve"> 竞争性磋商公告</w:t>
      </w:r>
      <w:bookmarkEnd w:id="3"/>
      <w:bookmarkEnd w:id="4"/>
    </w:p>
    <w:p w14:paraId="6299D11B">
      <w:pPr>
        <w:pStyle w:val="20"/>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广西龙建工程管理有限公司</w:t>
      </w:r>
    </w:p>
    <w:p w14:paraId="7A9E9D1E">
      <w:pPr>
        <w:pStyle w:val="20"/>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关于苍梧县人民医院业务楼康复科治疗区装饰改造项目（重）的</w:t>
      </w:r>
      <w:r>
        <w:rPr>
          <w:rFonts w:hint="eastAsia" w:ascii="仿宋_GB2312" w:hAnsi="仿宋_GB2312" w:eastAsia="仿宋_GB2312" w:cs="仿宋_GB2312"/>
          <w:b/>
          <w:bCs/>
          <w:color w:val="auto"/>
          <w:sz w:val="28"/>
          <w:szCs w:val="28"/>
        </w:rPr>
        <w:t>竞争性磋商公告</w:t>
      </w:r>
    </w:p>
    <w:p w14:paraId="4A34BD0F">
      <w:pPr>
        <w:pStyle w:val="32"/>
        <w:keepNext w:val="0"/>
        <w:keepLines w:val="0"/>
        <w:pageBreakBefore w:val="0"/>
        <w:widowControl/>
        <w:suppressLineNumbers w:val="0"/>
        <w:kinsoku/>
        <w:overflowPunct/>
        <w:topLinePunct w:val="0"/>
        <w:autoSpaceDE/>
        <w:autoSpaceDN/>
        <w:bidi w:val="0"/>
        <w:adjustRightInd/>
        <w:snapToGrid/>
        <w:spacing w:before="75" w:beforeAutospacing="0" w:after="150" w:afterAutospacing="0" w:line="56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 项目概况                                                    </w:t>
      </w:r>
    </w:p>
    <w:p w14:paraId="37D0BE2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lang w:eastAsia="zh-CN"/>
        </w:rPr>
        <w:t>苍梧县人民医院业务楼康复科治疗区装饰改造项目（重）</w:t>
      </w:r>
      <w:r>
        <w:rPr>
          <w:rFonts w:hint="eastAsia" w:ascii="仿宋_GB2312" w:hAnsi="仿宋_GB2312" w:eastAsia="仿宋_GB2312" w:cs="仿宋_GB2312"/>
          <w:i w:val="0"/>
          <w:iCs w:val="0"/>
          <w:caps w:val="0"/>
          <w:color w:val="auto"/>
          <w:spacing w:val="0"/>
          <w:sz w:val="28"/>
          <w:szCs w:val="28"/>
        </w:rPr>
        <w:t>采购项目的潜在供应商应在广西政府采购云平台线上获取采购文件，并于</w:t>
      </w:r>
      <w:r>
        <w:rPr>
          <w:rFonts w:hint="eastAsia" w:ascii="仿宋_GB2312" w:hAnsi="仿宋_GB2312" w:eastAsia="仿宋_GB2312" w:cs="仿宋_GB2312"/>
          <w:i w:val="0"/>
          <w:iCs w:val="0"/>
          <w:caps w:val="0"/>
          <w:color w:val="auto"/>
          <w:spacing w:val="0"/>
          <w:sz w:val="28"/>
          <w:szCs w:val="28"/>
          <w:lang w:eastAsia="zh-CN"/>
        </w:rPr>
        <w:t>2026年01月09日10:00</w:t>
      </w:r>
      <w:r>
        <w:rPr>
          <w:rFonts w:hint="eastAsia" w:ascii="仿宋_GB2312" w:hAnsi="仿宋_GB2312" w:eastAsia="仿宋_GB2312" w:cs="仿宋_GB2312"/>
          <w:i w:val="0"/>
          <w:iCs w:val="0"/>
          <w:caps w:val="0"/>
          <w:color w:val="auto"/>
          <w:spacing w:val="0"/>
          <w:sz w:val="28"/>
          <w:szCs w:val="28"/>
        </w:rPr>
        <w:t>（北京时间）前提交响应文件。                            </w:t>
      </w:r>
    </w:p>
    <w:p w14:paraId="321939A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leftChars="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一、项目基本情况</w:t>
      </w:r>
    </w:p>
    <w:p w14:paraId="6711711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项目编号：</w:t>
      </w:r>
      <w:r>
        <w:rPr>
          <w:rFonts w:hint="eastAsia" w:ascii="仿宋_GB2312" w:hAnsi="仿宋_GB2312" w:eastAsia="仿宋_GB2312" w:cs="仿宋_GB2312"/>
          <w:i w:val="0"/>
          <w:iCs w:val="0"/>
          <w:caps w:val="0"/>
          <w:color w:val="auto"/>
          <w:spacing w:val="0"/>
          <w:sz w:val="28"/>
          <w:szCs w:val="28"/>
          <w:lang w:val="en-US" w:eastAsia="zh-CN"/>
        </w:rPr>
        <w:t xml:space="preserve">WZZC2025-C2-210189-GXLJ     </w:t>
      </w:r>
      <w:r>
        <w:rPr>
          <w:rFonts w:hint="eastAsia" w:ascii="仿宋_GB2312" w:hAnsi="仿宋_GB2312" w:eastAsia="仿宋_GB2312" w:cs="仿宋_GB2312"/>
          <w:i w:val="0"/>
          <w:iCs w:val="0"/>
          <w:caps w:val="0"/>
          <w:color w:val="auto"/>
          <w:spacing w:val="0"/>
          <w:sz w:val="28"/>
          <w:szCs w:val="28"/>
          <w:lang w:eastAsia="zh-CN"/>
        </w:rPr>
        <w:t xml:space="preserve">                  </w:t>
      </w:r>
    </w:p>
    <w:p w14:paraId="1C69A20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项目名称：苍梧县人民医院业务楼康复科治疗区装饰改造项目（重） </w:t>
      </w:r>
    </w:p>
    <w:p w14:paraId="78AD76E0">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采购方式：竞争性磋商 </w:t>
      </w:r>
    </w:p>
    <w:p w14:paraId="3D0A20F8">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预算总金额（元）：698377.71</w:t>
      </w:r>
    </w:p>
    <w:p w14:paraId="3A0FFC7A">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采购需求：</w:t>
      </w:r>
    </w:p>
    <w:p w14:paraId="7D864E8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538" w:leftChars="256"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标项名称:苍梧县人民医院业务楼康复科治疗区装饰改造项目（重）</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eastAsia="zh-CN"/>
        </w:rPr>
        <w:t>数量:1</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eastAsia="zh-CN"/>
        </w:rPr>
        <w:t>预算金额（元）:698377.71</w:t>
      </w:r>
    </w:p>
    <w:p w14:paraId="1F1CABF2">
      <w:pPr>
        <w:keepNext w:val="0"/>
        <w:keepLines w:val="0"/>
        <w:pageBreakBefore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简要规格描述或项目基本概况介绍、用途：采购苍梧县人民医院业务楼康复科治疗区装饰改造项目（重）一项。（具体以</w:t>
      </w:r>
      <w:r>
        <w:rPr>
          <w:rFonts w:hint="eastAsia" w:ascii="仿宋_GB2312" w:hAnsi="仿宋_GB2312" w:eastAsia="仿宋_GB2312" w:cs="仿宋_GB2312"/>
          <w:i w:val="0"/>
          <w:iCs w:val="0"/>
          <w:caps w:val="0"/>
          <w:color w:val="auto"/>
          <w:spacing w:val="0"/>
          <w:sz w:val="28"/>
          <w:szCs w:val="28"/>
          <w:lang w:val="en-US" w:eastAsia="zh-CN"/>
        </w:rPr>
        <w:t>工程量清单及施工图</w:t>
      </w:r>
      <w:r>
        <w:rPr>
          <w:rFonts w:hint="eastAsia" w:ascii="仿宋_GB2312" w:hAnsi="仿宋_GB2312" w:eastAsia="仿宋_GB2312" w:cs="仿宋_GB2312"/>
          <w:i w:val="0"/>
          <w:iCs w:val="0"/>
          <w:caps w:val="0"/>
          <w:color w:val="auto"/>
          <w:spacing w:val="0"/>
          <w:sz w:val="28"/>
          <w:szCs w:val="28"/>
          <w:lang w:eastAsia="zh-CN"/>
        </w:rPr>
        <w:t>设计为准）</w:t>
      </w:r>
    </w:p>
    <w:p w14:paraId="61138402">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最高限价（如有）：698377.71</w:t>
      </w:r>
    </w:p>
    <w:p w14:paraId="0045050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合同履约期限：合同签订后，双方确认符合施工条件起60个日历日内</w:t>
      </w:r>
    </w:p>
    <w:p w14:paraId="62B2219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538" w:leftChars="256"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本标项（否）接受联合体投标</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eastAsia="zh-CN"/>
        </w:rPr>
        <w:t>备注：</w:t>
      </w:r>
    </w:p>
    <w:p w14:paraId="428A0DC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二、申请人的资格要求：</w:t>
      </w:r>
    </w:p>
    <w:p w14:paraId="30C67B9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1.满足《中华人民共和国政府采购法》第二十二条规定；</w:t>
      </w:r>
    </w:p>
    <w:p w14:paraId="7503CDF0">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2.落实政府采购政策需满足的资格要求：分标1：本项目属于专门面向中小企业采购的项目（供应商须为中/小企业或监狱企业或残疾人福利性单位）  </w:t>
      </w:r>
    </w:p>
    <w:p w14:paraId="607B593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3.本项目的特定资格要求：</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eastAsia="zh-CN"/>
        </w:rPr>
        <w:t>【分标1】</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(1)资质要求：具备建筑工程施工总承包叁级以 上(含叁级),具有省级及以上建设行政主管部门颁发的安 全生产许可证，在人员、设备、资金等方面具备相应的施工能力。</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(2)项目经理要求：具备建筑工程专业二级以上(含二级)注册建造师执业资格，并获得安全生产考核合格 证书 (B 证)。不接受有在建、已中标未开工或已列为其他项目中标候选人第一名的施工项目经理或工程总承包项目经理或项目总监理工程师作为工程总承包项目经理。</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(3)专职安全员要求：持有省级或省级以上建设行政 主管部门颁发的</w:t>
      </w:r>
      <w:r>
        <w:rPr>
          <w:rFonts w:hint="eastAsia" w:ascii="仿宋_GB2312" w:hAnsi="仿宋_GB2312" w:eastAsia="仿宋_GB2312" w:cs="仿宋_GB2312"/>
          <w:i w:val="0"/>
          <w:iCs w:val="0"/>
          <w:caps w:val="0"/>
          <w:color w:val="auto"/>
          <w:spacing w:val="0"/>
          <w:sz w:val="28"/>
          <w:szCs w:val="28"/>
          <w:lang w:val="en-US" w:eastAsia="zh-CN"/>
        </w:rPr>
        <w:t>C</w:t>
      </w:r>
      <w:r>
        <w:rPr>
          <w:rFonts w:hint="eastAsia" w:ascii="仿宋_GB2312" w:hAnsi="仿宋_GB2312" w:eastAsia="仿宋_GB2312" w:cs="仿宋_GB2312"/>
          <w:i w:val="0"/>
          <w:iCs w:val="0"/>
          <w:caps w:val="0"/>
          <w:color w:val="auto"/>
          <w:spacing w:val="0"/>
          <w:sz w:val="28"/>
          <w:szCs w:val="28"/>
          <w:lang w:eastAsia="zh-CN"/>
        </w:rPr>
        <w:t>类安全生产考核合格证书，人数不少于1人。</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(4)其他要求：</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①单位负责人为同一人或者存在直接控股、管理关系的不同供应商，不得参加本项目同一合同项下的政府采购活动。除单一来源采购项目外，为采购项目提供整体设计、规范编制或者项目管理、监理、检测等服务的供应商，不得再参加本项目的采购活动。</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②未被列入失信被执行人、重大税收违法案件当事人名单、政府采购严重违法失信行为记录名单。</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③因违法经营受到刑事处罚或者责令停产停业、吊销许 可证或者执照、较大数额罚款等行政处罚，或者存在财政部 门认定的其他重大违法记录，以及在财政部门禁止参加政府采购活动期限以内的供应商不得参加本项目的采购活动。</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④按照竞争性磋商公告的规定获得磋商文件。 </w:t>
      </w:r>
    </w:p>
    <w:p w14:paraId="5AD7BAA7">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三、获取采购文件</w:t>
      </w:r>
    </w:p>
    <w:p w14:paraId="0B6D70C3">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时间：2025年12月</w:t>
      </w:r>
      <w:r>
        <w:rPr>
          <w:rFonts w:hint="eastAsia" w:ascii="仿宋_GB2312" w:hAnsi="仿宋_GB2312" w:eastAsia="仿宋_GB2312" w:cs="仿宋_GB2312"/>
          <w:i w:val="0"/>
          <w:iCs w:val="0"/>
          <w:caps w:val="0"/>
          <w:color w:val="auto"/>
          <w:spacing w:val="0"/>
          <w:sz w:val="28"/>
          <w:szCs w:val="28"/>
          <w:lang w:val="en-US" w:eastAsia="zh-CN"/>
        </w:rPr>
        <w:t>29</w:t>
      </w:r>
      <w:r>
        <w:rPr>
          <w:rFonts w:hint="eastAsia" w:ascii="仿宋_GB2312" w:hAnsi="仿宋_GB2312" w:eastAsia="仿宋_GB2312" w:cs="仿宋_GB2312"/>
          <w:i w:val="0"/>
          <w:iCs w:val="0"/>
          <w:caps w:val="0"/>
          <w:color w:val="auto"/>
          <w:spacing w:val="0"/>
          <w:sz w:val="28"/>
          <w:szCs w:val="28"/>
          <w:lang w:eastAsia="zh-CN"/>
        </w:rPr>
        <w:t>日至202</w:t>
      </w:r>
      <w:r>
        <w:rPr>
          <w:rFonts w:hint="eastAsia" w:ascii="仿宋_GB2312" w:hAnsi="仿宋_GB2312" w:eastAsia="仿宋_GB2312" w:cs="仿宋_GB2312"/>
          <w:i w:val="0"/>
          <w:iCs w:val="0"/>
          <w:caps w:val="0"/>
          <w:color w:val="auto"/>
          <w:spacing w:val="0"/>
          <w:sz w:val="28"/>
          <w:szCs w:val="28"/>
          <w:lang w:val="en-US" w:eastAsia="zh-CN"/>
        </w:rPr>
        <w:t>6</w:t>
      </w:r>
      <w:r>
        <w:rPr>
          <w:rFonts w:hint="eastAsia" w:ascii="仿宋_GB2312" w:hAnsi="仿宋_GB2312" w:eastAsia="仿宋_GB2312" w:cs="仿宋_GB2312"/>
          <w:i w:val="0"/>
          <w:iCs w:val="0"/>
          <w:caps w:val="0"/>
          <w:color w:val="auto"/>
          <w:spacing w:val="0"/>
          <w:sz w:val="28"/>
          <w:szCs w:val="28"/>
          <w:lang w:eastAsia="zh-CN"/>
        </w:rPr>
        <w:t>年</w:t>
      </w:r>
      <w:r>
        <w:rPr>
          <w:rFonts w:hint="eastAsia" w:ascii="仿宋_GB2312" w:hAnsi="仿宋_GB2312" w:eastAsia="仿宋_GB2312" w:cs="仿宋_GB2312"/>
          <w:i w:val="0"/>
          <w:iCs w:val="0"/>
          <w:caps w:val="0"/>
          <w:color w:val="auto"/>
          <w:spacing w:val="0"/>
          <w:sz w:val="28"/>
          <w:szCs w:val="28"/>
          <w:lang w:val="en-US" w:eastAsia="zh-CN"/>
        </w:rPr>
        <w:t>01</w:t>
      </w:r>
      <w:r>
        <w:rPr>
          <w:rFonts w:hint="eastAsia" w:ascii="仿宋_GB2312" w:hAnsi="仿宋_GB2312" w:eastAsia="仿宋_GB2312" w:cs="仿宋_GB2312"/>
          <w:i w:val="0"/>
          <w:iCs w:val="0"/>
          <w:caps w:val="0"/>
          <w:color w:val="auto"/>
          <w:spacing w:val="0"/>
          <w:sz w:val="28"/>
          <w:szCs w:val="28"/>
          <w:lang w:eastAsia="zh-CN"/>
        </w:rPr>
        <w:t>月</w:t>
      </w:r>
      <w:r>
        <w:rPr>
          <w:rFonts w:hint="eastAsia" w:ascii="仿宋_GB2312" w:hAnsi="仿宋_GB2312" w:eastAsia="仿宋_GB2312" w:cs="仿宋_GB2312"/>
          <w:i w:val="0"/>
          <w:iCs w:val="0"/>
          <w:caps w:val="0"/>
          <w:color w:val="auto"/>
          <w:spacing w:val="0"/>
          <w:sz w:val="28"/>
          <w:szCs w:val="28"/>
          <w:lang w:val="en-US" w:eastAsia="zh-CN"/>
        </w:rPr>
        <w:t>06</w:t>
      </w:r>
      <w:r>
        <w:rPr>
          <w:rFonts w:hint="eastAsia" w:ascii="仿宋_GB2312" w:hAnsi="仿宋_GB2312" w:eastAsia="仿宋_GB2312" w:cs="仿宋_GB2312"/>
          <w:i w:val="0"/>
          <w:iCs w:val="0"/>
          <w:caps w:val="0"/>
          <w:color w:val="auto"/>
          <w:spacing w:val="0"/>
          <w:sz w:val="28"/>
          <w:szCs w:val="28"/>
          <w:lang w:eastAsia="zh-CN"/>
        </w:rPr>
        <w:t>日，每天上午00:00至12:00，下午12:00至23:59（北京时间，法定节假日除外）</w:t>
      </w:r>
    </w:p>
    <w:p w14:paraId="21F06D01">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地点（网址）：广西政府采购云平台线上获取 </w:t>
      </w:r>
    </w:p>
    <w:p w14:paraId="157E2D62">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方式：供应商登录广西政府采购云平台https://www.gcy.zfcg.gxzf.gov.cn/在线申请获取采购文件（进入“项目采购”应用，在获取采购文件菜单中选择项目，申请获取采购文件） </w:t>
      </w:r>
    </w:p>
    <w:p w14:paraId="06FF6392">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售价（元）：0 </w:t>
      </w:r>
    </w:p>
    <w:p w14:paraId="3D4228A4">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四、响应文件提交</w:t>
      </w:r>
      <w:r>
        <w:rPr>
          <w:rFonts w:hint="eastAsia" w:ascii="仿宋_GB2312" w:hAnsi="仿宋_GB2312" w:eastAsia="仿宋_GB2312" w:cs="仿宋_GB2312"/>
          <w:i w:val="0"/>
          <w:iCs w:val="0"/>
          <w:caps w:val="0"/>
          <w:color w:val="auto"/>
          <w:spacing w:val="0"/>
          <w:sz w:val="28"/>
          <w:szCs w:val="28"/>
        </w:rPr>
        <w:t> </w:t>
      </w:r>
    </w:p>
    <w:p w14:paraId="74DF827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截止时间：2026年01月09日10:00（北京时间）</w:t>
      </w:r>
    </w:p>
    <w:p w14:paraId="7A2E1CB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地点（网址）：请登录广西政府采购云平台投标客户端投标 </w:t>
      </w:r>
    </w:p>
    <w:p w14:paraId="3700195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五、响应文件开启</w:t>
      </w:r>
      <w:r>
        <w:rPr>
          <w:rFonts w:hint="eastAsia" w:ascii="仿宋_GB2312" w:hAnsi="仿宋_GB2312" w:eastAsia="仿宋_GB2312" w:cs="仿宋_GB2312"/>
          <w:i w:val="0"/>
          <w:iCs w:val="0"/>
          <w:caps w:val="0"/>
          <w:color w:val="auto"/>
          <w:spacing w:val="0"/>
          <w:sz w:val="28"/>
          <w:szCs w:val="28"/>
        </w:rPr>
        <w:t> </w:t>
      </w:r>
    </w:p>
    <w:p w14:paraId="53961395">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开启时间：2026年01月09日10:00 （北京时间）</w:t>
      </w:r>
    </w:p>
    <w:p w14:paraId="01FE94F6">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地点：“广西政府采购云平台”（https://www.gcy.zfcg.gxzf.gov.cn/）（本项目不要求供应商到达开标现场，但供应商应派法定代表人或委托代理人准时在线出席电子开评标会议，随时关注开评标进度，如在开评标过程中有电子询标，应在规定的时间内对电子询标函进行澄清回复。）。 </w:t>
      </w:r>
    </w:p>
    <w:p w14:paraId="003F404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六、公告期限</w:t>
      </w:r>
    </w:p>
    <w:p w14:paraId="2913F60C">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eastAsia="zh-CN"/>
        </w:rPr>
        <w:t xml:space="preserve"> 自本公告发布之日起5个工作日。</w:t>
      </w:r>
    </w:p>
    <w:p w14:paraId="0ABF4464">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七、其他补充事宜</w:t>
      </w:r>
      <w:r>
        <w:rPr>
          <w:rFonts w:hint="eastAsia" w:ascii="仿宋_GB2312" w:hAnsi="仿宋_GB2312" w:eastAsia="仿宋_GB2312" w:cs="仿宋_GB2312"/>
          <w:i w:val="0"/>
          <w:iCs w:val="0"/>
          <w:caps w:val="0"/>
          <w:color w:val="auto"/>
          <w:spacing w:val="0"/>
          <w:sz w:val="28"/>
          <w:szCs w:val="28"/>
        </w:rPr>
        <w:t> </w:t>
      </w:r>
    </w:p>
    <w:p w14:paraId="7B1DFBA8">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lang w:eastAsia="zh-CN"/>
        </w:rPr>
        <w:t>公告发布媒体：中国政府采购网、广西壮族自治区政府采购网、梧州市政府采购网、广西梧州苍梧县人民政府门户网。  </w:t>
      </w:r>
    </w:p>
    <w:p w14:paraId="096B987F">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八、凡对本次招标提出询问，请按以下方式联系</w:t>
      </w:r>
    </w:p>
    <w:p w14:paraId="46ADE9F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1.采购人信息</w:t>
      </w:r>
    </w:p>
    <w:p w14:paraId="2CFCF87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名    称：苍梧县人民医院 </w:t>
      </w:r>
    </w:p>
    <w:p w14:paraId="356F30E6">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地    址：梧州市龙圩区龙圩镇凤岭街22号</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 </w:t>
      </w:r>
    </w:p>
    <w:p w14:paraId="70B5CE5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项目联系人：</w:t>
      </w:r>
      <w:r>
        <w:rPr>
          <w:rFonts w:hint="eastAsia" w:ascii="仿宋_GB2312" w:hAnsi="仿宋_GB2312" w:eastAsia="仿宋_GB2312" w:cs="仿宋_GB2312"/>
          <w:i w:val="0"/>
          <w:iCs w:val="0"/>
          <w:caps w:val="0"/>
          <w:color w:val="auto"/>
          <w:spacing w:val="0"/>
          <w:sz w:val="28"/>
          <w:szCs w:val="28"/>
          <w:lang w:val="en-US" w:eastAsia="zh-CN"/>
        </w:rPr>
        <w:t xml:space="preserve">刘生         </w:t>
      </w:r>
      <w:r>
        <w:rPr>
          <w:rFonts w:hint="eastAsia" w:ascii="仿宋_GB2312" w:hAnsi="仿宋_GB2312" w:eastAsia="仿宋_GB2312" w:cs="仿宋_GB2312"/>
          <w:i w:val="0"/>
          <w:iCs w:val="0"/>
          <w:caps w:val="0"/>
          <w:color w:val="auto"/>
          <w:spacing w:val="0"/>
          <w:sz w:val="28"/>
          <w:szCs w:val="28"/>
          <w:lang w:eastAsia="zh-CN"/>
        </w:rPr>
        <w:t> </w:t>
      </w:r>
    </w:p>
    <w:p w14:paraId="64DE7C7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项目联系方式：0774-26</w:t>
      </w:r>
      <w:r>
        <w:rPr>
          <w:rFonts w:hint="eastAsia" w:ascii="仿宋_GB2312" w:hAnsi="仿宋_GB2312" w:eastAsia="仿宋_GB2312" w:cs="仿宋_GB2312"/>
          <w:i w:val="0"/>
          <w:iCs w:val="0"/>
          <w:caps w:val="0"/>
          <w:color w:val="auto"/>
          <w:spacing w:val="0"/>
          <w:sz w:val="28"/>
          <w:szCs w:val="28"/>
          <w:lang w:val="en-US" w:eastAsia="zh-CN"/>
        </w:rPr>
        <w:t>86176</w:t>
      </w:r>
      <w:r>
        <w:rPr>
          <w:rFonts w:hint="eastAsia" w:ascii="仿宋_GB2312" w:hAnsi="仿宋_GB2312" w:eastAsia="仿宋_GB2312" w:cs="仿宋_GB2312"/>
          <w:i w:val="0"/>
          <w:iCs w:val="0"/>
          <w:caps w:val="0"/>
          <w:color w:val="auto"/>
          <w:spacing w:val="0"/>
          <w:sz w:val="28"/>
          <w:szCs w:val="28"/>
          <w:lang w:eastAsia="zh-CN"/>
        </w:rPr>
        <w:t>  </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eastAsia="zh-CN"/>
        </w:rPr>
        <w:t xml:space="preserve">    </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2.采购代理机构信息</w:t>
      </w:r>
    </w:p>
    <w:p w14:paraId="1764E8B4">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名    称：广西龙建工程管理有限公司 </w:t>
      </w:r>
    </w:p>
    <w:p w14:paraId="07307827">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地    址：梧州市苍梧县石桥镇老乡家园11栋1单元1101室 </w:t>
      </w:r>
    </w:p>
    <w:p w14:paraId="2E11DB40">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项目联系人：谭宾 </w:t>
      </w:r>
    </w:p>
    <w:p w14:paraId="1A396648">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项目联系方式：0774-2686828 </w:t>
      </w:r>
    </w:p>
    <w:p w14:paraId="5F1E1B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outlineLvl w:val="9"/>
        <w:rPr>
          <w:rFonts w:hint="eastAsia" w:ascii="仿宋_GB2312" w:hAnsi="仿宋_GB2312" w:eastAsia="仿宋_GB2312" w:cs="仿宋_GB2312"/>
          <w:color w:val="auto"/>
          <w:sz w:val="28"/>
          <w:szCs w:val="28"/>
          <w:lang w:eastAsia="zh-CN"/>
        </w:rPr>
      </w:pPr>
    </w:p>
    <w:p w14:paraId="47F9C0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outlineLvl w:val="9"/>
        <w:rPr>
          <w:rFonts w:hint="eastAsia" w:ascii="仿宋_GB2312" w:hAnsi="仿宋_GB2312" w:eastAsia="仿宋_GB2312" w:cs="仿宋_GB2312"/>
          <w:color w:val="auto"/>
          <w:sz w:val="28"/>
          <w:szCs w:val="28"/>
          <w:lang w:eastAsia="zh-CN"/>
        </w:rPr>
      </w:pPr>
    </w:p>
    <w:p w14:paraId="010E53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outlineLvl w:val="9"/>
        <w:rPr>
          <w:rFonts w:hint="eastAsia" w:ascii="仿宋_GB2312" w:hAnsi="仿宋_GB2312" w:eastAsia="仿宋_GB2312" w:cs="仿宋_GB2312"/>
          <w:i w:val="0"/>
          <w:iCs w:val="0"/>
          <w:caps w:val="0"/>
          <w:color w:val="auto"/>
          <w:spacing w:val="0"/>
          <w:kern w:val="0"/>
          <w:sz w:val="28"/>
          <w:szCs w:val="28"/>
          <w:lang w:val="en-US" w:eastAsia="zh-CN" w:bidi="ar-SA"/>
        </w:rPr>
      </w:pPr>
      <w:r>
        <w:rPr>
          <w:rFonts w:hint="eastAsia" w:ascii="仿宋_GB2312" w:hAnsi="仿宋_GB2312" w:eastAsia="仿宋_GB2312" w:cs="仿宋_GB2312"/>
          <w:i w:val="0"/>
          <w:iCs w:val="0"/>
          <w:caps w:val="0"/>
          <w:color w:val="auto"/>
          <w:spacing w:val="0"/>
          <w:kern w:val="0"/>
          <w:sz w:val="28"/>
          <w:szCs w:val="28"/>
          <w:lang w:val="en-US" w:eastAsia="zh-CN" w:bidi="ar-SA"/>
        </w:rPr>
        <w:t xml:space="preserve">广西龙建工程管理有限公司  </w:t>
      </w:r>
    </w:p>
    <w:p w14:paraId="43E4C611">
      <w:pPr>
        <w:pStyle w:val="20"/>
        <w:keepNext w:val="0"/>
        <w:keepLines w:val="0"/>
        <w:pageBreakBefore w:val="0"/>
        <w:kinsoku/>
        <w:wordWrap w:val="0"/>
        <w:overflowPunct/>
        <w:topLinePunct w:val="0"/>
        <w:autoSpaceDE/>
        <w:autoSpaceDN/>
        <w:bidi w:val="0"/>
        <w:adjustRightInd/>
        <w:snapToGrid/>
        <w:spacing w:line="560" w:lineRule="exact"/>
        <w:jc w:val="right"/>
        <w:textAlignment w:val="auto"/>
        <w:rPr>
          <w:rFonts w:hint="default" w:ascii="宋体" w:hAnsi="宋体" w:eastAsia="宋体" w:cs="宋体"/>
          <w:b/>
          <w:color w:val="auto"/>
          <w:highlight w:val="none"/>
          <w:lang w:val="en-US"/>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i w:val="0"/>
          <w:iCs w:val="0"/>
          <w:caps w:val="0"/>
          <w:color w:val="auto"/>
          <w:spacing w:val="0"/>
          <w:kern w:val="0"/>
          <w:sz w:val="28"/>
          <w:szCs w:val="28"/>
          <w:lang w:val="en-US" w:eastAsia="zh-CN" w:bidi="ar-SA"/>
        </w:rPr>
        <w:t xml:space="preserve">2025年12月 29 日 </w:t>
      </w:r>
    </w:p>
    <w:p w14:paraId="6638C333">
      <w:pPr>
        <w:pStyle w:val="3"/>
        <w:spacing w:line="560" w:lineRule="exact"/>
        <w:jc w:val="center"/>
        <w:outlineLvl w:val="9"/>
        <w:rPr>
          <w:rFonts w:hint="eastAsia" w:ascii="宋体" w:hAnsi="宋体" w:eastAsia="宋体" w:cs="宋体"/>
          <w:bCs/>
          <w:color w:val="auto"/>
          <w:sz w:val="36"/>
          <w:szCs w:val="36"/>
          <w:highlight w:val="none"/>
        </w:rPr>
      </w:pPr>
      <w:bookmarkStart w:id="5" w:name="_Toc239839860"/>
      <w:bookmarkStart w:id="6" w:name="_Toc147248396"/>
      <w:bookmarkStart w:id="7" w:name="_Toc486922952"/>
      <w:bookmarkStart w:id="8" w:name="_Toc185702546"/>
      <w:bookmarkStart w:id="9" w:name="_Toc156106929"/>
      <w:bookmarkStart w:id="10" w:name="_Toc21723_WPSOffice_Level1"/>
      <w:bookmarkStart w:id="11" w:name="_Toc185702968"/>
    </w:p>
    <w:p w14:paraId="072B015A">
      <w:pPr>
        <w:pStyle w:val="3"/>
        <w:spacing w:line="560" w:lineRule="exact"/>
        <w:jc w:val="center"/>
        <w:outlineLvl w:val="9"/>
        <w:rPr>
          <w:rFonts w:hint="eastAsia" w:ascii="宋体" w:hAnsi="宋体" w:eastAsia="宋体" w:cs="宋体"/>
          <w:bCs/>
          <w:color w:val="auto"/>
          <w:sz w:val="36"/>
          <w:szCs w:val="36"/>
          <w:highlight w:val="none"/>
        </w:rPr>
      </w:pPr>
    </w:p>
    <w:p w14:paraId="232BDE91">
      <w:pPr>
        <w:rPr>
          <w:rFonts w:hint="eastAsia" w:ascii="宋体" w:hAnsi="宋体" w:eastAsia="宋体" w:cs="宋体"/>
          <w:bCs/>
          <w:color w:val="auto"/>
          <w:sz w:val="36"/>
          <w:szCs w:val="36"/>
          <w:highlight w:val="none"/>
        </w:rPr>
      </w:pPr>
    </w:p>
    <w:p w14:paraId="44C35E53">
      <w:pPr>
        <w:rPr>
          <w:rFonts w:hint="eastAsia" w:ascii="宋体" w:hAnsi="宋体" w:eastAsia="宋体" w:cs="宋体"/>
          <w:bCs/>
          <w:color w:val="auto"/>
          <w:sz w:val="36"/>
          <w:szCs w:val="36"/>
          <w:highlight w:val="none"/>
        </w:rPr>
      </w:pPr>
    </w:p>
    <w:p w14:paraId="494186A0">
      <w:pPr>
        <w:rPr>
          <w:rFonts w:hint="eastAsia" w:ascii="宋体" w:hAnsi="宋体" w:eastAsia="宋体" w:cs="宋体"/>
          <w:bCs/>
          <w:color w:val="auto"/>
          <w:sz w:val="36"/>
          <w:szCs w:val="36"/>
          <w:highlight w:val="none"/>
        </w:rPr>
      </w:pPr>
    </w:p>
    <w:p w14:paraId="2399E8DD">
      <w:pPr>
        <w:pStyle w:val="3"/>
        <w:bidi w:val="0"/>
        <w:rPr>
          <w:rFonts w:hint="eastAsia"/>
          <w:color w:val="auto"/>
          <w:sz w:val="44"/>
          <w:szCs w:val="44"/>
        </w:rPr>
      </w:pPr>
      <w:bookmarkStart w:id="12" w:name="_Toc12506"/>
    </w:p>
    <w:p w14:paraId="5E4BB2FA">
      <w:pPr>
        <w:pStyle w:val="3"/>
        <w:bidi w:val="0"/>
        <w:rPr>
          <w:rFonts w:hint="eastAsia"/>
          <w:color w:val="auto"/>
          <w:sz w:val="44"/>
          <w:szCs w:val="44"/>
        </w:rPr>
      </w:pPr>
    </w:p>
    <w:p w14:paraId="02D48405">
      <w:pPr>
        <w:pStyle w:val="3"/>
        <w:bidi w:val="0"/>
        <w:rPr>
          <w:rFonts w:hint="eastAsia" w:ascii="宋体" w:hAnsi="宋体" w:eastAsia="宋体" w:cs="宋体"/>
          <w:bCs/>
          <w:color w:val="auto"/>
          <w:szCs w:val="36"/>
          <w:highlight w:val="none"/>
        </w:rPr>
      </w:pPr>
      <w:r>
        <w:rPr>
          <w:rFonts w:hint="eastAsia"/>
          <w:color w:val="auto"/>
          <w:sz w:val="44"/>
          <w:szCs w:val="44"/>
        </w:rPr>
        <w:t xml:space="preserve">第二章   </w:t>
      </w:r>
      <w:r>
        <w:rPr>
          <w:rFonts w:hint="eastAsia"/>
          <w:color w:val="auto"/>
          <w:sz w:val="44"/>
          <w:szCs w:val="44"/>
          <w:lang w:eastAsia="zh-CN"/>
        </w:rPr>
        <w:t>供应商</w:t>
      </w:r>
      <w:r>
        <w:rPr>
          <w:rFonts w:hint="eastAsia"/>
          <w:color w:val="auto"/>
          <w:sz w:val="44"/>
          <w:szCs w:val="44"/>
        </w:rPr>
        <w:t>须知及前附表</w:t>
      </w:r>
      <w:bookmarkEnd w:id="5"/>
      <w:bookmarkEnd w:id="6"/>
      <w:bookmarkEnd w:id="7"/>
      <w:bookmarkEnd w:id="8"/>
      <w:bookmarkEnd w:id="9"/>
      <w:bookmarkEnd w:id="10"/>
      <w:bookmarkEnd w:id="11"/>
      <w:bookmarkEnd w:id="12"/>
    </w:p>
    <w:p w14:paraId="40819299">
      <w:pPr>
        <w:pStyle w:val="3"/>
        <w:spacing w:line="360" w:lineRule="exact"/>
        <w:jc w:val="center"/>
        <w:rPr>
          <w:rFonts w:hint="eastAsia" w:ascii="宋体" w:hAnsi="宋体" w:eastAsia="宋体" w:cs="宋体"/>
          <w:bCs/>
          <w:color w:val="auto"/>
          <w:sz w:val="32"/>
          <w:highlight w:val="none"/>
        </w:rPr>
      </w:pPr>
      <w:bookmarkStart w:id="13" w:name="_Toc486922953"/>
      <w:bookmarkStart w:id="14" w:name="_Toc230578055"/>
      <w:bookmarkStart w:id="15" w:name="_Toc185702547"/>
      <w:bookmarkStart w:id="16" w:name="_Toc239839861"/>
      <w:bookmarkStart w:id="17" w:name="_Toc207770833"/>
      <w:bookmarkStart w:id="18" w:name="_Toc21227"/>
      <w:bookmarkStart w:id="19" w:name="_Toc486196136"/>
      <w:bookmarkStart w:id="20" w:name="_Toc206525680"/>
      <w:r>
        <w:rPr>
          <w:rFonts w:hint="eastAsia" w:ascii="宋体" w:hAnsi="宋体" w:cs="宋体"/>
          <w:bCs/>
          <w:color w:val="auto"/>
          <w:sz w:val="32"/>
          <w:highlight w:val="none"/>
          <w:lang w:eastAsia="zh-CN"/>
        </w:rPr>
        <w:t>供应商</w:t>
      </w:r>
      <w:r>
        <w:rPr>
          <w:rFonts w:hint="eastAsia" w:ascii="宋体" w:hAnsi="宋体" w:eastAsia="宋体" w:cs="宋体"/>
          <w:bCs/>
          <w:color w:val="auto"/>
          <w:sz w:val="32"/>
          <w:highlight w:val="none"/>
        </w:rPr>
        <w:t>须知前附表</w:t>
      </w:r>
      <w:bookmarkEnd w:id="13"/>
      <w:bookmarkEnd w:id="14"/>
      <w:bookmarkEnd w:id="15"/>
      <w:bookmarkEnd w:id="16"/>
      <w:bookmarkEnd w:id="17"/>
      <w:bookmarkEnd w:id="18"/>
      <w:bookmarkEnd w:id="19"/>
      <w:bookmarkEnd w:id="20"/>
    </w:p>
    <w:p w14:paraId="0AB7F95F">
      <w:pPr>
        <w:pStyle w:val="93"/>
        <w:spacing w:line="140" w:lineRule="exact"/>
        <w:rPr>
          <w:rFonts w:hint="eastAsia" w:ascii="宋体" w:hAnsi="宋体" w:eastAsia="宋体" w:cs="宋体"/>
          <w:color w:val="auto"/>
          <w:sz w:val="32"/>
          <w:highlight w:val="none"/>
        </w:rPr>
      </w:pPr>
    </w:p>
    <w:tbl>
      <w:tblPr>
        <w:tblStyle w:val="36"/>
        <w:tblpPr w:leftFromText="180" w:rightFromText="180" w:vertAnchor="text" w:horzAnchor="page" w:tblpX="1740" w:tblpY="1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190"/>
      </w:tblGrid>
      <w:tr w14:paraId="162C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36" w:type="dxa"/>
            <w:noWrap w:val="0"/>
            <w:vAlign w:val="center"/>
          </w:tcPr>
          <w:p w14:paraId="163ADD1C">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105" w:leftChars="-50" w:right="-105" w:rightChars="-5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190" w:type="dxa"/>
            <w:noWrap w:val="0"/>
            <w:vAlign w:val="center"/>
          </w:tcPr>
          <w:p w14:paraId="1FD118C4">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    容</w:t>
            </w:r>
          </w:p>
        </w:tc>
      </w:tr>
      <w:tr w14:paraId="259E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1CB36D0D">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190" w:type="dxa"/>
            <w:noWrap w:val="0"/>
            <w:vAlign w:val="center"/>
          </w:tcPr>
          <w:p w14:paraId="7C547F7C">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w:t>
            </w:r>
            <w:r>
              <w:rPr>
                <w:rFonts w:hint="eastAsia" w:hAnsi="宋体" w:cs="宋体"/>
                <w:color w:val="auto"/>
                <w:sz w:val="21"/>
                <w:szCs w:val="21"/>
                <w:highlight w:val="none"/>
                <w:lang w:val="en-US" w:eastAsia="zh-CN"/>
              </w:rPr>
              <w:t>苍梧县人民医院业务楼康复科治疗区装饰改造项目（重）</w:t>
            </w:r>
          </w:p>
          <w:p w14:paraId="04A39C4A">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2、项目编号：</w:t>
            </w:r>
            <w:r>
              <w:rPr>
                <w:rFonts w:hint="eastAsia" w:hAnsi="宋体" w:cs="宋体"/>
                <w:color w:val="auto"/>
                <w:sz w:val="21"/>
                <w:szCs w:val="21"/>
                <w:highlight w:val="none"/>
                <w:lang w:val="en-US" w:eastAsia="zh-CN"/>
              </w:rPr>
              <w:t>WZZC2025-C2-210189-GXLJ</w:t>
            </w:r>
            <w:r>
              <w:rPr>
                <w:rFonts w:hint="eastAsia" w:ascii="宋体" w:hAnsi="宋体" w:eastAsia="宋体" w:cs="宋体"/>
                <w:color w:val="auto"/>
                <w:sz w:val="21"/>
                <w:szCs w:val="21"/>
                <w:highlight w:val="none"/>
                <w:lang w:val="en-US" w:eastAsia="zh-CN"/>
              </w:rPr>
              <w:t xml:space="preserve">  </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C51AE09">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3、采购内容：具体范围以施工图纸及工程量清单为准</w:t>
            </w:r>
          </w:p>
          <w:p w14:paraId="25AA9E1E">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4、承包方式：</w:t>
            </w:r>
            <w:r>
              <w:rPr>
                <w:rFonts w:hint="eastAsia" w:ascii="宋体" w:hAnsi="宋体" w:eastAsia="宋体" w:cs="宋体"/>
                <w:b w:val="0"/>
                <w:bCs w:val="0"/>
                <w:color w:val="auto"/>
                <w:sz w:val="21"/>
                <w:szCs w:val="21"/>
                <w:highlight w:val="none"/>
                <w:lang w:val="en-US" w:eastAsia="zh-CN"/>
              </w:rPr>
              <w:t>综合单价固定，工程量按实际结算</w:t>
            </w:r>
            <w:r>
              <w:rPr>
                <w:rFonts w:hint="eastAsia" w:ascii="宋体" w:hAnsi="宋体" w:eastAsia="宋体" w:cs="宋体"/>
                <w:color w:val="auto"/>
                <w:sz w:val="21"/>
                <w:szCs w:val="21"/>
                <w:highlight w:val="none"/>
                <w:lang w:val="en-US" w:eastAsia="zh-CN"/>
              </w:rPr>
              <w:t xml:space="preserve">； </w:t>
            </w:r>
          </w:p>
          <w:p w14:paraId="3E178AB0">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5、质量要求：合格；</w:t>
            </w:r>
          </w:p>
          <w:p w14:paraId="67161DAE">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6、要求工期：</w:t>
            </w:r>
            <w:r>
              <w:rPr>
                <w:rFonts w:hint="eastAsia" w:hAnsi="宋体" w:cs="宋体"/>
                <w:color w:val="auto"/>
                <w:sz w:val="21"/>
                <w:szCs w:val="21"/>
                <w:highlight w:val="none"/>
                <w:lang w:val="en-US" w:eastAsia="zh-CN"/>
              </w:rPr>
              <w:t>60日历天</w:t>
            </w:r>
          </w:p>
          <w:p w14:paraId="10D1FE23">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7、采购方式：竞争性磋商</w:t>
            </w:r>
          </w:p>
        </w:tc>
      </w:tr>
      <w:tr w14:paraId="6CB6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72414F2F">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190" w:type="dxa"/>
            <w:noWrap w:val="0"/>
            <w:vAlign w:val="center"/>
          </w:tcPr>
          <w:p w14:paraId="229704C2">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名称：苍梧县人民医院 </w:t>
            </w:r>
          </w:p>
          <w:p w14:paraId="1B42C026">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地址：梧州市龙圩区龙圩镇凤岭街22号  </w:t>
            </w:r>
          </w:p>
          <w:p w14:paraId="0551DC3E">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w:t>
            </w:r>
            <w:r>
              <w:rPr>
                <w:rFonts w:hint="eastAsia" w:hAnsi="宋体" w:cs="宋体"/>
                <w:color w:val="auto"/>
                <w:sz w:val="21"/>
                <w:szCs w:val="21"/>
                <w:highlight w:val="none"/>
                <w:lang w:val="en-US" w:eastAsia="zh-CN"/>
              </w:rPr>
              <w:t xml:space="preserve">刘生        </w:t>
            </w:r>
            <w:r>
              <w:rPr>
                <w:rFonts w:hint="eastAsia" w:ascii="宋体" w:hAnsi="宋体" w:eastAsia="宋体" w:cs="宋体"/>
                <w:color w:val="auto"/>
                <w:sz w:val="21"/>
                <w:szCs w:val="21"/>
                <w:highlight w:val="none"/>
                <w:lang w:val="en-US" w:eastAsia="zh-CN"/>
              </w:rPr>
              <w:t xml:space="preserve">  </w:t>
            </w:r>
          </w:p>
          <w:p w14:paraId="0ECECA42">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项目联系方式：</w:t>
            </w:r>
            <w:r>
              <w:rPr>
                <w:rFonts w:hint="eastAsia" w:hAnsi="宋体" w:cs="宋体"/>
                <w:color w:val="auto"/>
                <w:sz w:val="21"/>
                <w:szCs w:val="21"/>
                <w:highlight w:val="none"/>
                <w:lang w:val="en-US" w:eastAsia="zh-CN"/>
              </w:rPr>
              <w:t>0774-2686176</w:t>
            </w:r>
          </w:p>
        </w:tc>
      </w:tr>
      <w:tr w14:paraId="7CCA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0D8ACB73">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190" w:type="dxa"/>
            <w:noWrap w:val="0"/>
            <w:vAlign w:val="center"/>
          </w:tcPr>
          <w:p w14:paraId="00BBA36B">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w:t>
            </w:r>
            <w:r>
              <w:rPr>
                <w:rFonts w:hint="eastAsia" w:hAnsi="宋体" w:cs="宋体"/>
                <w:color w:val="auto"/>
                <w:sz w:val="21"/>
                <w:szCs w:val="21"/>
                <w:highlight w:val="none"/>
                <w:lang w:val="en-US" w:eastAsia="zh-CN"/>
              </w:rPr>
              <w:t>广西龙建工程管理有限公司</w:t>
            </w:r>
          </w:p>
          <w:p w14:paraId="3FEE7325">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w:t>
            </w:r>
            <w:r>
              <w:rPr>
                <w:rFonts w:hint="eastAsia" w:hAnsi="宋体" w:cs="宋体"/>
                <w:color w:val="auto"/>
                <w:sz w:val="21"/>
                <w:szCs w:val="21"/>
                <w:highlight w:val="none"/>
                <w:lang w:val="en-US" w:eastAsia="zh-CN"/>
              </w:rPr>
              <w:t>梧州市苍梧县石桥镇老乡家园11栋1单元1101室；</w:t>
            </w:r>
          </w:p>
          <w:p w14:paraId="3BF2DE8C">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hAnsi="宋体" w:cs="宋体"/>
                <w:color w:val="auto"/>
                <w:sz w:val="21"/>
                <w:szCs w:val="21"/>
                <w:highlight w:val="none"/>
                <w:lang w:val="en-US" w:eastAsia="zh-CN"/>
              </w:rPr>
              <w:t>0774-2686828</w:t>
            </w:r>
            <w:r>
              <w:rPr>
                <w:rFonts w:hint="eastAsia" w:ascii="宋体" w:hAnsi="宋体" w:eastAsia="宋体" w:cs="宋体"/>
                <w:color w:val="auto"/>
                <w:sz w:val="21"/>
                <w:szCs w:val="21"/>
                <w:highlight w:val="none"/>
                <w:lang w:val="en-US" w:eastAsia="zh-CN"/>
              </w:rPr>
              <w:t xml:space="preserve"> </w:t>
            </w:r>
          </w:p>
          <w:p w14:paraId="52B00EB2">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hAnsi="宋体" w:cs="宋体"/>
                <w:color w:val="auto"/>
                <w:sz w:val="21"/>
                <w:szCs w:val="21"/>
                <w:highlight w:val="none"/>
                <w:lang w:val="en-US" w:eastAsia="zh-CN"/>
              </w:rPr>
              <w:t>谭工</w:t>
            </w:r>
          </w:p>
        </w:tc>
      </w:tr>
      <w:tr w14:paraId="2FB2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1AA1F737">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190" w:type="dxa"/>
            <w:noWrap w:val="0"/>
            <w:vAlign w:val="center"/>
          </w:tcPr>
          <w:p w14:paraId="57DA44CD">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工程招标控制价：</w:t>
            </w:r>
            <w:r>
              <w:rPr>
                <w:rFonts w:hint="eastAsia" w:hAnsi="宋体" w:cs="宋体"/>
                <w:color w:val="auto"/>
                <w:sz w:val="21"/>
                <w:szCs w:val="21"/>
                <w:highlight w:val="none"/>
                <w:lang w:eastAsia="zh-CN"/>
              </w:rPr>
              <w:t>￥698377.71</w:t>
            </w:r>
            <w:r>
              <w:rPr>
                <w:rFonts w:hint="eastAsia" w:ascii="宋体" w:hAnsi="宋体" w:eastAsia="宋体" w:cs="宋体"/>
                <w:color w:val="auto"/>
                <w:sz w:val="21"/>
                <w:szCs w:val="21"/>
                <w:highlight w:val="none"/>
                <w:lang w:val="en-US" w:eastAsia="zh-CN"/>
              </w:rPr>
              <w:t>。</w:t>
            </w:r>
          </w:p>
          <w:p w14:paraId="221740FD">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工程发包方式为包工包料，竞标计价方式采用工程量清单计价方式。施工合同价款采用综合单价固定，工程量按实际结算。</w:t>
            </w:r>
          </w:p>
          <w:p w14:paraId="204E2D2F">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磋商报价：1、</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就《项目内容及要求》及工程量清单的内容</w:t>
            </w:r>
            <w:bookmarkStart w:id="1380" w:name="_GoBack"/>
            <w:bookmarkEnd w:id="1380"/>
            <w:r>
              <w:rPr>
                <w:rFonts w:hint="eastAsia" w:ascii="宋体" w:hAnsi="宋体" w:eastAsia="宋体" w:cs="宋体"/>
                <w:color w:val="auto"/>
                <w:sz w:val="21"/>
                <w:szCs w:val="21"/>
                <w:highlight w:val="none"/>
              </w:rPr>
              <w:t>作完整唯一报价。响应文件有效报价范围≤招标控制价（磋商人第一轮报价，即响应文件中的报价不允许超出此报价范围，否则竞标无效。）</w:t>
            </w:r>
          </w:p>
          <w:p w14:paraId="76D061D1">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若磋商文件在磋商时没有实质性变动，磋商人的每一轮报价均不得高于第一轮报价（响应文件报价），否则竞标无效。</w:t>
            </w:r>
          </w:p>
        </w:tc>
      </w:tr>
      <w:tr w14:paraId="634E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6F99CFA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190" w:type="dxa"/>
            <w:noWrap w:val="0"/>
            <w:vAlign w:val="top"/>
          </w:tcPr>
          <w:p w14:paraId="5EB36FC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投标前准备：</w:t>
            </w:r>
          </w:p>
          <w:p w14:paraId="237B24E2">
            <w:pPr>
              <w:pStyle w:val="16"/>
              <w:keepNext w:val="0"/>
              <w:keepLines w:val="0"/>
              <w:suppressLineNumbers w:val="0"/>
              <w:spacing w:before="0" w:beforeAutospacing="0" w:afterAutospacing="0" w:line="360" w:lineRule="auto"/>
              <w:ind w:left="0" w:leftChars="0" w:right="0" w:firstLine="210" w:firstLineChars="100"/>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220D67A9">
            <w:pPr>
              <w:pStyle w:val="16"/>
              <w:keepNext w:val="0"/>
              <w:keepLines w:val="0"/>
              <w:suppressLineNumbers w:val="0"/>
              <w:spacing w:before="0" w:beforeAutospacing="0" w:afterAutospacing="0" w:line="360" w:lineRule="auto"/>
              <w:ind w:left="0" w:leftChars="0" w:right="0" w:firstLine="210" w:firstLineChars="100"/>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未进行网上注册并办理数字证书（CA 认证）的供应商将无法参与本项目政府采购活动，供应商应当在提交响应文件截止时间前，完成电子交易平台上的 CA 数字证书办理及响应文件的提交（供应商可登录“广西政府采购网”，依次进入“办事服务-下载专区”或者登录广西政府采购云平台，依次进入“服务中心-入驻与配置”中查看 CA 数字证书办理操作流程。如在操作过程中遇到问题或者需要技术支持，请致电广西政府采购云平台客服热线：95763）。</w:t>
            </w:r>
          </w:p>
          <w:p w14:paraId="327F53C1">
            <w:pPr>
              <w:pStyle w:val="16"/>
              <w:keepNext w:val="0"/>
              <w:keepLines w:val="0"/>
              <w:suppressLineNumbers w:val="0"/>
              <w:spacing w:before="0" w:beforeAutospacing="0" w:afterAutospacing="0" w:line="360" w:lineRule="auto"/>
              <w:ind w:left="0" w:leftChars="0" w:right="0" w:firstLine="210" w:firstLineChars="100"/>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CA 证书在线解密：首次响应文件开启时，需携带制作响应文件时用来加密的有效数字证书（CA 认证）登录广西政府采购云平台电子开标大厅现场按规定时间对加密的响应文件进行解密，否则后果自负。</w:t>
            </w:r>
          </w:p>
          <w:p w14:paraId="7A86E52F">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210" w:firstLineChars="100"/>
              <w:textAlignment w:val="auto"/>
              <w:outlineLvl w:val="9"/>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4、</w:t>
            </w:r>
            <w:r>
              <w:rPr>
                <w:color w:val="auto"/>
                <w:sz w:val="21"/>
                <w:szCs w:val="21"/>
                <w:highlight w:val="none"/>
              </w:rPr>
              <w:t>供应商应当在磋商截止时间前，将生成的</w:t>
            </w:r>
            <w:r>
              <w:rPr>
                <w:rFonts w:hint="eastAsia"/>
                <w:color w:val="auto"/>
                <w:sz w:val="21"/>
                <w:szCs w:val="21"/>
                <w:highlight w:val="none"/>
                <w:lang w:eastAsia="zh-CN"/>
              </w:rPr>
              <w:t>“</w:t>
            </w:r>
            <w:r>
              <w:rPr>
                <w:color w:val="auto"/>
                <w:sz w:val="21"/>
                <w:szCs w:val="21"/>
                <w:highlight w:val="none"/>
              </w:rPr>
              <w:t>电子磋商响应文件</w:t>
            </w:r>
            <w:r>
              <w:rPr>
                <w:rFonts w:hint="eastAsia"/>
                <w:color w:val="auto"/>
                <w:sz w:val="21"/>
                <w:szCs w:val="21"/>
                <w:highlight w:val="none"/>
                <w:lang w:eastAsia="zh-CN"/>
              </w:rPr>
              <w:t>”</w:t>
            </w:r>
            <w:r>
              <w:rPr>
                <w:color w:val="auto"/>
                <w:sz w:val="21"/>
                <w:szCs w:val="21"/>
                <w:highlight w:val="none"/>
              </w:rPr>
              <w:t>上传递交至</w:t>
            </w:r>
            <w:r>
              <w:rPr>
                <w:rFonts w:hint="eastAsia"/>
                <w:color w:val="auto"/>
                <w:sz w:val="21"/>
                <w:szCs w:val="21"/>
                <w:highlight w:val="none"/>
                <w:lang w:eastAsia="zh-CN"/>
              </w:rPr>
              <w:t>广西政府采购云平台</w:t>
            </w:r>
            <w:r>
              <w:rPr>
                <w:color w:val="auto"/>
                <w:sz w:val="21"/>
                <w:szCs w:val="21"/>
                <w:highlight w:val="none"/>
              </w:rPr>
              <w:t>。磋商截止时间前可以补充、修改或者撤回电子磋商响应文件。补充或者修改电子磋商响应文件的，应当先行撤回原文件，补充、修改后重新传输递交，磋商截止时间前未完成传输的，视为撤回磋商响应文件。</w:t>
            </w:r>
          </w:p>
          <w:p w14:paraId="1BCF17B3">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资格要求：</w:t>
            </w:r>
          </w:p>
          <w:p w14:paraId="35D1DA9C">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2BFA470B">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2.落实政府采购政策需满足的资格要</w:t>
            </w:r>
            <w:r>
              <w:rPr>
                <w:rFonts w:hint="eastAsia" w:ascii="宋体" w:hAnsi="宋体" w:eastAsia="宋体" w:cs="宋体"/>
                <w:color w:val="auto"/>
                <w:sz w:val="21"/>
                <w:szCs w:val="21"/>
                <w:highlight w:val="none"/>
              </w:rPr>
              <w:t>求：</w:t>
            </w:r>
            <w:r>
              <w:rPr>
                <w:rFonts w:hint="eastAsia" w:ascii="宋体" w:hAnsi="宋体" w:eastAsia="宋体" w:cs="宋体"/>
                <w:color w:val="auto"/>
                <w:kern w:val="0"/>
                <w:sz w:val="21"/>
                <w:szCs w:val="21"/>
                <w:highlight w:val="none"/>
                <w:lang w:val="en-US" w:eastAsia="zh-CN" w:bidi="ar"/>
              </w:rPr>
              <w:t xml:space="preserve">本项目属于专门面向中小企业采购的项目, 供应商应为中小企业或监狱企业或残疾人福利性单位。 </w:t>
            </w:r>
          </w:p>
          <w:p w14:paraId="4578E662">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3.本项目的特定资格要求：</w:t>
            </w:r>
            <w:r>
              <w:rPr>
                <w:rFonts w:hint="eastAsia" w:ascii="宋体" w:hAnsi="宋体" w:eastAsia="宋体" w:cs="宋体"/>
                <w:color w:val="auto"/>
                <w:sz w:val="21"/>
                <w:szCs w:val="21"/>
                <w:lang w:val="en-US" w:eastAsia="zh-CN"/>
              </w:rPr>
              <w:t>供应商需具备</w:t>
            </w:r>
            <w:r>
              <w:rPr>
                <w:rFonts w:hint="eastAsia" w:ascii="宋体" w:hAnsi="宋体" w:cs="宋体"/>
                <w:color w:val="auto"/>
                <w:sz w:val="21"/>
                <w:szCs w:val="21"/>
                <w:u w:val="single"/>
                <w:lang w:val="en-US" w:eastAsia="zh-CN"/>
              </w:rPr>
              <w:t>建筑工程</w:t>
            </w:r>
            <w:r>
              <w:rPr>
                <w:rFonts w:hint="eastAsia" w:ascii="宋体" w:hAnsi="宋体" w:eastAsia="宋体" w:cs="宋体"/>
                <w:color w:val="auto"/>
                <w:sz w:val="21"/>
                <w:szCs w:val="21"/>
                <w:u w:val="single"/>
                <w:lang w:val="en-US" w:eastAsia="zh-CN"/>
              </w:rPr>
              <w:t>施工总承包三级以上(含三级）资质</w:t>
            </w:r>
            <w:r>
              <w:rPr>
                <w:rFonts w:hint="eastAsia" w:ascii="宋体" w:hAnsi="宋体" w:eastAsia="宋体" w:cs="宋体"/>
                <w:color w:val="auto"/>
                <w:sz w:val="21"/>
                <w:szCs w:val="21"/>
                <w:lang w:val="en-US" w:eastAsia="zh-CN"/>
              </w:rPr>
              <w:t>，具有安全生产许可证，并在人员、设备、资金等方面具备相应的施工能力。其中，投标人拟派项目经理须具备</w:t>
            </w:r>
            <w:r>
              <w:rPr>
                <w:rFonts w:hint="eastAsia" w:ascii="宋体" w:hAnsi="宋体" w:cs="宋体"/>
                <w:color w:val="auto"/>
                <w:sz w:val="21"/>
                <w:szCs w:val="21"/>
                <w:u w:val="single"/>
                <w:lang w:val="en-US" w:eastAsia="zh-CN"/>
              </w:rPr>
              <w:t>建筑工程</w:t>
            </w:r>
            <w:r>
              <w:rPr>
                <w:rFonts w:hint="eastAsia" w:ascii="宋体" w:hAnsi="宋体" w:eastAsia="宋体" w:cs="宋体"/>
                <w:color w:val="auto"/>
                <w:sz w:val="21"/>
                <w:szCs w:val="21"/>
                <w:u w:val="single"/>
                <w:lang w:val="en-US" w:eastAsia="zh-CN"/>
              </w:rPr>
              <w:t>专业贰级（含以上级）</w:t>
            </w:r>
            <w:r>
              <w:rPr>
                <w:rFonts w:hint="eastAsia" w:ascii="宋体" w:hAnsi="宋体" w:eastAsia="宋体" w:cs="宋体"/>
                <w:color w:val="auto"/>
                <w:sz w:val="21"/>
                <w:szCs w:val="21"/>
                <w:lang w:val="en-US" w:eastAsia="zh-CN"/>
              </w:rPr>
              <w:t>注册建造师执业资格，本项目不接受有在建、已成交未开工或已列为其他项目成交候选人第一名的建造师作为项目经理。</w:t>
            </w:r>
          </w:p>
          <w:p w14:paraId="2135B207">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36E431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13F0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78C97A7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190" w:type="dxa"/>
            <w:noWrap w:val="0"/>
            <w:vAlign w:val="center"/>
          </w:tcPr>
          <w:p w14:paraId="2FBE5CE0">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磋商有效期：</w:t>
            </w:r>
            <w:r>
              <w:rPr>
                <w:rFonts w:hint="eastAsia" w:ascii="宋体" w:hAnsi="宋体" w:eastAsia="宋体" w:cs="宋体"/>
                <w:color w:val="auto"/>
                <w:sz w:val="21"/>
                <w:szCs w:val="21"/>
                <w:highlight w:val="none"/>
                <w:lang w:val="en-US" w:eastAsia="zh-CN"/>
              </w:rPr>
              <w:t>磋商截止日起60天</w:t>
            </w:r>
          </w:p>
          <w:p w14:paraId="4621A13A">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[注：磋商保证金</w:t>
            </w:r>
            <w:r>
              <w:rPr>
                <w:rFonts w:hint="eastAsia" w:ascii="宋体" w:hAnsi="宋体" w:eastAsia="宋体" w:cs="宋体"/>
                <w:color w:val="auto"/>
                <w:kern w:val="0"/>
                <w:sz w:val="21"/>
                <w:szCs w:val="21"/>
                <w:highlight w:val="none"/>
                <w:lang w:val="en-US" w:eastAsia="zh-CN"/>
              </w:rPr>
              <w:t>有效期应比磋商有效期延长25日</w:t>
            </w:r>
            <w:r>
              <w:rPr>
                <w:rFonts w:hint="eastAsia" w:ascii="宋体" w:hAnsi="宋体" w:eastAsia="宋体" w:cs="宋体"/>
                <w:color w:val="auto"/>
                <w:sz w:val="21"/>
                <w:szCs w:val="21"/>
                <w:highlight w:val="none"/>
                <w:lang w:val="en-US" w:eastAsia="zh-CN"/>
              </w:rPr>
              <w:t>]</w:t>
            </w:r>
          </w:p>
        </w:tc>
      </w:tr>
      <w:tr w14:paraId="4902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49CEAA09">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190" w:type="dxa"/>
            <w:noWrap w:val="0"/>
            <w:vAlign w:val="center"/>
          </w:tcPr>
          <w:p w14:paraId="7A4A8AF6">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踏勘现场或磋商预备会有关规定：</w:t>
            </w:r>
          </w:p>
          <w:p w14:paraId="73E71B1E">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方正仿宋_GB2312" w:char="00A3"/>
            </w:r>
            <w:r>
              <w:rPr>
                <w:rFonts w:hint="eastAsia" w:ascii="宋体" w:hAnsi="宋体" w:eastAsia="宋体" w:cs="宋体"/>
                <w:color w:val="auto"/>
                <w:sz w:val="21"/>
                <w:szCs w:val="21"/>
                <w:highlight w:val="none"/>
                <w:lang w:val="en-US" w:eastAsia="zh-CN"/>
              </w:rPr>
              <w:t>组织。集中考察时间：，集中考察地点：，联系人：。</w:t>
            </w:r>
          </w:p>
          <w:p w14:paraId="3334C0B1">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Wingdings" w:char="F0FE"/>
            </w:r>
            <w:r>
              <w:rPr>
                <w:rFonts w:hint="eastAsia" w:ascii="宋体" w:hAnsi="宋体" w:eastAsia="宋体" w:cs="宋体"/>
                <w:color w:val="auto"/>
                <w:sz w:val="21"/>
                <w:szCs w:val="21"/>
                <w:highlight w:val="none"/>
                <w:lang w:val="en-US" w:eastAsia="zh-CN"/>
              </w:rPr>
              <w:t>不组织。供应商自行考察现场。</w:t>
            </w:r>
          </w:p>
        </w:tc>
      </w:tr>
      <w:tr w14:paraId="4185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6" w:type="dxa"/>
            <w:noWrap w:val="0"/>
            <w:vAlign w:val="center"/>
          </w:tcPr>
          <w:p w14:paraId="72D813B1">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8190" w:type="dxa"/>
            <w:noWrap w:val="0"/>
            <w:vAlign w:val="center"/>
          </w:tcPr>
          <w:p w14:paraId="4A09FE03">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响应文件份数：</w:t>
            </w:r>
          </w:p>
          <w:p w14:paraId="566DFFEE">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rPr>
              <w:t>电子加密响应文件在线上传提交一份</w:t>
            </w:r>
            <w:r>
              <w:rPr>
                <w:rFonts w:hint="eastAsia" w:ascii="宋体" w:hAnsi="宋体" w:eastAsia="宋体" w:cs="宋体"/>
                <w:color w:val="auto"/>
                <w:kern w:val="2"/>
                <w:sz w:val="21"/>
                <w:szCs w:val="21"/>
                <w:lang w:eastAsia="zh-CN"/>
              </w:rPr>
              <w:t>；</w:t>
            </w:r>
          </w:p>
          <w:p w14:paraId="7600B0A6">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lang w:val="en-US" w:eastAsia="zh-CN"/>
              </w:rPr>
              <w:t>2、</w:t>
            </w:r>
            <w:r>
              <w:rPr>
                <w:rFonts w:hint="eastAsia" w:ascii="宋体" w:hAnsi="宋体" w:eastAsia="宋体" w:cs="宋体"/>
                <w:color w:val="auto"/>
                <w:spacing w:val="9"/>
                <w:sz w:val="21"/>
                <w:szCs w:val="21"/>
                <w:lang w:eastAsia="zh-CN"/>
              </w:rPr>
              <w:t>成交供应商</w:t>
            </w:r>
            <w:r>
              <w:rPr>
                <w:rFonts w:hint="eastAsia" w:ascii="宋体" w:hAnsi="宋体" w:eastAsia="宋体" w:cs="宋体"/>
                <w:color w:val="auto"/>
                <w:spacing w:val="6"/>
                <w:sz w:val="21"/>
                <w:szCs w:val="21"/>
              </w:rPr>
              <w:t>须在签订合同前向</w:t>
            </w:r>
            <w:r>
              <w:rPr>
                <w:rFonts w:hint="eastAsia" w:ascii="宋体" w:hAnsi="宋体" w:eastAsia="宋体" w:cs="宋体"/>
                <w:color w:val="auto"/>
                <w:spacing w:val="6"/>
                <w:sz w:val="21"/>
                <w:szCs w:val="21"/>
                <w:lang w:eastAsia="zh-CN"/>
              </w:rPr>
              <w:t>采购人</w:t>
            </w:r>
            <w:r>
              <w:rPr>
                <w:rFonts w:hint="eastAsia" w:ascii="宋体" w:hAnsi="宋体" w:eastAsia="宋体" w:cs="宋体"/>
                <w:color w:val="auto"/>
                <w:spacing w:val="6"/>
                <w:sz w:val="21"/>
                <w:szCs w:val="21"/>
              </w:rPr>
              <w:t>另行提交纸质</w:t>
            </w:r>
            <w:r>
              <w:rPr>
                <w:rFonts w:hint="eastAsia" w:ascii="宋体" w:hAnsi="宋体" w:eastAsia="宋体" w:cs="宋体"/>
                <w:color w:val="auto"/>
                <w:spacing w:val="6"/>
                <w:sz w:val="21"/>
                <w:szCs w:val="21"/>
                <w:lang w:eastAsia="zh-CN"/>
              </w:rPr>
              <w:t>响应</w:t>
            </w:r>
            <w:r>
              <w:rPr>
                <w:rFonts w:hint="eastAsia" w:ascii="宋体" w:hAnsi="宋体" w:eastAsia="宋体" w:cs="宋体"/>
                <w:color w:val="auto"/>
                <w:spacing w:val="6"/>
                <w:sz w:val="21"/>
                <w:szCs w:val="21"/>
              </w:rPr>
              <w:t>文件</w:t>
            </w:r>
            <w:r>
              <w:rPr>
                <w:rFonts w:hint="eastAsia" w:ascii="宋体" w:hAnsi="宋体" w:eastAsia="宋体" w:cs="宋体"/>
                <w:color w:val="auto"/>
                <w:sz w:val="21"/>
                <w:szCs w:val="21"/>
                <w:u w:val="single"/>
                <w:lang w:eastAsia="zh-CN"/>
              </w:rPr>
              <w:t>贰</w:t>
            </w:r>
            <w:r>
              <w:rPr>
                <w:rFonts w:hint="eastAsia" w:ascii="宋体" w:hAnsi="宋体" w:eastAsia="宋体" w:cs="宋体"/>
                <w:color w:val="auto"/>
                <w:spacing w:val="-4"/>
                <w:sz w:val="21"/>
                <w:szCs w:val="21"/>
                <w:u w:val="single"/>
              </w:rPr>
              <w:t>份</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3"/>
                <w:sz w:val="21"/>
                <w:szCs w:val="21"/>
              </w:rPr>
              <w:t>纸</w:t>
            </w:r>
            <w:r>
              <w:rPr>
                <w:rFonts w:hint="eastAsia" w:ascii="宋体" w:hAnsi="宋体" w:eastAsia="宋体" w:cs="宋体"/>
                <w:color w:val="auto"/>
                <w:spacing w:val="-2"/>
                <w:sz w:val="21"/>
                <w:szCs w:val="21"/>
              </w:rPr>
              <w:t>质</w:t>
            </w:r>
            <w:r>
              <w:rPr>
                <w:rFonts w:hint="eastAsia" w:ascii="宋体" w:hAnsi="宋体" w:eastAsia="宋体" w:cs="宋体"/>
                <w:color w:val="auto"/>
                <w:spacing w:val="-2"/>
                <w:sz w:val="21"/>
                <w:szCs w:val="21"/>
                <w:lang w:eastAsia="zh-CN"/>
              </w:rPr>
              <w:t>文件</w:t>
            </w:r>
            <w:r>
              <w:rPr>
                <w:rFonts w:hint="eastAsia" w:ascii="宋体" w:hAnsi="宋体" w:eastAsia="宋体" w:cs="宋体"/>
                <w:color w:val="auto"/>
                <w:spacing w:val="-2"/>
                <w:sz w:val="21"/>
                <w:szCs w:val="21"/>
              </w:rPr>
              <w:t>与</w:t>
            </w:r>
            <w:r>
              <w:rPr>
                <w:rFonts w:hint="eastAsia" w:ascii="宋体" w:hAnsi="宋体" w:eastAsia="宋体" w:cs="宋体"/>
                <w:color w:val="auto"/>
                <w:kern w:val="2"/>
                <w:sz w:val="21"/>
                <w:szCs w:val="21"/>
              </w:rPr>
              <w:t>在线上传</w:t>
            </w:r>
            <w:r>
              <w:rPr>
                <w:rFonts w:hint="eastAsia" w:ascii="宋体" w:hAnsi="宋体" w:eastAsia="宋体" w:cs="宋体"/>
                <w:color w:val="auto"/>
                <w:spacing w:val="-2"/>
                <w:sz w:val="21"/>
                <w:szCs w:val="21"/>
              </w:rPr>
              <w:t>的电子文件</w:t>
            </w:r>
            <w:r>
              <w:rPr>
                <w:rFonts w:hint="eastAsia" w:ascii="宋体" w:hAnsi="宋体" w:eastAsia="宋体" w:cs="宋体"/>
                <w:color w:val="auto"/>
                <w:spacing w:val="-2"/>
                <w:sz w:val="21"/>
                <w:szCs w:val="21"/>
                <w:lang w:eastAsia="zh-CN"/>
              </w:rPr>
              <w:t>必须一致</w:t>
            </w:r>
            <w:r>
              <w:rPr>
                <w:rFonts w:hint="eastAsia" w:ascii="宋体" w:hAnsi="宋体" w:eastAsia="宋体" w:cs="宋体"/>
                <w:color w:val="auto"/>
                <w:spacing w:val="-4"/>
                <w:sz w:val="21"/>
                <w:szCs w:val="21"/>
                <w:lang w:eastAsia="zh-CN"/>
              </w:rPr>
              <w:t>）。</w:t>
            </w:r>
          </w:p>
        </w:tc>
      </w:tr>
      <w:tr w14:paraId="27F8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26226995">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p>
        </w:tc>
        <w:tc>
          <w:tcPr>
            <w:tcW w:w="8190" w:type="dxa"/>
            <w:noWrap w:val="0"/>
            <w:vAlign w:val="center"/>
          </w:tcPr>
          <w:p w14:paraId="1364EA72">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磋商保证金：不需要缴纳</w:t>
            </w:r>
          </w:p>
        </w:tc>
      </w:tr>
      <w:tr w14:paraId="1C8F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4BEFDFF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Style w:val="71"/>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p>
        </w:tc>
        <w:tc>
          <w:tcPr>
            <w:tcW w:w="8190" w:type="dxa"/>
            <w:noWrap w:val="0"/>
            <w:vAlign w:val="center"/>
          </w:tcPr>
          <w:p w14:paraId="09CDDF5E">
            <w:pPr>
              <w:keepNext w:val="0"/>
              <w:keepLines w:val="0"/>
              <w:suppressLineNumbers w:val="0"/>
              <w:bidi w:val="0"/>
              <w:spacing w:before="0" w:beforeAutospacing="0" w:after="0" w:afterAutospacing="0" w:line="360" w:lineRule="auto"/>
              <w:ind w:left="0" w:leftChars="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截标时间及地点：</w:t>
            </w:r>
            <w:r>
              <w:rPr>
                <w:rFonts w:hint="eastAsia" w:ascii="宋体" w:hAnsi="宋体" w:cs="宋体"/>
                <w:color w:val="auto"/>
                <w:sz w:val="21"/>
                <w:szCs w:val="21"/>
                <w:lang w:eastAsia="zh-CN"/>
              </w:rPr>
              <w:t>2026年01月09日10:00</w:t>
            </w:r>
            <w:r>
              <w:rPr>
                <w:rFonts w:hint="eastAsia" w:ascii="宋体" w:hAnsi="宋体" w:eastAsia="宋体" w:cs="宋体"/>
                <w:color w:val="auto"/>
                <w:sz w:val="21"/>
                <w:szCs w:val="21"/>
                <w:highlight w:val="none"/>
                <w:lang w:eastAsia="zh-CN"/>
              </w:rPr>
              <w:t>前将响应文件</w:t>
            </w:r>
            <w:r>
              <w:rPr>
                <w:rFonts w:hint="eastAsia" w:ascii="宋体" w:hAnsi="宋体" w:eastAsia="宋体" w:cs="宋体"/>
                <w:color w:val="auto"/>
                <w:sz w:val="21"/>
                <w:szCs w:val="21"/>
                <w:lang w:eastAsia="zh-CN"/>
              </w:rPr>
              <w:t>成功上传到政府采购云平台http://www.zcygov.cn（本项目实施电子标，不要求磋商人到达截标现场，但磋商人应派法定代表人（负责人）或委托代理人准时在线出席电子开评标会议，随时关注开评标进度， 如在开评标过程中有电子询标，应在规定的时间内对电子询标函进行澄清回复。）</w:t>
            </w:r>
          </w:p>
          <w:p w14:paraId="2A87703B">
            <w:pPr>
              <w:keepNext w:val="0"/>
              <w:keepLines w:val="0"/>
              <w:suppressLineNumbers w:val="0"/>
              <w:bidi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文件解密时间</w:t>
            </w:r>
            <w:r>
              <w:rPr>
                <w:rFonts w:hint="eastAsia" w:ascii="宋体" w:hAnsi="宋体" w:eastAsia="宋体" w:cs="宋体"/>
                <w:color w:val="auto"/>
                <w:sz w:val="21"/>
                <w:szCs w:val="21"/>
                <w:highlight w:val="none"/>
              </w:rPr>
              <w:t>：截标时间后30分钟内，供应商必须在此时间段内登录</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，用“项目采购-开标评标”功能完成电子投标文件的解密。若投标供应商在规定时间内未按时解密的，视为投标文件撤回。</w:t>
            </w:r>
          </w:p>
        </w:tc>
      </w:tr>
      <w:tr w14:paraId="4571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4C310D7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8190" w:type="dxa"/>
            <w:noWrap w:val="0"/>
            <w:vAlign w:val="center"/>
          </w:tcPr>
          <w:p w14:paraId="10D9E973">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评标办法：综合评分法（详见第五章）</w:t>
            </w:r>
          </w:p>
        </w:tc>
      </w:tr>
      <w:tr w14:paraId="64D2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1749B48B">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8190" w:type="dxa"/>
            <w:noWrap w:val="0"/>
            <w:vAlign w:val="center"/>
          </w:tcPr>
          <w:p w14:paraId="332B4981">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履约保证金：不收取履约保证金</w:t>
            </w:r>
          </w:p>
        </w:tc>
      </w:tr>
      <w:tr w14:paraId="2425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86069A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8190" w:type="dxa"/>
            <w:noWrap w:val="0"/>
            <w:vAlign w:val="center"/>
          </w:tcPr>
          <w:p w14:paraId="094548F0">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签订合同：自成交通知书发出之日起</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rPr>
              <w:t>日历天内凭成交通知书与采购人签订合同，延期自误。</w:t>
            </w:r>
          </w:p>
        </w:tc>
      </w:tr>
      <w:tr w14:paraId="4C52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6" w:type="dxa"/>
            <w:noWrap w:val="0"/>
            <w:vAlign w:val="center"/>
          </w:tcPr>
          <w:p w14:paraId="2BE353F5">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8190" w:type="dxa"/>
            <w:noWrap w:val="0"/>
            <w:vAlign w:val="center"/>
          </w:tcPr>
          <w:p w14:paraId="05FBAE62">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招标代理服务费：</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领取成交通知书前，</w:t>
            </w:r>
            <w:r>
              <w:rPr>
                <w:rFonts w:hint="eastAsia" w:ascii="宋体" w:hAnsi="宋体" w:eastAsia="宋体" w:cs="宋体"/>
                <w:color w:val="auto"/>
                <w:sz w:val="21"/>
                <w:szCs w:val="21"/>
                <w:highlight w:val="none"/>
                <w:lang w:eastAsia="zh-CN"/>
              </w:rPr>
              <w:t>由项目</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向</w:t>
            </w:r>
            <w:r>
              <w:rPr>
                <w:rFonts w:hint="eastAsia" w:ascii="宋体" w:hAnsi="宋体" w:cs="宋体"/>
                <w:color w:val="auto"/>
                <w:sz w:val="21"/>
                <w:szCs w:val="21"/>
                <w:highlight w:val="none"/>
                <w:lang w:eastAsia="zh-CN"/>
              </w:rPr>
              <w:t>广西龙建工程管理有限公司</w:t>
            </w:r>
            <w:r>
              <w:rPr>
                <w:rFonts w:hint="eastAsia" w:ascii="宋体" w:hAnsi="宋体" w:eastAsia="宋体" w:cs="宋体"/>
                <w:color w:val="auto"/>
                <w:sz w:val="21"/>
                <w:szCs w:val="21"/>
                <w:highlight w:val="none"/>
              </w:rPr>
              <w:t>一次性付清采购代理服务费，</w:t>
            </w:r>
            <w:r>
              <w:rPr>
                <w:rFonts w:hint="eastAsia" w:ascii="宋体" w:hAnsi="宋体" w:cs="宋体"/>
                <w:color w:val="auto"/>
                <w:sz w:val="21"/>
                <w:szCs w:val="21"/>
                <w:highlight w:val="none"/>
                <w:lang w:eastAsia="zh-CN"/>
              </w:rPr>
              <w:t>参照</w:t>
            </w:r>
            <w:r>
              <w:rPr>
                <w:rFonts w:hint="eastAsia" w:ascii="宋体" w:hAnsi="宋体" w:eastAsia="宋体" w:cs="宋体"/>
                <w:color w:val="auto"/>
                <w:sz w:val="21"/>
                <w:szCs w:val="21"/>
                <w:highlight w:val="none"/>
              </w:rPr>
              <w:t>国家发展计划委员会计价格[2002]1980号《招标代理服务收费管理暂行办法》收费标准收取。</w:t>
            </w:r>
          </w:p>
        </w:tc>
      </w:tr>
      <w:tr w14:paraId="5975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785BFC3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8190" w:type="dxa"/>
            <w:noWrap w:val="0"/>
            <w:vAlign w:val="center"/>
          </w:tcPr>
          <w:p w14:paraId="00308199">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本项目需要落实的政府采购政策：</w:t>
            </w:r>
          </w:p>
          <w:p w14:paraId="7A86DC26">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（1）政府采购促进中小企业发展。</w:t>
            </w:r>
          </w:p>
          <w:p w14:paraId="02433707">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（2）政府采购支持采用本国产品的政策。</w:t>
            </w:r>
          </w:p>
          <w:p w14:paraId="793389CE">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（3）强制采购节能产品；优先采购节能产品、环境标志产品。</w:t>
            </w:r>
          </w:p>
          <w:p w14:paraId="4EDC588B">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（4）政府采购促进残疾人就业政策。</w:t>
            </w:r>
          </w:p>
          <w:p w14:paraId="4DC22765">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（5）政府采购支持监狱企业发展。</w:t>
            </w:r>
          </w:p>
        </w:tc>
      </w:tr>
      <w:tr w14:paraId="4882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D43845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8190" w:type="dxa"/>
            <w:noWrap w:val="0"/>
            <w:vAlign w:val="center"/>
          </w:tcPr>
          <w:p w14:paraId="6C2D8CAA">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采购代理机构应当在成交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确定后根据《中华人民共和国政府采购法实施条例》第四十三条及《政府采购非招标采购方式管理办法》（财政部74号）第十八条规定，成交结果公告内容包括成交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名称、地址和中标金额，主要成交标的的名称、规格型号、数量、单价、服务要求。在</w:t>
            </w:r>
            <w:r>
              <w:rPr>
                <w:rFonts w:hint="eastAsia" w:ascii="宋体" w:hAnsi="宋体" w:eastAsia="宋体" w:cs="宋体"/>
                <w:color w:val="auto"/>
                <w:sz w:val="21"/>
                <w:szCs w:val="21"/>
                <w:highlight w:val="none"/>
                <w:lang w:val="en-US" w:eastAsia="zh-CN"/>
              </w:rPr>
              <w:t>网</w:t>
            </w:r>
            <w:r>
              <w:rPr>
                <w:rFonts w:hint="eastAsia" w:ascii="宋体" w:hAnsi="宋体" w:eastAsia="宋体" w:cs="宋体"/>
                <w:color w:val="auto"/>
                <w:sz w:val="21"/>
                <w:szCs w:val="21"/>
                <w:highlight w:val="none"/>
              </w:rPr>
              <w:t>上公告成交结果，同时向成交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发出成交通知书。</w:t>
            </w:r>
          </w:p>
          <w:p w14:paraId="115B2DAA">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收到成交通知书后，应按成交通知书中规定的时间、地点与采购人签订合同</w:t>
            </w:r>
          </w:p>
        </w:tc>
      </w:tr>
      <w:tr w14:paraId="0991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536" w:type="dxa"/>
            <w:noWrap w:val="0"/>
            <w:vAlign w:val="center"/>
          </w:tcPr>
          <w:p w14:paraId="4BA6019E">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8190" w:type="dxa"/>
            <w:noWrap w:val="0"/>
            <w:vAlign w:val="center"/>
          </w:tcPr>
          <w:p w14:paraId="7E6E683D">
            <w:pPr>
              <w:pStyle w:val="15"/>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合同审核、备案：</w:t>
            </w:r>
          </w:p>
          <w:p w14:paraId="61888E0D">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合同自签订之日起2个工作日内，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必须将政府采购合同送本采购代理机构审核盖章确认</w:t>
            </w:r>
            <w:r>
              <w:rPr>
                <w:rFonts w:hint="eastAsia" w:ascii="宋体" w:hAnsi="宋体" w:eastAsia="宋体" w:cs="宋体"/>
                <w:color w:val="auto"/>
                <w:sz w:val="21"/>
                <w:szCs w:val="21"/>
                <w:highlight w:val="none"/>
                <w:lang w:eastAsia="zh-CN"/>
              </w:rPr>
              <w:t>并由代理机构上传至</w:t>
            </w:r>
            <w:r>
              <w:rPr>
                <w:rFonts w:hint="eastAsia"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p>
        </w:tc>
      </w:tr>
      <w:tr w14:paraId="42EB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36" w:type="dxa"/>
            <w:noWrap w:val="0"/>
            <w:vAlign w:val="center"/>
          </w:tcPr>
          <w:p w14:paraId="2B24EBDE">
            <w:pPr>
              <w:pStyle w:val="3"/>
              <w:keepLines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lang w:val="en-US" w:eastAsia="zh-CN"/>
              </w:rPr>
            </w:pPr>
            <w:bookmarkStart w:id="21" w:name="_Toc27916"/>
            <w:r>
              <w:rPr>
                <w:rFonts w:hint="eastAsia" w:ascii="宋体" w:hAnsi="宋体" w:eastAsia="宋体" w:cs="宋体"/>
                <w:b w:val="0"/>
                <w:bCs w:val="0"/>
                <w:color w:val="auto"/>
                <w:sz w:val="21"/>
                <w:szCs w:val="21"/>
                <w:highlight w:val="none"/>
                <w:lang w:val="en-US" w:eastAsia="zh-CN"/>
              </w:rPr>
              <w:t>20</w:t>
            </w:r>
            <w:bookmarkEnd w:id="21"/>
          </w:p>
        </w:tc>
        <w:tc>
          <w:tcPr>
            <w:tcW w:w="8190" w:type="dxa"/>
            <w:noWrap w:val="0"/>
            <w:vAlign w:val="center"/>
          </w:tcPr>
          <w:p w14:paraId="3DE0302A">
            <w:pPr>
              <w:pStyle w:val="3"/>
              <w:keepLines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lang w:val="en-US" w:eastAsia="zh-CN"/>
              </w:rPr>
            </w:pPr>
            <w:bookmarkStart w:id="22" w:name="_Toc27421"/>
            <w:r>
              <w:rPr>
                <w:rFonts w:hint="eastAsia" w:ascii="宋体" w:hAnsi="宋体" w:eastAsia="宋体" w:cs="宋体"/>
                <w:b w:val="0"/>
                <w:bCs w:val="0"/>
                <w:color w:val="auto"/>
                <w:sz w:val="21"/>
                <w:szCs w:val="21"/>
                <w:highlight w:val="none"/>
                <w:lang w:val="en-US" w:eastAsia="zh-CN"/>
              </w:rPr>
              <w:t>编制依据：已标价工程量清单表格要严格按照招标工程量清单给出的表格要求和内容填报</w:t>
            </w:r>
            <w:r>
              <w:rPr>
                <w:rFonts w:hint="eastAsia" w:ascii="宋体" w:hAnsi="宋体" w:cs="宋体"/>
                <w:b w:val="0"/>
                <w:bCs w:val="0"/>
                <w:color w:val="auto"/>
                <w:sz w:val="21"/>
                <w:szCs w:val="21"/>
                <w:highlight w:val="none"/>
                <w:lang w:val="en-US" w:eastAsia="zh-CN"/>
              </w:rPr>
              <w:t>。</w:t>
            </w:r>
            <w:bookmarkEnd w:id="22"/>
          </w:p>
        </w:tc>
      </w:tr>
      <w:tr w14:paraId="6D88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0CA6CE4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8190" w:type="dxa"/>
            <w:noWrap w:val="0"/>
            <w:vAlign w:val="center"/>
          </w:tcPr>
          <w:p w14:paraId="437B1EFB">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本工程计税方法</w:t>
            </w:r>
            <w:r>
              <w:rPr>
                <w:rFonts w:hint="eastAsia" w:ascii="宋体" w:hAnsi="宋体" w:eastAsia="宋体" w:cs="宋体"/>
                <w:color w:val="auto"/>
                <w:sz w:val="21"/>
                <w:szCs w:val="21"/>
                <w:highlight w:val="none"/>
                <w:lang w:eastAsia="zh-CN"/>
              </w:rPr>
              <w:t>：</w:t>
            </w:r>
            <w:r>
              <w:rPr>
                <w:rFonts w:hint="eastAsia" w:hAnsi="宋体" w:cs="宋体"/>
                <w:b/>
                <w:bCs/>
                <w:color w:val="auto"/>
                <w:sz w:val="21"/>
                <w:szCs w:val="21"/>
                <w:highlight w:val="none"/>
                <w:lang w:eastAsia="zh-CN"/>
              </w:rPr>
              <w:t>一般计税法</w:t>
            </w:r>
          </w:p>
        </w:tc>
      </w:tr>
      <w:tr w14:paraId="316D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944F65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8190" w:type="dxa"/>
            <w:noWrap w:val="0"/>
            <w:vAlign w:val="center"/>
          </w:tcPr>
          <w:p w14:paraId="49591E9A">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投标专用章、业务专用章等其它形式印章均不能代替公章。</w:t>
            </w:r>
          </w:p>
          <w:p w14:paraId="49596E01">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磋商文件中描述供应商的“签字”是指供应商的法定代表人（负责人或自然人）或委托代理人亲自在磋商文件规定签字处亲笔写上个人名字的行为，私章、签字章、印鉴、影印等其它形式均不能代替亲笔签字。如磋商文件规定签字处不得以法人私章代替。</w:t>
            </w:r>
          </w:p>
          <w:p w14:paraId="4B0887F6">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3.自然人投标的，磋商文件规定盖章的地方自然人可以加盖手指指印。</w:t>
            </w:r>
          </w:p>
          <w:p w14:paraId="05211690">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4.电子投标文件中须加盖供应商公章部分均采用CA 签章，并根据“政府采购项目电子交易管理操作指南-供应商” 及本磋商文件规定的格式和顺序编制电子投标文件并进行关联定位，以便评磋商小组在评审时，点击评分项可直接定位到该评分项内容。如对磋商文件的某项要求，供应商的电子投标文件未能关联定位提供相应的内容与其对应，则磋商小组在评审时如做出对供应商不利的评审由供应商自行承担。电子投标文件如内容不完整、编排混乱导致投标文件被误读、漏读，或者在按采购文件规定的部位查找不到相关内容的，由供应商自行承担。</w:t>
            </w:r>
          </w:p>
          <w:p w14:paraId="575FE7BE">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5.CA 签章上目前没有法定代表人（负责人）或授权代表签字信息，供应商在响应文件中涉及到签字的位置线下签好字然后扫描或者拍照做成PDF 的格式亦可。投标文件中涉及到签字的位置未按要求签字的，提供的材料视为无效。</w:t>
            </w:r>
          </w:p>
        </w:tc>
      </w:tr>
      <w:tr w14:paraId="3AA0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2B3464F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8190" w:type="dxa"/>
            <w:noWrap w:val="0"/>
            <w:vAlign w:val="center"/>
          </w:tcPr>
          <w:p w14:paraId="7142D117">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本采购项目涉及中小企业采购，现明确以下内容： </w:t>
            </w:r>
          </w:p>
          <w:p w14:paraId="71732250">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1.本项目属于专门面向中小企业采购的项目，供应商应为中小企业或监狱企业或残疾人福利性单位； </w:t>
            </w:r>
          </w:p>
          <w:p w14:paraId="04E58EB6">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2.中小企业预留份额：100.00%；小微企业预留份额：0.00%  </w:t>
            </w:r>
          </w:p>
          <w:p w14:paraId="6D990E0B">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3.本项目不接受联合体，不允许分包； </w:t>
            </w:r>
          </w:p>
          <w:p w14:paraId="77AAE05C">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4.本项目属于专门面向中小企业采购的项目，不再进行价格扣除及用扣除后的价格参 </w:t>
            </w:r>
          </w:p>
          <w:p w14:paraId="7B4D864A">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加评审； </w:t>
            </w:r>
          </w:p>
          <w:p w14:paraId="6F552CA4">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5.因本项目属于专门面向中小企业采购的项目，规定依据《政府采购促进中小企业发 </w:t>
            </w:r>
          </w:p>
          <w:p w14:paraId="159DCC1A">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展管理办法》规定享受扶持政策获得政府采购合同的，小微企业不得将合同分包给大中型企业，中型企业不得将合同分包给大型企业； </w:t>
            </w:r>
          </w:p>
          <w:p w14:paraId="30B4E660">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6.本项目采购标的对应的中小企业划分标准所属行业：建筑业</w:t>
            </w:r>
          </w:p>
        </w:tc>
      </w:tr>
      <w:tr w14:paraId="1F25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939DAD0">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8190" w:type="dxa"/>
            <w:noWrap w:val="0"/>
            <w:vAlign w:val="center"/>
          </w:tcPr>
          <w:p w14:paraId="2FF98CF7">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质疑投诉</w:t>
            </w:r>
          </w:p>
          <w:p w14:paraId="2788BAE1">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规定，供应商认为采购文件、采购过程、中标或者成交结果使自己的权益受到损害的，可以在知道或者应知其权益受到损害之日起7个工作日内，以书面形式向采购人、采购代理机构提出质疑。供应商应当在法定质疑期内一次性提出针对同一采购程序环节的质疑。</w:t>
            </w:r>
          </w:p>
        </w:tc>
      </w:tr>
      <w:tr w14:paraId="499F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4DF983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8190" w:type="dxa"/>
            <w:noWrap w:val="0"/>
            <w:vAlign w:val="center"/>
          </w:tcPr>
          <w:p w14:paraId="30271B41">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解释权</w:t>
            </w:r>
          </w:p>
          <w:p w14:paraId="384B89D1">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文件的解释权属于采购代理机构</w:t>
            </w:r>
          </w:p>
        </w:tc>
      </w:tr>
    </w:tbl>
    <w:p w14:paraId="303B3EB0">
      <w:pPr>
        <w:pStyle w:val="93"/>
        <w:spacing w:line="2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1683B7">
      <w:pPr>
        <w:pStyle w:val="20"/>
        <w:spacing w:line="400" w:lineRule="exact"/>
        <w:jc w:val="center"/>
        <w:rPr>
          <w:rFonts w:hint="eastAsia" w:ascii="宋体" w:hAnsi="宋体" w:eastAsia="宋体" w:cs="宋体"/>
          <w:b/>
          <w:color w:val="auto"/>
          <w:sz w:val="32"/>
          <w:highlight w:val="none"/>
        </w:rPr>
      </w:pPr>
      <w:r>
        <w:rPr>
          <w:rFonts w:hint="eastAsia" w:hAnsi="宋体" w:cs="宋体"/>
          <w:b/>
          <w:color w:val="auto"/>
          <w:sz w:val="32"/>
          <w:highlight w:val="none"/>
          <w:lang w:eastAsia="zh-CN"/>
        </w:rPr>
        <w:t>供应商</w:t>
      </w:r>
      <w:r>
        <w:rPr>
          <w:rFonts w:hint="eastAsia" w:ascii="宋体" w:hAnsi="宋体" w:eastAsia="宋体" w:cs="宋体"/>
          <w:b/>
          <w:color w:val="auto"/>
          <w:sz w:val="32"/>
          <w:highlight w:val="none"/>
        </w:rPr>
        <w:t>须知</w:t>
      </w:r>
    </w:p>
    <w:p w14:paraId="12A69492">
      <w:pPr>
        <w:spacing w:line="400" w:lineRule="exact"/>
        <w:ind w:firstLine="420"/>
        <w:rPr>
          <w:rFonts w:hint="eastAsia" w:ascii="宋体" w:hAnsi="宋体" w:eastAsia="宋体" w:cs="宋体"/>
          <w:color w:val="auto"/>
          <w:szCs w:val="21"/>
          <w:highlight w:val="none"/>
        </w:rPr>
      </w:pPr>
    </w:p>
    <w:p w14:paraId="7773D6B4">
      <w:pPr>
        <w:pStyle w:val="3"/>
        <w:spacing w:line="400" w:lineRule="exact"/>
        <w:jc w:val="center"/>
        <w:rPr>
          <w:rFonts w:hint="eastAsia" w:ascii="宋体" w:hAnsi="宋体" w:eastAsia="宋体" w:cs="宋体"/>
          <w:color w:val="auto"/>
          <w:highlight w:val="none"/>
        </w:rPr>
      </w:pPr>
      <w:bookmarkStart w:id="23" w:name="_Toc25410"/>
      <w:bookmarkStart w:id="24" w:name="_Toc206525681"/>
      <w:bookmarkStart w:id="25" w:name="_Toc239839862"/>
      <w:bookmarkStart w:id="26" w:name="_Toc207770834"/>
      <w:bookmarkStart w:id="27" w:name="_Toc230578056"/>
      <w:bookmarkStart w:id="28" w:name="_Toc486922954"/>
      <w:bookmarkStart w:id="29" w:name="_Toc185702548"/>
      <w:bookmarkStart w:id="30" w:name="_Toc486196137"/>
      <w:r>
        <w:rPr>
          <w:rFonts w:hint="eastAsia" w:ascii="宋体" w:hAnsi="宋体" w:eastAsia="宋体" w:cs="宋体"/>
          <w:color w:val="auto"/>
          <w:highlight w:val="none"/>
        </w:rPr>
        <w:t>一   总  则</w:t>
      </w:r>
      <w:bookmarkEnd w:id="23"/>
      <w:bookmarkEnd w:id="24"/>
      <w:bookmarkEnd w:id="25"/>
      <w:bookmarkEnd w:id="26"/>
      <w:bookmarkEnd w:id="27"/>
      <w:bookmarkEnd w:id="28"/>
      <w:bookmarkEnd w:id="29"/>
      <w:bookmarkEnd w:id="30"/>
    </w:p>
    <w:p w14:paraId="4B228453">
      <w:pPr>
        <w:pStyle w:val="4"/>
        <w:spacing w:before="0" w:after="0" w:line="360" w:lineRule="auto"/>
        <w:ind w:left="0" w:leftChars="0" w:firstLine="0" w:firstLineChars="0"/>
        <w:rPr>
          <w:rFonts w:hint="eastAsia" w:ascii="宋体" w:hAnsi="宋体" w:eastAsia="宋体" w:cs="宋体"/>
          <w:color w:val="auto"/>
          <w:sz w:val="21"/>
          <w:szCs w:val="21"/>
          <w:highlight w:val="none"/>
        </w:rPr>
      </w:pPr>
      <w:bookmarkStart w:id="31" w:name="_Toc185702549"/>
      <w:bookmarkStart w:id="32" w:name="_Toc239839863"/>
      <w:bookmarkStart w:id="33" w:name="_Toc207770835"/>
      <w:bookmarkStart w:id="34" w:name="_Toc206525682"/>
      <w:bookmarkStart w:id="35" w:name="_Toc230578057"/>
      <w:bookmarkStart w:id="36" w:name="_Toc486196138"/>
      <w:bookmarkStart w:id="37" w:name="_Toc486922955"/>
      <w:r>
        <w:rPr>
          <w:rFonts w:hint="eastAsia" w:ascii="宋体" w:hAnsi="宋体" w:eastAsia="宋体" w:cs="宋体"/>
          <w:color w:val="auto"/>
          <w:sz w:val="21"/>
          <w:szCs w:val="21"/>
          <w:highlight w:val="none"/>
        </w:rPr>
        <w:t>1</w:t>
      </w:r>
      <w:bookmarkEnd w:id="31"/>
      <w:bookmarkEnd w:id="32"/>
      <w:bookmarkEnd w:id="33"/>
      <w:bookmarkEnd w:id="34"/>
      <w:bookmarkEnd w:id="35"/>
      <w:r>
        <w:rPr>
          <w:rFonts w:hint="eastAsia" w:ascii="宋体" w:hAnsi="宋体" w:eastAsia="宋体" w:cs="宋体"/>
          <w:color w:val="auto"/>
          <w:sz w:val="21"/>
          <w:szCs w:val="21"/>
          <w:highlight w:val="none"/>
        </w:rPr>
        <w:t>．项目基本情况、适用范围及定义</w:t>
      </w:r>
      <w:bookmarkEnd w:id="36"/>
      <w:bookmarkEnd w:id="37"/>
    </w:p>
    <w:p w14:paraId="35B526B3">
      <w:pPr>
        <w:pStyle w:val="20"/>
        <w:spacing w:line="360" w:lineRule="auto"/>
        <w:ind w:left="420" w:hanging="420" w:hangingChars="200"/>
        <w:rPr>
          <w:rFonts w:hint="eastAsia" w:ascii="宋体" w:hAnsi="宋体" w:eastAsia="宋体" w:cs="宋体"/>
          <w:color w:val="auto"/>
          <w:highlight w:val="none"/>
        </w:rPr>
      </w:pPr>
      <w:bookmarkStart w:id="38" w:name="_Toc230578058"/>
      <w:bookmarkStart w:id="39" w:name="_Toc207770836"/>
      <w:bookmarkStart w:id="40" w:name="_Toc239839864"/>
      <w:bookmarkStart w:id="41" w:name="_Toc206525683"/>
      <w:bookmarkStart w:id="42" w:name="_Toc185702550"/>
      <w:r>
        <w:rPr>
          <w:rFonts w:hint="eastAsia" w:ascii="宋体" w:hAnsi="宋体" w:eastAsia="宋体" w:cs="宋体"/>
          <w:color w:val="auto"/>
          <w:highlight w:val="none"/>
        </w:rPr>
        <w:t>1.1项目基本情况：见须知前附表。</w:t>
      </w:r>
    </w:p>
    <w:p w14:paraId="0AB5C7A2">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1.2采购人：见须知前附表。</w:t>
      </w:r>
    </w:p>
    <w:p w14:paraId="5827D18A">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1.3采购代理机构：见须知前附表。</w:t>
      </w:r>
    </w:p>
    <w:p w14:paraId="664D9C7C">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1.4监督部门：见须知前附表。</w:t>
      </w:r>
    </w:p>
    <w:p w14:paraId="6BAA5E49">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1.5适用范围：本竞争性磋商文件仅适用于本次招标中所述项目的货物、服务类政府采购项目。</w:t>
      </w:r>
    </w:p>
    <w:p w14:paraId="6C13E503">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1.6定义：</w:t>
      </w:r>
    </w:p>
    <w:p w14:paraId="2BB0635F">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1.6.1“招标采购单位”系指采购人、采购代理机构。</w:t>
      </w:r>
    </w:p>
    <w:p w14:paraId="39D9526C">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1.6.2“采购人”系指本次采购项目的业主方或买方。</w:t>
      </w:r>
    </w:p>
    <w:p w14:paraId="6DE54414">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1.6.3“采购代理机构”系指本次采购项目活动组织方</w:t>
      </w:r>
      <w:r>
        <w:rPr>
          <w:rFonts w:hint="eastAsia" w:ascii="宋体" w:hAnsi="宋体" w:eastAsia="宋体" w:cs="宋体"/>
          <w:color w:val="auto"/>
          <w:highlight w:val="none"/>
          <w:lang w:eastAsia="zh-CN"/>
        </w:rPr>
        <w:t>：</w:t>
      </w:r>
      <w:r>
        <w:rPr>
          <w:rFonts w:hint="eastAsia" w:hAnsi="宋体" w:cs="宋体"/>
          <w:color w:val="auto"/>
          <w:highlight w:val="none"/>
          <w:lang w:eastAsia="zh-CN"/>
        </w:rPr>
        <w:t>广西龙建工程管理有限公司</w:t>
      </w:r>
      <w:r>
        <w:rPr>
          <w:rFonts w:hint="eastAsia" w:ascii="宋体" w:hAnsi="宋体" w:eastAsia="宋体" w:cs="宋体"/>
          <w:color w:val="auto"/>
          <w:highlight w:val="none"/>
        </w:rPr>
        <w:t>。</w:t>
      </w:r>
    </w:p>
    <w:p w14:paraId="005DEF94">
      <w:pPr>
        <w:pStyle w:val="20"/>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”系指按要求至采购代理机构进行报名登记并购买竞争性磋商文件且提交“响应文件”参加采购活动的投资人。在磋商阶段称为潜在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或磋商</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；在签订和履行合同阶段称为成交人。</w:t>
      </w:r>
    </w:p>
    <w:p w14:paraId="2D57FB6E">
      <w:pPr>
        <w:pStyle w:val="20"/>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1.6.5“产品”系指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按竞争性磋商文件规定向采购人提供的一切货物、设备、机械、仪器仪表、备品备件、工具、手册及其它有关技术资料和材料。</w:t>
      </w:r>
    </w:p>
    <w:p w14:paraId="1D6A4E55">
      <w:pPr>
        <w:pStyle w:val="20"/>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1.6.6“服务”系指竞争性磋商文件规定</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须承担的运输、安装、调试、技术支持、校准、培训以及其他类似的服务。</w:t>
      </w:r>
    </w:p>
    <w:p w14:paraId="4779BD83">
      <w:pPr>
        <w:pStyle w:val="20"/>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1.6.7“响应文件”是指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根据竞争性磋商文件要求，编制包含报价、技术和服务等所有内容的文件。</w:t>
      </w:r>
    </w:p>
    <w:p w14:paraId="2644B040">
      <w:pPr>
        <w:pStyle w:val="20"/>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1.6.8“公章”系指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用自己法定主体行为名称制作的</w:t>
      </w:r>
      <w:r>
        <w:rPr>
          <w:rFonts w:hint="eastAsia" w:ascii="宋体" w:hAnsi="宋体" w:eastAsia="宋体" w:cs="宋体"/>
          <w:color w:val="auto"/>
          <w:highlight w:val="none"/>
          <w:lang w:eastAsia="zh-CN"/>
        </w:rPr>
        <w:t>签字或者电子签名</w:t>
      </w:r>
      <w:r>
        <w:rPr>
          <w:rFonts w:hint="eastAsia" w:ascii="宋体" w:hAnsi="宋体" w:eastAsia="宋体" w:cs="宋体"/>
          <w:color w:val="auto"/>
          <w:highlight w:val="none"/>
        </w:rPr>
        <w:t>印章，不包含其他替代章（如业务专用章、合同专用章、报价专用章等）。</w:t>
      </w:r>
    </w:p>
    <w:p w14:paraId="6E987048">
      <w:pPr>
        <w:pStyle w:val="20"/>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1.6.9“信息发布媒体”系指</w:t>
      </w:r>
      <w:r>
        <w:rPr>
          <w:rFonts w:hint="eastAsia" w:ascii="宋体" w:hAnsi="宋体" w:eastAsia="宋体" w:cs="宋体"/>
          <w:color w:val="auto"/>
          <w:highlight w:val="none"/>
          <w:lang w:eastAsia="zh-CN"/>
        </w:rPr>
        <w:t>中国政府采购网、广西壮族自治区政府采购网、梧州市政府采购网</w:t>
      </w:r>
      <w:r>
        <w:rPr>
          <w:rFonts w:hint="eastAsia" w:hAnsi="宋体" w:cs="宋体"/>
          <w:color w:val="auto"/>
          <w:highlight w:val="none"/>
          <w:lang w:eastAsia="zh-CN"/>
        </w:rPr>
        <w:t>、广西梧州苍梧县人民政府门户网</w:t>
      </w:r>
      <w:r>
        <w:rPr>
          <w:rFonts w:hint="eastAsia" w:ascii="宋体" w:hAnsi="宋体" w:eastAsia="宋体" w:cs="宋体"/>
          <w:color w:val="auto"/>
          <w:highlight w:val="none"/>
        </w:rPr>
        <w:t>。</w:t>
      </w:r>
    </w:p>
    <w:p w14:paraId="419EB24D">
      <w:pPr>
        <w:pStyle w:val="4"/>
        <w:spacing w:before="0" w:after="0" w:line="360" w:lineRule="auto"/>
        <w:rPr>
          <w:rFonts w:hint="eastAsia" w:ascii="宋体" w:hAnsi="宋体" w:eastAsia="宋体" w:cs="宋体"/>
          <w:color w:val="auto"/>
          <w:sz w:val="21"/>
          <w:szCs w:val="21"/>
          <w:highlight w:val="none"/>
          <w:lang w:eastAsia="zh-CN"/>
        </w:rPr>
      </w:pPr>
      <w:bookmarkStart w:id="43" w:name="_Toc486922956"/>
      <w:bookmarkStart w:id="44" w:name="_Toc486196139"/>
      <w:r>
        <w:rPr>
          <w:rFonts w:hint="eastAsia" w:ascii="宋体" w:hAnsi="宋体" w:eastAsia="宋体" w:cs="宋体"/>
          <w:color w:val="auto"/>
          <w:sz w:val="21"/>
          <w:szCs w:val="21"/>
          <w:highlight w:val="none"/>
        </w:rPr>
        <w:t>2</w:t>
      </w:r>
      <w:bookmarkEnd w:id="38"/>
      <w:bookmarkEnd w:id="39"/>
      <w:bookmarkEnd w:id="40"/>
      <w:bookmarkEnd w:id="41"/>
      <w:bookmarkEnd w:id="42"/>
      <w:r>
        <w:rPr>
          <w:rFonts w:hint="eastAsia" w:ascii="宋体" w:hAnsi="宋体" w:eastAsia="宋体" w:cs="宋体"/>
          <w:color w:val="auto"/>
          <w:sz w:val="21"/>
          <w:szCs w:val="21"/>
          <w:highlight w:val="none"/>
        </w:rPr>
        <w:t>．</w:t>
      </w:r>
      <w:bookmarkEnd w:id="43"/>
      <w:bookmarkEnd w:id="44"/>
      <w:r>
        <w:rPr>
          <w:rFonts w:hint="eastAsia" w:ascii="宋体" w:hAnsi="宋体" w:eastAsia="宋体" w:cs="宋体"/>
          <w:color w:val="auto"/>
          <w:sz w:val="21"/>
          <w:szCs w:val="21"/>
          <w:highlight w:val="none"/>
        </w:rPr>
        <w:t>合格的</w:t>
      </w:r>
      <w:r>
        <w:rPr>
          <w:rFonts w:hint="eastAsia" w:ascii="宋体" w:hAnsi="宋体" w:eastAsia="宋体" w:cs="宋体"/>
          <w:color w:val="auto"/>
          <w:sz w:val="21"/>
          <w:szCs w:val="21"/>
          <w:highlight w:val="none"/>
          <w:lang w:eastAsia="zh-CN"/>
        </w:rPr>
        <w:t>供应商</w:t>
      </w:r>
    </w:p>
    <w:p w14:paraId="18D29F60">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应符合《中华人民共和国政府采购法》第二十二条规定条件，并符合采购文件规定的资格要求及特殊条件要求。</w:t>
      </w:r>
    </w:p>
    <w:p w14:paraId="47A51181">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2.2对在信用中国网站(www.creditchina.gov.cn)、中国政府采购网(www.ccgp.gov.cn)列入政府采购严重违法失信行为记录名单的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，不得参与采购活动。</w:t>
      </w:r>
    </w:p>
    <w:p w14:paraId="098EAA9D">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不得直接或间接地与为本次采购的项目内容进行设计、编制规范和其他文件的咨询公司、采购代理机构或其附属机构有任何关联。</w:t>
      </w:r>
    </w:p>
    <w:p w14:paraId="0388070A">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应在响应文件中须主动填报参加采购活动前三年内在经营活动中有无重大违法记录（含其授权服务的子公司、分公司等）。</w:t>
      </w:r>
    </w:p>
    <w:p w14:paraId="462BC6DD">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2.5符合</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资格的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应承担磋商及履约中应承担的全部责任与义务。</w:t>
      </w:r>
    </w:p>
    <w:p w14:paraId="2117B6F6">
      <w:pPr>
        <w:pStyle w:val="16"/>
        <w:spacing w:line="360" w:lineRule="auto"/>
        <w:ind w:left="210" w:leftChars="100" w:firstLine="420" w:firstLineChars="200"/>
        <w:jc w:val="left"/>
        <w:rPr>
          <w:rFonts w:hint="eastAsia" w:ascii="宋体" w:hAnsi="宋体" w:eastAsia="宋体" w:cs="宋体"/>
          <w:color w:val="auto"/>
          <w:spacing w:val="-1"/>
          <w:szCs w:val="21"/>
        </w:rPr>
      </w:pPr>
      <w:r>
        <w:rPr>
          <w:rFonts w:hint="eastAsia" w:ascii="宋体" w:hAnsi="宋体" w:eastAsia="宋体" w:cs="宋体"/>
          <w:color w:val="auto"/>
          <w:highlight w:val="none"/>
        </w:rPr>
        <w:t>2.6</w:t>
      </w:r>
      <w:r>
        <w:rPr>
          <w:rFonts w:hint="eastAsia" w:ascii="宋体" w:hAnsi="宋体" w:eastAsia="宋体" w:cs="宋体"/>
          <w:color w:val="auto"/>
          <w:spacing w:val="-1"/>
          <w:szCs w:val="21"/>
        </w:rPr>
        <w:t>有下列情形之一的视为供应商相互串通竞标，响应文件将被视为无效：</w:t>
      </w:r>
    </w:p>
    <w:p w14:paraId="6366B7E3">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（1）不同供应商的响应文件由同一单位或者个人编制；</w:t>
      </w:r>
    </w:p>
    <w:p w14:paraId="5FD43185">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（2）不同供应商委托同一单位或者个人办理竞标事宜；</w:t>
      </w:r>
    </w:p>
    <w:p w14:paraId="73778D62">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（3）不同的供应商的响应文件载明的项目管理员为同一个人；</w:t>
      </w:r>
    </w:p>
    <w:p w14:paraId="09186A29">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（4）不同供应商的响应文件异常一致或者报价呈规律性差异；</w:t>
      </w:r>
    </w:p>
    <w:p w14:paraId="0E21440B">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（5）不同供应商的响应文件相互混装；</w:t>
      </w:r>
    </w:p>
    <w:p w14:paraId="6063BB38">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（6）不同供应商的磋商保证金从同一单位或者个人账户转出。</w:t>
      </w:r>
    </w:p>
    <w:p w14:paraId="74764E29">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7.6 供应商有下列情形之一的，属于恶意串通行为，将报同级监督管理部门：</w:t>
      </w:r>
    </w:p>
    <w:p w14:paraId="72539A35">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（1）供应商直接或者间接从采购人或者采购代理机构处获得其他供应商的相关信息并修改其响应 文件；</w:t>
      </w:r>
    </w:p>
    <w:p w14:paraId="141C3B2A">
      <w:pPr>
        <w:pStyle w:val="16"/>
        <w:spacing w:line="360" w:lineRule="auto"/>
        <w:ind w:left="210" w:leftChars="100" w:firstLine="428" w:firstLineChars="200"/>
        <w:jc w:val="left"/>
        <w:rPr>
          <w:rFonts w:hint="eastAsia" w:ascii="宋体" w:hAnsi="宋体" w:eastAsia="宋体" w:cs="宋体"/>
          <w:color w:val="auto"/>
          <w:spacing w:val="-1"/>
          <w:szCs w:val="21"/>
        </w:rPr>
      </w:pPr>
      <w:r>
        <w:rPr>
          <w:rFonts w:hint="eastAsia" w:ascii="宋体" w:hAnsi="宋体" w:eastAsia="宋体" w:cs="宋体"/>
          <w:color w:val="auto"/>
          <w:spacing w:val="2"/>
          <w:szCs w:val="21"/>
        </w:rPr>
        <w:t>（</w:t>
      </w:r>
      <w:r>
        <w:rPr>
          <w:rFonts w:hint="eastAsia" w:ascii="宋体" w:hAnsi="宋体" w:eastAsia="宋体" w:cs="宋体"/>
          <w:color w:val="auto"/>
          <w:spacing w:val="-1"/>
          <w:szCs w:val="21"/>
        </w:rPr>
        <w:t>2）供应商按照采购人或者采购代理机构的授意撤换、修改响应文件；</w:t>
      </w:r>
    </w:p>
    <w:p w14:paraId="11FDB8AB">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（3）供应商之间协商报价、技术方案等响应文件或者响应文件的实质性内容；</w:t>
      </w:r>
    </w:p>
    <w:p w14:paraId="63436998">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（4）属于同一集团、协会、商会等组织成员的供应商按照该组织要求协同参加政府采购活动；</w:t>
      </w:r>
    </w:p>
    <w:p w14:paraId="0EC49892">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（5）供应商之间事先约定一致抬高或者压低报价，或者在政府采购活动中事先约定轮流以高价位</w:t>
      </w:r>
    </w:p>
    <w:p w14:paraId="0DE08B8F">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或者低价位成交，或者事先约定由某一特定供应商成交，然后再参加竞标；</w:t>
      </w:r>
    </w:p>
    <w:p w14:paraId="35ED0413">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（6）供应商之间商定部分供应商放弃参加政府采购活动或者放弃成交；</w:t>
      </w:r>
    </w:p>
    <w:p w14:paraId="358C5AEC">
      <w:pPr>
        <w:pStyle w:val="16"/>
        <w:spacing w:line="360" w:lineRule="auto"/>
        <w:ind w:left="210" w:leftChars="100" w:firstLine="416" w:firstLineChars="200"/>
        <w:jc w:val="left"/>
        <w:rPr>
          <w:rFonts w:hint="eastAsia" w:ascii="宋体" w:hAnsi="宋体" w:eastAsia="宋体" w:cs="宋体"/>
          <w:color w:val="auto"/>
          <w:highlight w:val="none"/>
        </w:rPr>
      </w:pPr>
      <w:r>
        <w:rPr>
          <w:rFonts w:hint="eastAsia" w:ascii="宋体" w:hAnsi="宋体" w:eastAsia="宋体" w:cs="宋体"/>
          <w:color w:val="auto"/>
          <w:spacing w:val="-1"/>
          <w:szCs w:val="21"/>
        </w:rPr>
        <w:t>（7）供应商与采购人或者采购代理机构之间、供应商相互之间，为谋求特定供应商成交或者排斥 其他供应商的其他串通行为。</w:t>
      </w:r>
    </w:p>
    <w:p w14:paraId="6FBB2844">
      <w:pPr>
        <w:pStyle w:val="16"/>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2.7合格的供应商应符合供应商须知前附表所规定的资格要求。</w:t>
      </w:r>
    </w:p>
    <w:p w14:paraId="5B93DD8B">
      <w:pPr>
        <w:pStyle w:val="16"/>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2.8联合体竞标：本项目是否接受联合体竞标按本须知前附表。</w:t>
      </w:r>
    </w:p>
    <w:p w14:paraId="1CC9CDE8">
      <w:pPr>
        <w:pStyle w:val="16"/>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2.8.1体联合体竞标具体要求</w:t>
      </w:r>
    </w:p>
    <w:p w14:paraId="0609E1CD">
      <w:pPr>
        <w:pStyle w:val="16"/>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（1）两个以上供应商可以组成一个竞标联合体，以一个供应商的身份竞标。联合体竞标的，须提供《联合体竞标协议》。</w:t>
      </w:r>
    </w:p>
    <w:p w14:paraId="5F95A8F6">
      <w:pPr>
        <w:pStyle w:val="16"/>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2）以联合体形式参加竞标的，联合体各方均应当符合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的条件。本项目有特殊要求规定供应商特定资格条件的，联合体各方中至少应当有一方符合采购文件规定的特定条件。</w:t>
      </w:r>
    </w:p>
    <w:p w14:paraId="7EA49643">
      <w:pPr>
        <w:pStyle w:val="20"/>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联合体各方之间应当签订共同竞标协议，明确约定联合体各方承担的工作和响应的责任，并将共同竞标协议连同响应文件一并提交本采购代理机构。联合体各方签订共同竞标协议后，不得再以自己名义单独在同一项目中竞标，也不得组成新的联合体参加同一项目竞标。否则，与之相关的响应文件作废。</w:t>
      </w:r>
    </w:p>
    <w:p w14:paraId="7818BF80">
      <w:pPr>
        <w:pStyle w:val="20"/>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（4）竞标联合体的业绩和信誉按联合体主体方（或牵头方）计算。</w:t>
      </w:r>
    </w:p>
    <w:p w14:paraId="11F6463C">
      <w:pPr>
        <w:pStyle w:val="20"/>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（5）竞标联合体供应商的相同资质按最低的一方计算。</w:t>
      </w:r>
    </w:p>
    <w:p w14:paraId="69DEC9DD">
      <w:pPr>
        <w:pStyle w:val="20"/>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2.8.2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40%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174D2BB0">
      <w:pPr>
        <w:pStyle w:val="4"/>
        <w:spacing w:before="0" w:after="0" w:line="360" w:lineRule="auto"/>
        <w:rPr>
          <w:rFonts w:hint="eastAsia" w:ascii="宋体" w:hAnsi="宋体" w:eastAsia="宋体" w:cs="宋体"/>
          <w:color w:val="auto"/>
          <w:sz w:val="21"/>
          <w:szCs w:val="21"/>
          <w:highlight w:val="none"/>
        </w:rPr>
      </w:pPr>
      <w:bookmarkStart w:id="45" w:name="_Toc207770837"/>
      <w:bookmarkStart w:id="46" w:name="_Toc230578059"/>
      <w:bookmarkStart w:id="47" w:name="_Toc185702551"/>
      <w:bookmarkStart w:id="48" w:name="_Toc486922957"/>
      <w:bookmarkStart w:id="49" w:name="_Toc239839865"/>
      <w:bookmarkStart w:id="50" w:name="_Toc206525684"/>
      <w:bookmarkStart w:id="51" w:name="_Toc486196140"/>
      <w:bookmarkStart w:id="52" w:name="OLE_LINK4"/>
      <w:r>
        <w:rPr>
          <w:rFonts w:hint="eastAsia" w:ascii="宋体" w:hAnsi="宋体" w:eastAsia="宋体" w:cs="宋体"/>
          <w:color w:val="auto"/>
          <w:sz w:val="21"/>
          <w:szCs w:val="21"/>
          <w:highlight w:val="none"/>
        </w:rPr>
        <w:t>3．磋商费用</w:t>
      </w:r>
      <w:bookmarkEnd w:id="45"/>
      <w:bookmarkEnd w:id="46"/>
      <w:bookmarkEnd w:id="47"/>
      <w:bookmarkEnd w:id="48"/>
      <w:bookmarkEnd w:id="49"/>
      <w:bookmarkEnd w:id="50"/>
      <w:bookmarkEnd w:id="51"/>
    </w:p>
    <w:bookmarkEnd w:id="52"/>
    <w:p w14:paraId="3647A1F9">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应承担所有与准备和参加采购活动有关的费用。不论磋商的结果如何，采购人和采购代理机构在任何情况下均无义务和责任承担此类费用。</w:t>
      </w:r>
    </w:p>
    <w:p w14:paraId="5AE71401">
      <w:pPr>
        <w:pStyle w:val="4"/>
        <w:spacing w:before="0" w:after="0" w:line="360" w:lineRule="auto"/>
        <w:rPr>
          <w:rFonts w:hint="eastAsia" w:ascii="宋体" w:hAnsi="宋体" w:eastAsia="宋体" w:cs="宋体"/>
          <w:color w:val="auto"/>
          <w:sz w:val="21"/>
          <w:szCs w:val="21"/>
          <w:highlight w:val="none"/>
        </w:rPr>
      </w:pPr>
      <w:bookmarkStart w:id="53" w:name="_Toc486922958"/>
      <w:bookmarkStart w:id="54" w:name="_Toc486196141"/>
      <w:r>
        <w:rPr>
          <w:rFonts w:hint="eastAsia" w:ascii="宋体" w:hAnsi="宋体" w:eastAsia="宋体" w:cs="宋体"/>
          <w:color w:val="auto"/>
          <w:sz w:val="21"/>
          <w:szCs w:val="21"/>
          <w:highlight w:val="none"/>
        </w:rPr>
        <w:t>4．特别说明</w:t>
      </w:r>
      <w:bookmarkEnd w:id="53"/>
      <w:bookmarkEnd w:id="54"/>
    </w:p>
    <w:p w14:paraId="0A043884">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4.1提供相同品牌产品的不同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参加同一合同项下磋商的，以其中通过资格审查、符合性审查且报价最低的参加评标，报价相同的，由采购人自主选择确定一个参加评标的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，其他磋商无效。非单一产品采购项目中，多家</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提供的核心产品品牌相同的，视为提供相同品牌产品。</w:t>
      </w:r>
    </w:p>
    <w:p w14:paraId="1BB1A61A">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4.2关联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不得参加同一合同项下采购活动，否则响应文件将被视为无效。单位负责人为同一人或者存在直接控股、管理关系的不同的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，不得参加同一合同项下的采购活动；生产厂商授权给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后自己不得参加同一合同项下的采购活动；生产厂商对同一品牌同一型号的货物，仅能委托一个代理商参加磋商。除单一来源采购项目外，为采购项目提供整体设计、规范编制或者项目管理、监理、检测等服务的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，不得再参加该采购项目的其他采购活动。</w:t>
      </w:r>
    </w:p>
    <w:p w14:paraId="1000B756">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磋商所使用的资格、信誉、荣誉、业绩与企业认证必须为本法人所拥有。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投入所使用的采购项目实施人员必须为本法人员工（或必须为本法人或控股公司正式员工）。</w:t>
      </w:r>
    </w:p>
    <w:p w14:paraId="4DEC408B">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应仔细阅读磋商文件的所有内容，按照磋商文件的要求提交响应文件，并对所提供的全部资料的真实性承担法律责任。</w:t>
      </w:r>
    </w:p>
    <w:p w14:paraId="5DF4309A">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在采购活动中提供任何虚假材料，其磋商无效，并报采购监管部门查处；中标后发现的，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须依照《中华人民共和国消费者权益保护法》第49条之规定双倍赔偿采购人，且民事赔偿并不免除违法</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的行政与刑事责任。</w:t>
      </w:r>
    </w:p>
    <w:p w14:paraId="785B4689">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4.6本项目不允许转包、分包。如成交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出现转包或分包情形，采购单位有权取消其成交资格，且磋商保证金或履约保证金不予退还。</w:t>
      </w:r>
    </w:p>
    <w:p w14:paraId="76513282">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4.7 踏勘现场</w:t>
      </w:r>
    </w:p>
    <w:p w14:paraId="243C19D4">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4.7.1 </w:t>
      </w:r>
      <w:r>
        <w:rPr>
          <w:rFonts w:hint="eastAsia" w:ascii="宋体" w:hAnsi="宋体" w:eastAsia="宋体" w:cs="宋体"/>
          <w:color w:val="auto"/>
          <w:szCs w:val="21"/>
          <w:highlight w:val="none"/>
          <w:lang w:eastAsia="zh-CN"/>
        </w:rPr>
        <w:t>是否组织踏勘现场详见：供应商</w:t>
      </w:r>
      <w:r>
        <w:rPr>
          <w:rFonts w:hint="eastAsia" w:ascii="宋体" w:hAnsi="宋体" w:eastAsia="宋体" w:cs="宋体"/>
          <w:color w:val="auto"/>
          <w:szCs w:val="21"/>
          <w:highlight w:val="none"/>
        </w:rPr>
        <w:t>须知前附表</w:t>
      </w:r>
      <w:r>
        <w:rPr>
          <w:rFonts w:hint="eastAsia" w:ascii="宋体" w:hAnsi="宋体" w:eastAsia="宋体" w:cs="宋体"/>
          <w:color w:val="auto"/>
          <w:szCs w:val="21"/>
          <w:highlight w:val="none"/>
          <w:lang w:eastAsia="zh-CN"/>
        </w:rPr>
        <w:t>。</w:t>
      </w:r>
    </w:p>
    <w:p w14:paraId="0529C1A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须知前附表规定组织踏勘现场的，采购人按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须知前附表规定的时间、地点组织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踏勘项目现场。</w:t>
      </w:r>
    </w:p>
    <w:p w14:paraId="1F781914">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4.7.2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踏勘现场发生的费用自理。</w:t>
      </w:r>
    </w:p>
    <w:p w14:paraId="45CA6F1B">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4.7.3 除采购人的原因外，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自行负责在踏勘现场中所发生的人员伤亡和财产损失。</w:t>
      </w:r>
    </w:p>
    <w:p w14:paraId="4E0F0F59">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4.7.4 采购人在踏勘现场中介绍的工程场地和相关的周边环境情况，供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在编制响应文件时参考，采购人不对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据此作出的判断和决策负责。</w:t>
      </w:r>
    </w:p>
    <w:p w14:paraId="0B81F2F4">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4.8 磋商预备会</w:t>
      </w:r>
    </w:p>
    <w:p w14:paraId="56E11BD6">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是否组织磋商预备会详见：供应商</w:t>
      </w:r>
      <w:r>
        <w:rPr>
          <w:rFonts w:hint="eastAsia" w:ascii="宋体" w:hAnsi="宋体" w:eastAsia="宋体" w:cs="宋体"/>
          <w:color w:val="auto"/>
          <w:szCs w:val="21"/>
          <w:highlight w:val="none"/>
        </w:rPr>
        <w:t>须知前附表</w:t>
      </w:r>
    </w:p>
    <w:p w14:paraId="4718460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须知前附表规定召开磋商预备会的，采购人按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须知前附表规定的时间和地点召开磋商预备会，澄清</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提出的问题。</w:t>
      </w:r>
    </w:p>
    <w:p w14:paraId="39D1C71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须知前附表规定的时间前，以书面形式将提出的问题送达采购人，以便采购人在会议期间澄清。</w:t>
      </w:r>
    </w:p>
    <w:p w14:paraId="6D7E2C51">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4.8.3磋商预备会后</w:t>
      </w:r>
      <w:r>
        <w:rPr>
          <w:rFonts w:hint="eastAsia" w:ascii="宋体" w:hAnsi="宋体" w:eastAsia="宋体" w:cs="宋体"/>
          <w:color w:val="auto"/>
          <w:kern w:val="0"/>
          <w:szCs w:val="21"/>
          <w:highlight w:val="none"/>
        </w:rPr>
        <w:t>，采购人在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须知前附表规定的时间内，将对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所提问题的澄清，以书面方式通知所有购买响应文件的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。该澄清内容为响应文件的组成部分。</w:t>
      </w:r>
    </w:p>
    <w:p w14:paraId="43D3AE1C">
      <w:pPr>
        <w:pStyle w:val="4"/>
        <w:numPr>
          <w:ilvl w:val="0"/>
          <w:numId w:val="0"/>
        </w:numPr>
        <w:spacing w:before="0" w:after="0" w:line="360" w:lineRule="auto"/>
        <w:ind w:leftChars="200"/>
        <w:rPr>
          <w:rFonts w:hint="eastAsia" w:ascii="宋体" w:hAnsi="宋体" w:eastAsia="宋体" w:cs="宋体"/>
          <w:color w:val="auto"/>
          <w:sz w:val="21"/>
          <w:szCs w:val="21"/>
          <w:highlight w:val="none"/>
        </w:rPr>
      </w:pPr>
      <w:bookmarkStart w:id="55" w:name="_Toc486922959"/>
      <w:bookmarkStart w:id="56" w:name="_Toc486196142"/>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询问、质疑和投诉</w:t>
      </w:r>
      <w:bookmarkEnd w:id="55"/>
      <w:bookmarkEnd w:id="56"/>
    </w:p>
    <w:p w14:paraId="653C0C9A">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5.1询问。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如发现竞标文件内容有误或对采购活动事项有疑问的，应在投标截止日期前的正常工作时间以书面形式向采购人或采购代理机构提出询问、澄清。采购人或采购代理机构自收到之日起3个工作日内对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依法提出的询问作出答复，但答复的内容不得涉及商业秘密。</w:t>
      </w:r>
    </w:p>
    <w:p w14:paraId="7D7C9770">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5.2质疑。</w:t>
      </w:r>
    </w:p>
    <w:p w14:paraId="77328921">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认为采购文件、采购过程、中标或者成交结果使自己的权益受到损害的，可以在知道或者应知其权益受到损害之日起7个工作日内，以</w:t>
      </w:r>
      <w:r>
        <w:rPr>
          <w:rFonts w:hint="eastAsia" w:ascii="宋体" w:hAnsi="宋体" w:eastAsia="宋体" w:cs="宋体"/>
          <w:b/>
          <w:bCs/>
          <w:color w:val="auto"/>
          <w:highlight w:val="none"/>
        </w:rPr>
        <w:t>书面形式</w:t>
      </w:r>
      <w:r>
        <w:rPr>
          <w:rFonts w:hint="eastAsia" w:ascii="宋体" w:hAnsi="宋体" w:eastAsia="宋体" w:cs="宋体"/>
          <w:color w:val="auto"/>
          <w:highlight w:val="none"/>
        </w:rPr>
        <w:t>向采购人、采购代理机构提出质疑。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应在法定质疑期内一次性提出针对同一采购程序环节的质疑。</w:t>
      </w:r>
    </w:p>
    <w:p w14:paraId="3129AED6">
      <w:pPr>
        <w:tabs>
          <w:tab w:val="left" w:pos="2835"/>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（1）对可以质疑的</w:t>
      </w:r>
      <w:r>
        <w:rPr>
          <w:rFonts w:hint="eastAsia" w:ascii="宋体" w:hAnsi="宋体" w:eastAsia="宋体" w:cs="宋体"/>
          <w:color w:val="auto"/>
          <w:highlight w:val="none"/>
        </w:rPr>
        <w:t>采购文件</w:t>
      </w:r>
      <w:r>
        <w:rPr>
          <w:rFonts w:hint="eastAsia" w:ascii="宋体" w:hAnsi="宋体" w:eastAsia="宋体" w:cs="宋体"/>
          <w:color w:val="auto"/>
          <w:szCs w:val="21"/>
          <w:highlight w:val="none"/>
        </w:rPr>
        <w:t>提出质疑的，为收到</w:t>
      </w:r>
      <w:r>
        <w:rPr>
          <w:rFonts w:hint="eastAsia" w:ascii="宋体" w:hAnsi="宋体" w:eastAsia="宋体" w:cs="宋体"/>
          <w:color w:val="auto"/>
          <w:highlight w:val="none"/>
        </w:rPr>
        <w:t>采购文件</w:t>
      </w:r>
      <w:r>
        <w:rPr>
          <w:rFonts w:hint="eastAsia" w:ascii="宋体" w:hAnsi="宋体" w:eastAsia="宋体" w:cs="宋体"/>
          <w:color w:val="auto"/>
          <w:szCs w:val="21"/>
          <w:highlight w:val="none"/>
        </w:rPr>
        <w:t>之日；</w:t>
      </w:r>
    </w:p>
    <w:p w14:paraId="14BB50B7">
      <w:pPr>
        <w:tabs>
          <w:tab w:val="left" w:pos="2835"/>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（2）对采购过程提出质疑的，为各采购程序环节结束之日；</w:t>
      </w:r>
    </w:p>
    <w:p w14:paraId="03DDFD33">
      <w:pPr>
        <w:pStyle w:val="2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（3）对成交结果提出质疑的，为成交结果公告期限届满之日。</w:t>
      </w:r>
    </w:p>
    <w:p w14:paraId="735C9BB5">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5.2.2提出质疑的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（以下简称质疑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）应当是参与所质疑项目采购活动的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已依法获取其可质疑的采购文件的，可以对该文件提出质疑。对采购文件提出质疑的，应当在获取采购文件或者采购文件公告期限届满之日起7个工作日内提出。</w:t>
      </w:r>
    </w:p>
    <w:p w14:paraId="42A63299">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提出质疑应当提交质疑函和必要的证明材料。质疑函应当包括下列内容：</w:t>
      </w:r>
    </w:p>
    <w:p w14:paraId="49B4972F">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的姓名或者名称、地址、邮编、联系人及联系电话；</w:t>
      </w:r>
    </w:p>
    <w:p w14:paraId="7943A674">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AF295F1">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85EABAA">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5B91CBE3">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D48DB35">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47108CF">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质疑书应当署名。质疑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为自然人的，应当由本人签字；质疑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为法人或者其他组织的，应当由法定代表人或者主要负责人签字和盖章，并加盖公章。</w:t>
      </w:r>
    </w:p>
    <w:p w14:paraId="15113137">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可以委托代理人进行质疑。其授权委托书应当载明代理人的姓名或者名称、代理事项、具体权限、期限和相关事项。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为自然人的，应当由本人签字；</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为法人或者其他组织的，应当由法定代表人、主要负责人签字和盖章，并加盖公章。代理人提出质疑，应当提交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签署的授权委托书。</w:t>
      </w:r>
    </w:p>
    <w:p w14:paraId="29B43A12">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5.2.5质疑函应明确阐述采购文件、采购过程、中标或者成交结果中使自己合法权益受到损害的实质性内容，提供相关事实、依据和证据及其来源或线索，便于有关单位调查、答复和处理。</w:t>
      </w:r>
    </w:p>
    <w:p w14:paraId="5B64384C">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5.2.6本项目</w:t>
      </w:r>
      <w:r>
        <w:rPr>
          <w:rFonts w:hint="eastAsia" w:ascii="宋体" w:hAnsi="宋体" w:eastAsia="宋体" w:cs="宋体"/>
          <w:b/>
          <w:bCs/>
          <w:color w:val="auto"/>
          <w:highlight w:val="none"/>
        </w:rPr>
        <w:t>只接受纸质材料形式的质疑</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质疑、投诉应当采用书面形式</w:t>
      </w:r>
      <w:r>
        <w:rPr>
          <w:rFonts w:hint="eastAsia" w:ascii="宋体" w:hAnsi="宋体" w:eastAsia="宋体" w:cs="宋体"/>
          <w:color w:val="auto"/>
          <w:highlight w:val="none"/>
        </w:rPr>
        <w:t>，不接受电子送达的质疑材料，即不接受以传真、电子邮件、移动通信等即时收悉的特定系统作为送达媒介的质疑材料。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应在法定时间向采购人或采购代理机构提出质疑，接收质疑函的联系部门、联系电话和通讯地址见招标公告。不满足要求的质疑将不予受理。</w:t>
      </w:r>
    </w:p>
    <w:p w14:paraId="2A1FCE32">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5.2.7采购人、采购代理机构在收到</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的质疑函后7个工作日内作出答复，并以书面形式通知质疑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和其他有关</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。但答复的内容不得涉及商业秘密。</w:t>
      </w:r>
    </w:p>
    <w:p w14:paraId="7541AA90">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5.3投诉。质疑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对采购人、采购代理机构的答复不满意，或者采购人、采购代理机构未在规定时间内作出答复的，可以在答复期满后15个工作日内向同级财政部门提起投诉。</w:t>
      </w:r>
    </w:p>
    <w:p w14:paraId="678BABFB">
      <w:pPr>
        <w:pStyle w:val="20"/>
        <w:spacing w:line="360" w:lineRule="auto"/>
        <w:ind w:firstLine="420"/>
        <w:rPr>
          <w:rFonts w:hint="eastAsia" w:ascii="宋体" w:hAnsi="宋体" w:eastAsia="宋体" w:cs="宋体"/>
          <w:color w:val="auto"/>
          <w:highlight w:val="none"/>
        </w:rPr>
      </w:pPr>
    </w:p>
    <w:p w14:paraId="39E4E87C">
      <w:pPr>
        <w:spacing w:line="360" w:lineRule="auto"/>
        <w:jc w:val="center"/>
        <w:rPr>
          <w:rFonts w:hint="eastAsia" w:ascii="宋体" w:hAnsi="宋体" w:eastAsia="宋体" w:cs="宋体"/>
          <w:b/>
          <w:bCs/>
          <w:color w:val="auto"/>
          <w:sz w:val="24"/>
          <w:szCs w:val="32"/>
          <w:highlight w:val="none"/>
        </w:rPr>
      </w:pPr>
      <w:bookmarkStart w:id="57" w:name="_Toc239839866"/>
      <w:bookmarkStart w:id="58" w:name="_Toc206525685"/>
      <w:bookmarkStart w:id="59" w:name="_Toc230578060"/>
      <w:bookmarkStart w:id="60" w:name="_Toc486922960"/>
      <w:bookmarkStart w:id="61" w:name="_Toc207770838"/>
      <w:bookmarkStart w:id="62" w:name="_Toc185702552"/>
      <w:bookmarkStart w:id="63" w:name="_Toc486196143"/>
      <w:r>
        <w:rPr>
          <w:rFonts w:hint="eastAsia" w:ascii="宋体" w:hAnsi="宋体" w:eastAsia="宋体" w:cs="宋体"/>
          <w:b/>
          <w:bCs/>
          <w:color w:val="auto"/>
          <w:sz w:val="24"/>
          <w:szCs w:val="32"/>
          <w:highlight w:val="none"/>
        </w:rPr>
        <w:t>二</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rPr>
        <w:t>竞争性磋商文件（简称磋商文件或采购文件）</w:t>
      </w:r>
      <w:bookmarkEnd w:id="57"/>
      <w:bookmarkEnd w:id="58"/>
      <w:bookmarkEnd w:id="59"/>
      <w:bookmarkEnd w:id="60"/>
      <w:bookmarkEnd w:id="61"/>
      <w:bookmarkEnd w:id="62"/>
      <w:bookmarkEnd w:id="63"/>
    </w:p>
    <w:p w14:paraId="44ACF845">
      <w:pPr>
        <w:pStyle w:val="4"/>
        <w:spacing w:before="0" w:after="0" w:line="360" w:lineRule="auto"/>
        <w:rPr>
          <w:rFonts w:hint="eastAsia" w:ascii="宋体" w:hAnsi="宋体" w:eastAsia="宋体" w:cs="宋体"/>
          <w:color w:val="auto"/>
          <w:sz w:val="21"/>
          <w:szCs w:val="21"/>
          <w:highlight w:val="none"/>
        </w:rPr>
      </w:pPr>
      <w:bookmarkStart w:id="64" w:name="_Toc239839867"/>
      <w:bookmarkStart w:id="65" w:name="_Toc230578061"/>
      <w:bookmarkStart w:id="66" w:name="_Toc486196144"/>
      <w:bookmarkStart w:id="67" w:name="_Toc207770839"/>
      <w:bookmarkStart w:id="68" w:name="_Toc486922961"/>
      <w:bookmarkStart w:id="69" w:name="_Toc206525686"/>
      <w:bookmarkStart w:id="70" w:name="_Toc185702553"/>
      <w:r>
        <w:rPr>
          <w:rFonts w:hint="eastAsia" w:ascii="宋体" w:hAnsi="宋体" w:eastAsia="宋体" w:cs="宋体"/>
          <w:color w:val="auto"/>
          <w:sz w:val="21"/>
          <w:szCs w:val="21"/>
          <w:highlight w:val="none"/>
        </w:rPr>
        <w:t>6．磋商文件的构成</w:t>
      </w:r>
      <w:bookmarkEnd w:id="64"/>
      <w:bookmarkEnd w:id="65"/>
      <w:bookmarkEnd w:id="66"/>
      <w:bookmarkEnd w:id="67"/>
      <w:bookmarkEnd w:id="68"/>
      <w:bookmarkEnd w:id="69"/>
      <w:bookmarkEnd w:id="70"/>
    </w:p>
    <w:p w14:paraId="12116CA0">
      <w:pPr>
        <w:pStyle w:val="2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6.1磋商文件由下列文件以及在采购过程中发出的更改、修正和补充文件组成：</w:t>
      </w:r>
    </w:p>
    <w:p w14:paraId="403F7752">
      <w:pPr>
        <w:pStyle w:val="20"/>
        <w:spacing w:line="360" w:lineRule="auto"/>
        <w:ind w:firstLine="426"/>
        <w:rPr>
          <w:rFonts w:hint="eastAsia" w:ascii="宋体" w:hAnsi="宋体" w:eastAsia="宋体" w:cs="宋体"/>
          <w:color w:val="auto"/>
          <w:highlight w:val="none"/>
        </w:rPr>
      </w:pPr>
      <w:r>
        <w:rPr>
          <w:rFonts w:hint="eastAsia" w:ascii="宋体" w:hAnsi="宋体" w:eastAsia="宋体" w:cs="宋体"/>
          <w:color w:val="auto"/>
          <w:highlight w:val="none"/>
        </w:rPr>
        <w:t>第一章  竞争性磋商公告</w:t>
      </w:r>
    </w:p>
    <w:p w14:paraId="296C2C29">
      <w:pPr>
        <w:pStyle w:val="20"/>
        <w:spacing w:line="360" w:lineRule="auto"/>
        <w:ind w:firstLine="426"/>
        <w:rPr>
          <w:rFonts w:hint="eastAsia" w:ascii="宋体" w:hAnsi="宋体" w:eastAsia="宋体" w:cs="宋体"/>
          <w:color w:val="auto"/>
          <w:highlight w:val="none"/>
        </w:rPr>
      </w:pPr>
      <w:r>
        <w:rPr>
          <w:rFonts w:hint="eastAsia" w:ascii="宋体" w:hAnsi="宋体" w:eastAsia="宋体" w:cs="宋体"/>
          <w:color w:val="auto"/>
          <w:highlight w:val="none"/>
        </w:rPr>
        <w:t xml:space="preserve">第二章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须知及前附表</w:t>
      </w:r>
    </w:p>
    <w:p w14:paraId="0F1EA773">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第三章  采购内容及要求</w:t>
      </w:r>
    </w:p>
    <w:p w14:paraId="16591A26">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第四章  政府采购合同（格式）</w:t>
      </w:r>
    </w:p>
    <w:p w14:paraId="4FAC753E">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第五章  评标办法</w:t>
      </w:r>
    </w:p>
    <w:p w14:paraId="0022E4C5">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第六章  响应文件（格式）</w:t>
      </w:r>
    </w:p>
    <w:p w14:paraId="3DE76A64">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第七章  附件</w:t>
      </w:r>
    </w:p>
    <w:p w14:paraId="3AE3A084">
      <w:pPr>
        <w:pStyle w:val="2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应认真阅读、并充分理解磋商文件的全部内容（包括所有的补充、修改内容、重要事项、格式、条款和技术规范、参数及要求等）。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没有按照磋商文件要求提交全部资料，或者响应文件没有对磋商文件在各方面都做出实质性响应是</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的风险，有可能导致其响应文件被拒绝，或被认定为无效响应文件或被确定为响应无效。</w:t>
      </w:r>
    </w:p>
    <w:p w14:paraId="40A26620">
      <w:pPr>
        <w:pStyle w:val="4"/>
        <w:spacing w:before="0" w:after="0" w:line="360" w:lineRule="auto"/>
        <w:rPr>
          <w:rFonts w:hint="eastAsia" w:ascii="宋体" w:hAnsi="宋体" w:eastAsia="宋体" w:cs="宋体"/>
          <w:color w:val="auto"/>
          <w:sz w:val="21"/>
          <w:szCs w:val="21"/>
          <w:highlight w:val="none"/>
        </w:rPr>
      </w:pPr>
      <w:bookmarkStart w:id="71" w:name="_Toc185702554"/>
      <w:bookmarkStart w:id="72" w:name="_Toc207770840"/>
      <w:bookmarkStart w:id="73" w:name="_Toc486196145"/>
      <w:bookmarkStart w:id="74" w:name="_Toc239839868"/>
      <w:bookmarkStart w:id="75" w:name="_Toc206525687"/>
      <w:bookmarkStart w:id="76" w:name="_Toc230578062"/>
      <w:bookmarkStart w:id="77" w:name="_Toc486922962"/>
      <w:r>
        <w:rPr>
          <w:rFonts w:hint="eastAsia" w:ascii="宋体" w:hAnsi="宋体" w:eastAsia="宋体" w:cs="宋体"/>
          <w:color w:val="auto"/>
          <w:sz w:val="21"/>
          <w:szCs w:val="21"/>
          <w:highlight w:val="none"/>
        </w:rPr>
        <w:t>7．磋商文件的澄清和修改</w:t>
      </w:r>
      <w:bookmarkEnd w:id="71"/>
      <w:bookmarkEnd w:id="72"/>
      <w:bookmarkEnd w:id="73"/>
      <w:bookmarkEnd w:id="74"/>
      <w:bookmarkEnd w:id="75"/>
      <w:bookmarkEnd w:id="76"/>
      <w:bookmarkEnd w:id="77"/>
    </w:p>
    <w:p w14:paraId="362CC995">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如发现采购文件内容有误或对采购活动事项有疑问的，应在提交首次响应文件磋商</w:t>
      </w:r>
      <w:r>
        <w:rPr>
          <w:rFonts w:hint="eastAsia" w:ascii="宋体" w:hAnsi="宋体" w:eastAsia="宋体" w:cs="宋体"/>
          <w:color w:val="auto"/>
          <w:highlight w:val="none"/>
          <w:lang w:eastAsia="zh-CN"/>
        </w:rPr>
        <w:t>截止之</w:t>
      </w:r>
      <w:r>
        <w:rPr>
          <w:rFonts w:hint="eastAsia" w:ascii="宋体" w:hAnsi="宋体" w:eastAsia="宋体" w:cs="宋体"/>
          <w:color w:val="auto"/>
          <w:highlight w:val="none"/>
          <w:lang w:val="en-US" w:eastAsia="zh-CN"/>
        </w:rPr>
        <w:t>日</w:t>
      </w:r>
      <w:r>
        <w:rPr>
          <w:rFonts w:hint="eastAsia" w:ascii="宋体" w:hAnsi="宋体" w:eastAsia="宋体" w:cs="宋体"/>
          <w:color w:val="auto"/>
          <w:highlight w:val="none"/>
          <w:lang w:eastAsia="zh-CN"/>
        </w:rPr>
        <w:t>前的正常工作时间</w:t>
      </w:r>
      <w:r>
        <w:rPr>
          <w:rFonts w:hint="eastAsia" w:ascii="宋体" w:hAnsi="宋体" w:eastAsia="宋体" w:cs="宋体"/>
          <w:color w:val="auto"/>
          <w:highlight w:val="none"/>
        </w:rPr>
        <w:t>以书面形式向采购人或采购代理机构提出澄清或者询问。采购人、采购代理机构将在3个工作日内对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依法提出的询问作出答复。</w:t>
      </w:r>
    </w:p>
    <w:p w14:paraId="56B2A8C2">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7.2提交首次响应文件截止之日前，采购人、采购代理机构对已发出的磋商文件进行必要的澄清或者修改。如澄清或者修改的内容可能影响响应文件编制的，在提交首次响应文件截止之日5日前，在采购信息发布媒体发布更正公告</w:t>
      </w:r>
      <w:r>
        <w:rPr>
          <w:rFonts w:hint="eastAsia" w:ascii="宋体" w:hAnsi="宋体" w:eastAsia="宋体" w:cs="宋体"/>
          <w:color w:val="auto"/>
          <w:highlight w:val="none"/>
          <w:lang w:eastAsia="zh-CN"/>
        </w:rPr>
        <w:t>，不足5日的，采购人、采购代理机构应当顺延提交首次响应文件截止时间</w:t>
      </w:r>
      <w:r>
        <w:rPr>
          <w:rFonts w:hint="eastAsia" w:ascii="宋体" w:hAnsi="宋体" w:eastAsia="宋体" w:cs="宋体"/>
          <w:color w:val="auto"/>
          <w:highlight w:val="none"/>
        </w:rPr>
        <w:t>。</w:t>
      </w:r>
    </w:p>
    <w:p w14:paraId="47231B7F">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7.3采购人、采购代理机构可视具体情况，延长磋商截止时间和开标时间的，在提交首次响应文件截止时间2日前，在采购信息发布媒体上发布变更公告。</w:t>
      </w:r>
    </w:p>
    <w:p w14:paraId="664E28FC">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7.4所有与本项目相关的澄清、修改、补遗的内容作为磋商文件的组成部分。该所有通知文件在采购信息媒体发布之日起，视为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已收到该通知。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未及时关注网站上发布的通知文件造成的损失，由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负责。</w:t>
      </w:r>
    </w:p>
    <w:p w14:paraId="5C27B18A">
      <w:pPr>
        <w:pStyle w:val="20"/>
        <w:spacing w:line="360" w:lineRule="auto"/>
        <w:ind w:firstLine="420"/>
        <w:rPr>
          <w:rFonts w:hint="eastAsia" w:ascii="宋体" w:hAnsi="宋体" w:eastAsia="宋体" w:cs="宋体"/>
          <w:color w:val="auto"/>
          <w:highlight w:val="none"/>
        </w:rPr>
      </w:pPr>
    </w:p>
    <w:p w14:paraId="60313A5E">
      <w:pPr>
        <w:spacing w:line="360" w:lineRule="auto"/>
        <w:jc w:val="center"/>
        <w:rPr>
          <w:rFonts w:hint="eastAsia" w:ascii="宋体" w:hAnsi="宋体" w:eastAsia="宋体" w:cs="宋体"/>
          <w:b/>
          <w:bCs/>
          <w:color w:val="auto"/>
          <w:sz w:val="24"/>
          <w:szCs w:val="24"/>
          <w:highlight w:val="none"/>
        </w:rPr>
      </w:pPr>
      <w:bookmarkStart w:id="78" w:name="_Toc185702555"/>
      <w:bookmarkStart w:id="79" w:name="_Toc486196146"/>
      <w:bookmarkStart w:id="80" w:name="_Toc230578063"/>
      <w:bookmarkStart w:id="81" w:name="_Toc239839869"/>
      <w:bookmarkStart w:id="82" w:name="_Toc486922963"/>
      <w:bookmarkStart w:id="83" w:name="_Toc207770841"/>
      <w:bookmarkStart w:id="84" w:name="_Toc206525688"/>
      <w:r>
        <w:rPr>
          <w:rFonts w:hint="eastAsia" w:ascii="宋体" w:hAnsi="宋体" w:eastAsia="宋体" w:cs="宋体"/>
          <w:b/>
          <w:bCs/>
          <w:color w:val="auto"/>
          <w:sz w:val="24"/>
          <w:szCs w:val="24"/>
          <w:highlight w:val="none"/>
        </w:rPr>
        <w:t>三   响应文件的编制</w:t>
      </w:r>
      <w:bookmarkEnd w:id="78"/>
      <w:bookmarkEnd w:id="79"/>
      <w:bookmarkEnd w:id="80"/>
      <w:bookmarkEnd w:id="81"/>
      <w:bookmarkEnd w:id="82"/>
      <w:bookmarkEnd w:id="83"/>
      <w:bookmarkEnd w:id="84"/>
    </w:p>
    <w:p w14:paraId="09E91FAE">
      <w:pPr>
        <w:pStyle w:val="4"/>
        <w:spacing w:before="0" w:after="0" w:line="360" w:lineRule="auto"/>
        <w:rPr>
          <w:rFonts w:hint="eastAsia" w:ascii="宋体" w:hAnsi="宋体" w:eastAsia="宋体" w:cs="宋体"/>
          <w:color w:val="auto"/>
          <w:sz w:val="21"/>
          <w:szCs w:val="21"/>
          <w:highlight w:val="none"/>
        </w:rPr>
      </w:pPr>
      <w:bookmarkStart w:id="85" w:name="_Toc239839870"/>
      <w:bookmarkStart w:id="86" w:name="_Toc185702556"/>
      <w:bookmarkStart w:id="87" w:name="_Toc207770842"/>
      <w:bookmarkStart w:id="88" w:name="_Toc230578064"/>
      <w:bookmarkStart w:id="89" w:name="_Toc206525689"/>
      <w:bookmarkStart w:id="90" w:name="_Toc486922964"/>
      <w:bookmarkStart w:id="91" w:name="_Toc486196147"/>
      <w:r>
        <w:rPr>
          <w:rFonts w:hint="eastAsia" w:ascii="宋体" w:hAnsi="宋体" w:eastAsia="宋体" w:cs="宋体"/>
          <w:color w:val="auto"/>
          <w:sz w:val="21"/>
          <w:szCs w:val="21"/>
          <w:highlight w:val="none"/>
        </w:rPr>
        <w:t>8．响应文件编</w:t>
      </w:r>
      <w:bookmarkEnd w:id="85"/>
      <w:bookmarkEnd w:id="86"/>
      <w:bookmarkEnd w:id="87"/>
      <w:bookmarkEnd w:id="88"/>
      <w:bookmarkEnd w:id="89"/>
      <w:r>
        <w:rPr>
          <w:rFonts w:hint="eastAsia" w:ascii="宋体" w:hAnsi="宋体" w:eastAsia="宋体" w:cs="宋体"/>
          <w:color w:val="auto"/>
          <w:sz w:val="21"/>
          <w:szCs w:val="21"/>
          <w:highlight w:val="none"/>
        </w:rPr>
        <w:t>制</w:t>
      </w:r>
      <w:bookmarkEnd w:id="90"/>
      <w:bookmarkEnd w:id="91"/>
    </w:p>
    <w:p w14:paraId="62505547">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8.1</w:t>
      </w:r>
      <w:r>
        <w:rPr>
          <w:rFonts w:hint="eastAsia" w:hAnsi="宋体" w:cs="宋体"/>
          <w:color w:val="auto"/>
          <w:highlight w:val="none"/>
          <w:lang w:eastAsia="zh-CN"/>
        </w:rPr>
        <w:t>磋商</w:t>
      </w:r>
      <w:r>
        <w:rPr>
          <w:rFonts w:hint="eastAsia" w:ascii="宋体" w:hAnsi="宋体" w:eastAsia="宋体" w:cs="宋体"/>
          <w:color w:val="auto"/>
          <w:highlight w:val="none"/>
        </w:rPr>
        <w:t>供应商对竞争性</w:t>
      </w:r>
      <w:r>
        <w:rPr>
          <w:rFonts w:hint="eastAsia" w:hAnsi="宋体" w:cs="宋体"/>
          <w:color w:val="auto"/>
          <w:highlight w:val="none"/>
          <w:lang w:eastAsia="zh-CN"/>
        </w:rPr>
        <w:t>磋商</w:t>
      </w:r>
      <w:r>
        <w:rPr>
          <w:rFonts w:hint="eastAsia" w:ascii="宋体" w:hAnsi="宋体" w:eastAsia="宋体" w:cs="宋体"/>
          <w:color w:val="auto"/>
          <w:szCs w:val="21"/>
          <w:highlight w:val="none"/>
        </w:rPr>
        <w:t>电子</w:t>
      </w:r>
      <w:r>
        <w:rPr>
          <w:rFonts w:hint="eastAsia" w:ascii="宋体" w:hAnsi="宋体" w:eastAsia="宋体" w:cs="宋体"/>
          <w:color w:val="auto"/>
          <w:highlight w:val="none"/>
        </w:rPr>
        <w:t>响应文件的编制应按</w:t>
      </w:r>
      <w:r>
        <w:rPr>
          <w:rFonts w:hint="eastAsia" w:hAnsi="宋体" w:cs="宋体"/>
          <w:color w:val="auto"/>
          <w:szCs w:val="21"/>
          <w:highlight w:val="none"/>
          <w:lang w:eastAsia="zh-CN"/>
        </w:rPr>
        <w:t>广西政府采购云平台</w:t>
      </w:r>
      <w:r>
        <w:rPr>
          <w:rFonts w:hint="eastAsia" w:ascii="宋体" w:hAnsi="宋体" w:eastAsia="宋体" w:cs="宋体"/>
          <w:color w:val="auto"/>
          <w:szCs w:val="21"/>
          <w:highlight w:val="none"/>
        </w:rPr>
        <w:t>要求及本</w:t>
      </w:r>
      <w:r>
        <w:rPr>
          <w:rFonts w:hint="eastAsia" w:hAnsi="宋体" w:cs="宋体"/>
          <w:color w:val="auto"/>
          <w:szCs w:val="21"/>
          <w:highlight w:val="none"/>
          <w:lang w:eastAsia="zh-CN"/>
        </w:rPr>
        <w:t>磋商</w:t>
      </w:r>
      <w:r>
        <w:rPr>
          <w:rFonts w:hint="eastAsia" w:ascii="宋体" w:hAnsi="宋体" w:eastAsia="宋体" w:cs="宋体"/>
          <w:color w:val="auto"/>
          <w:szCs w:val="21"/>
          <w:highlight w:val="none"/>
        </w:rPr>
        <w:t>文件要求制作、加密并递交。具体操作流程可参考《政府采购项目电子交易管理操作指南-供应商》，指南可在“</w:t>
      </w:r>
      <w:r>
        <w:rPr>
          <w:rFonts w:hint="eastAsia" w:ascii="宋体" w:hAnsi="宋体" w:eastAsia="宋体" w:cs="宋体"/>
          <w:color w:val="auto"/>
          <w:szCs w:val="21"/>
          <w:highlight w:val="none"/>
          <w:lang w:val="en-US" w:eastAsia="zh-CN"/>
        </w:rPr>
        <w:t>广西壮族自治区</w:t>
      </w:r>
      <w:r>
        <w:rPr>
          <w:rFonts w:hint="eastAsia" w:ascii="宋体" w:hAnsi="宋体" w:eastAsia="宋体" w:cs="宋体"/>
          <w:color w:val="auto"/>
          <w:szCs w:val="21"/>
          <w:highlight w:val="none"/>
        </w:rPr>
        <w:t>政府采购中心网站-办事指南-政府采购项目电子交易管理操作指南”下载。</w:t>
      </w:r>
    </w:p>
    <w:p w14:paraId="6B10EF4C">
      <w:pPr>
        <w:pStyle w:val="20"/>
        <w:spacing w:line="360" w:lineRule="auto"/>
        <w:ind w:left="420" w:hanging="412" w:hangingChars="200"/>
        <w:rPr>
          <w:rFonts w:hint="eastAsia" w:ascii="宋体" w:hAnsi="宋体" w:eastAsia="宋体" w:cs="宋体"/>
          <w:color w:val="auto"/>
          <w:highlight w:val="none"/>
        </w:rPr>
      </w:pPr>
      <w:r>
        <w:rPr>
          <w:rFonts w:hint="eastAsia" w:ascii="宋体" w:hAnsi="宋体" w:eastAsia="宋体" w:cs="宋体"/>
          <w:color w:val="auto"/>
          <w:spacing w:val="-2"/>
          <w:highlight w:val="none"/>
        </w:rPr>
        <w:t>8.2</w:t>
      </w:r>
      <w:r>
        <w:rPr>
          <w:rFonts w:hint="eastAsia" w:hAnsi="宋体" w:cs="宋体"/>
          <w:color w:val="auto"/>
          <w:highlight w:val="none"/>
          <w:lang w:eastAsia="zh-CN"/>
        </w:rPr>
        <w:t>磋商</w:t>
      </w:r>
      <w:r>
        <w:rPr>
          <w:rFonts w:hint="eastAsia" w:ascii="宋体" w:hAnsi="宋体" w:eastAsia="宋体" w:cs="宋体"/>
          <w:color w:val="auto"/>
          <w:highlight w:val="none"/>
        </w:rPr>
        <w:t>供应商应认真阅读、并充分理解本文件的全部内容（包括所有的补充、修改内容），承诺并履行本文件中各项条款规定及要求。</w:t>
      </w:r>
    </w:p>
    <w:p w14:paraId="2DF854A2">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8.3在磋商报价表中，</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必须按格式文件完整填写，不能自行修改格式内容。</w:t>
      </w:r>
    </w:p>
    <w:p w14:paraId="502DD586">
      <w:pPr>
        <w:pStyle w:val="20"/>
        <w:spacing w:line="360" w:lineRule="auto"/>
        <w:ind w:left="420" w:hanging="420" w:hanging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8.3供应商应认真阅读、并充分理解本文件的全部内容（包括所有的补充、修改内容），承诺并履行本文件中各项条款规定及要求。</w:t>
      </w:r>
    </w:p>
    <w:p w14:paraId="58A0F6DA">
      <w:pPr>
        <w:pStyle w:val="20"/>
        <w:spacing w:line="360" w:lineRule="auto"/>
        <w:ind w:left="420" w:hanging="420" w:hanging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8.4响应文件必须按本文件的全部内容，包括所有的补充通知及附件进行编制。</w:t>
      </w:r>
    </w:p>
    <w:p w14:paraId="7764D398">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8.5如因供应商只填写和提供了本文件要求的部分内容和附件，而给评审造成困难，其可能导致的结果和责任由供应商自行承担。</w:t>
      </w:r>
    </w:p>
    <w:p w14:paraId="6B8C1C90">
      <w:pPr>
        <w:pStyle w:val="4"/>
        <w:spacing w:before="0" w:after="0" w:line="360" w:lineRule="auto"/>
        <w:rPr>
          <w:rFonts w:hint="eastAsia" w:ascii="宋体" w:hAnsi="宋体" w:eastAsia="宋体" w:cs="宋体"/>
          <w:color w:val="auto"/>
          <w:sz w:val="21"/>
          <w:szCs w:val="21"/>
          <w:highlight w:val="none"/>
        </w:rPr>
      </w:pPr>
      <w:bookmarkStart w:id="92" w:name="_Toc486196148"/>
      <w:bookmarkStart w:id="93" w:name="_Toc486922965"/>
      <w:bookmarkStart w:id="94" w:name="_Toc207770843"/>
      <w:bookmarkStart w:id="95" w:name="_Toc206525690"/>
      <w:bookmarkStart w:id="96" w:name="_Toc185702557"/>
      <w:bookmarkStart w:id="97" w:name="_Toc230578065"/>
      <w:bookmarkStart w:id="98" w:name="_Toc239839871"/>
      <w:r>
        <w:rPr>
          <w:rFonts w:hint="eastAsia" w:ascii="宋体" w:hAnsi="宋体" w:eastAsia="宋体" w:cs="宋体"/>
          <w:color w:val="auto"/>
          <w:sz w:val="21"/>
          <w:szCs w:val="21"/>
          <w:highlight w:val="none"/>
        </w:rPr>
        <w:t>9．响应文件的文字及计量单位</w:t>
      </w:r>
      <w:bookmarkEnd w:id="92"/>
      <w:bookmarkEnd w:id="93"/>
      <w:bookmarkEnd w:id="94"/>
      <w:bookmarkEnd w:id="95"/>
      <w:bookmarkEnd w:id="96"/>
      <w:bookmarkEnd w:id="97"/>
      <w:bookmarkEnd w:id="98"/>
    </w:p>
    <w:p w14:paraId="1437F147">
      <w:pPr>
        <w:pStyle w:val="20"/>
        <w:spacing w:line="360" w:lineRule="auto"/>
        <w:ind w:left="404" w:hanging="404" w:hanging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9.1</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提交的响应文件以及</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与采购人、采购代理机构就有关磋商的所有来往函电均应使用中文</w:t>
      </w:r>
      <w:r>
        <w:rPr>
          <w:rFonts w:hint="eastAsia" w:ascii="宋体" w:hAnsi="宋体" w:eastAsia="宋体" w:cs="宋体"/>
          <w:color w:val="auto"/>
          <w:spacing w:val="-4"/>
          <w:highlight w:val="none"/>
          <w:lang w:eastAsia="zh-CN"/>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提交的支持文件和印刷的文献可以使用别的语言，但其相应内容必须附有中文翻译文本，在解释响应文件时以翻译文本为主。</w:t>
      </w:r>
      <w:r>
        <w:rPr>
          <w:rFonts w:hint="eastAsia" w:ascii="宋体" w:hAnsi="宋体" w:eastAsia="宋体" w:cs="宋体"/>
          <w:color w:val="auto"/>
          <w:spacing w:val="-4"/>
          <w:highlight w:val="none"/>
        </w:rPr>
        <w:t>（另有规定的除外）。</w:t>
      </w:r>
    </w:p>
    <w:p w14:paraId="0713567C">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9.2响应文件使用的计量单位除磋商文件中有特殊规定外，一律使用法定计量单位。</w:t>
      </w:r>
    </w:p>
    <w:p w14:paraId="609D78E9">
      <w:pPr>
        <w:pStyle w:val="4"/>
        <w:numPr>
          <w:ilvl w:val="0"/>
          <w:numId w:val="2"/>
        </w:numPr>
        <w:spacing w:before="0" w:after="0" w:line="360" w:lineRule="auto"/>
        <w:rPr>
          <w:rFonts w:hint="eastAsia" w:ascii="宋体" w:hAnsi="宋体" w:eastAsia="宋体" w:cs="宋体"/>
          <w:color w:val="auto"/>
          <w:sz w:val="21"/>
          <w:szCs w:val="21"/>
          <w:highlight w:val="none"/>
        </w:rPr>
      </w:pPr>
      <w:bookmarkStart w:id="99" w:name="_Toc239839872"/>
      <w:bookmarkStart w:id="100" w:name="_Toc486196149"/>
      <w:bookmarkStart w:id="101" w:name="_Toc207770844"/>
      <w:bookmarkStart w:id="102" w:name="_Toc185702558"/>
      <w:bookmarkStart w:id="103" w:name="_Toc230578066"/>
      <w:bookmarkStart w:id="104" w:name="_Toc486922966"/>
      <w:bookmarkStart w:id="105" w:name="_Toc206525691"/>
      <w:r>
        <w:rPr>
          <w:rFonts w:hint="eastAsia" w:ascii="宋体" w:hAnsi="宋体" w:eastAsia="宋体" w:cs="宋体"/>
          <w:color w:val="auto"/>
          <w:sz w:val="21"/>
          <w:szCs w:val="21"/>
          <w:highlight w:val="none"/>
        </w:rPr>
        <w:t>响应文件的构成</w:t>
      </w:r>
      <w:bookmarkEnd w:id="99"/>
      <w:bookmarkEnd w:id="100"/>
      <w:bookmarkEnd w:id="101"/>
      <w:bookmarkEnd w:id="102"/>
      <w:bookmarkEnd w:id="103"/>
      <w:bookmarkEnd w:id="104"/>
      <w:bookmarkEnd w:id="105"/>
    </w:p>
    <w:p w14:paraId="462F622F">
      <w:pPr>
        <w:pStyle w:val="20"/>
        <w:numPr>
          <w:ilvl w:val="0"/>
          <w:numId w:val="0"/>
        </w:numPr>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lang w:eastAsia="zh-CN"/>
        </w:rPr>
        <w:t>注：（</w:t>
      </w:r>
      <w:r>
        <w:rPr>
          <w:rFonts w:hint="eastAsia" w:ascii="宋体" w:hAnsi="宋体" w:eastAsia="宋体" w:cs="宋体"/>
          <w:b/>
          <w:color w:val="auto"/>
          <w:sz w:val="21"/>
          <w:highlight w:val="none"/>
          <w:lang w:val="en-US" w:eastAsia="zh-CN"/>
        </w:rPr>
        <w:t>1、</w:t>
      </w:r>
      <w:r>
        <w:rPr>
          <w:rFonts w:hint="eastAsia" w:ascii="宋体" w:hAnsi="宋体" w:eastAsia="宋体" w:cs="宋体"/>
          <w:b/>
          <w:color w:val="auto"/>
          <w:sz w:val="21"/>
          <w:highlight w:val="none"/>
        </w:rPr>
        <w:t>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文件中所须</w:t>
      </w:r>
      <w:r>
        <w:rPr>
          <w:rFonts w:hint="eastAsia" w:ascii="宋体" w:hAnsi="宋体" w:eastAsia="宋体" w:cs="宋体"/>
          <w:b/>
          <w:color w:val="auto"/>
          <w:sz w:val="21"/>
          <w:highlight w:val="none"/>
          <w:lang w:eastAsia="zh-CN"/>
        </w:rPr>
        <w:t>电子签章</w:t>
      </w:r>
      <w:r>
        <w:rPr>
          <w:rFonts w:hint="eastAsia" w:ascii="宋体" w:hAnsi="宋体" w:eastAsia="宋体" w:cs="宋体"/>
          <w:b/>
          <w:color w:val="auto"/>
          <w:sz w:val="21"/>
          <w:highlight w:val="none"/>
        </w:rPr>
        <w:t>部分均采用CA签章。若</w:t>
      </w:r>
      <w:r>
        <w:rPr>
          <w:rFonts w:hint="eastAsia" w:ascii="宋体" w:hAnsi="宋体" w:eastAsia="宋体" w:cs="宋体"/>
          <w:b/>
          <w:color w:val="auto"/>
          <w:sz w:val="21"/>
          <w:highlight w:val="none"/>
          <w:lang w:eastAsia="zh-CN"/>
        </w:rPr>
        <w:t>磋商</w:t>
      </w:r>
      <w:r>
        <w:rPr>
          <w:rFonts w:hint="eastAsia" w:ascii="宋体" w:hAnsi="宋体" w:eastAsia="宋体" w:cs="宋体"/>
          <w:b/>
          <w:color w:val="auto"/>
          <w:sz w:val="21"/>
          <w:highlight w:val="none"/>
        </w:rPr>
        <w:t>文件中有专门标注的某关联点，并要求供应商在电子投标系统中作出投标响应的，如供应商未对关联点进行响应或者在投标文件其它内容进行描述，造成电子评审不能查询的责任由供应商自行承担。</w:t>
      </w:r>
    </w:p>
    <w:p w14:paraId="35B53573">
      <w:pPr>
        <w:numPr>
          <w:ilvl w:val="0"/>
          <w:numId w:val="0"/>
        </w:numPr>
        <w:spacing w:line="360" w:lineRule="auto"/>
        <w:rPr>
          <w:rFonts w:hint="eastAsia" w:ascii="宋体" w:hAnsi="宋体" w:eastAsia="宋体" w:cs="宋体"/>
          <w:color w:val="auto"/>
        </w:rPr>
      </w:pPr>
      <w:r>
        <w:rPr>
          <w:rFonts w:hint="eastAsia" w:ascii="宋体" w:hAnsi="宋体" w:eastAsia="宋体" w:cs="宋体"/>
          <w:b/>
          <w:color w:val="auto"/>
          <w:sz w:val="21"/>
          <w:highlight w:val="none"/>
          <w:lang w:val="en-US" w:eastAsia="zh-CN"/>
        </w:rPr>
        <w:t>2、</w:t>
      </w:r>
      <w:r>
        <w:rPr>
          <w:rFonts w:hint="eastAsia" w:ascii="宋体" w:hAnsi="宋体" w:eastAsia="宋体" w:cs="宋体"/>
          <w:b/>
          <w:color w:val="auto"/>
          <w:szCs w:val="21"/>
        </w:rPr>
        <w:t>CA 签章上关于法人（负责人）或授权代表签字信息，供应商在响应文件中涉及到签字的位置线下【签好字然后扫描做成 PDF 的格式】或【通过政采云电子交易客户端使用 CA 法人（负责人）或授权代表签章】亦可。响应文件中涉及到签字的位置未按要求签字的，提供的材料视为无效。</w:t>
      </w:r>
      <w:r>
        <w:rPr>
          <w:rFonts w:hint="eastAsia" w:ascii="宋体" w:hAnsi="宋体" w:eastAsia="宋体" w:cs="宋体"/>
          <w:bCs/>
          <w:color w:val="auto"/>
          <w:sz w:val="21"/>
          <w:szCs w:val="21"/>
          <w:lang w:eastAsia="zh-CN"/>
        </w:rPr>
        <w:t>）</w:t>
      </w:r>
    </w:p>
    <w:p w14:paraId="5A27174D">
      <w:pPr>
        <w:pStyle w:val="20"/>
        <w:spacing w:line="360" w:lineRule="auto"/>
        <w:ind w:left="412" w:hanging="412" w:hangingChars="20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10.1</w:t>
      </w:r>
      <w:r>
        <w:rPr>
          <w:rFonts w:hint="eastAsia" w:ascii="宋体" w:hAnsi="宋体" w:eastAsia="宋体" w:cs="宋体"/>
          <w:color w:val="auto"/>
          <w:highlight w:val="none"/>
        </w:rPr>
        <w:t>响应文件由</w:t>
      </w:r>
      <w:r>
        <w:rPr>
          <w:rFonts w:hint="eastAsia" w:hAnsi="宋体" w:cs="宋体"/>
          <w:color w:val="auto"/>
          <w:highlight w:val="none"/>
          <w:lang w:eastAsia="zh-CN"/>
        </w:rPr>
        <w:t>报价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资格、技术文件组成</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应按下列说明及第六章响应文件格式要求编写和提供。，以下所有文件必须加盖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公章，带▲的必须提供，否则磋商无效。</w:t>
      </w:r>
    </w:p>
    <w:p w14:paraId="3CC4A473">
      <w:pPr>
        <w:pStyle w:val="2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一、▲</w:t>
      </w:r>
      <w:r>
        <w:rPr>
          <w:rFonts w:ascii="宋体" w:hAnsi="宋体" w:cs="宋体"/>
          <w:color w:val="auto"/>
          <w:spacing w:val="2"/>
          <w:szCs w:val="21"/>
        </w:rPr>
        <w:t>报价文件的组</w:t>
      </w:r>
      <w:r>
        <w:rPr>
          <w:rFonts w:ascii="宋体" w:hAnsi="宋体" w:cs="宋体"/>
          <w:color w:val="auto"/>
          <w:szCs w:val="21"/>
        </w:rPr>
        <w:t>成</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项必须提供）</w:t>
      </w:r>
    </w:p>
    <w:p w14:paraId="2C55D59E">
      <w:pPr>
        <w:pStyle w:val="20"/>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（1）磋商函；</w:t>
      </w:r>
      <w:r>
        <w:rPr>
          <w:rFonts w:hint="eastAsia" w:ascii="宋体" w:hAnsi="宋体" w:eastAsia="宋体" w:cs="宋体"/>
          <w:color w:val="auto"/>
          <w:highlight w:val="none"/>
          <w:lang w:eastAsia="zh-CN"/>
        </w:rPr>
        <w:t>（必须提供，否则响应文件按无效响应处理）</w:t>
      </w:r>
    </w:p>
    <w:p w14:paraId="6D8923A6">
      <w:pPr>
        <w:pStyle w:val="20"/>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（2）磋商函附录；</w:t>
      </w:r>
      <w:r>
        <w:rPr>
          <w:rFonts w:hint="eastAsia" w:ascii="宋体" w:hAnsi="宋体" w:eastAsia="宋体" w:cs="宋体"/>
          <w:color w:val="auto"/>
          <w:highlight w:val="none"/>
          <w:lang w:eastAsia="zh-CN"/>
        </w:rPr>
        <w:t>（必须提供，否则响应文件按无效响应处理）</w:t>
      </w:r>
    </w:p>
    <w:p w14:paraId="4A34F772">
      <w:pPr>
        <w:pStyle w:val="20"/>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（3）磋商报价表；</w:t>
      </w:r>
      <w:r>
        <w:rPr>
          <w:rFonts w:hint="eastAsia" w:ascii="宋体" w:hAnsi="宋体" w:eastAsia="宋体" w:cs="宋体"/>
          <w:color w:val="auto"/>
          <w:highlight w:val="none"/>
          <w:lang w:eastAsia="zh-CN"/>
        </w:rPr>
        <w:t>（必须提供，否则响应文件按无效响应处理）</w:t>
      </w:r>
    </w:p>
    <w:p w14:paraId="4E10ACA1">
      <w:pPr>
        <w:pStyle w:val="20"/>
        <w:spacing w:line="360" w:lineRule="auto"/>
        <w:ind w:firstLine="42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（4）已标价工程量清单</w:t>
      </w:r>
      <w:r>
        <w:rPr>
          <w:rFonts w:hint="eastAsia" w:ascii="宋体" w:hAnsi="宋体" w:eastAsia="宋体" w:cs="宋体"/>
          <w:bCs/>
          <w:color w:val="auto"/>
          <w:highlight w:val="none"/>
          <w:lang w:eastAsia="zh-CN"/>
        </w:rPr>
        <w:t>。</w:t>
      </w:r>
      <w:r>
        <w:rPr>
          <w:rFonts w:hint="eastAsia" w:ascii="宋体" w:hAnsi="宋体" w:eastAsia="宋体" w:cs="宋体"/>
          <w:color w:val="auto"/>
          <w:highlight w:val="none"/>
          <w:lang w:eastAsia="zh-CN"/>
        </w:rPr>
        <w:t>（必须提供，否则响应文件按无效响应处理）</w:t>
      </w:r>
    </w:p>
    <w:p w14:paraId="7DAACDB1">
      <w:pPr>
        <w:pStyle w:val="20"/>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二、</w:t>
      </w:r>
      <w:r>
        <w:rPr>
          <w:rFonts w:hint="eastAsia" w:ascii="宋体" w:hAnsi="宋体" w:eastAsia="宋体" w:cs="宋体"/>
          <w:color w:val="auto"/>
          <w:highlight w:val="none"/>
        </w:rPr>
        <w:t>▲</w:t>
      </w:r>
      <w:r>
        <w:rPr>
          <w:rFonts w:hint="eastAsia" w:ascii="宋体" w:hAnsi="宋体" w:eastAsia="宋体" w:cs="宋体"/>
          <w:b/>
          <w:bCs w:val="0"/>
          <w:color w:val="auto"/>
          <w:highlight w:val="none"/>
        </w:rPr>
        <w:t>资格证明文件</w:t>
      </w:r>
      <w:r>
        <w:rPr>
          <w:rFonts w:hint="eastAsia" w:ascii="宋体" w:hAnsi="宋体" w:eastAsia="宋体" w:cs="宋体"/>
          <w:b/>
          <w:bCs/>
          <w:color w:val="auto"/>
          <w:highlight w:val="none"/>
        </w:rPr>
        <w:t>（1-1</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项必须提供，否则响应无效</w:t>
      </w:r>
      <w:r>
        <w:rPr>
          <w:rFonts w:hint="eastAsia" w:ascii="宋体" w:hAnsi="宋体" w:eastAsia="宋体" w:cs="宋体"/>
          <w:color w:val="auto"/>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如有分标段，</w:t>
      </w:r>
      <w:r>
        <w:rPr>
          <w:rFonts w:hint="eastAsia" w:ascii="宋体" w:hAnsi="宋体" w:eastAsia="宋体" w:cs="宋体"/>
          <w:b/>
          <w:bCs/>
          <w:color w:val="auto"/>
          <w:highlight w:val="none"/>
        </w:rPr>
        <w:t>每个分标分别编制）</w:t>
      </w:r>
    </w:p>
    <w:p w14:paraId="3A7C0428">
      <w:pPr>
        <w:pStyle w:val="20"/>
        <w:spacing w:line="360" w:lineRule="auto"/>
        <w:ind w:left="735" w:leftChars="200" w:hanging="315" w:hangingChars="150"/>
        <w:rPr>
          <w:rFonts w:hint="eastAsia" w:ascii="宋体" w:hAnsi="宋体" w:eastAsia="宋体" w:cs="宋体"/>
          <w:b/>
          <w:bCs w:val="0"/>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法定代表人身份证明书（原件）、法定代表人第二代身份证(正、背面复印件）</w:t>
      </w:r>
      <w:r>
        <w:rPr>
          <w:rFonts w:hint="eastAsia" w:ascii="宋体" w:hAnsi="宋体" w:eastAsia="宋体" w:cs="宋体"/>
          <w:b/>
          <w:bCs w:val="0"/>
          <w:color w:val="auto"/>
          <w:highlight w:val="none"/>
        </w:rPr>
        <w:t>（复印件，必须提供，同时要电子签章）</w:t>
      </w:r>
    </w:p>
    <w:p w14:paraId="6EF09A9D">
      <w:pPr>
        <w:pStyle w:val="20"/>
        <w:spacing w:line="360" w:lineRule="auto"/>
        <w:ind w:left="735" w:leftChars="200" w:hanging="315" w:hangingChars="150"/>
        <w:rPr>
          <w:rFonts w:hint="eastAsia" w:ascii="宋体" w:hAnsi="宋体" w:eastAsia="宋体" w:cs="宋体"/>
          <w:bCs/>
          <w:color w:val="auto"/>
          <w:highlight w:val="none"/>
        </w:rPr>
      </w:pPr>
      <w:r>
        <w:rPr>
          <w:rFonts w:hint="eastAsia" w:ascii="宋体" w:hAnsi="宋体" w:eastAsia="宋体" w:cs="宋体"/>
          <w:bCs/>
          <w:color w:val="auto"/>
          <w:highlight w:val="none"/>
        </w:rPr>
        <w:t>2、法定代表人授权委托书（原件）、委托代理人第二代身份证（正、背面复印件）</w:t>
      </w:r>
      <w:r>
        <w:rPr>
          <w:rFonts w:hint="eastAsia" w:ascii="宋体" w:hAnsi="宋体" w:eastAsia="宋体" w:cs="宋体"/>
          <w:b/>
          <w:bCs w:val="0"/>
          <w:color w:val="auto"/>
          <w:highlight w:val="none"/>
        </w:rPr>
        <w:t>[委托代理人参加磋商时则必须提供]（复印件，必须提供，同时要电子签章）</w:t>
      </w:r>
    </w:p>
    <w:p w14:paraId="29F754EF">
      <w:pPr>
        <w:pStyle w:val="20"/>
        <w:spacing w:line="360" w:lineRule="auto"/>
        <w:ind w:left="735" w:leftChars="200" w:hanging="315" w:hangingChars="15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有效的营业执照副本</w:t>
      </w:r>
      <w:r>
        <w:rPr>
          <w:rFonts w:hint="eastAsia" w:ascii="宋体" w:hAnsi="宋体" w:eastAsia="宋体" w:cs="宋体"/>
          <w:b/>
          <w:bCs w:val="0"/>
          <w:color w:val="auto"/>
          <w:highlight w:val="none"/>
        </w:rPr>
        <w:t>（复印件，必须提供，同时要电子签章）</w:t>
      </w:r>
    </w:p>
    <w:p w14:paraId="3217B21D">
      <w:pPr>
        <w:pStyle w:val="20"/>
        <w:spacing w:line="360" w:lineRule="auto"/>
        <w:ind w:left="735" w:leftChars="200" w:hanging="315" w:hangingChars="150"/>
        <w:rPr>
          <w:rFonts w:hint="eastAsia" w:ascii="宋体" w:hAnsi="宋体" w:eastAsia="宋体" w:cs="宋体"/>
          <w:b/>
          <w:bCs w:val="0"/>
          <w:color w:val="auto"/>
          <w:highlight w:val="none"/>
        </w:rPr>
      </w:pP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w:t>
      </w:r>
      <w:r>
        <w:rPr>
          <w:rFonts w:hint="eastAsia" w:ascii="宋体" w:hAnsi="宋体" w:eastAsia="宋体" w:cs="宋体"/>
          <w:color w:val="auto"/>
          <w:lang w:val="en-US" w:eastAsia="zh-CN"/>
        </w:rPr>
        <w:t>供应商提供</w:t>
      </w:r>
      <w:r>
        <w:rPr>
          <w:rFonts w:hint="eastAsia" w:hAnsi="宋体" w:cs="宋体"/>
          <w:color w:val="auto"/>
          <w:lang w:val="en-US" w:eastAsia="zh-CN"/>
        </w:rPr>
        <w:t>建筑工程施工总承包三级以上(含三级）资质</w:t>
      </w:r>
      <w:r>
        <w:rPr>
          <w:rFonts w:hint="eastAsia" w:ascii="宋体" w:hAnsi="宋体" w:eastAsia="宋体" w:cs="宋体"/>
          <w:bCs/>
          <w:color w:val="auto"/>
          <w:highlight w:val="none"/>
        </w:rPr>
        <w:t>证书副本</w:t>
      </w:r>
      <w:r>
        <w:rPr>
          <w:rFonts w:hint="eastAsia" w:ascii="宋体" w:hAnsi="宋体" w:eastAsia="宋体" w:cs="宋体"/>
          <w:b/>
          <w:bCs w:val="0"/>
          <w:color w:val="auto"/>
          <w:highlight w:val="none"/>
        </w:rPr>
        <w:t>（复印件，必须提供，同时要电子签章）</w:t>
      </w:r>
    </w:p>
    <w:p w14:paraId="4C750C55">
      <w:pPr>
        <w:pStyle w:val="20"/>
        <w:spacing w:line="360" w:lineRule="auto"/>
        <w:ind w:left="735" w:leftChars="200" w:hanging="315" w:hangingChars="150"/>
        <w:rPr>
          <w:rFonts w:hint="eastAsia" w:ascii="宋体" w:hAnsi="宋体" w:eastAsia="宋体" w:cs="宋体"/>
          <w:b/>
          <w:bCs w:val="0"/>
          <w:color w:val="auto"/>
          <w:highlight w:val="none"/>
        </w:rPr>
      </w:pP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w:t>
      </w:r>
      <w:r>
        <w:rPr>
          <w:rFonts w:hint="eastAsia" w:ascii="宋体" w:hAnsi="宋体" w:eastAsia="宋体" w:cs="宋体"/>
          <w:color w:val="auto"/>
          <w:highlight w:val="none"/>
        </w:rPr>
        <w:t>安全生产许可证副本</w:t>
      </w:r>
      <w:r>
        <w:rPr>
          <w:rFonts w:hint="eastAsia" w:ascii="宋体" w:hAnsi="宋体" w:eastAsia="宋体" w:cs="宋体"/>
          <w:b/>
          <w:bCs w:val="0"/>
          <w:color w:val="auto"/>
          <w:highlight w:val="none"/>
        </w:rPr>
        <w:t>（复印件，必须提供，同时要电子签章）</w:t>
      </w:r>
    </w:p>
    <w:p w14:paraId="580A2C24">
      <w:pPr>
        <w:pStyle w:val="20"/>
        <w:spacing w:line="360" w:lineRule="auto"/>
        <w:ind w:left="735" w:leftChars="200" w:hanging="315" w:hangingChars="150"/>
        <w:rPr>
          <w:rFonts w:hint="eastAsia" w:ascii="宋体" w:hAnsi="宋体" w:eastAsia="宋体" w:cs="宋体"/>
          <w:bCs/>
          <w:color w:val="auto"/>
          <w:highlight w:val="none"/>
          <w:lang w:val="en-US" w:eastAsia="zh-CN"/>
        </w:rPr>
      </w:pPr>
      <w:r>
        <w:rPr>
          <w:rFonts w:hint="eastAsia" w:ascii="宋体" w:hAnsi="宋体" w:eastAsia="宋体" w:cs="宋体"/>
          <w:color w:val="auto"/>
          <w:lang w:val="en-US" w:eastAsia="zh-CN"/>
        </w:rPr>
        <w:t>6、</w:t>
      </w:r>
      <w:r>
        <w:rPr>
          <w:rFonts w:hint="eastAsia" w:hAnsi="宋体" w:cs="宋体"/>
          <w:color w:val="auto"/>
          <w:szCs w:val="21"/>
          <w:highlight w:val="none"/>
          <w:lang w:eastAsia="zh-CN"/>
        </w:rPr>
        <w:t>供应商2024年的年度财务状况复印件</w:t>
      </w:r>
      <w:r>
        <w:rPr>
          <w:rFonts w:hint="eastAsia" w:ascii="宋体" w:hAnsi="宋体" w:eastAsia="宋体" w:cs="宋体"/>
          <w:color w:val="auto"/>
          <w:sz w:val="21"/>
          <w:szCs w:val="21"/>
          <w:lang w:val="en-US" w:eastAsia="zh-CN"/>
        </w:rPr>
        <w:t>（可以是财务报表或银行出具的资信证明或第三方审计报告等证明材料</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对于</w:t>
      </w:r>
      <w:r>
        <w:rPr>
          <w:rFonts w:hint="eastAsia" w:hAnsi="宋体" w:cs="宋体"/>
          <w:color w:val="auto"/>
          <w:sz w:val="21"/>
          <w:szCs w:val="21"/>
          <w:lang w:val="en-US" w:eastAsia="zh-CN"/>
        </w:rPr>
        <w:t>2025年新成立的公司</w:t>
      </w:r>
      <w:r>
        <w:rPr>
          <w:rFonts w:hint="eastAsia" w:ascii="宋体" w:hAnsi="宋体" w:eastAsia="宋体" w:cs="宋体"/>
          <w:color w:val="auto"/>
          <w:sz w:val="21"/>
          <w:szCs w:val="21"/>
          <w:lang w:val="en-US" w:eastAsia="zh-CN"/>
        </w:rPr>
        <w:t>，需提供成立之日后次月至响应文件递交截止前一个月的财务报表）</w:t>
      </w:r>
      <w:r>
        <w:rPr>
          <w:rFonts w:hint="eastAsia" w:ascii="宋体" w:hAnsi="宋体" w:eastAsia="宋体" w:cs="宋体"/>
          <w:b/>
          <w:bCs/>
          <w:color w:val="auto"/>
          <w:highlight w:val="none"/>
        </w:rPr>
        <w:t>（复印件，必须提供，同时要电子签章）</w:t>
      </w:r>
    </w:p>
    <w:p w14:paraId="2FC34EF3">
      <w:pPr>
        <w:pStyle w:val="20"/>
        <w:spacing w:line="360" w:lineRule="auto"/>
        <w:ind w:left="735" w:leftChars="200" w:hanging="315" w:hangingChars="150"/>
        <w:rPr>
          <w:rFonts w:hint="eastAsia" w:ascii="宋体" w:hAnsi="宋体" w:eastAsia="宋体" w:cs="宋体"/>
          <w:bCs/>
          <w:color w:val="auto"/>
          <w:highlight w:val="none"/>
        </w:rPr>
      </w:pPr>
      <w:r>
        <w:rPr>
          <w:rFonts w:hint="eastAsia" w:hAnsi="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供应商近半年内任意三个月的缴纳税费凭证</w:t>
      </w:r>
      <w:r>
        <w:rPr>
          <w:rFonts w:hint="eastAsia" w:ascii="宋体" w:hAnsi="宋体" w:eastAsia="宋体" w:cs="宋体"/>
          <w:color w:val="auto"/>
          <w:szCs w:val="21"/>
          <w:highlight w:val="none"/>
          <w:lang w:eastAsia="zh-CN"/>
        </w:rPr>
        <w:t>或依法免缴税费的证明；无纳税记录的，应提供由供应商所在地主管税务局相关部门出具的《依法纳税或依法免税证明》，如是新成立公司按照实际提供。</w:t>
      </w:r>
      <w:r>
        <w:rPr>
          <w:rFonts w:hint="eastAsia" w:ascii="宋体" w:hAnsi="宋体" w:eastAsia="宋体" w:cs="宋体"/>
          <w:b/>
          <w:bCs/>
          <w:color w:val="auto"/>
          <w:szCs w:val="21"/>
          <w:highlight w:val="none"/>
          <w:lang w:eastAsia="zh-CN"/>
        </w:rPr>
        <w:t>（复印件，必须提供，同时要电子签章）</w:t>
      </w:r>
    </w:p>
    <w:p w14:paraId="77F4933B">
      <w:pPr>
        <w:pStyle w:val="20"/>
        <w:spacing w:line="360" w:lineRule="auto"/>
        <w:ind w:left="735" w:leftChars="200" w:hanging="315" w:hangingChars="150"/>
        <w:rPr>
          <w:rFonts w:hint="eastAsia" w:ascii="宋体" w:hAnsi="宋体" w:eastAsia="宋体" w:cs="宋体"/>
          <w:bCs/>
          <w:color w:val="auto"/>
          <w:highlight w:val="none"/>
        </w:rPr>
      </w:pPr>
      <w:r>
        <w:rPr>
          <w:rFonts w:hint="eastAsia" w:hAnsi="宋体" w:cs="宋体"/>
          <w:bCs/>
          <w:color w:val="auto"/>
          <w:highlight w:val="none"/>
          <w:lang w:val="en-US" w:eastAsia="zh-CN"/>
        </w:rPr>
        <w:t>8</w:t>
      </w:r>
      <w:r>
        <w:rPr>
          <w:rFonts w:hint="eastAsia" w:ascii="宋体" w:hAnsi="宋体" w:eastAsia="宋体" w:cs="宋体"/>
          <w:bCs/>
          <w:color w:val="auto"/>
          <w:highlight w:val="none"/>
        </w:rPr>
        <w:t>、</w:t>
      </w:r>
      <w:r>
        <w:rPr>
          <w:rFonts w:hint="eastAsia" w:ascii="宋体" w:hAnsi="宋体" w:eastAsia="宋体" w:cs="宋体"/>
          <w:color w:val="auto"/>
          <w:highlight w:val="none"/>
          <w:lang w:eastAsia="zh-CN"/>
        </w:rPr>
        <w:t>供应商近半年内任意三个月的</w:t>
      </w:r>
      <w:r>
        <w:rPr>
          <w:rFonts w:hint="eastAsia" w:ascii="宋体" w:hAnsi="宋体" w:eastAsia="宋体" w:cs="宋体"/>
          <w:color w:val="auto"/>
          <w:highlight w:val="none"/>
        </w:rPr>
        <w:t>依法缴纳社会保险</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证明</w:t>
      </w:r>
      <w:r>
        <w:rPr>
          <w:rFonts w:hint="eastAsia" w:ascii="宋体" w:hAnsi="宋体" w:eastAsia="宋体" w:cs="宋体"/>
          <w:bCs/>
          <w:color w:val="auto"/>
          <w:highlight w:val="none"/>
        </w:rPr>
        <w:t>，无缴费记录的，应提供由</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所在地社保部门出具的《依法缴纳或依法免缴社保费证明》</w:t>
      </w:r>
      <w:r>
        <w:rPr>
          <w:rFonts w:hint="eastAsia" w:ascii="宋体" w:hAnsi="宋体" w:eastAsia="宋体" w:cs="宋体"/>
          <w:bCs/>
          <w:color w:val="auto"/>
          <w:highlight w:val="none"/>
          <w:lang w:eastAsia="zh-CN"/>
        </w:rPr>
        <w:t>。</w:t>
      </w:r>
      <w:r>
        <w:rPr>
          <w:rFonts w:hint="eastAsia" w:ascii="宋体" w:hAnsi="宋体" w:eastAsia="宋体" w:cs="宋体"/>
          <w:color w:val="auto"/>
          <w:szCs w:val="21"/>
          <w:highlight w:val="none"/>
          <w:lang w:eastAsia="zh-CN"/>
        </w:rPr>
        <w:t>如是新成立公司按照实际提供。</w:t>
      </w:r>
      <w:r>
        <w:rPr>
          <w:rFonts w:hint="eastAsia" w:ascii="宋体" w:hAnsi="宋体" w:eastAsia="宋体" w:cs="宋体"/>
          <w:b/>
          <w:bCs w:val="0"/>
          <w:color w:val="auto"/>
          <w:highlight w:val="none"/>
        </w:rPr>
        <w:t>（复印件，必须提供，同时要电子签章）</w:t>
      </w:r>
    </w:p>
    <w:p w14:paraId="65E8D686">
      <w:pPr>
        <w:pStyle w:val="20"/>
        <w:spacing w:line="360" w:lineRule="auto"/>
        <w:ind w:firstLine="420" w:firstLineChars="200"/>
        <w:rPr>
          <w:rFonts w:hint="eastAsia"/>
          <w:color w:val="auto"/>
        </w:rPr>
      </w:pPr>
      <w:r>
        <w:rPr>
          <w:rFonts w:hint="eastAsia"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cs="宋体"/>
          <w:color w:val="auto"/>
          <w:spacing w:val="-1"/>
          <w:szCs w:val="21"/>
        </w:rPr>
        <w:t>无串通竞标行为的承诺函</w:t>
      </w:r>
      <w:r>
        <w:rPr>
          <w:rFonts w:hint="eastAsia" w:ascii="宋体" w:hAnsi="宋体" w:eastAsia="宋体" w:cs="宋体"/>
          <w:b/>
          <w:bCs/>
          <w:color w:val="auto"/>
          <w:highlight w:val="none"/>
        </w:rPr>
        <w:t>（格式后附</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必须提供，否则响应无效）</w:t>
      </w:r>
    </w:p>
    <w:p w14:paraId="36A381C3">
      <w:pPr>
        <w:pStyle w:val="20"/>
        <w:spacing w:line="360" w:lineRule="auto"/>
        <w:ind w:left="735" w:leftChars="200" w:hanging="315" w:hangingChars="150"/>
        <w:rPr>
          <w:rFonts w:hint="eastAsia" w:ascii="宋体" w:hAnsi="宋体" w:eastAsia="宋体" w:cs="宋体"/>
          <w:b/>
          <w:bCs/>
          <w:color w:val="auto"/>
          <w:highlight w:val="none"/>
        </w:rPr>
      </w:pPr>
      <w:r>
        <w:rPr>
          <w:rFonts w:hint="eastAsia" w:hAnsi="宋体" w:cs="宋体"/>
          <w:color w:val="auto"/>
          <w:szCs w:val="21"/>
          <w:highlight w:val="none"/>
          <w:lang w:val="en-US" w:eastAsia="zh-CN" w:bidi="ar"/>
        </w:rPr>
        <w:t>10</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eastAsia="zh-CN" w:bidi="ar"/>
        </w:rPr>
        <w:t>供应商提供项目</w:t>
      </w:r>
      <w:r>
        <w:rPr>
          <w:rFonts w:hint="eastAsia" w:hAnsi="宋体" w:cs="宋体"/>
          <w:color w:val="auto"/>
          <w:szCs w:val="21"/>
          <w:highlight w:val="none"/>
          <w:lang w:val="en-US" w:eastAsia="zh-CN" w:bidi="ar"/>
        </w:rPr>
        <w:t>建筑工程专业贰级（含以上级）</w:t>
      </w:r>
      <w:r>
        <w:rPr>
          <w:rFonts w:hint="eastAsia" w:ascii="宋体" w:hAnsi="宋体" w:eastAsia="宋体" w:cs="宋体"/>
          <w:color w:val="auto"/>
          <w:szCs w:val="21"/>
          <w:highlight w:val="none"/>
          <w:lang w:val="en-US" w:eastAsia="zh-CN" w:bidi="ar"/>
        </w:rPr>
        <w:t>注册建造师执业资格</w:t>
      </w:r>
      <w:r>
        <w:rPr>
          <w:rFonts w:hint="eastAsia" w:ascii="宋体" w:hAnsi="宋体" w:eastAsia="宋体" w:cs="宋体"/>
          <w:color w:val="auto"/>
          <w:szCs w:val="21"/>
          <w:highlight w:val="none"/>
          <w:lang w:eastAsia="zh-CN" w:bidi="ar"/>
        </w:rPr>
        <w:t>证及</w:t>
      </w:r>
      <w:r>
        <w:rPr>
          <w:rFonts w:hint="eastAsia" w:ascii="宋体" w:hAnsi="宋体" w:cs="宋体"/>
          <w:color w:val="auto"/>
          <w:spacing w:val="-1"/>
          <w:szCs w:val="21"/>
        </w:rPr>
        <w:t>行政主管部门颁发的</w:t>
      </w:r>
      <w:r>
        <w:rPr>
          <w:rFonts w:hint="eastAsia" w:ascii="宋体" w:hAnsi="宋体" w:eastAsia="宋体" w:cs="宋体"/>
          <w:color w:val="auto"/>
          <w:szCs w:val="21"/>
          <w:highlight w:val="none"/>
          <w:lang w:eastAsia="zh-CN" w:bidi="ar"/>
        </w:rPr>
        <w:t>有效的安全生产考核合格证书复印件</w:t>
      </w:r>
      <w:r>
        <w:rPr>
          <w:rFonts w:hint="eastAsia" w:ascii="宋体" w:hAnsi="宋体" w:eastAsia="宋体" w:cs="宋体"/>
          <w:color w:val="auto"/>
          <w:szCs w:val="21"/>
          <w:highlight w:val="none"/>
          <w:lang w:bidi="ar"/>
        </w:rPr>
        <w:t>。</w:t>
      </w:r>
      <w:r>
        <w:rPr>
          <w:rFonts w:hint="eastAsia" w:ascii="宋体" w:hAnsi="宋体" w:eastAsia="宋体" w:cs="宋体"/>
          <w:b/>
          <w:bCs/>
          <w:color w:val="auto"/>
          <w:highlight w:val="none"/>
        </w:rPr>
        <w:t>（复印件，必须提供，同时要电子签章）</w:t>
      </w:r>
    </w:p>
    <w:p w14:paraId="4F7A3CB9">
      <w:pPr>
        <w:pStyle w:val="20"/>
        <w:spacing w:line="360" w:lineRule="auto"/>
        <w:ind w:left="735" w:leftChars="200" w:hanging="315" w:hangingChars="150"/>
        <w:rPr>
          <w:rFonts w:hint="eastAsia" w:ascii="宋体" w:hAnsi="宋体" w:eastAsia="宋体" w:cs="宋体"/>
          <w:b/>
          <w:bCs/>
          <w:color w:val="auto"/>
          <w:highlight w:val="none"/>
          <w:lang w:val="en-US" w:eastAsia="zh-CN"/>
        </w:rPr>
      </w:pPr>
      <w:r>
        <w:rPr>
          <w:rFonts w:hint="eastAsia" w:ascii="宋体" w:hAnsi="宋体" w:eastAsia="宋体" w:cs="宋体"/>
          <w:color w:val="auto"/>
          <w:szCs w:val="21"/>
          <w:lang w:val="en-US" w:eastAsia="zh-CN"/>
        </w:rPr>
        <w:t>1</w:t>
      </w:r>
      <w:r>
        <w:rPr>
          <w:rFonts w:hint="eastAsia" w:hAnsi="宋体" w:cs="宋体"/>
          <w:color w:val="auto"/>
          <w:szCs w:val="21"/>
          <w:lang w:val="en-US" w:eastAsia="zh-CN"/>
        </w:rPr>
        <w:t>1</w:t>
      </w:r>
      <w:r>
        <w:rPr>
          <w:rFonts w:hint="eastAsia" w:ascii="宋体" w:hAnsi="宋体" w:eastAsia="宋体" w:cs="宋体"/>
          <w:color w:val="auto"/>
          <w:szCs w:val="21"/>
          <w:lang w:val="en-US" w:eastAsia="zh-CN"/>
        </w:rPr>
        <w:t>、</w:t>
      </w:r>
      <w:r>
        <w:rPr>
          <w:rFonts w:hint="eastAsia" w:ascii="宋体" w:hAnsi="宋体" w:eastAsia="宋体" w:cs="宋体"/>
          <w:color w:val="auto"/>
          <w:szCs w:val="21"/>
          <w:lang w:eastAsia="zh-CN"/>
        </w:rPr>
        <w:t>未经批准不得更换拟投入本项目的项目经理承诺书</w:t>
      </w:r>
      <w:r>
        <w:rPr>
          <w:rFonts w:hint="eastAsia" w:ascii="宋体" w:hAnsi="宋体" w:eastAsia="宋体" w:cs="宋体"/>
          <w:b/>
          <w:bCs/>
          <w:color w:val="auto"/>
          <w:highlight w:val="none"/>
        </w:rPr>
        <w:t>（必须提供，</w:t>
      </w:r>
      <w:r>
        <w:rPr>
          <w:rFonts w:hint="eastAsia" w:ascii="宋体" w:hAnsi="宋体" w:eastAsia="宋体" w:cs="宋体"/>
          <w:b/>
          <w:bCs w:val="0"/>
          <w:color w:val="auto"/>
          <w:highlight w:val="none"/>
        </w:rPr>
        <w:t>同时要</w:t>
      </w:r>
      <w:r>
        <w:rPr>
          <w:rFonts w:hint="eastAsia" w:ascii="宋体" w:hAnsi="宋体" w:eastAsia="宋体" w:cs="宋体"/>
          <w:b/>
          <w:bCs w:val="0"/>
          <w:color w:val="auto"/>
          <w:highlight w:val="none"/>
          <w:lang w:eastAsia="zh-CN"/>
        </w:rPr>
        <w:t>电子签章</w:t>
      </w:r>
      <w:r>
        <w:rPr>
          <w:rFonts w:hint="eastAsia" w:ascii="宋体" w:hAnsi="宋体" w:eastAsia="宋体" w:cs="宋体"/>
          <w:b/>
          <w:bCs/>
          <w:color w:val="auto"/>
          <w:highlight w:val="none"/>
        </w:rPr>
        <w:t>）</w:t>
      </w:r>
    </w:p>
    <w:p w14:paraId="3141F810">
      <w:pPr>
        <w:pStyle w:val="20"/>
        <w:spacing w:line="360" w:lineRule="auto"/>
        <w:ind w:firstLine="420" w:firstLineChars="200"/>
        <w:rPr>
          <w:rFonts w:hint="eastAsia" w:ascii="宋体" w:hAnsi="宋体" w:eastAsia="宋体" w:cs="宋体"/>
          <w:color w:val="auto"/>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参加采购活动前3年内在经营活动中没有重大违法记录的书面声明。</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eastAsia="zh-CN"/>
        </w:rPr>
        <w:t>格式自拟，</w:t>
      </w:r>
      <w:r>
        <w:rPr>
          <w:rFonts w:hint="eastAsia" w:ascii="宋体" w:hAnsi="宋体" w:eastAsia="宋体" w:cs="宋体"/>
          <w:b/>
          <w:bCs w:val="0"/>
          <w:color w:val="auto"/>
          <w:highlight w:val="none"/>
        </w:rPr>
        <w:t>必须提供，同时要</w:t>
      </w:r>
      <w:r>
        <w:rPr>
          <w:rFonts w:hint="eastAsia" w:ascii="宋体" w:hAnsi="宋体" w:eastAsia="宋体" w:cs="宋体"/>
          <w:b/>
          <w:bCs w:val="0"/>
          <w:color w:val="auto"/>
          <w:highlight w:val="none"/>
          <w:lang w:eastAsia="zh-CN"/>
        </w:rPr>
        <w:t>电子签章</w:t>
      </w:r>
      <w:r>
        <w:rPr>
          <w:rFonts w:hint="eastAsia" w:ascii="宋体" w:hAnsi="宋体" w:eastAsia="宋体" w:cs="宋体"/>
          <w:b/>
          <w:bCs/>
          <w:color w:val="auto"/>
          <w:highlight w:val="none"/>
        </w:rPr>
        <w:t>）</w:t>
      </w:r>
    </w:p>
    <w:p w14:paraId="00372CD1">
      <w:pPr>
        <w:pStyle w:val="64"/>
        <w:spacing w:line="360" w:lineRule="auto"/>
        <w:rPr>
          <w:rFonts w:hint="eastAsia" w:ascii="宋体" w:hAnsi="宋体" w:eastAsia="宋体" w:cs="宋体"/>
          <w:b/>
          <w:bCs w:val="0"/>
          <w:color w:val="auto"/>
          <w:highlight w:val="none"/>
          <w:lang w:val="en-US" w:eastAsia="zh-CN"/>
        </w:rPr>
      </w:pPr>
      <w:r>
        <w:rPr>
          <w:rFonts w:hint="eastAsia" w:ascii="宋体" w:hAnsi="宋体" w:eastAsia="宋体" w:cs="宋体"/>
          <w:b w:val="0"/>
          <w:bCs/>
          <w:color w:val="auto"/>
          <w:highlight w:val="none"/>
          <w:lang w:val="en-US" w:eastAsia="zh-CN"/>
        </w:rPr>
        <w:t>1</w:t>
      </w:r>
      <w:r>
        <w:rPr>
          <w:rFonts w:hint="eastAsia" w:ascii="宋体" w:hAnsi="宋体" w:cs="宋体"/>
          <w:b w:val="0"/>
          <w:bCs/>
          <w:color w:val="auto"/>
          <w:highlight w:val="none"/>
          <w:lang w:val="en-US" w:eastAsia="zh-CN"/>
        </w:rPr>
        <w:t>3</w:t>
      </w:r>
      <w:r>
        <w:rPr>
          <w:rFonts w:hint="eastAsia" w:ascii="宋体" w:hAnsi="宋体" w:eastAsia="宋体" w:cs="宋体"/>
          <w:b w:val="0"/>
          <w:bCs/>
          <w:color w:val="auto"/>
          <w:highlight w:val="none"/>
          <w:lang w:val="en-US" w:eastAsia="zh-CN"/>
        </w:rPr>
        <w:t>、本项目属于专门面向中小企业采购的项目【供应商为中小企业的应当提供《中小企业声明函》；供应商为残疾人福利性单位的应当提供《残疾人福利性单位声明函》；供应商为监狱企业的应当提供由省级以上监狱管理局、戒毒管理局（含新疆生产建设兵团）出具的属于监狱企业的证明文件】（如有）；</w:t>
      </w:r>
      <w:r>
        <w:rPr>
          <w:rFonts w:hint="eastAsia" w:ascii="宋体" w:hAnsi="宋体" w:eastAsia="宋体" w:cs="宋体"/>
          <w:b/>
          <w:bCs w:val="0"/>
          <w:color w:val="auto"/>
          <w:highlight w:val="none"/>
          <w:lang w:val="en-US" w:eastAsia="zh-CN"/>
        </w:rPr>
        <w:t xml:space="preserve"> </w:t>
      </w:r>
    </w:p>
    <w:p w14:paraId="6DA01801">
      <w:pPr>
        <w:pStyle w:val="64"/>
        <w:spacing w:line="360" w:lineRule="auto"/>
        <w:ind w:left="0" w:leftChars="0" w:firstLine="0" w:firstLineChars="0"/>
        <w:rPr>
          <w:rFonts w:hint="eastAsia" w:ascii="宋体" w:hAnsi="宋体" w:eastAsia="宋体" w:cs="宋体"/>
          <w:color w:val="auto"/>
          <w:lang w:val="en-US" w:eastAsia="zh-CN"/>
        </w:rPr>
      </w:pPr>
    </w:p>
    <w:p w14:paraId="6B06612A">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b/>
          <w:bCs/>
          <w:color w:val="auto"/>
          <w:highlight w:val="none"/>
        </w:rPr>
        <w:t>▲</w:t>
      </w:r>
      <w:r>
        <w:rPr>
          <w:rFonts w:hint="eastAsia" w:hAnsi="宋体" w:cs="宋体"/>
          <w:b/>
          <w:bCs/>
          <w:color w:val="auto"/>
          <w:highlight w:val="none"/>
          <w:lang w:eastAsia="zh-CN"/>
        </w:rPr>
        <w:t>商务技术</w:t>
      </w:r>
      <w:r>
        <w:rPr>
          <w:rFonts w:hint="eastAsia" w:ascii="宋体" w:hAnsi="宋体" w:eastAsia="宋体" w:cs="宋体"/>
          <w:b/>
          <w:bCs/>
          <w:color w:val="auto"/>
          <w:highlight w:val="none"/>
        </w:rPr>
        <w:t>文件（</w:t>
      </w:r>
      <w:r>
        <w:rPr>
          <w:rFonts w:hint="eastAsia" w:hAnsi="宋体" w:cs="宋体"/>
          <w:b/>
          <w:bCs/>
          <w:color w:val="auto"/>
          <w:highlight w:val="none"/>
          <w:lang w:val="en-US" w:eastAsia="zh-CN"/>
        </w:rPr>
        <w:t>1-2</w:t>
      </w:r>
      <w:r>
        <w:rPr>
          <w:rFonts w:hint="eastAsia" w:ascii="宋体" w:hAnsi="宋体" w:eastAsia="宋体" w:cs="宋体"/>
          <w:b/>
          <w:bCs/>
          <w:color w:val="auto"/>
          <w:highlight w:val="none"/>
        </w:rPr>
        <w:t>项必须提供）</w:t>
      </w:r>
    </w:p>
    <w:p w14:paraId="43A78248">
      <w:pPr>
        <w:pStyle w:val="102"/>
        <w:spacing w:line="360" w:lineRule="auto"/>
        <w:ind w:left="102"/>
        <w:jc w:val="left"/>
        <w:rPr>
          <w:rFonts w:hint="eastAsia" w:ascii="宋体" w:hAnsi="宋体" w:eastAsia="宋体" w:cs="宋体"/>
          <w:color w:val="auto"/>
          <w:szCs w:val="21"/>
        </w:rPr>
      </w:pPr>
      <w:r>
        <w:rPr>
          <w:rFonts w:hint="eastAsia" w:ascii="宋体" w:hAnsi="宋体" w:eastAsia="宋体" w:cs="宋体"/>
          <w:color w:val="auto"/>
          <w:spacing w:val="1"/>
          <w:szCs w:val="21"/>
        </w:rPr>
        <w:t>1</w:t>
      </w:r>
      <w:r>
        <w:rPr>
          <w:rFonts w:hint="eastAsia" w:ascii="宋体" w:hAnsi="宋体" w:eastAsia="宋体" w:cs="宋体"/>
          <w:color w:val="auto"/>
          <w:spacing w:val="-1"/>
          <w:szCs w:val="21"/>
        </w:rPr>
        <w:t>．</w:t>
      </w:r>
      <w:r>
        <w:rPr>
          <w:rFonts w:hint="eastAsia" w:ascii="宋体" w:hAnsi="宋体" w:eastAsia="宋体" w:cs="宋体"/>
          <w:color w:val="auto"/>
          <w:spacing w:val="2"/>
          <w:szCs w:val="21"/>
        </w:rPr>
        <w:t>施</w:t>
      </w:r>
      <w:r>
        <w:rPr>
          <w:rFonts w:hint="eastAsia" w:ascii="宋体" w:hAnsi="宋体" w:eastAsia="宋体" w:cs="宋体"/>
          <w:color w:val="auto"/>
          <w:spacing w:val="-1"/>
          <w:szCs w:val="21"/>
        </w:rPr>
        <w:t>工</w:t>
      </w:r>
      <w:r>
        <w:rPr>
          <w:rFonts w:hint="eastAsia" w:ascii="宋体" w:hAnsi="宋体" w:eastAsia="宋体" w:cs="宋体"/>
          <w:color w:val="auto"/>
          <w:spacing w:val="2"/>
          <w:szCs w:val="21"/>
        </w:rPr>
        <w:t>组</w:t>
      </w:r>
      <w:r>
        <w:rPr>
          <w:rFonts w:hint="eastAsia" w:ascii="宋体" w:hAnsi="宋体" w:eastAsia="宋体" w:cs="宋体"/>
          <w:color w:val="auto"/>
          <w:spacing w:val="-1"/>
          <w:szCs w:val="21"/>
        </w:rPr>
        <w:t>织</w:t>
      </w:r>
      <w:r>
        <w:rPr>
          <w:rFonts w:hint="eastAsia" w:ascii="宋体" w:hAnsi="宋体" w:eastAsia="宋体" w:cs="宋体"/>
          <w:color w:val="auto"/>
          <w:spacing w:val="2"/>
          <w:szCs w:val="21"/>
        </w:rPr>
        <w:t>设</w:t>
      </w:r>
      <w:r>
        <w:rPr>
          <w:rFonts w:hint="eastAsia" w:ascii="宋体" w:hAnsi="宋体" w:eastAsia="宋体" w:cs="宋体"/>
          <w:color w:val="auto"/>
          <w:spacing w:val="-1"/>
          <w:szCs w:val="21"/>
        </w:rPr>
        <w:t>计</w:t>
      </w:r>
      <w:r>
        <w:rPr>
          <w:rFonts w:hint="eastAsia" w:ascii="宋体" w:hAnsi="宋体" w:eastAsia="宋体" w:cs="宋体"/>
          <w:color w:val="auto"/>
          <w:spacing w:val="2"/>
          <w:szCs w:val="21"/>
        </w:rPr>
        <w:t>；（</w:t>
      </w:r>
      <w:r>
        <w:rPr>
          <w:rFonts w:hint="eastAsia" w:ascii="宋体" w:hAnsi="宋体" w:eastAsia="宋体" w:cs="宋体"/>
          <w:b/>
          <w:bCs/>
          <w:color w:val="auto"/>
          <w:spacing w:val="2"/>
          <w:szCs w:val="21"/>
        </w:rPr>
        <w:t>必须</w:t>
      </w:r>
      <w:r>
        <w:rPr>
          <w:rFonts w:hint="eastAsia" w:ascii="宋体" w:hAnsi="宋体" w:eastAsia="宋体" w:cs="宋体"/>
          <w:b/>
          <w:bCs/>
          <w:color w:val="auto"/>
          <w:spacing w:val="-1"/>
          <w:szCs w:val="21"/>
        </w:rPr>
        <w:t>提</w:t>
      </w:r>
      <w:r>
        <w:rPr>
          <w:rFonts w:hint="eastAsia" w:ascii="宋体" w:hAnsi="宋体" w:eastAsia="宋体" w:cs="宋体"/>
          <w:b/>
          <w:bCs/>
          <w:color w:val="auto"/>
          <w:spacing w:val="2"/>
          <w:szCs w:val="21"/>
        </w:rPr>
        <w:t>供</w:t>
      </w:r>
      <w:r>
        <w:rPr>
          <w:rFonts w:hint="eastAsia" w:ascii="宋体" w:hAnsi="宋体" w:eastAsia="宋体" w:cs="宋体"/>
          <w:color w:val="auto"/>
          <w:spacing w:val="2"/>
          <w:szCs w:val="21"/>
        </w:rPr>
        <w:t>，否则响</w:t>
      </w:r>
      <w:r>
        <w:rPr>
          <w:rFonts w:hint="eastAsia" w:ascii="宋体" w:hAnsi="宋体" w:eastAsia="宋体" w:cs="宋体"/>
          <w:color w:val="auto"/>
          <w:spacing w:val="-1"/>
          <w:szCs w:val="21"/>
        </w:rPr>
        <w:t>应</w:t>
      </w:r>
      <w:r>
        <w:rPr>
          <w:rFonts w:hint="eastAsia" w:ascii="宋体" w:hAnsi="宋体" w:eastAsia="宋体" w:cs="宋体"/>
          <w:color w:val="auto"/>
          <w:spacing w:val="2"/>
          <w:szCs w:val="21"/>
        </w:rPr>
        <w:t>文件按无效</w:t>
      </w:r>
      <w:r>
        <w:rPr>
          <w:rFonts w:hint="eastAsia" w:ascii="宋体" w:hAnsi="宋体" w:eastAsia="宋体" w:cs="宋体"/>
          <w:color w:val="auto"/>
          <w:spacing w:val="-1"/>
          <w:szCs w:val="21"/>
        </w:rPr>
        <w:t>响</w:t>
      </w:r>
      <w:r>
        <w:rPr>
          <w:rFonts w:hint="eastAsia" w:ascii="宋体" w:hAnsi="宋体" w:eastAsia="宋体" w:cs="宋体"/>
          <w:color w:val="auto"/>
          <w:spacing w:val="2"/>
          <w:szCs w:val="21"/>
        </w:rPr>
        <w:t>应处理）</w:t>
      </w:r>
      <w:r>
        <w:rPr>
          <w:rFonts w:hint="eastAsia" w:ascii="宋体" w:hAnsi="宋体" w:eastAsia="宋体" w:cs="宋体"/>
          <w:b/>
          <w:bCs/>
          <w:color w:val="auto"/>
          <w:szCs w:val="21"/>
        </w:rPr>
        <w:t>;</w:t>
      </w:r>
    </w:p>
    <w:p w14:paraId="3C5A4C7D">
      <w:pPr>
        <w:pStyle w:val="102"/>
        <w:spacing w:line="360" w:lineRule="auto"/>
        <w:ind w:left="102"/>
        <w:jc w:val="left"/>
        <w:rPr>
          <w:rFonts w:hint="eastAsia" w:ascii="宋体" w:hAnsi="宋体" w:eastAsia="宋体" w:cs="宋体"/>
          <w:color w:val="auto"/>
          <w:szCs w:val="21"/>
        </w:rPr>
      </w:pPr>
      <w:r>
        <w:rPr>
          <w:rFonts w:hint="eastAsia" w:ascii="宋体" w:hAnsi="宋体" w:eastAsia="宋体" w:cs="宋体"/>
          <w:color w:val="auto"/>
          <w:spacing w:val="1"/>
          <w:szCs w:val="21"/>
        </w:rPr>
        <w:t>2</w:t>
      </w:r>
      <w:r>
        <w:rPr>
          <w:rFonts w:hint="eastAsia" w:ascii="宋体" w:hAnsi="宋体" w:eastAsia="宋体" w:cs="宋体"/>
          <w:color w:val="auto"/>
          <w:spacing w:val="2"/>
          <w:szCs w:val="21"/>
        </w:rPr>
        <w:t>．</w:t>
      </w:r>
      <w:r>
        <w:rPr>
          <w:rFonts w:hint="eastAsia" w:ascii="宋体" w:hAnsi="宋体" w:eastAsia="宋体" w:cs="宋体"/>
          <w:color w:val="auto"/>
          <w:spacing w:val="-1"/>
          <w:szCs w:val="21"/>
        </w:rPr>
        <w:t>项</w:t>
      </w:r>
      <w:r>
        <w:rPr>
          <w:rFonts w:hint="eastAsia" w:ascii="宋体" w:hAnsi="宋体" w:eastAsia="宋体" w:cs="宋体"/>
          <w:color w:val="auto"/>
          <w:spacing w:val="2"/>
          <w:szCs w:val="21"/>
        </w:rPr>
        <w:t>目</w:t>
      </w:r>
      <w:r>
        <w:rPr>
          <w:rFonts w:hint="eastAsia" w:ascii="宋体" w:hAnsi="宋体" w:eastAsia="宋体" w:cs="宋体"/>
          <w:color w:val="auto"/>
          <w:spacing w:val="-1"/>
          <w:szCs w:val="21"/>
        </w:rPr>
        <w:t>管</w:t>
      </w:r>
      <w:r>
        <w:rPr>
          <w:rFonts w:hint="eastAsia" w:ascii="宋体" w:hAnsi="宋体" w:eastAsia="宋体" w:cs="宋体"/>
          <w:color w:val="auto"/>
          <w:spacing w:val="2"/>
          <w:szCs w:val="21"/>
        </w:rPr>
        <w:t>理</w:t>
      </w:r>
      <w:r>
        <w:rPr>
          <w:rFonts w:hint="eastAsia" w:ascii="宋体" w:hAnsi="宋体" w:eastAsia="宋体" w:cs="宋体"/>
          <w:color w:val="auto"/>
          <w:spacing w:val="-1"/>
          <w:szCs w:val="21"/>
        </w:rPr>
        <w:t>机</w:t>
      </w:r>
      <w:r>
        <w:rPr>
          <w:rFonts w:hint="eastAsia" w:ascii="宋体" w:hAnsi="宋体" w:eastAsia="宋体" w:cs="宋体"/>
          <w:color w:val="auto"/>
          <w:spacing w:val="2"/>
          <w:szCs w:val="21"/>
        </w:rPr>
        <w:t>构</w:t>
      </w:r>
      <w:r>
        <w:rPr>
          <w:rFonts w:hint="eastAsia" w:ascii="宋体" w:hAnsi="宋体" w:eastAsia="宋体" w:cs="宋体"/>
          <w:color w:val="auto"/>
          <w:spacing w:val="-1"/>
          <w:szCs w:val="21"/>
        </w:rPr>
        <w:t>；</w:t>
      </w:r>
      <w:r>
        <w:rPr>
          <w:rFonts w:hint="eastAsia" w:ascii="宋体" w:hAnsi="宋体" w:eastAsia="宋体" w:cs="宋体"/>
          <w:color w:val="auto"/>
          <w:spacing w:val="2"/>
          <w:szCs w:val="21"/>
        </w:rPr>
        <w:t>（</w:t>
      </w:r>
      <w:r>
        <w:rPr>
          <w:rFonts w:hint="eastAsia" w:ascii="宋体" w:hAnsi="宋体" w:eastAsia="宋体" w:cs="宋体"/>
          <w:b/>
          <w:bCs/>
          <w:color w:val="auto"/>
          <w:spacing w:val="2"/>
          <w:szCs w:val="21"/>
        </w:rPr>
        <w:t>必须</w:t>
      </w:r>
      <w:r>
        <w:rPr>
          <w:rFonts w:hint="eastAsia" w:ascii="宋体" w:hAnsi="宋体" w:eastAsia="宋体" w:cs="宋体"/>
          <w:b/>
          <w:bCs/>
          <w:color w:val="auto"/>
          <w:spacing w:val="-1"/>
          <w:szCs w:val="21"/>
        </w:rPr>
        <w:t>提</w:t>
      </w:r>
      <w:r>
        <w:rPr>
          <w:rFonts w:hint="eastAsia" w:ascii="宋体" w:hAnsi="宋体" w:eastAsia="宋体" w:cs="宋体"/>
          <w:b/>
          <w:bCs/>
          <w:color w:val="auto"/>
          <w:spacing w:val="2"/>
          <w:szCs w:val="21"/>
        </w:rPr>
        <w:t>供</w:t>
      </w:r>
      <w:r>
        <w:rPr>
          <w:rFonts w:hint="eastAsia" w:ascii="宋体" w:hAnsi="宋体" w:eastAsia="宋体" w:cs="宋体"/>
          <w:color w:val="auto"/>
          <w:spacing w:val="2"/>
          <w:szCs w:val="21"/>
        </w:rPr>
        <w:t>，否则响</w:t>
      </w:r>
      <w:r>
        <w:rPr>
          <w:rFonts w:hint="eastAsia" w:ascii="宋体" w:hAnsi="宋体" w:eastAsia="宋体" w:cs="宋体"/>
          <w:color w:val="auto"/>
          <w:spacing w:val="-1"/>
          <w:szCs w:val="21"/>
        </w:rPr>
        <w:t>应</w:t>
      </w:r>
      <w:r>
        <w:rPr>
          <w:rFonts w:hint="eastAsia" w:ascii="宋体" w:hAnsi="宋体" w:eastAsia="宋体" w:cs="宋体"/>
          <w:color w:val="auto"/>
          <w:spacing w:val="2"/>
          <w:szCs w:val="21"/>
        </w:rPr>
        <w:t>文件按无效</w:t>
      </w:r>
      <w:r>
        <w:rPr>
          <w:rFonts w:hint="eastAsia" w:ascii="宋体" w:hAnsi="宋体" w:eastAsia="宋体" w:cs="宋体"/>
          <w:color w:val="auto"/>
          <w:spacing w:val="-1"/>
          <w:szCs w:val="21"/>
        </w:rPr>
        <w:t>响</w:t>
      </w:r>
      <w:r>
        <w:rPr>
          <w:rFonts w:hint="eastAsia" w:ascii="宋体" w:hAnsi="宋体" w:eastAsia="宋体" w:cs="宋体"/>
          <w:color w:val="auto"/>
          <w:spacing w:val="2"/>
          <w:szCs w:val="21"/>
        </w:rPr>
        <w:t>应处理）</w:t>
      </w:r>
      <w:r>
        <w:rPr>
          <w:rFonts w:hint="eastAsia" w:ascii="宋体" w:hAnsi="宋体" w:eastAsia="宋体" w:cs="宋体"/>
          <w:color w:val="auto"/>
          <w:szCs w:val="21"/>
        </w:rPr>
        <w:t>；</w:t>
      </w:r>
    </w:p>
    <w:p w14:paraId="35D8B472">
      <w:pPr>
        <w:pStyle w:val="102"/>
        <w:spacing w:line="360" w:lineRule="auto"/>
        <w:ind w:left="102"/>
        <w:jc w:val="left"/>
        <w:rPr>
          <w:rFonts w:hint="eastAsia" w:ascii="宋体" w:hAnsi="宋体" w:eastAsia="宋体" w:cs="宋体"/>
          <w:color w:val="auto"/>
          <w:szCs w:val="21"/>
        </w:rPr>
      </w:pPr>
      <w:r>
        <w:rPr>
          <w:rFonts w:hint="eastAsia" w:ascii="宋体" w:hAnsi="宋体" w:eastAsia="宋体" w:cs="宋体"/>
          <w:color w:val="auto"/>
          <w:spacing w:val="1"/>
          <w:szCs w:val="21"/>
        </w:rPr>
        <w:t>3</w:t>
      </w:r>
      <w:r>
        <w:rPr>
          <w:rFonts w:hint="eastAsia" w:ascii="宋体" w:hAnsi="宋体" w:eastAsia="宋体" w:cs="宋体"/>
          <w:color w:val="auto"/>
          <w:spacing w:val="2"/>
          <w:szCs w:val="21"/>
        </w:rPr>
        <w:t>．</w:t>
      </w:r>
      <w:r>
        <w:rPr>
          <w:rFonts w:hint="eastAsia" w:ascii="宋体" w:hAnsi="宋体" w:eastAsia="宋体" w:cs="宋体"/>
          <w:color w:val="auto"/>
          <w:spacing w:val="-1"/>
          <w:szCs w:val="21"/>
        </w:rPr>
        <w:t>业</w:t>
      </w:r>
      <w:r>
        <w:rPr>
          <w:rFonts w:hint="eastAsia" w:ascii="宋体" w:hAnsi="宋体" w:eastAsia="宋体" w:cs="宋体"/>
          <w:color w:val="auto"/>
          <w:spacing w:val="2"/>
          <w:szCs w:val="21"/>
        </w:rPr>
        <w:t>绩</w:t>
      </w:r>
      <w:r>
        <w:rPr>
          <w:rFonts w:hint="eastAsia" w:ascii="宋体" w:hAnsi="宋体" w:eastAsia="宋体" w:cs="宋体"/>
          <w:color w:val="auto"/>
          <w:spacing w:val="-1"/>
          <w:szCs w:val="21"/>
        </w:rPr>
        <w:t>证</w:t>
      </w:r>
      <w:r>
        <w:rPr>
          <w:rFonts w:hint="eastAsia" w:ascii="宋体" w:hAnsi="宋体" w:eastAsia="宋体" w:cs="宋体"/>
          <w:color w:val="auto"/>
          <w:spacing w:val="2"/>
          <w:szCs w:val="21"/>
        </w:rPr>
        <w:t>明</w:t>
      </w:r>
      <w:r>
        <w:rPr>
          <w:rFonts w:hint="eastAsia" w:ascii="宋体" w:hAnsi="宋体" w:eastAsia="宋体" w:cs="宋体"/>
          <w:color w:val="auto"/>
          <w:spacing w:val="-1"/>
          <w:szCs w:val="21"/>
        </w:rPr>
        <w:t>材</w:t>
      </w:r>
      <w:r>
        <w:rPr>
          <w:rFonts w:hint="eastAsia" w:ascii="宋体" w:hAnsi="宋体" w:eastAsia="宋体" w:cs="宋体"/>
          <w:color w:val="auto"/>
          <w:spacing w:val="2"/>
          <w:szCs w:val="21"/>
        </w:rPr>
        <w:t>料</w:t>
      </w:r>
      <w:r>
        <w:rPr>
          <w:rFonts w:hint="eastAsia" w:ascii="宋体" w:hAnsi="宋体" w:eastAsia="宋体" w:cs="宋体"/>
          <w:color w:val="auto"/>
          <w:spacing w:val="-1"/>
          <w:szCs w:val="21"/>
        </w:rPr>
        <w:t>；</w:t>
      </w:r>
      <w:r>
        <w:rPr>
          <w:rFonts w:hint="eastAsia" w:ascii="宋体" w:hAnsi="宋体" w:eastAsia="宋体" w:cs="宋体"/>
          <w:color w:val="auto"/>
          <w:spacing w:val="2"/>
          <w:szCs w:val="21"/>
        </w:rPr>
        <w:t>（如有</w:t>
      </w:r>
      <w:r>
        <w:rPr>
          <w:rFonts w:hint="eastAsia" w:ascii="宋体" w:hAnsi="宋体" w:eastAsia="宋体" w:cs="宋体"/>
          <w:color w:val="auto"/>
          <w:spacing w:val="-1"/>
          <w:szCs w:val="21"/>
        </w:rPr>
        <w:t>可</w:t>
      </w:r>
      <w:r>
        <w:rPr>
          <w:rFonts w:hint="eastAsia" w:ascii="宋体" w:hAnsi="宋体" w:eastAsia="宋体" w:cs="宋体"/>
          <w:color w:val="auto"/>
          <w:spacing w:val="2"/>
          <w:szCs w:val="21"/>
        </w:rPr>
        <w:t>提供，格式</w:t>
      </w:r>
      <w:r>
        <w:rPr>
          <w:rFonts w:hint="eastAsia" w:ascii="宋体" w:hAnsi="宋体" w:eastAsia="宋体" w:cs="宋体"/>
          <w:color w:val="auto"/>
          <w:spacing w:val="-1"/>
          <w:szCs w:val="21"/>
        </w:rPr>
        <w:t>自</w:t>
      </w:r>
      <w:r>
        <w:rPr>
          <w:rFonts w:hint="eastAsia" w:ascii="宋体" w:hAnsi="宋体" w:eastAsia="宋体" w:cs="宋体"/>
          <w:color w:val="auto"/>
          <w:spacing w:val="2"/>
          <w:szCs w:val="21"/>
        </w:rPr>
        <w:t>拟</w:t>
      </w:r>
      <w:r>
        <w:rPr>
          <w:rFonts w:hint="eastAsia" w:ascii="宋体" w:hAnsi="宋体" w:eastAsia="宋体" w:cs="宋体"/>
          <w:color w:val="auto"/>
          <w:szCs w:val="21"/>
        </w:rPr>
        <w:t>）</w:t>
      </w:r>
    </w:p>
    <w:p w14:paraId="1A42093F">
      <w:pPr>
        <w:pStyle w:val="20"/>
        <w:spacing w:line="360" w:lineRule="auto"/>
        <w:ind w:firstLine="624" w:firstLineChars="300"/>
        <w:rPr>
          <w:rFonts w:hint="eastAsia" w:ascii="宋体" w:hAnsi="宋体" w:eastAsia="宋体" w:cs="宋体"/>
          <w:color w:val="auto"/>
          <w:highlight w:val="none"/>
          <w:lang w:eastAsia="zh-CN"/>
        </w:rPr>
      </w:pPr>
      <w:r>
        <w:rPr>
          <w:rFonts w:hint="eastAsia" w:hAnsi="宋体" w:cs="宋体"/>
          <w:color w:val="auto"/>
          <w:spacing w:val="-1"/>
          <w:szCs w:val="21"/>
          <w:lang w:val="en-US" w:eastAsia="zh-CN"/>
        </w:rPr>
        <w:t>4</w:t>
      </w:r>
      <w:r>
        <w:rPr>
          <w:rFonts w:hint="eastAsia" w:ascii="宋体" w:hAnsi="宋体" w:eastAsia="宋体" w:cs="宋体"/>
          <w:color w:val="auto"/>
          <w:spacing w:val="-1"/>
          <w:szCs w:val="21"/>
          <w:lang w:val="en-US" w:eastAsia="zh-CN"/>
        </w:rPr>
        <w:t>、</w:t>
      </w:r>
      <w:r>
        <w:rPr>
          <w:rFonts w:hint="eastAsia" w:ascii="宋体" w:hAnsi="宋体" w:eastAsia="宋体" w:cs="宋体"/>
          <w:color w:val="auto"/>
          <w:spacing w:val="-1"/>
          <w:szCs w:val="21"/>
        </w:rPr>
        <w:t>供</w:t>
      </w:r>
      <w:r>
        <w:rPr>
          <w:rFonts w:hint="eastAsia" w:ascii="宋体" w:hAnsi="宋体" w:eastAsia="宋体" w:cs="宋体"/>
          <w:color w:val="auto"/>
          <w:spacing w:val="2"/>
          <w:szCs w:val="21"/>
        </w:rPr>
        <w:t>应</w:t>
      </w:r>
      <w:r>
        <w:rPr>
          <w:rFonts w:hint="eastAsia" w:ascii="宋体" w:hAnsi="宋体" w:eastAsia="宋体" w:cs="宋体"/>
          <w:color w:val="auto"/>
          <w:spacing w:val="-1"/>
          <w:szCs w:val="21"/>
        </w:rPr>
        <w:t>商</w:t>
      </w:r>
      <w:r>
        <w:rPr>
          <w:rFonts w:hint="eastAsia" w:ascii="宋体" w:hAnsi="宋体" w:eastAsia="宋体" w:cs="宋体"/>
          <w:color w:val="auto"/>
          <w:spacing w:val="2"/>
          <w:szCs w:val="21"/>
        </w:rPr>
        <w:t>认</w:t>
      </w:r>
      <w:r>
        <w:rPr>
          <w:rFonts w:hint="eastAsia" w:ascii="宋体" w:hAnsi="宋体" w:eastAsia="宋体" w:cs="宋体"/>
          <w:color w:val="auto"/>
          <w:spacing w:val="-1"/>
          <w:szCs w:val="21"/>
        </w:rPr>
        <w:t>为</w:t>
      </w:r>
      <w:r>
        <w:rPr>
          <w:rFonts w:hint="eastAsia" w:ascii="宋体" w:hAnsi="宋体" w:eastAsia="宋体" w:cs="宋体"/>
          <w:color w:val="auto"/>
          <w:spacing w:val="2"/>
          <w:szCs w:val="21"/>
        </w:rPr>
        <w:t>需</w:t>
      </w:r>
      <w:r>
        <w:rPr>
          <w:rFonts w:hint="eastAsia" w:ascii="宋体" w:hAnsi="宋体" w:eastAsia="宋体" w:cs="宋体"/>
          <w:color w:val="auto"/>
          <w:spacing w:val="-1"/>
          <w:szCs w:val="21"/>
        </w:rPr>
        <w:t>要</w:t>
      </w:r>
      <w:r>
        <w:rPr>
          <w:rFonts w:hint="eastAsia" w:ascii="宋体" w:hAnsi="宋体" w:eastAsia="宋体" w:cs="宋体"/>
          <w:color w:val="auto"/>
          <w:spacing w:val="2"/>
          <w:szCs w:val="21"/>
        </w:rPr>
        <w:t>提</w:t>
      </w:r>
      <w:r>
        <w:rPr>
          <w:rFonts w:hint="eastAsia" w:ascii="宋体" w:hAnsi="宋体" w:eastAsia="宋体" w:cs="宋体"/>
          <w:color w:val="auto"/>
          <w:spacing w:val="-1"/>
          <w:szCs w:val="21"/>
        </w:rPr>
        <w:t>供</w:t>
      </w:r>
      <w:r>
        <w:rPr>
          <w:rFonts w:hint="eastAsia" w:ascii="宋体" w:hAnsi="宋体" w:eastAsia="宋体" w:cs="宋体"/>
          <w:color w:val="auto"/>
          <w:spacing w:val="2"/>
          <w:szCs w:val="21"/>
        </w:rPr>
        <w:t>的</w:t>
      </w:r>
      <w:r>
        <w:rPr>
          <w:rFonts w:hint="eastAsia" w:ascii="宋体" w:hAnsi="宋体" w:eastAsia="宋体" w:cs="宋体"/>
          <w:color w:val="auto"/>
          <w:spacing w:val="-1"/>
          <w:szCs w:val="21"/>
        </w:rPr>
        <w:t>其</w:t>
      </w:r>
      <w:r>
        <w:rPr>
          <w:rFonts w:hint="eastAsia" w:ascii="宋体" w:hAnsi="宋体" w:eastAsia="宋体" w:cs="宋体"/>
          <w:color w:val="auto"/>
          <w:spacing w:val="2"/>
          <w:szCs w:val="21"/>
        </w:rPr>
        <w:t>他</w:t>
      </w:r>
      <w:r>
        <w:rPr>
          <w:rFonts w:hint="eastAsia" w:ascii="宋体" w:hAnsi="宋体" w:eastAsia="宋体" w:cs="宋体"/>
          <w:color w:val="auto"/>
          <w:spacing w:val="-1"/>
          <w:szCs w:val="21"/>
        </w:rPr>
        <w:t>有</w:t>
      </w:r>
      <w:r>
        <w:rPr>
          <w:rFonts w:hint="eastAsia" w:ascii="宋体" w:hAnsi="宋体" w:eastAsia="宋体" w:cs="宋体"/>
          <w:color w:val="auto"/>
          <w:spacing w:val="2"/>
          <w:szCs w:val="21"/>
        </w:rPr>
        <w:t>关</w:t>
      </w:r>
      <w:r>
        <w:rPr>
          <w:rFonts w:hint="eastAsia" w:ascii="宋体" w:hAnsi="宋体" w:eastAsia="宋体" w:cs="宋体"/>
          <w:color w:val="auto"/>
          <w:spacing w:val="-1"/>
          <w:szCs w:val="21"/>
        </w:rPr>
        <w:t>资</w:t>
      </w:r>
      <w:r>
        <w:rPr>
          <w:rFonts w:hint="eastAsia" w:ascii="宋体" w:hAnsi="宋体" w:eastAsia="宋体" w:cs="宋体"/>
          <w:color w:val="auto"/>
          <w:spacing w:val="2"/>
          <w:szCs w:val="21"/>
        </w:rPr>
        <w:t>料</w:t>
      </w:r>
      <w:r>
        <w:rPr>
          <w:rFonts w:hint="eastAsia" w:ascii="宋体" w:hAnsi="宋体" w:eastAsia="宋体" w:cs="宋体"/>
          <w:color w:val="auto"/>
          <w:szCs w:val="21"/>
        </w:rPr>
        <w:t>。</w:t>
      </w:r>
    </w:p>
    <w:p w14:paraId="125492BB">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应完整、真实、准确的填写磋商文件中规定的所有内容。</w:t>
      </w:r>
    </w:p>
    <w:p w14:paraId="1E888430">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必须对响应文件所提供的全部资料的真实性承担法律责任，并无条件接受招标采购单位及监督管理部门等对其中任何资料进行核实的要求。</w:t>
      </w:r>
    </w:p>
    <w:p w14:paraId="2CCA78F6">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如果因为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响应文件填报的内容不详，或没有提供磋商文件中所要求的全部资料及数据，由此造成的后果，其责任由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2C4377AD">
      <w:pPr>
        <w:pStyle w:val="4"/>
        <w:spacing w:before="0" w:after="0" w:line="360" w:lineRule="auto"/>
        <w:rPr>
          <w:rFonts w:hint="eastAsia" w:ascii="宋体" w:hAnsi="宋体" w:eastAsia="宋体" w:cs="宋体"/>
          <w:color w:val="auto"/>
          <w:sz w:val="21"/>
          <w:szCs w:val="21"/>
          <w:highlight w:val="none"/>
        </w:rPr>
      </w:pPr>
      <w:bookmarkStart w:id="106" w:name="_Toc486196150"/>
      <w:bookmarkStart w:id="107" w:name="_Toc207770846"/>
      <w:bookmarkStart w:id="108" w:name="_Toc486922967"/>
      <w:bookmarkStart w:id="109" w:name="_Toc230578068"/>
      <w:bookmarkStart w:id="110" w:name="_Toc206525693"/>
      <w:bookmarkStart w:id="111" w:name="_Toc239839874"/>
      <w:bookmarkStart w:id="112" w:name="_Toc185702560"/>
      <w:r>
        <w:rPr>
          <w:rFonts w:hint="eastAsia" w:ascii="宋体" w:hAnsi="宋体" w:eastAsia="宋体" w:cs="宋体"/>
          <w:color w:val="auto"/>
          <w:sz w:val="21"/>
          <w:szCs w:val="21"/>
          <w:highlight w:val="none"/>
        </w:rPr>
        <w:t>11．磋商报价</w:t>
      </w:r>
      <w:bookmarkEnd w:id="106"/>
      <w:bookmarkEnd w:id="107"/>
      <w:bookmarkEnd w:id="108"/>
      <w:bookmarkEnd w:id="109"/>
      <w:bookmarkEnd w:id="110"/>
      <w:bookmarkEnd w:id="111"/>
      <w:bookmarkEnd w:id="112"/>
    </w:p>
    <w:p w14:paraId="0D3AF4DF">
      <w:pPr>
        <w:pStyle w:val="20"/>
        <w:spacing w:line="360" w:lineRule="auto"/>
        <w:ind w:left="525" w:hanging="525" w:hangingChars="250"/>
        <w:rPr>
          <w:rFonts w:hint="eastAsia" w:ascii="宋体" w:hAnsi="宋体" w:eastAsia="宋体" w:cs="宋体"/>
          <w:color w:val="auto"/>
          <w:highlight w:val="none"/>
        </w:rPr>
      </w:pPr>
      <w:bookmarkStart w:id="113" w:name="_Toc230578069"/>
      <w:bookmarkStart w:id="114" w:name="_Toc239839875"/>
      <w:bookmarkStart w:id="115" w:name="_Toc185702561"/>
      <w:bookmarkStart w:id="116" w:name="_Toc206525694"/>
      <w:bookmarkStart w:id="117" w:name="_Toc207770847"/>
      <w:r>
        <w:rPr>
          <w:rFonts w:hint="eastAsia" w:ascii="宋体" w:hAnsi="宋体" w:eastAsia="宋体" w:cs="宋体"/>
          <w:color w:val="auto"/>
          <w:highlight w:val="none"/>
        </w:rPr>
        <w:t>11.1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所提供的货物和服务均应以人民币报价，若同时以人民币及外币报价的，以人民币报价为准。</w:t>
      </w:r>
    </w:p>
    <w:p w14:paraId="52EFF923">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应按照“第三章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采购内容及要求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规定的内容、责任范围以及合同条款进行报价。并按《磋商报价表》确定的格式报出分项价格和总价。磋商总价中不得包含磋商文件要求以外的内容，否则，在评标时不予核减。磋商总价中也不得缺漏磋商文件所要求的内容，否则，其磋商将可能被视为无效响应或确定为响应无效。</w:t>
      </w:r>
    </w:p>
    <w:p w14:paraId="5D92B6D6">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11.3如有《磋商报价表》，填写时应响应下列要求：</w:t>
      </w:r>
    </w:p>
    <w:p w14:paraId="17B3753D">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（1）对于报价免费的项目必须标明“免费”；</w:t>
      </w:r>
    </w:p>
    <w:p w14:paraId="1A36E80B">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kern w:val="0"/>
          <w:highlight w:val="none"/>
        </w:rPr>
        <w:t>磋商报价应为</w:t>
      </w:r>
      <w:r>
        <w:rPr>
          <w:rFonts w:hint="eastAsia" w:ascii="宋体" w:hAnsi="宋体" w:eastAsia="宋体" w:cs="宋体"/>
          <w:color w:val="auto"/>
          <w:kern w:val="0"/>
          <w:highlight w:val="none"/>
          <w:lang w:val="en-US" w:eastAsia="zh-CN"/>
        </w:rPr>
        <w:t>包括该项目全部所需的设备费、劳务费、管理费、 材料费、安装费、维护费、税金、利润、政策性调价、物价上涨因素以及合同明示或暗示的所有风险、 责任和义务、安全防护、文明施工措施费等费用</w:t>
      </w:r>
      <w:r>
        <w:rPr>
          <w:rFonts w:hint="eastAsia" w:ascii="宋体" w:hAnsi="宋体" w:eastAsia="宋体" w:cs="宋体"/>
          <w:color w:val="auto"/>
          <w:highlight w:val="none"/>
        </w:rPr>
        <w:t>。</w:t>
      </w:r>
    </w:p>
    <w:p w14:paraId="396AFB11">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11.4</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rPr>
        <w:t>只允许有一个报价，否则将被视为无效响应。</w:t>
      </w:r>
    </w:p>
    <w:p w14:paraId="29B7C954">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11.5本项目不接受有任何选择的报价，任何有选择的报价或包含价格调整要求的磋商，将被认为是非响应性磋商而作为无效响应文件处理。</w:t>
      </w:r>
    </w:p>
    <w:p w14:paraId="6BB19087">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11.6</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所填报的产品内容如存在有漏项的情况且在评标时被接受，则将被认定为该遗漏项已包含在磋商报价中，成交</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highlight w:val="none"/>
        </w:rPr>
        <w:t>在供货时应按响应文件及经澄清后的结果要求完整提供产品及服务，采购人对其漏报的项目不追加任何货款。</w:t>
      </w:r>
    </w:p>
    <w:bookmarkEnd w:id="113"/>
    <w:bookmarkEnd w:id="114"/>
    <w:bookmarkEnd w:id="115"/>
    <w:bookmarkEnd w:id="116"/>
    <w:bookmarkEnd w:id="117"/>
    <w:p w14:paraId="5C789333">
      <w:pPr>
        <w:pStyle w:val="4"/>
        <w:spacing w:before="0" w:after="0" w:line="360" w:lineRule="auto"/>
        <w:rPr>
          <w:rFonts w:hint="eastAsia" w:ascii="宋体" w:hAnsi="宋体" w:eastAsia="宋体" w:cs="宋体"/>
          <w:color w:val="auto"/>
          <w:sz w:val="21"/>
          <w:szCs w:val="21"/>
          <w:highlight w:val="none"/>
        </w:rPr>
      </w:pPr>
      <w:bookmarkStart w:id="118" w:name="_Toc207770850"/>
      <w:bookmarkStart w:id="119" w:name="_Toc486196151"/>
      <w:bookmarkStart w:id="120" w:name="_Toc486922968"/>
      <w:bookmarkStart w:id="121" w:name="_Toc239839878"/>
      <w:bookmarkStart w:id="122" w:name="_Toc206525697"/>
      <w:bookmarkStart w:id="123" w:name="_Toc185702564"/>
      <w:bookmarkStart w:id="124" w:name="_Toc230578072"/>
      <w:r>
        <w:rPr>
          <w:rFonts w:hint="eastAsia" w:ascii="宋体" w:hAnsi="宋体" w:eastAsia="宋体" w:cs="宋体"/>
          <w:color w:val="auto"/>
          <w:sz w:val="21"/>
          <w:szCs w:val="21"/>
          <w:highlight w:val="none"/>
        </w:rPr>
        <w:t>12．磋商有效期</w:t>
      </w:r>
      <w:bookmarkEnd w:id="118"/>
      <w:bookmarkEnd w:id="119"/>
      <w:bookmarkEnd w:id="120"/>
      <w:bookmarkEnd w:id="121"/>
      <w:bookmarkEnd w:id="122"/>
      <w:bookmarkEnd w:id="123"/>
      <w:bookmarkEnd w:id="124"/>
    </w:p>
    <w:p w14:paraId="71153959">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12.1磋商有效期：响应文件从磋商截止日起60天内有效。</w:t>
      </w:r>
    </w:p>
    <w:p w14:paraId="75452399">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12.2在特殊情况下，采购人、采购代理机构可于磋商有效期满之前要求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同意延长有效期，要求与答复均应以书面形式。</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可以拒绝上述要求而其磋商保证金不被没收，不同意延期的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的磋商保证金将在原磋商有效期满后5个工作日内无息退还。同意延期的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根据原截止期应负之权利及责任相应也延至新的截止期，但不能要求对原响应文件（经磋商小组确认有效且没有超出响应文件的范围或改变磋商的实质内容的澄清或说明作为响应文件的组成部分）作任何改变，并同意在延长的磋商有效期内遵循本响应文件，在延长的磋商有效期满之前继续具有约束力。</w:t>
      </w:r>
    </w:p>
    <w:p w14:paraId="518C4930">
      <w:pPr>
        <w:pStyle w:val="4"/>
        <w:spacing w:before="0" w:after="0" w:line="360" w:lineRule="auto"/>
        <w:rPr>
          <w:rFonts w:hint="eastAsia" w:ascii="宋体" w:hAnsi="宋体" w:eastAsia="宋体" w:cs="宋体"/>
          <w:color w:val="auto"/>
          <w:sz w:val="21"/>
          <w:szCs w:val="21"/>
          <w:highlight w:val="none"/>
        </w:rPr>
      </w:pPr>
      <w:bookmarkStart w:id="125" w:name="_Toc486196152"/>
      <w:bookmarkStart w:id="126" w:name="_Toc207770851"/>
      <w:bookmarkStart w:id="127" w:name="_Toc206525698"/>
      <w:bookmarkStart w:id="128" w:name="_Toc239839879"/>
      <w:bookmarkStart w:id="129" w:name="_Toc185702565"/>
      <w:bookmarkStart w:id="130" w:name="_Toc486922969"/>
      <w:bookmarkStart w:id="131" w:name="_Toc230578073"/>
      <w:r>
        <w:rPr>
          <w:rFonts w:hint="eastAsia" w:ascii="宋体" w:hAnsi="宋体" w:eastAsia="宋体" w:cs="宋体"/>
          <w:color w:val="auto"/>
          <w:sz w:val="21"/>
          <w:szCs w:val="21"/>
          <w:highlight w:val="none"/>
        </w:rPr>
        <w:t>13．响应文件书写及</w:t>
      </w:r>
      <w:r>
        <w:rPr>
          <w:rFonts w:hint="eastAsia" w:ascii="宋体" w:hAnsi="宋体" w:eastAsia="宋体" w:cs="宋体"/>
          <w:color w:val="auto"/>
          <w:sz w:val="21"/>
          <w:szCs w:val="21"/>
          <w:highlight w:val="none"/>
          <w:lang w:eastAsia="zh-CN"/>
        </w:rPr>
        <w:t>签字或者电子签名</w:t>
      </w:r>
      <w:r>
        <w:rPr>
          <w:rFonts w:hint="eastAsia" w:ascii="宋体" w:hAnsi="宋体" w:eastAsia="宋体" w:cs="宋体"/>
          <w:color w:val="auto"/>
          <w:sz w:val="21"/>
          <w:szCs w:val="21"/>
          <w:highlight w:val="none"/>
        </w:rPr>
        <w:t>、盖章要求</w:t>
      </w:r>
      <w:bookmarkEnd w:id="125"/>
      <w:bookmarkEnd w:id="126"/>
      <w:bookmarkEnd w:id="127"/>
      <w:bookmarkEnd w:id="128"/>
      <w:bookmarkEnd w:id="129"/>
      <w:bookmarkEnd w:id="130"/>
      <w:bookmarkEnd w:id="131"/>
    </w:p>
    <w:p w14:paraId="789C7902">
      <w:pPr>
        <w:pStyle w:val="20"/>
        <w:spacing w:line="360" w:lineRule="auto"/>
        <w:ind w:left="525" w:leftChars="200" w:hanging="105" w:hanging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电子响应文件中所须加盖公章部分均采用 CA 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1B283179">
      <w:pPr>
        <w:pStyle w:val="20"/>
        <w:spacing w:line="360" w:lineRule="auto"/>
        <w:ind w:left="525" w:leftChars="200" w:hanging="105" w:hanging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CA 签章上关于法人（负责人）或授权代表签字信息，供应商在响应文件中涉及到签字的位置线下【签好字然后扫描做成 PDF 的格式】或【通过政采云电子交易客户端使用 CA 法人（负责人）或授权代表签章】亦可。响应文件中涉及到签字的位置未按要求签字的，提供的材料视为无效。</w:t>
      </w:r>
    </w:p>
    <w:p w14:paraId="717DC6FD">
      <w:pPr>
        <w:pStyle w:val="4"/>
        <w:spacing w:before="0" w:after="0" w:line="360" w:lineRule="auto"/>
        <w:rPr>
          <w:rFonts w:hint="eastAsia" w:ascii="宋体" w:hAnsi="宋体" w:eastAsia="宋体" w:cs="宋体"/>
          <w:color w:val="auto"/>
          <w:sz w:val="21"/>
          <w:szCs w:val="21"/>
          <w:highlight w:val="none"/>
        </w:rPr>
      </w:pPr>
      <w:bookmarkStart w:id="132" w:name="_Toc239839880"/>
      <w:bookmarkStart w:id="133" w:name="_Toc185702566"/>
      <w:bookmarkStart w:id="134" w:name="_Toc486922970"/>
      <w:bookmarkStart w:id="135" w:name="_Toc206525699"/>
      <w:bookmarkStart w:id="136" w:name="_Toc230578074"/>
      <w:bookmarkStart w:id="137" w:name="_Toc207770852"/>
      <w:bookmarkStart w:id="138" w:name="_Toc486196153"/>
      <w:r>
        <w:rPr>
          <w:rFonts w:hint="eastAsia" w:ascii="宋体" w:hAnsi="宋体" w:eastAsia="宋体" w:cs="宋体"/>
          <w:color w:val="auto"/>
          <w:sz w:val="21"/>
          <w:szCs w:val="21"/>
          <w:highlight w:val="none"/>
        </w:rPr>
        <w:t>14．磋商保证金</w:t>
      </w:r>
      <w:bookmarkEnd w:id="132"/>
      <w:bookmarkEnd w:id="133"/>
      <w:bookmarkEnd w:id="134"/>
      <w:bookmarkEnd w:id="135"/>
      <w:bookmarkEnd w:id="136"/>
      <w:bookmarkEnd w:id="137"/>
      <w:bookmarkEnd w:id="138"/>
    </w:p>
    <w:p w14:paraId="2C20BAB6">
      <w:pPr>
        <w:pStyle w:val="20"/>
        <w:spacing w:line="360" w:lineRule="auto"/>
        <w:ind w:left="505" w:hanging="505" w:hangingChars="25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14.1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应按本章</w:t>
      </w:r>
      <w:r>
        <w:rPr>
          <w:rFonts w:hint="eastAsia" w:ascii="宋体" w:hAnsi="宋体" w:eastAsia="宋体" w:cs="宋体"/>
          <w:color w:val="auto"/>
          <w:spacing w:val="-4"/>
          <w:highlight w:val="none"/>
        </w:rPr>
        <w:t>须知前附表规定的金额和期限交纳</w:t>
      </w:r>
      <w:r>
        <w:rPr>
          <w:rFonts w:hint="eastAsia" w:ascii="宋体" w:hAnsi="宋体" w:eastAsia="宋体" w:cs="宋体"/>
          <w:color w:val="auto"/>
          <w:highlight w:val="none"/>
        </w:rPr>
        <w:t>磋商保证金，磋商保证金作为响应文件的组成部分。凡未按规定交纳磋商保证金的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，为无效磋商。</w:t>
      </w:r>
    </w:p>
    <w:p w14:paraId="3518DA77">
      <w:pPr>
        <w:pStyle w:val="20"/>
        <w:spacing w:line="360" w:lineRule="auto"/>
        <w:ind w:left="525" w:hanging="525" w:hangingChars="250"/>
        <w:rPr>
          <w:rFonts w:hint="eastAsia" w:ascii="宋体" w:hAnsi="宋体" w:eastAsia="宋体" w:cs="宋体"/>
          <w:color w:val="auto"/>
          <w:highlight w:val="none"/>
          <w:lang w:eastAsia="zh-CN"/>
        </w:rPr>
      </w:pPr>
      <w:r>
        <w:rPr>
          <w:rFonts w:hint="eastAsia" w:ascii="宋体" w:hAnsi="宋体" w:eastAsia="宋体" w:cs="宋体"/>
          <w:color w:val="auto"/>
          <w:highlight w:val="none"/>
        </w:rPr>
        <w:t>14.2采购人或者采购代理机构应当自成交通知书发出之日起5个工作日内退还</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的磋商保证金或银行保函原件</w:t>
      </w:r>
      <w:r>
        <w:rPr>
          <w:rFonts w:hint="eastAsia" w:ascii="宋体" w:hAnsi="宋体" w:eastAsia="宋体" w:cs="宋体"/>
          <w:color w:val="auto"/>
          <w:highlight w:val="none"/>
          <w:lang w:eastAsia="zh-CN"/>
        </w:rPr>
        <w:t>。</w:t>
      </w:r>
    </w:p>
    <w:p w14:paraId="50B6DEF5">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14.3成交人的磋商保证金，成交人按规定交纳成交服务费、与采购人签订采购合同后，并向</w:t>
      </w:r>
      <w:r>
        <w:rPr>
          <w:rFonts w:hint="eastAsia" w:ascii="宋体" w:hAnsi="宋体" w:eastAsia="宋体" w:cs="宋体"/>
          <w:color w:val="auto"/>
          <w:highlight w:val="none"/>
          <w:u w:val="single"/>
          <w:lang w:val="en-US" w:eastAsia="zh-CN"/>
        </w:rPr>
        <w:t>采购单位</w:t>
      </w:r>
      <w:r>
        <w:rPr>
          <w:rFonts w:hint="eastAsia" w:ascii="宋体" w:hAnsi="宋体" w:eastAsia="宋体" w:cs="宋体"/>
          <w:color w:val="auto"/>
          <w:highlight w:val="none"/>
        </w:rPr>
        <w:t>递交“磋商保证金声明”原件、采购合同备案后，</w:t>
      </w:r>
      <w:r>
        <w:rPr>
          <w:rFonts w:hint="eastAsia" w:ascii="宋体" w:hAnsi="宋体" w:eastAsia="宋体" w:cs="宋体"/>
          <w:color w:val="auto"/>
          <w:highlight w:val="none"/>
          <w:u w:val="single"/>
          <w:lang w:val="en-US" w:eastAsia="zh-CN"/>
        </w:rPr>
        <w:t>采购单位</w:t>
      </w:r>
      <w:r>
        <w:rPr>
          <w:rFonts w:hint="eastAsia" w:ascii="宋体" w:hAnsi="宋体" w:eastAsia="宋体" w:cs="宋体"/>
          <w:color w:val="auto"/>
          <w:highlight w:val="none"/>
        </w:rPr>
        <w:t>将在5个工作日内不计利息原额退还。</w:t>
      </w:r>
    </w:p>
    <w:p w14:paraId="2096059F">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14.4如有质疑或投诉，将在质疑和投诉处理完毕后不计利息原额退还。</w:t>
      </w:r>
    </w:p>
    <w:p w14:paraId="38A43DEC">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14.5有下列情形之一的，磋商保证金不予退还：</w:t>
      </w:r>
    </w:p>
    <w:p w14:paraId="5F253EBC">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在提交响应文件截止时间后撤回响应文件的；</w:t>
      </w:r>
    </w:p>
    <w:p w14:paraId="27B476E9">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在响应文件中提供虚假材料的；</w:t>
      </w:r>
    </w:p>
    <w:p w14:paraId="2BF169B2">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（3）除因不可抗力或磋商文件认可的情形以外，成交人不与采购人签订合同的；</w:t>
      </w:r>
    </w:p>
    <w:p w14:paraId="7382F24A">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与采购人、其他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或者采购代理机构恶意串通的；</w:t>
      </w:r>
    </w:p>
    <w:p w14:paraId="15037F63">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（5）将成交项目转让给他人，或者在响应文件中未说明，且未经采购人同意，违反磋商文件规定，将成交项目分包给他人的。</w:t>
      </w:r>
    </w:p>
    <w:p w14:paraId="4AADBBEE">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（6）磋商文件规定的其他情形。</w:t>
      </w:r>
    </w:p>
    <w:p w14:paraId="01E38250">
      <w:pPr>
        <w:spacing w:line="360" w:lineRule="auto"/>
        <w:jc w:val="left"/>
        <w:rPr>
          <w:rFonts w:hint="eastAsia" w:ascii="宋体" w:hAnsi="宋体" w:eastAsia="宋体" w:cs="宋体"/>
          <w:b/>
          <w:bCs/>
          <w:color w:val="auto"/>
          <w:sz w:val="24"/>
          <w:szCs w:val="24"/>
          <w:highlight w:val="none"/>
        </w:rPr>
      </w:pPr>
      <w:bookmarkStart w:id="139" w:name="_Toc185702567"/>
      <w:bookmarkStart w:id="140" w:name="_Toc207770853"/>
      <w:bookmarkStart w:id="141" w:name="_Toc486922971"/>
      <w:bookmarkStart w:id="142" w:name="_Toc486196154"/>
      <w:bookmarkStart w:id="143" w:name="_Toc230578075"/>
      <w:bookmarkStart w:id="144" w:name="_Toc206525700"/>
      <w:bookmarkStart w:id="145" w:name="_Toc239839881"/>
      <w:r>
        <w:rPr>
          <w:rFonts w:hint="eastAsia" w:ascii="宋体" w:hAnsi="宋体" w:eastAsia="宋体" w:cs="宋体"/>
          <w:b/>
          <w:bCs/>
          <w:color w:val="auto"/>
          <w:sz w:val="24"/>
          <w:szCs w:val="24"/>
          <w:highlight w:val="none"/>
        </w:rPr>
        <w:t xml:space="preserve">四   </w:t>
      </w:r>
      <w:bookmarkEnd w:id="139"/>
      <w:bookmarkEnd w:id="140"/>
      <w:bookmarkEnd w:id="141"/>
      <w:bookmarkEnd w:id="142"/>
      <w:bookmarkEnd w:id="143"/>
      <w:bookmarkEnd w:id="144"/>
      <w:bookmarkEnd w:id="145"/>
      <w:r>
        <w:rPr>
          <w:rFonts w:hint="eastAsia" w:ascii="宋体" w:hAnsi="宋体" w:eastAsia="宋体" w:cs="宋体"/>
          <w:b/>
          <w:bCs/>
          <w:color w:val="auto"/>
          <w:sz w:val="24"/>
          <w:szCs w:val="24"/>
          <w:highlight w:val="none"/>
        </w:rPr>
        <w:t>竞争性谈判响应文件的上传、提交、修改、撤回和解密</w:t>
      </w:r>
    </w:p>
    <w:p w14:paraId="30CF313C">
      <w:pPr>
        <w:pStyle w:val="4"/>
        <w:spacing w:before="0" w:after="0" w:line="360" w:lineRule="auto"/>
        <w:rPr>
          <w:rFonts w:hint="eastAsia" w:ascii="宋体" w:hAnsi="宋体" w:eastAsia="宋体" w:cs="宋体"/>
          <w:color w:val="auto"/>
          <w:sz w:val="21"/>
          <w:szCs w:val="21"/>
          <w:highlight w:val="none"/>
        </w:rPr>
      </w:pPr>
      <w:bookmarkStart w:id="146" w:name="_Toc239839882"/>
      <w:bookmarkStart w:id="147" w:name="_Toc185702568"/>
      <w:bookmarkStart w:id="148" w:name="_Toc486922972"/>
      <w:bookmarkStart w:id="149" w:name="_Toc207770854"/>
      <w:bookmarkStart w:id="150" w:name="_Toc230578076"/>
      <w:bookmarkStart w:id="151" w:name="_Toc486196155"/>
      <w:bookmarkStart w:id="152" w:name="_Toc206525701"/>
      <w:r>
        <w:rPr>
          <w:rFonts w:hint="eastAsia" w:ascii="宋体" w:hAnsi="宋体" w:eastAsia="宋体" w:cs="宋体"/>
          <w:color w:val="auto"/>
          <w:sz w:val="21"/>
          <w:szCs w:val="21"/>
          <w:highlight w:val="none"/>
        </w:rPr>
        <w:t>15．响应文件的密封与标记</w:t>
      </w:r>
      <w:bookmarkEnd w:id="146"/>
      <w:bookmarkEnd w:id="147"/>
      <w:bookmarkEnd w:id="148"/>
      <w:bookmarkEnd w:id="149"/>
      <w:bookmarkEnd w:id="150"/>
      <w:bookmarkEnd w:id="151"/>
      <w:bookmarkEnd w:id="152"/>
    </w:p>
    <w:p w14:paraId="2E8A9986">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15.1电子谈判响应文件中须加盖供应商公章部分均采用 CA 签章，并根据“政府采购项目电子交易管理操作指南-供应商” 及本谈判文件规定的格式和顺序编制电子谈判响应文件并进行关联定位，以便谈判小组在评</w:t>
      </w:r>
      <w:r>
        <w:rPr>
          <w:rFonts w:hint="eastAsia" w:ascii="宋体" w:hAnsi="宋体" w:eastAsia="宋体" w:cs="宋体"/>
          <w:color w:val="auto"/>
          <w:highlight w:val="none"/>
          <w:lang w:eastAsia="zh-CN"/>
        </w:rPr>
        <w:t>审</w:t>
      </w:r>
      <w:r>
        <w:rPr>
          <w:rFonts w:hint="eastAsia" w:ascii="宋体" w:hAnsi="宋体" w:eastAsia="宋体" w:cs="宋体"/>
          <w:color w:val="auto"/>
          <w:highlight w:val="none"/>
        </w:rPr>
        <w:t>时，点击评分项可直接定位到该评分项内容。如对谈判文件的某项要求，供应商的电子谈判响应文件未能关联定位提供相应的内容与其对应，则谈判小组在评审时如做出对供应商不利的评审由供应商自行承担。电子谈判响应文件如内容不完整、编排混乱导致谈判响应文件被误读、 漏读，或者在按采购文件规定的部位查找不到相关内容的，由供应商自行承担。</w:t>
      </w:r>
    </w:p>
    <w:p w14:paraId="4B98EB32">
      <w:pPr>
        <w:pStyle w:val="20"/>
        <w:spacing w:line="360" w:lineRule="auto"/>
        <w:ind w:left="515" w:hanging="515" w:hangingChars="25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15.2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CA 签章上目前没有法人（负责人）或授权代表签字信息，供应商在谈判响应文件中涉及到签字的位置线下签好字然后扫描做成PDF的格式即可。</w:t>
      </w:r>
    </w:p>
    <w:p w14:paraId="64BC0E02">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15.</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谈判响应文件不得涂改，若有修改错漏处，须</w:t>
      </w:r>
      <w:r>
        <w:rPr>
          <w:rFonts w:hint="eastAsia" w:ascii="宋体" w:hAnsi="宋体" w:eastAsia="宋体" w:cs="宋体"/>
          <w:color w:val="auto"/>
          <w:highlight w:val="none"/>
          <w:lang w:eastAsia="zh-CN"/>
        </w:rPr>
        <w:t>由</w:t>
      </w:r>
      <w:r>
        <w:rPr>
          <w:rFonts w:hint="eastAsia" w:ascii="宋体" w:hAnsi="宋体" w:eastAsia="宋体" w:cs="宋体"/>
          <w:color w:val="auto"/>
          <w:highlight w:val="none"/>
        </w:rPr>
        <w:t>法定代表人（负责人）或授权委托人签字。谈判响应文件因字迹潦草或表达不清所引起的后果由供应商负责。</w:t>
      </w:r>
    </w:p>
    <w:p w14:paraId="646CBF01">
      <w:pPr>
        <w:pStyle w:val="20"/>
        <w:spacing w:line="360" w:lineRule="auto"/>
        <w:ind w:left="515" w:hanging="525" w:hangingChars="250"/>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竞争性谈判响应文件的</w:t>
      </w:r>
      <w:r>
        <w:rPr>
          <w:rFonts w:hint="eastAsia" w:ascii="宋体" w:hAnsi="宋体" w:eastAsia="宋体" w:cs="宋体"/>
          <w:color w:val="auto"/>
          <w:highlight w:val="none"/>
          <w:lang w:val="zh-CN"/>
        </w:rPr>
        <w:t>修改和撤回：供应商应当在投标截止时间前完成</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文件的上传、提交，并可以补充、修改或者撤回</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文件。补充或者修改投标文件的，应当先行撤回原文件，补充、修改后重新上传、提交。投标截止时间前未完成上传、提交的，视为撤回</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文件。投标截止时间后提交的</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w:t>
      </w:r>
      <w:r>
        <w:rPr>
          <w:rFonts w:hint="eastAsia" w:hAnsi="宋体" w:cs="宋体"/>
          <w:color w:val="auto"/>
          <w:highlight w:val="none"/>
          <w:lang w:val="zh-CN"/>
        </w:rPr>
        <w:t>广西政府采购云平台</w:t>
      </w:r>
      <w:r>
        <w:rPr>
          <w:rFonts w:hint="eastAsia" w:ascii="宋体" w:hAnsi="宋体" w:eastAsia="宋体" w:cs="宋体"/>
          <w:color w:val="auto"/>
          <w:highlight w:val="none"/>
          <w:lang w:val="zh-CN"/>
        </w:rPr>
        <w:t>”将予以拒收。投标截止时间后，投标供应商不得撤回、修改投标文件。</w:t>
      </w:r>
    </w:p>
    <w:p w14:paraId="0F0DAD3B">
      <w:pPr>
        <w:pStyle w:val="20"/>
        <w:spacing w:line="360" w:lineRule="auto"/>
        <w:ind w:firstLine="420" w:firstLineChars="200"/>
        <w:rPr>
          <w:rFonts w:hint="eastAsia" w:ascii="宋体" w:hAnsi="宋体" w:eastAsia="宋体" w:cs="宋体"/>
          <w:snapToGrid w:val="0"/>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w:t>
      </w:r>
      <w:r>
        <w:rPr>
          <w:rFonts w:hint="eastAsia" w:ascii="宋体" w:hAnsi="宋体" w:eastAsia="宋体" w:cs="宋体"/>
          <w:snapToGrid w:val="0"/>
          <w:color w:val="auto"/>
          <w:highlight w:val="none"/>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2EB15532">
      <w:pPr>
        <w:pStyle w:val="4"/>
        <w:spacing w:before="0" w:after="0" w:line="360" w:lineRule="auto"/>
        <w:rPr>
          <w:rFonts w:hint="eastAsia" w:ascii="宋体" w:hAnsi="宋体" w:eastAsia="宋体" w:cs="宋体"/>
          <w:color w:val="auto"/>
          <w:sz w:val="21"/>
          <w:szCs w:val="21"/>
          <w:highlight w:val="none"/>
        </w:rPr>
      </w:pPr>
      <w:bookmarkStart w:id="153" w:name="_Toc185702569"/>
      <w:bookmarkStart w:id="154" w:name="_Toc207770855"/>
      <w:bookmarkStart w:id="155" w:name="_Toc230578077"/>
      <w:bookmarkStart w:id="156" w:name="_Toc239839883"/>
      <w:bookmarkStart w:id="157" w:name="_Toc206525702"/>
      <w:bookmarkStart w:id="158" w:name="_Toc486196156"/>
      <w:bookmarkStart w:id="159" w:name="_Toc486922973"/>
      <w:r>
        <w:rPr>
          <w:rFonts w:hint="eastAsia" w:ascii="宋体" w:hAnsi="宋体" w:eastAsia="宋体" w:cs="宋体"/>
          <w:color w:val="auto"/>
          <w:sz w:val="21"/>
          <w:szCs w:val="21"/>
          <w:highlight w:val="none"/>
        </w:rPr>
        <w:t>16．磋商截止时间</w:t>
      </w:r>
      <w:bookmarkEnd w:id="153"/>
      <w:r>
        <w:rPr>
          <w:rFonts w:hint="eastAsia" w:ascii="宋体" w:hAnsi="宋体" w:eastAsia="宋体" w:cs="宋体"/>
          <w:color w:val="auto"/>
          <w:sz w:val="21"/>
          <w:szCs w:val="21"/>
          <w:highlight w:val="none"/>
        </w:rPr>
        <w:t>、地点</w:t>
      </w:r>
      <w:bookmarkEnd w:id="154"/>
      <w:bookmarkEnd w:id="155"/>
      <w:bookmarkEnd w:id="156"/>
      <w:bookmarkEnd w:id="157"/>
      <w:bookmarkEnd w:id="158"/>
      <w:bookmarkEnd w:id="159"/>
    </w:p>
    <w:p w14:paraId="462D0539">
      <w:pPr>
        <w:pStyle w:val="20"/>
        <w:spacing w:line="360" w:lineRule="auto"/>
        <w:ind w:left="525" w:hanging="525" w:hangingChars="250"/>
        <w:rPr>
          <w:rFonts w:hint="eastAsia" w:ascii="宋体" w:hAnsi="宋体" w:eastAsia="宋体" w:cs="宋体"/>
          <w:color w:val="auto"/>
          <w:spacing w:val="-4"/>
          <w:highlight w:val="none"/>
        </w:rPr>
      </w:pPr>
      <w:r>
        <w:rPr>
          <w:rFonts w:hint="eastAsia" w:ascii="宋体" w:hAnsi="宋体" w:eastAsia="宋体" w:cs="宋体"/>
          <w:color w:val="auto"/>
          <w:highlight w:val="none"/>
        </w:rPr>
        <w:t>16.1响应</w:t>
      </w:r>
      <w:r>
        <w:rPr>
          <w:rFonts w:hint="eastAsia" w:ascii="宋体" w:hAnsi="宋体" w:eastAsia="宋体" w:cs="宋体"/>
          <w:color w:val="auto"/>
          <w:spacing w:val="-4"/>
          <w:highlight w:val="none"/>
        </w:rPr>
        <w:t>文件的递交不得迟于本章须知前附表第10项规定的截止时间。</w:t>
      </w:r>
    </w:p>
    <w:p w14:paraId="42687E3C">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16.2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必须在规定时间内将响应文件送到本章须知前附表第10项规定地点。</w:t>
      </w:r>
    </w:p>
    <w:p w14:paraId="1F889C25">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16.3开标流程 </w:t>
      </w:r>
    </w:p>
    <w:p w14:paraId="68D0C252">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1.电子开标会由本代理机构主持</w:t>
      </w:r>
    </w:p>
    <w:p w14:paraId="53866907">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2.本代理机构工作人员向各投标供应商发出电子加密投标文件【开始解密】通知，由供应商按磋商文件规定的时间内自行进行响应文件解密。供应商未在规定时间内完成解密的，系统默认自动放弃。</w:t>
      </w:r>
    </w:p>
    <w:p w14:paraId="353C753A">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响应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0206DED3">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4.进入资格文件审查环节，招标采购单位依法对投标供应商的资格进行审查。</w:t>
      </w:r>
    </w:p>
    <w:p w14:paraId="2110491C">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5.开启资格审查通过的投标供应商的商务技术文件进入符合性审查及商务技术评审。</w:t>
      </w:r>
    </w:p>
    <w:p w14:paraId="49F9A691">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注：①当整个招标项目的投标人不足3家的不开标，本代理机构将按政府采购管理的有关规定处理。</w:t>
      </w:r>
    </w:p>
    <w:p w14:paraId="4DC2A74D">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②开标后,某分标投标人不足3家的，本代理机构将按政府采购管理的有关规定处理。</w:t>
      </w:r>
    </w:p>
    <w:p w14:paraId="7E9EE452">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特别说明：如遇“</w:t>
      </w:r>
      <w:r>
        <w:rPr>
          <w:rFonts w:hint="eastAsia" w:hAnsi="宋体" w:cs="宋体"/>
          <w:color w:val="auto"/>
          <w:highlight w:val="none"/>
          <w:lang w:val="en-US" w:eastAsia="zh-CN"/>
        </w:rPr>
        <w:t>广西政府采购云平台</w:t>
      </w:r>
      <w:r>
        <w:rPr>
          <w:rFonts w:hint="eastAsia" w:ascii="宋体" w:hAnsi="宋体" w:eastAsia="宋体" w:cs="宋体"/>
          <w:color w:val="auto"/>
          <w:highlight w:val="none"/>
          <w:lang w:val="en-US" w:eastAsia="zh-CN"/>
        </w:rPr>
        <w:t>”电子化开标或评审程序调整的，按调整后程序执行。</w:t>
      </w:r>
    </w:p>
    <w:p w14:paraId="2DC86F7D">
      <w:pPr>
        <w:pStyle w:val="20"/>
        <w:spacing w:line="360" w:lineRule="auto"/>
        <w:ind w:left="525" w:hanging="525" w:hangingChars="250"/>
        <w:rPr>
          <w:rFonts w:hint="eastAsia" w:ascii="宋体" w:hAnsi="宋体" w:eastAsia="宋体" w:cs="宋体"/>
          <w:color w:val="auto"/>
          <w:highlight w:val="none"/>
          <w:lang w:val="en-US" w:eastAsia="zh-CN"/>
        </w:rPr>
      </w:pPr>
    </w:p>
    <w:p w14:paraId="18571BEA">
      <w:pPr>
        <w:pStyle w:val="4"/>
        <w:spacing w:before="0" w:after="0" w:line="360" w:lineRule="auto"/>
        <w:rPr>
          <w:rFonts w:hint="eastAsia" w:ascii="宋体" w:hAnsi="宋体" w:eastAsia="宋体" w:cs="宋体"/>
          <w:color w:val="auto"/>
          <w:sz w:val="21"/>
          <w:szCs w:val="21"/>
          <w:highlight w:val="none"/>
        </w:rPr>
      </w:pPr>
      <w:bookmarkStart w:id="160" w:name="_Toc206525703"/>
      <w:bookmarkStart w:id="161" w:name="_Toc147250534"/>
      <w:bookmarkStart w:id="162" w:name="_Toc239839884"/>
      <w:bookmarkStart w:id="163" w:name="_Toc230578078"/>
      <w:bookmarkStart w:id="164" w:name="_Toc147250378"/>
      <w:bookmarkStart w:id="165" w:name="_Toc185702570"/>
      <w:bookmarkStart w:id="166" w:name="_Toc207770856"/>
      <w:bookmarkStart w:id="167" w:name="_Toc147250332"/>
      <w:bookmarkStart w:id="168" w:name="_Toc486922974"/>
      <w:bookmarkStart w:id="169" w:name="_Toc486196157"/>
      <w:r>
        <w:rPr>
          <w:rFonts w:hint="eastAsia" w:ascii="宋体" w:hAnsi="宋体" w:eastAsia="宋体" w:cs="宋体"/>
          <w:color w:val="auto"/>
          <w:sz w:val="21"/>
          <w:szCs w:val="21"/>
          <w:highlight w:val="none"/>
        </w:rPr>
        <w:t>17．响应文件的修改和撤回</w:t>
      </w:r>
      <w:bookmarkEnd w:id="160"/>
      <w:bookmarkEnd w:id="161"/>
      <w:bookmarkEnd w:id="162"/>
      <w:bookmarkEnd w:id="163"/>
      <w:bookmarkEnd w:id="164"/>
      <w:bookmarkEnd w:id="165"/>
      <w:bookmarkEnd w:id="166"/>
      <w:bookmarkEnd w:id="167"/>
      <w:bookmarkEnd w:id="168"/>
      <w:bookmarkEnd w:id="169"/>
    </w:p>
    <w:p w14:paraId="7659FD92">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在磋商截止时间前，可以对所递交的响应文件进行补充、修改或撤回，并书面通知招标采购单位。补充、修改的内容为响应文件的组成部分。</w:t>
      </w:r>
      <w:r>
        <w:rPr>
          <w:rFonts w:hint="eastAsia" w:ascii="宋体" w:hAnsi="宋体" w:eastAsia="宋体" w:cs="宋体"/>
          <w:color w:val="auto"/>
          <w:kern w:val="0"/>
          <w:highlight w:val="none"/>
        </w:rPr>
        <w:t>在磋商截止时间之后，</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rPr>
        <w:t>不得对其响应文件做任何修改和补充。</w:t>
      </w:r>
    </w:p>
    <w:p w14:paraId="1315EA4E">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17.2响应文件的修改和撤回通知应按本章须知第15条的规定密封、标记和递交，并在封面上标明“修改”或“撤回”字样。</w:t>
      </w:r>
    </w:p>
    <w:p w14:paraId="4702DB57">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17.3在磋商结束后的磋商有效期内，</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不得撤回其响应文件，否则其全部磋商保证金将不予退还。</w:t>
      </w:r>
    </w:p>
    <w:p w14:paraId="50CB9F85">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17.4如招标采购单位认为有必要的，有权对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递交的《响应文件》中相关资料的原件进行核查，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须予以配合。</w:t>
      </w:r>
    </w:p>
    <w:p w14:paraId="5DA19477">
      <w:pPr>
        <w:spacing w:line="360" w:lineRule="auto"/>
        <w:jc w:val="center"/>
        <w:rPr>
          <w:rFonts w:hint="eastAsia" w:ascii="宋体" w:hAnsi="宋体" w:eastAsia="宋体" w:cs="宋体"/>
          <w:b/>
          <w:bCs/>
          <w:color w:val="auto"/>
          <w:sz w:val="24"/>
          <w:szCs w:val="24"/>
          <w:highlight w:val="none"/>
        </w:rPr>
      </w:pPr>
      <w:bookmarkStart w:id="170" w:name="_Toc486922975"/>
      <w:bookmarkStart w:id="171" w:name="_Toc207770857"/>
      <w:bookmarkStart w:id="172" w:name="_Toc230578079"/>
      <w:bookmarkStart w:id="173" w:name="_Toc206525704"/>
      <w:bookmarkStart w:id="174" w:name="_Toc486196158"/>
      <w:bookmarkStart w:id="175" w:name="_Toc239839885"/>
      <w:bookmarkStart w:id="176" w:name="_Toc185702571"/>
      <w:r>
        <w:rPr>
          <w:rFonts w:hint="eastAsia" w:ascii="宋体" w:hAnsi="宋体" w:eastAsia="宋体" w:cs="宋体"/>
          <w:b/>
          <w:bCs/>
          <w:color w:val="auto"/>
          <w:sz w:val="24"/>
          <w:szCs w:val="24"/>
          <w:highlight w:val="none"/>
        </w:rPr>
        <w:t>五   竞争性磋商（简称磋商）与评审</w:t>
      </w:r>
      <w:bookmarkEnd w:id="170"/>
      <w:bookmarkEnd w:id="171"/>
      <w:bookmarkEnd w:id="172"/>
      <w:bookmarkEnd w:id="173"/>
      <w:bookmarkEnd w:id="174"/>
      <w:bookmarkEnd w:id="175"/>
      <w:bookmarkEnd w:id="176"/>
    </w:p>
    <w:p w14:paraId="78A4EB71">
      <w:pPr>
        <w:pStyle w:val="4"/>
        <w:spacing w:before="0" w:after="0" w:line="360" w:lineRule="auto"/>
        <w:rPr>
          <w:rFonts w:hint="eastAsia" w:ascii="宋体" w:hAnsi="宋体" w:eastAsia="宋体" w:cs="宋体"/>
          <w:color w:val="auto"/>
          <w:sz w:val="21"/>
          <w:szCs w:val="21"/>
          <w:highlight w:val="none"/>
        </w:rPr>
      </w:pPr>
      <w:bookmarkStart w:id="177" w:name="_Toc206525705"/>
      <w:bookmarkStart w:id="178" w:name="_Toc185702572"/>
      <w:bookmarkStart w:id="179" w:name="_Toc239839886"/>
      <w:bookmarkStart w:id="180" w:name="_Toc230578080"/>
      <w:bookmarkStart w:id="181" w:name="_Toc207770858"/>
      <w:bookmarkStart w:id="182" w:name="_Toc486922976"/>
      <w:bookmarkStart w:id="183" w:name="_Toc486196159"/>
      <w:r>
        <w:rPr>
          <w:rFonts w:hint="eastAsia" w:ascii="宋体" w:hAnsi="宋体" w:eastAsia="宋体" w:cs="宋体"/>
          <w:color w:val="auto"/>
          <w:sz w:val="21"/>
          <w:szCs w:val="21"/>
          <w:highlight w:val="none"/>
        </w:rPr>
        <w:t>18</w:t>
      </w:r>
      <w:bookmarkEnd w:id="177"/>
      <w:bookmarkEnd w:id="178"/>
      <w:bookmarkEnd w:id="179"/>
      <w:bookmarkEnd w:id="180"/>
      <w:bookmarkEnd w:id="181"/>
      <w:r>
        <w:rPr>
          <w:rFonts w:hint="eastAsia" w:ascii="宋体" w:hAnsi="宋体" w:eastAsia="宋体" w:cs="宋体"/>
          <w:color w:val="auto"/>
          <w:sz w:val="21"/>
          <w:szCs w:val="21"/>
          <w:highlight w:val="none"/>
        </w:rPr>
        <w:t>．组建磋商小组</w:t>
      </w:r>
      <w:bookmarkEnd w:id="182"/>
      <w:bookmarkEnd w:id="183"/>
    </w:p>
    <w:p w14:paraId="1BFC4722">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18.1采购人和采购代理机构依法组建竞争性磋商小组（以下简称磋商小组），磋商小组由采购人代表和评审专家共三人以上（含三人）单数组成，其中评审专家人数不少于磋商小组成员总数的2/3。评审专家在政府采购评审专家库内相关专业技术、经济等方面的专家名单中随机抽取。</w:t>
      </w:r>
    </w:p>
    <w:p w14:paraId="1A13E97E">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18.2评审专家应当遵守评审工作纪律，不得泄露评审情况和评审中获悉的商业秘密。</w:t>
      </w:r>
    </w:p>
    <w:p w14:paraId="708C5BCC">
      <w:pPr>
        <w:pStyle w:val="4"/>
        <w:spacing w:before="0" w:after="0" w:line="360" w:lineRule="auto"/>
        <w:rPr>
          <w:rFonts w:hint="eastAsia" w:ascii="宋体" w:hAnsi="宋体" w:eastAsia="宋体" w:cs="宋体"/>
          <w:color w:val="auto"/>
          <w:sz w:val="21"/>
          <w:szCs w:val="21"/>
          <w:highlight w:val="none"/>
        </w:rPr>
      </w:pPr>
      <w:bookmarkStart w:id="184" w:name="_Toc239839887"/>
      <w:bookmarkStart w:id="185" w:name="_Toc206525706"/>
      <w:bookmarkStart w:id="186" w:name="_Toc185702573"/>
      <w:bookmarkStart w:id="187" w:name="_Toc207770859"/>
      <w:bookmarkStart w:id="188" w:name="_Toc230578081"/>
      <w:bookmarkStart w:id="189" w:name="_Toc486922977"/>
      <w:bookmarkStart w:id="190" w:name="_Toc486196160"/>
      <w:r>
        <w:rPr>
          <w:rFonts w:hint="eastAsia" w:ascii="宋体" w:hAnsi="宋体" w:eastAsia="宋体" w:cs="宋体"/>
          <w:color w:val="auto"/>
          <w:sz w:val="21"/>
          <w:szCs w:val="21"/>
          <w:highlight w:val="none"/>
        </w:rPr>
        <w:t>19．评</w:t>
      </w:r>
      <w:bookmarkEnd w:id="184"/>
      <w:bookmarkEnd w:id="185"/>
      <w:bookmarkEnd w:id="186"/>
      <w:bookmarkEnd w:id="187"/>
      <w:bookmarkEnd w:id="188"/>
      <w:r>
        <w:rPr>
          <w:rFonts w:hint="eastAsia" w:ascii="宋体" w:hAnsi="宋体" w:eastAsia="宋体" w:cs="宋体"/>
          <w:color w:val="auto"/>
          <w:sz w:val="21"/>
          <w:szCs w:val="21"/>
          <w:highlight w:val="none"/>
        </w:rPr>
        <w:t>审</w:t>
      </w:r>
      <w:bookmarkEnd w:id="189"/>
      <w:bookmarkEnd w:id="190"/>
    </w:p>
    <w:p w14:paraId="5A5DA25E">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19.1本采购项目采用不公开方式评标，评标的依据为磋商文件和响应文件及磋商应答文件等。磋商小组决定响应文件的响应性只根据响应文件本身的内容，而不寻找其他的外部证据。</w:t>
      </w:r>
      <w:r>
        <w:rPr>
          <w:rFonts w:hint="eastAsia" w:ascii="宋体" w:hAnsi="宋体" w:eastAsia="宋体" w:cs="宋体"/>
          <w:color w:val="auto"/>
          <w:kern w:val="0"/>
          <w:highlight w:val="none"/>
        </w:rPr>
        <w:t>但响应文件有不真实、不正确内容的除外。</w:t>
      </w:r>
    </w:p>
    <w:p w14:paraId="40D00B8F">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19.2磋商小组按照客观、公正、审慎的原则，根据磋商文件规定的评审程序、评审方法和评审标准进行独立评审。未实质性响应磋商文件的响应文件按无效响应处理，磋商小组应当告知提交响应文件的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w:t>
      </w:r>
    </w:p>
    <w:p w14:paraId="51F8DA59">
      <w:pPr>
        <w:pStyle w:val="20"/>
        <w:spacing w:line="360" w:lineRule="auto"/>
        <w:ind w:left="527" w:hanging="527" w:hangingChars="250"/>
        <w:rPr>
          <w:rFonts w:hint="eastAsia" w:ascii="宋体" w:hAnsi="宋体" w:eastAsia="宋体" w:cs="宋体"/>
          <w:b/>
          <w:color w:val="auto"/>
          <w:highlight w:val="none"/>
        </w:rPr>
      </w:pPr>
      <w:r>
        <w:rPr>
          <w:rFonts w:hint="eastAsia" w:ascii="宋体" w:hAnsi="宋体" w:eastAsia="宋体" w:cs="宋体"/>
          <w:b/>
          <w:color w:val="auto"/>
          <w:highlight w:val="none"/>
        </w:rPr>
        <w:t>19.3</w:t>
      </w:r>
      <w:r>
        <w:rPr>
          <w:rFonts w:hint="eastAsia" w:ascii="宋体" w:hAnsi="宋体"/>
          <w:b/>
          <w:color w:val="auto"/>
        </w:rPr>
        <w:t>评审程序和评审方法</w:t>
      </w:r>
    </w:p>
    <w:p w14:paraId="68E838D3">
      <w:pPr>
        <w:pStyle w:val="20"/>
        <w:spacing w:line="360" w:lineRule="auto"/>
        <w:ind w:left="632" w:leftChars="1" w:hanging="630" w:hangingChars="300"/>
        <w:rPr>
          <w:rFonts w:hint="eastAsia" w:ascii="宋体" w:hAnsi="宋体" w:eastAsia="宋体" w:cs="宋体"/>
          <w:b/>
          <w:color w:val="auto"/>
          <w:highlight w:val="none"/>
        </w:rPr>
      </w:pPr>
      <w:r>
        <w:rPr>
          <w:rFonts w:hint="eastAsia" w:ascii="宋体" w:hAnsi="宋体" w:eastAsia="宋体" w:cs="宋体"/>
          <w:color w:val="auto"/>
          <w:highlight w:val="none"/>
        </w:rPr>
        <w:t>19.3.1资格性审查和符合性审查。</w:t>
      </w:r>
    </w:p>
    <w:p w14:paraId="72F5B6ED">
      <w:pPr>
        <w:numPr>
          <w:ilvl w:val="0"/>
          <w:numId w:val="3"/>
        </w:numPr>
        <w:spacing w:line="360" w:lineRule="auto"/>
        <w:ind w:firstLine="420" w:firstLineChars="200"/>
        <w:rPr>
          <w:rFonts w:hint="eastAsia" w:ascii="宋体" w:hAnsi="宋体" w:cs="宋体"/>
          <w:color w:val="auto"/>
          <w:highlight w:val="none"/>
          <w:lang w:eastAsia="zh-CN"/>
        </w:rPr>
      </w:pPr>
      <w:bookmarkStart w:id="191" w:name="_Toc185702574"/>
      <w:bookmarkStart w:id="192" w:name="_Toc230578082"/>
      <w:bookmarkStart w:id="193" w:name="_Toc206525707"/>
      <w:bookmarkStart w:id="194" w:name="_Toc207770860"/>
      <w:r>
        <w:rPr>
          <w:rFonts w:hint="eastAsia" w:ascii="宋体" w:hAnsi="宋体" w:eastAsia="宋体" w:cs="宋体"/>
          <w:color w:val="auto"/>
          <w:highlight w:val="none"/>
        </w:rPr>
        <w:t>资格性检查</w:t>
      </w:r>
      <w:r>
        <w:rPr>
          <w:rFonts w:hint="eastAsia" w:ascii="宋体" w:hAnsi="宋体" w:cs="宋体"/>
          <w:color w:val="auto"/>
          <w:highlight w:val="none"/>
          <w:lang w:eastAsia="zh-CN"/>
        </w:rPr>
        <w:t>：</w:t>
      </w:r>
    </w:p>
    <w:p w14:paraId="555E0242">
      <w:pPr>
        <w:numPr>
          <w:ilvl w:val="0"/>
          <w:numId w:val="0"/>
        </w:numPr>
        <w:spacing w:line="360" w:lineRule="auto"/>
        <w:ind w:firstLine="630" w:firstLineChars="300"/>
        <w:rPr>
          <w:rFonts w:hint="eastAsia" w:ascii="宋体" w:hAnsi="宋体"/>
          <w:bCs/>
          <w:color w:val="auto"/>
        </w:rPr>
      </w:pPr>
      <w:r>
        <w:rPr>
          <w:rFonts w:hint="eastAsia" w:ascii="宋体" w:hAnsi="宋体"/>
          <w:bCs/>
          <w:color w:val="auto"/>
        </w:rPr>
        <w:t>1.1 响应文件开启后，磋商小组依法对供应商的资格证明文件进行审查。 注：采购人或者采购代理机构在资格审查结束前，对供应商进行信用查询。</w:t>
      </w:r>
    </w:p>
    <w:p w14:paraId="56600D48">
      <w:pPr>
        <w:spacing w:line="360" w:lineRule="auto"/>
        <w:ind w:firstLine="420" w:firstLineChars="200"/>
        <w:rPr>
          <w:rFonts w:hint="eastAsia" w:ascii="宋体" w:hAnsi="宋体"/>
          <w:bCs/>
          <w:color w:val="auto"/>
        </w:rPr>
      </w:pPr>
      <w:r>
        <w:rPr>
          <w:rFonts w:hint="eastAsia" w:ascii="宋体" w:hAnsi="宋体"/>
          <w:bCs/>
          <w:color w:val="auto"/>
        </w:rPr>
        <w:t>（1）查询渠道：“信用中国”网站(www.creditchina.gov.cn)  、中国政府采购网(www.ccgp.gov.cn)。</w:t>
      </w:r>
    </w:p>
    <w:p w14:paraId="1375985F">
      <w:pPr>
        <w:spacing w:line="360" w:lineRule="auto"/>
        <w:ind w:firstLine="420" w:firstLineChars="200"/>
        <w:rPr>
          <w:rFonts w:hint="eastAsia" w:ascii="宋体" w:hAnsi="宋体"/>
          <w:bCs/>
          <w:color w:val="auto"/>
        </w:rPr>
      </w:pPr>
      <w:r>
        <w:rPr>
          <w:rFonts w:hint="eastAsia" w:ascii="宋体" w:hAnsi="宋体"/>
          <w:bCs/>
          <w:color w:val="auto"/>
        </w:rPr>
        <w:t>（2）信用查询截止时点：资格审查结束前。 查询记录和证据留存方式：在查询网站中直接打印查询记录，打印材料作为评审资料保存。</w:t>
      </w:r>
    </w:p>
    <w:p w14:paraId="08C5A2BD">
      <w:pPr>
        <w:spacing w:line="360" w:lineRule="auto"/>
        <w:ind w:firstLine="420" w:firstLineChars="200"/>
        <w:rPr>
          <w:rFonts w:hint="eastAsia" w:ascii="宋体" w:hAnsi="宋体"/>
          <w:bCs/>
          <w:color w:val="auto"/>
        </w:rPr>
      </w:pPr>
      <w:r>
        <w:rPr>
          <w:rFonts w:hint="eastAsia" w:ascii="宋体" w:hAnsi="宋体" w:eastAsia="宋体" w:cs="Times New Roman"/>
          <w:bCs/>
          <w:color w:val="auto"/>
        </w:rPr>
        <w:t xml:space="preserve">（3）信 </w:t>
      </w:r>
      <w:r>
        <w:rPr>
          <w:rFonts w:hint="eastAsia" w:ascii="宋体" w:hAnsi="宋体"/>
          <w:bCs/>
          <w:color w:val="auto"/>
        </w:rPr>
        <w:t>用 信 息 使 用 规 则 ： 对 在 “ 信 用 中 国 ” 网 站(www.creditchina.gov.cn)  、 中 国 政 府 采 购 网 (www.ccgp.gov.cn)被列入失信被执行人、重大税收违法案件当事人名单、政府采购严重违法失信行为记 录名单及其他不符合《中华人民共和国政府采购法》第二十二条规定条件的供应商，资格审查不通过， 不得参与政府采购活动。两个以上的自然人、法人或者其他组织组成一个联合体，以一个供应商的身份 共同参加政府采购活动的，应当对所有联合体成员进行信用记录查询，联合体成员存在不良信用记录的， 视同联合体存在不良信用记录。</w:t>
      </w:r>
    </w:p>
    <w:p w14:paraId="0ECAB638">
      <w:pPr>
        <w:spacing w:line="360" w:lineRule="auto"/>
        <w:ind w:firstLine="420" w:firstLineChars="200"/>
        <w:rPr>
          <w:rFonts w:hint="eastAsia" w:ascii="宋体" w:hAnsi="宋体"/>
          <w:bCs/>
          <w:color w:val="auto"/>
        </w:rPr>
      </w:pPr>
      <w:r>
        <w:rPr>
          <w:rFonts w:hint="eastAsia" w:ascii="宋体" w:hAnsi="宋体"/>
          <w:bCs/>
          <w:color w:val="auto"/>
        </w:rPr>
        <w:t>1.2资格审查标准为本磋商文件中载明对供应商资格要求的条件。资格审查采用合格制，凡符合磋 商文件规定的供应商资格要求的响应文件均通过资格审查。</w:t>
      </w:r>
    </w:p>
    <w:p w14:paraId="4D25AD73">
      <w:pPr>
        <w:spacing w:line="360" w:lineRule="auto"/>
        <w:ind w:firstLine="420" w:firstLineChars="200"/>
        <w:rPr>
          <w:rFonts w:hint="eastAsia" w:ascii="宋体" w:hAnsi="宋体"/>
          <w:bCs/>
          <w:color w:val="auto"/>
        </w:rPr>
      </w:pPr>
      <w:r>
        <w:rPr>
          <w:rFonts w:hint="eastAsia" w:ascii="宋体" w:hAnsi="宋体"/>
          <w:bCs/>
          <w:color w:val="auto"/>
        </w:rPr>
        <w:t>1.3供应商有下列情形之一的，资格审查不通过，其响应文件按无效响应处理：</w:t>
      </w:r>
    </w:p>
    <w:p w14:paraId="4BE9F32B">
      <w:pPr>
        <w:spacing w:line="360" w:lineRule="auto"/>
        <w:ind w:firstLine="420" w:firstLineChars="200"/>
        <w:rPr>
          <w:rFonts w:hint="eastAsia" w:ascii="宋体" w:hAnsi="宋体"/>
          <w:bCs/>
          <w:color w:val="auto"/>
        </w:rPr>
      </w:pPr>
      <w:r>
        <w:rPr>
          <w:rFonts w:hint="eastAsia" w:ascii="宋体" w:hAnsi="宋体"/>
          <w:bCs/>
          <w:color w:val="auto"/>
        </w:rPr>
        <w:t>（1）不具备磋商文件中规定的资格要求的；</w:t>
      </w:r>
    </w:p>
    <w:p w14:paraId="1B94D171">
      <w:pPr>
        <w:spacing w:line="360" w:lineRule="auto"/>
        <w:ind w:firstLine="420" w:firstLineChars="200"/>
        <w:rPr>
          <w:rFonts w:hint="eastAsia" w:ascii="宋体" w:hAnsi="宋体"/>
          <w:bCs/>
          <w:color w:val="auto"/>
        </w:rPr>
      </w:pPr>
      <w:r>
        <w:rPr>
          <w:rFonts w:hint="eastAsia" w:ascii="宋体" w:hAnsi="宋体"/>
          <w:bCs/>
          <w:color w:val="auto"/>
        </w:rPr>
        <w:t>（2）响应文件未提供任一项“供应商须知前附表”资格证明文件规定的“必须提供”的文件资料的；</w:t>
      </w:r>
    </w:p>
    <w:p w14:paraId="2AD130E2">
      <w:pPr>
        <w:spacing w:line="360" w:lineRule="auto"/>
        <w:ind w:firstLine="420" w:firstLineChars="200"/>
        <w:rPr>
          <w:rFonts w:hint="eastAsia" w:ascii="宋体" w:hAnsi="宋体"/>
          <w:bCs/>
          <w:color w:val="auto"/>
        </w:rPr>
      </w:pPr>
      <w:r>
        <w:rPr>
          <w:rFonts w:hint="eastAsia" w:ascii="宋体" w:hAnsi="宋体"/>
          <w:bCs/>
          <w:color w:val="auto"/>
        </w:rPr>
        <w:t>（3）响应文件提供的资格证明文件出现任一项不符合“供应商须知前附表”资格证明文件规定的“必须提供”的文件资料要求或者无效的。</w:t>
      </w:r>
    </w:p>
    <w:p w14:paraId="5172CFE8">
      <w:pPr>
        <w:pStyle w:val="20"/>
        <w:spacing w:line="360" w:lineRule="auto"/>
        <w:ind w:firstLine="420"/>
        <w:rPr>
          <w:rFonts w:hint="eastAsia" w:ascii="宋体" w:hAnsi="宋体" w:eastAsia="宋体" w:cs="宋体"/>
          <w:color w:val="auto"/>
          <w:highlight w:val="none"/>
        </w:rPr>
      </w:pPr>
      <w:r>
        <w:rPr>
          <w:rFonts w:hint="eastAsia" w:ascii="宋体" w:hAnsi="宋体"/>
          <w:bCs/>
          <w:color w:val="auto"/>
        </w:rPr>
        <w:t>1.4 通过资格审查的合格供应商不足 3 家的，不得进入符合性审查环节，采购人或者采购代理机 构应当重新开展采购活动。</w:t>
      </w:r>
    </w:p>
    <w:p w14:paraId="69EA2688">
      <w:pPr>
        <w:pStyle w:val="20"/>
        <w:spacing w:line="360" w:lineRule="auto"/>
        <w:ind w:firstLine="420"/>
        <w:rPr>
          <w:rFonts w:hint="eastAsia" w:hAnsi="宋体" w:cs="宋体"/>
          <w:color w:val="auto"/>
          <w:highlight w:val="none"/>
          <w:lang w:eastAsia="zh-CN"/>
        </w:rPr>
      </w:pPr>
      <w:r>
        <w:rPr>
          <w:rFonts w:hint="eastAsia" w:ascii="宋体" w:hAnsi="宋体" w:eastAsia="宋体" w:cs="宋体"/>
          <w:color w:val="auto"/>
          <w:highlight w:val="none"/>
        </w:rPr>
        <w:t>（2）</w:t>
      </w:r>
      <w:r>
        <w:rPr>
          <w:rFonts w:hint="eastAsia" w:ascii="宋体" w:hAnsi="宋体"/>
          <w:bCs/>
          <w:color w:val="auto"/>
        </w:rPr>
        <w:t>符合性审查</w:t>
      </w:r>
      <w:r>
        <w:rPr>
          <w:rFonts w:hint="eastAsia" w:hAnsi="宋体" w:cs="宋体"/>
          <w:color w:val="auto"/>
          <w:highlight w:val="none"/>
          <w:lang w:eastAsia="zh-CN"/>
        </w:rPr>
        <w:t>：</w:t>
      </w:r>
    </w:p>
    <w:p w14:paraId="6F7B9F69">
      <w:pPr>
        <w:spacing w:line="360" w:lineRule="auto"/>
        <w:ind w:firstLine="420" w:firstLineChars="200"/>
        <w:rPr>
          <w:rFonts w:hint="eastAsia" w:ascii="宋体" w:hAnsi="宋体"/>
          <w:bCs/>
          <w:color w:val="auto"/>
        </w:rPr>
      </w:pPr>
      <w:r>
        <w:rPr>
          <w:rFonts w:hint="eastAsia" w:ascii="宋体" w:hAnsi="宋体"/>
          <w:bCs/>
          <w:color w:val="auto"/>
        </w:rPr>
        <w:t>2.1由磋商小组对通过资格审查的合格供应商的响应文件的竞标报价、商务、技术等实质性要求进 行符合性审查，以确定其是否满足磋商文件的实质性要求。</w:t>
      </w:r>
    </w:p>
    <w:p w14:paraId="27335EBF">
      <w:pPr>
        <w:spacing w:line="360" w:lineRule="auto"/>
        <w:ind w:firstLine="420" w:firstLineChars="200"/>
        <w:rPr>
          <w:rFonts w:hint="eastAsia" w:ascii="宋体" w:hAnsi="宋体"/>
          <w:bCs/>
          <w:color w:val="auto"/>
        </w:rPr>
      </w:pPr>
      <w:r>
        <w:rPr>
          <w:rFonts w:hint="eastAsia" w:ascii="宋体" w:hAnsi="宋体"/>
          <w:bCs/>
          <w:color w:val="auto"/>
        </w:rPr>
        <w:t>2.2 磋商小组在对响应文件进行符合性审查时，可以要求供应商对响应文件中含义不明确、同类问 题表述不一致或者有明显文字和计算错误的内容等作出必要的澄清、说明或者更正。供应商的澄清、说 明或者更正不得超出响应文件的范围或者改变响应文件的实质性内容。</w:t>
      </w:r>
    </w:p>
    <w:p w14:paraId="5FF182F2">
      <w:pPr>
        <w:spacing w:line="360" w:lineRule="auto"/>
        <w:ind w:firstLine="420" w:firstLineChars="200"/>
        <w:rPr>
          <w:rFonts w:hint="eastAsia" w:ascii="宋体" w:hAnsi="宋体"/>
          <w:bCs/>
          <w:color w:val="auto"/>
        </w:rPr>
      </w:pPr>
      <w:r>
        <w:rPr>
          <w:rFonts w:hint="eastAsia" w:ascii="宋体" w:hAnsi="宋体"/>
          <w:bCs/>
          <w:color w:val="auto"/>
        </w:rPr>
        <w:t>2.3 磋商小组要求供应商澄清、说明或者更正响应文件应当以书面形式作出。供应商的澄清、说明 或者更正应当以书面形式按照磋商小组的要求作出明确的澄清、说明或者更正，未按磋商小组的要求作 出明确澄清、说明或者更正的供应商的响应文件将按照有利于采购人的原则由磋商小组进行判定。供应 商的澄清、说明或者更正必须由法定代表人或者其授权代表签字或者加盖公章。由委托代理人签字的，若委托代理人不是响应文件中授权的委托代理人时，必须同时出示有效的法定代表人授权委托书原件。</w:t>
      </w:r>
    </w:p>
    <w:p w14:paraId="7D6E3EF4">
      <w:pPr>
        <w:spacing w:line="360" w:lineRule="auto"/>
        <w:ind w:firstLine="420" w:firstLineChars="200"/>
        <w:rPr>
          <w:rFonts w:hint="eastAsia" w:ascii="宋体" w:hAnsi="宋体"/>
          <w:bCs/>
          <w:color w:val="auto"/>
        </w:rPr>
      </w:pPr>
      <w:r>
        <w:rPr>
          <w:rFonts w:hint="eastAsia" w:ascii="宋体" w:hAnsi="宋体"/>
          <w:bCs/>
          <w:color w:val="auto"/>
        </w:rPr>
        <w:t>供应商为自然人的，必须由本人签字并附身份证明。</w:t>
      </w:r>
    </w:p>
    <w:p w14:paraId="4D3F816B">
      <w:pPr>
        <w:spacing w:line="360" w:lineRule="auto"/>
        <w:ind w:firstLine="420" w:firstLineChars="200"/>
        <w:rPr>
          <w:rFonts w:hint="eastAsia" w:ascii="宋体" w:hAnsi="宋体"/>
          <w:bCs/>
          <w:color w:val="auto"/>
        </w:rPr>
      </w:pPr>
      <w:r>
        <w:rPr>
          <w:rFonts w:hint="eastAsia" w:ascii="宋体" w:hAnsi="宋体"/>
          <w:bCs/>
          <w:color w:val="auto"/>
        </w:rPr>
        <w:t>2.4 首次响应文件竞标报价有算术错误的，评标委员会按以下原则对竞标报价进行修正，修正的价 格经投标人书面确认后具有约束力。投标人不接受修正价格的，其投标作否决投标处理。</w:t>
      </w:r>
    </w:p>
    <w:p w14:paraId="1F70B21C">
      <w:pPr>
        <w:spacing w:line="360" w:lineRule="auto"/>
        <w:ind w:firstLine="420" w:firstLineChars="200"/>
        <w:rPr>
          <w:rFonts w:hint="eastAsia" w:ascii="宋体" w:hAnsi="宋体"/>
          <w:bCs/>
          <w:color w:val="auto"/>
        </w:rPr>
      </w:pPr>
      <w:r>
        <w:rPr>
          <w:rFonts w:hint="eastAsia" w:ascii="宋体" w:hAnsi="宋体"/>
          <w:bCs/>
          <w:color w:val="auto"/>
        </w:rPr>
        <w:t>（1）响应文件中的大写金额与小写金额不一致的，以大写金额为准；</w:t>
      </w:r>
    </w:p>
    <w:p w14:paraId="01B383F9">
      <w:pPr>
        <w:spacing w:line="360" w:lineRule="auto"/>
        <w:ind w:firstLine="420" w:firstLineChars="200"/>
        <w:rPr>
          <w:rFonts w:hint="eastAsia" w:ascii="宋体" w:hAnsi="宋体"/>
          <w:bCs/>
          <w:color w:val="auto"/>
        </w:rPr>
      </w:pPr>
      <w:r>
        <w:rPr>
          <w:rFonts w:hint="eastAsia" w:ascii="宋体" w:hAnsi="宋体"/>
          <w:bCs/>
          <w:color w:val="auto"/>
        </w:rPr>
        <w:t>（2）总价金额与依据单价计算出的结果不一致的，以单价金额为准修正总价，但单价金额小数点 有明显错误的除外。</w:t>
      </w:r>
    </w:p>
    <w:p w14:paraId="046B60EF">
      <w:pPr>
        <w:spacing w:line="360" w:lineRule="auto"/>
        <w:ind w:firstLine="420" w:firstLineChars="200"/>
        <w:rPr>
          <w:rFonts w:hint="eastAsia" w:ascii="宋体" w:hAnsi="宋体"/>
          <w:bCs/>
          <w:color w:val="auto"/>
        </w:rPr>
      </w:pPr>
      <w:r>
        <w:rPr>
          <w:rFonts w:hint="eastAsia" w:ascii="宋体" w:hAnsi="宋体"/>
          <w:bCs/>
          <w:color w:val="auto"/>
        </w:rPr>
        <w:t>2.5 报价、商务技术评审 在评审时，如发现下列情形之一的，将被视为响应文件无效处理：</w:t>
      </w:r>
    </w:p>
    <w:p w14:paraId="77E0A492">
      <w:pPr>
        <w:spacing w:line="360" w:lineRule="auto"/>
        <w:ind w:firstLine="420" w:firstLineChars="200"/>
        <w:rPr>
          <w:rFonts w:hint="eastAsia" w:ascii="宋体" w:hAnsi="宋体"/>
          <w:bCs/>
          <w:color w:val="auto"/>
        </w:rPr>
      </w:pPr>
      <w:r>
        <w:rPr>
          <w:rFonts w:hint="eastAsia" w:ascii="宋体" w:hAnsi="宋体"/>
          <w:bCs/>
          <w:color w:val="auto"/>
        </w:rPr>
        <w:t>1)响应文件未提供“供应商须知前附表” 商务文件中规定的“磋商报价函”；</w:t>
      </w:r>
    </w:p>
    <w:p w14:paraId="64D4BB98">
      <w:pPr>
        <w:spacing w:line="360" w:lineRule="auto"/>
        <w:ind w:firstLine="420" w:firstLineChars="200"/>
        <w:rPr>
          <w:rFonts w:hint="eastAsia" w:ascii="宋体" w:hAnsi="宋体"/>
          <w:bCs/>
          <w:color w:val="auto"/>
        </w:rPr>
      </w:pPr>
      <w:r>
        <w:rPr>
          <w:rFonts w:hint="eastAsia" w:ascii="宋体" w:hAnsi="宋体"/>
          <w:bCs/>
          <w:color w:val="auto"/>
        </w:rPr>
        <w:t>2)未采用人民币报价或者未按照磋商文件标明的币种报价；</w:t>
      </w:r>
    </w:p>
    <w:p w14:paraId="38A7C687">
      <w:pPr>
        <w:spacing w:line="360" w:lineRule="auto"/>
        <w:ind w:firstLine="420" w:firstLineChars="200"/>
        <w:rPr>
          <w:rFonts w:hint="eastAsia" w:ascii="宋体" w:hAnsi="宋体"/>
          <w:bCs/>
          <w:color w:val="auto"/>
        </w:rPr>
      </w:pPr>
      <w:r>
        <w:rPr>
          <w:rFonts w:hint="eastAsia" w:ascii="宋体" w:hAnsi="宋体"/>
          <w:bCs/>
          <w:color w:val="auto"/>
        </w:rPr>
        <w:t>3)磋商报价函中报价与已标价工程量清单报价不一致的；</w:t>
      </w:r>
    </w:p>
    <w:p w14:paraId="6EE6FEB6">
      <w:pPr>
        <w:spacing w:line="360" w:lineRule="auto"/>
        <w:ind w:firstLine="420" w:firstLineChars="200"/>
        <w:rPr>
          <w:rFonts w:hint="eastAsia" w:ascii="宋体" w:hAnsi="宋体"/>
          <w:bCs/>
          <w:color w:val="auto"/>
        </w:rPr>
      </w:pPr>
      <w:r>
        <w:rPr>
          <w:rFonts w:hint="eastAsia" w:ascii="宋体" w:hAnsi="宋体"/>
          <w:bCs/>
          <w:color w:val="auto"/>
        </w:rPr>
        <w:t>4) 供应商未就所竞标分标进行报价或者存在漏项报价；供应商未就所竞标分标的单项内容作唯一 报价；供应商未就所竞标分标的全部内容作唯一总价报价；供应商响应文件中存在有选择、有条件报价 的（磋商文件允许有备选方案或者其他约定的除外）；</w:t>
      </w:r>
    </w:p>
    <w:p w14:paraId="2248C3FC">
      <w:pPr>
        <w:spacing w:line="360" w:lineRule="auto"/>
        <w:ind w:firstLine="420" w:firstLineChars="200"/>
        <w:rPr>
          <w:rFonts w:hint="eastAsia" w:ascii="宋体" w:hAnsi="宋体"/>
          <w:bCs/>
          <w:color w:val="auto"/>
        </w:rPr>
      </w:pPr>
      <w:r>
        <w:rPr>
          <w:rFonts w:hint="eastAsia" w:ascii="宋体" w:hAnsi="宋体"/>
          <w:bCs/>
          <w:color w:val="auto"/>
        </w:rPr>
        <w:t>5) 竞标报价（包含首次报价、最后报价）超过所竞标分标规定的采购预算金额或者最高限价的（如 本项目公布了最高限价）；竞标报价（包含首次报价、最后报价）超过磋商文件分项采购预算金额或者 最高限价的（如本项目公布了最高限价）；</w:t>
      </w:r>
    </w:p>
    <w:p w14:paraId="0D18A44B">
      <w:pPr>
        <w:spacing w:line="360" w:lineRule="auto"/>
        <w:ind w:firstLine="420" w:firstLineChars="200"/>
        <w:rPr>
          <w:rFonts w:hint="eastAsia" w:ascii="宋体" w:hAnsi="宋体"/>
          <w:bCs/>
          <w:color w:val="auto"/>
        </w:rPr>
      </w:pPr>
      <w:r>
        <w:rPr>
          <w:rFonts w:hint="eastAsia" w:ascii="宋体" w:hAnsi="宋体"/>
          <w:bCs/>
          <w:color w:val="auto"/>
        </w:rPr>
        <w:t>6) 修正后的报价，供应商不确认的；或者经供应商确认修正后的竞标报价（包含首次报价、最后 报价）超过所竞标分标规定的采购预算金额或者最高限价（如本项目公布了最高限价）；或者经供应商 确认修正后竞标报价（包含首次报价、最后报价）超过磋商文件分项采购预算金额或者最高限价的（如 本项目公布了最高限价）。</w:t>
      </w:r>
    </w:p>
    <w:p w14:paraId="6A964A51">
      <w:pPr>
        <w:spacing w:line="360" w:lineRule="auto"/>
        <w:ind w:firstLine="420" w:firstLineChars="200"/>
        <w:rPr>
          <w:rFonts w:hint="eastAsia" w:ascii="宋体" w:hAnsi="宋体"/>
          <w:bCs/>
          <w:color w:val="auto"/>
        </w:rPr>
      </w:pPr>
      <w:r>
        <w:rPr>
          <w:rFonts w:hint="eastAsia" w:ascii="宋体" w:hAnsi="宋体"/>
          <w:bCs/>
          <w:color w:val="auto"/>
        </w:rPr>
        <w:t>7)响应文件响应的标的数量及单位与竞争性磋商采购文件要求实质性不一致的；</w:t>
      </w:r>
    </w:p>
    <w:p w14:paraId="45996544">
      <w:pPr>
        <w:spacing w:line="360" w:lineRule="auto"/>
        <w:ind w:firstLine="420" w:firstLineChars="200"/>
        <w:rPr>
          <w:rFonts w:hint="eastAsia" w:ascii="宋体" w:hAnsi="宋体"/>
          <w:bCs/>
          <w:color w:val="auto"/>
        </w:rPr>
      </w:pPr>
      <w:r>
        <w:rPr>
          <w:rFonts w:hint="eastAsia" w:ascii="宋体" w:hAnsi="宋体"/>
          <w:bCs/>
          <w:color w:val="auto"/>
        </w:rPr>
        <w:t>8)响应文件未按磋商文件要求签署、盖章；</w:t>
      </w:r>
    </w:p>
    <w:p w14:paraId="6D90852E">
      <w:pPr>
        <w:spacing w:line="360" w:lineRule="auto"/>
        <w:ind w:firstLine="420" w:firstLineChars="200"/>
        <w:rPr>
          <w:rFonts w:hint="eastAsia" w:ascii="宋体" w:hAnsi="宋体"/>
          <w:bCs/>
          <w:color w:val="auto"/>
        </w:rPr>
      </w:pPr>
      <w:r>
        <w:rPr>
          <w:rFonts w:hint="eastAsia" w:ascii="宋体" w:hAnsi="宋体"/>
          <w:bCs/>
          <w:color w:val="auto"/>
        </w:rPr>
        <w:t>9)委托代理人未能出具有效身份证明或者出具的身份证明与授权委托书中的信息不符；</w:t>
      </w:r>
    </w:p>
    <w:p w14:paraId="4F981055">
      <w:pPr>
        <w:spacing w:line="360" w:lineRule="auto"/>
        <w:ind w:firstLine="420" w:firstLineChars="200"/>
        <w:rPr>
          <w:rFonts w:hint="eastAsia" w:ascii="宋体" w:hAnsi="宋体"/>
          <w:bCs/>
          <w:color w:val="auto"/>
        </w:rPr>
      </w:pPr>
      <w:r>
        <w:rPr>
          <w:rFonts w:hint="eastAsia" w:ascii="宋体" w:hAnsi="宋体"/>
          <w:bCs/>
          <w:color w:val="auto"/>
        </w:rPr>
        <w:t>10) 提交的磋商保证金无效的或者未按照磋商文件的规定提交磋商保证金；</w:t>
      </w:r>
    </w:p>
    <w:p w14:paraId="4434E327">
      <w:pPr>
        <w:spacing w:line="360" w:lineRule="auto"/>
        <w:ind w:firstLine="420" w:firstLineChars="200"/>
        <w:rPr>
          <w:rFonts w:hint="eastAsia" w:ascii="宋体" w:hAnsi="宋体"/>
          <w:bCs/>
          <w:color w:val="auto"/>
        </w:rPr>
      </w:pPr>
      <w:r>
        <w:rPr>
          <w:rFonts w:hint="eastAsia" w:ascii="宋体" w:hAnsi="宋体"/>
          <w:bCs/>
          <w:color w:val="auto"/>
        </w:rPr>
        <w:t>11) 响应文件未提供任一项“供应商须知前附表” 报价、商务技术文件中 “必须提供”或者“委托时 必须提供”的文件资料；响应文件提供的报价、商务技术文件出现任一项不符合“供应商须知前附表” 报 价、商务技术文件中 “必须提供”或者“委托时必须提供”文件资料要求的规定或者提供的，报价、商务 技术文件无效。</w:t>
      </w:r>
    </w:p>
    <w:p w14:paraId="68E707D9">
      <w:pPr>
        <w:spacing w:line="360" w:lineRule="auto"/>
        <w:ind w:firstLine="420" w:firstLineChars="200"/>
        <w:rPr>
          <w:rFonts w:hint="eastAsia" w:ascii="宋体" w:hAnsi="宋体"/>
          <w:bCs/>
          <w:color w:val="auto"/>
        </w:rPr>
      </w:pPr>
      <w:r>
        <w:rPr>
          <w:rFonts w:hint="eastAsia" w:ascii="宋体" w:hAnsi="宋体"/>
          <w:bCs/>
          <w:color w:val="auto"/>
        </w:rPr>
        <w:t>12) 未对竞标有效期作出响应或者响应文件承诺的竞标有效期不满足磋商文件要求；</w:t>
      </w:r>
    </w:p>
    <w:p w14:paraId="253DB94C">
      <w:pPr>
        <w:spacing w:line="360" w:lineRule="auto"/>
        <w:ind w:firstLine="420" w:firstLineChars="200"/>
        <w:rPr>
          <w:rFonts w:hint="eastAsia" w:ascii="宋体" w:hAnsi="宋体"/>
          <w:bCs/>
          <w:color w:val="auto"/>
        </w:rPr>
      </w:pPr>
      <w:r>
        <w:rPr>
          <w:rFonts w:hint="eastAsia" w:ascii="宋体" w:hAnsi="宋体"/>
          <w:bCs/>
          <w:color w:val="auto"/>
        </w:rPr>
        <w:t>13) 响应文件的实质性内容未使用中文表述、使用计量单位不符合磋商文件要求；</w:t>
      </w:r>
    </w:p>
    <w:p w14:paraId="678B2BF3">
      <w:pPr>
        <w:spacing w:line="360" w:lineRule="auto"/>
        <w:ind w:firstLine="420" w:firstLineChars="200"/>
        <w:rPr>
          <w:rFonts w:hint="eastAsia" w:ascii="宋体" w:hAnsi="宋体"/>
          <w:bCs/>
          <w:color w:val="auto"/>
        </w:rPr>
      </w:pPr>
      <w:r>
        <w:rPr>
          <w:rFonts w:hint="eastAsia" w:ascii="宋体" w:hAnsi="宋体"/>
          <w:bCs/>
          <w:color w:val="auto"/>
        </w:rPr>
        <w:t>14) 响应文件中的文件资料因填写不齐全或者内容虚假或者出现其他情形而导致被磋商小组认定 无效；</w:t>
      </w:r>
    </w:p>
    <w:p w14:paraId="0BA15D81">
      <w:pPr>
        <w:spacing w:line="360" w:lineRule="auto"/>
        <w:ind w:firstLine="420" w:firstLineChars="200"/>
        <w:rPr>
          <w:rFonts w:hint="eastAsia" w:ascii="宋体" w:hAnsi="宋体"/>
          <w:bCs/>
          <w:color w:val="auto"/>
        </w:rPr>
      </w:pPr>
      <w:r>
        <w:rPr>
          <w:rFonts w:hint="eastAsia" w:ascii="宋体" w:hAnsi="宋体"/>
          <w:bCs/>
          <w:color w:val="auto"/>
        </w:rPr>
        <w:t>15) 响应文件含有采购人不能接受的附加条件；</w:t>
      </w:r>
    </w:p>
    <w:p w14:paraId="7CB4FD06">
      <w:pPr>
        <w:spacing w:line="360" w:lineRule="auto"/>
        <w:ind w:firstLine="420" w:firstLineChars="200"/>
        <w:rPr>
          <w:rFonts w:hint="eastAsia" w:ascii="宋体" w:hAnsi="宋体"/>
          <w:bCs/>
          <w:color w:val="auto"/>
        </w:rPr>
      </w:pPr>
      <w:r>
        <w:rPr>
          <w:rFonts w:hint="eastAsia" w:ascii="宋体" w:hAnsi="宋体"/>
          <w:bCs/>
          <w:color w:val="auto"/>
        </w:rPr>
        <w:t>16)  属于“供应商须知正文”第 7.5 条情形；</w:t>
      </w:r>
    </w:p>
    <w:p w14:paraId="21D9A69F">
      <w:pPr>
        <w:spacing w:line="360" w:lineRule="auto"/>
        <w:ind w:firstLine="420" w:firstLineChars="200"/>
        <w:rPr>
          <w:rFonts w:hint="eastAsia" w:ascii="宋体" w:hAnsi="宋体"/>
          <w:bCs/>
          <w:color w:val="auto"/>
        </w:rPr>
      </w:pPr>
      <w:r>
        <w:rPr>
          <w:rFonts w:hint="eastAsia" w:ascii="宋体" w:hAnsi="宋体"/>
          <w:bCs/>
          <w:color w:val="auto"/>
        </w:rPr>
        <w:t>17) 虚假竞标，或者出现其他情形而导致被磋商小组认定无效；</w:t>
      </w:r>
    </w:p>
    <w:p w14:paraId="16B1D817">
      <w:pPr>
        <w:spacing w:line="360" w:lineRule="auto"/>
        <w:ind w:firstLine="420" w:firstLineChars="200"/>
        <w:rPr>
          <w:rFonts w:hint="eastAsia" w:ascii="宋体" w:hAnsi="宋体"/>
          <w:bCs/>
          <w:color w:val="auto"/>
        </w:rPr>
      </w:pPr>
      <w:r>
        <w:rPr>
          <w:rFonts w:hint="eastAsia" w:ascii="宋体" w:hAnsi="宋体"/>
          <w:bCs/>
          <w:color w:val="auto"/>
        </w:rPr>
        <w:t>18) 竞标技术方案不明确，磋商文件未允许但响应文件中存在一个或者一个以上备选（替代）竞标 方案；</w:t>
      </w:r>
    </w:p>
    <w:p w14:paraId="5A6768AB">
      <w:pPr>
        <w:spacing w:line="360" w:lineRule="auto"/>
        <w:ind w:firstLine="420" w:firstLineChars="200"/>
        <w:rPr>
          <w:rFonts w:hint="eastAsia" w:ascii="宋体" w:hAnsi="宋体"/>
          <w:bCs/>
          <w:color w:val="auto"/>
        </w:rPr>
      </w:pPr>
      <w:r>
        <w:rPr>
          <w:rFonts w:hint="eastAsia" w:ascii="宋体" w:hAnsi="宋体"/>
          <w:bCs/>
          <w:color w:val="auto"/>
        </w:rPr>
        <w:t>19) 响应文件标注的项目名称或者项目编号与竞争性磋商文件标注的项目名称或者项目编号不一 致的；</w:t>
      </w:r>
    </w:p>
    <w:p w14:paraId="61AB4ABD">
      <w:pPr>
        <w:spacing w:line="360" w:lineRule="auto"/>
        <w:ind w:firstLine="420" w:firstLineChars="200"/>
        <w:rPr>
          <w:rFonts w:hint="eastAsia" w:ascii="宋体" w:hAnsi="宋体"/>
          <w:bCs/>
          <w:color w:val="auto"/>
        </w:rPr>
      </w:pPr>
      <w:r>
        <w:rPr>
          <w:rFonts w:hint="eastAsia" w:ascii="宋体" w:hAnsi="宋体"/>
          <w:bCs/>
          <w:color w:val="auto"/>
        </w:rPr>
        <w:t>20) 未响应磋商文件实质性要求；</w:t>
      </w:r>
    </w:p>
    <w:p w14:paraId="78ADF797">
      <w:pPr>
        <w:spacing w:line="360" w:lineRule="auto"/>
        <w:ind w:firstLine="420" w:firstLineChars="200"/>
        <w:rPr>
          <w:rFonts w:hint="eastAsia" w:ascii="宋体" w:hAnsi="宋体"/>
          <w:bCs/>
          <w:color w:val="auto"/>
        </w:rPr>
      </w:pPr>
      <w:r>
        <w:rPr>
          <w:rFonts w:hint="eastAsia" w:ascii="宋体" w:hAnsi="宋体"/>
          <w:bCs/>
          <w:color w:val="auto"/>
        </w:rPr>
        <w:t>21) 安全生产费和规费、增值税不按我区费用定额及造价管理相关文件规定报价的；</w:t>
      </w:r>
    </w:p>
    <w:p w14:paraId="25AA659A">
      <w:pPr>
        <w:spacing w:line="360" w:lineRule="auto"/>
        <w:ind w:firstLine="420" w:firstLineChars="200"/>
        <w:rPr>
          <w:rFonts w:hint="eastAsia" w:ascii="宋体" w:hAnsi="宋体"/>
          <w:bCs/>
          <w:color w:val="auto"/>
        </w:rPr>
      </w:pPr>
      <w:r>
        <w:rPr>
          <w:rFonts w:hint="eastAsia" w:ascii="宋体" w:hAnsi="宋体"/>
          <w:bCs/>
          <w:color w:val="auto"/>
        </w:rPr>
        <w:t>22) 供应商已标价工程量清单的子目号、子目名称、单位、数量任何一处与招标工程量清单不一致的；</w:t>
      </w:r>
    </w:p>
    <w:p w14:paraId="02FAE956">
      <w:pPr>
        <w:spacing w:line="360" w:lineRule="auto"/>
        <w:ind w:firstLine="420" w:firstLineChars="200"/>
        <w:rPr>
          <w:rFonts w:hint="eastAsia" w:ascii="宋体" w:hAnsi="宋体"/>
          <w:bCs/>
          <w:color w:val="auto"/>
        </w:rPr>
      </w:pPr>
      <w:r>
        <w:rPr>
          <w:rFonts w:hint="eastAsia" w:ascii="宋体" w:hAnsi="宋体"/>
          <w:bCs/>
          <w:color w:val="auto"/>
        </w:rPr>
        <w:t>23) 供应商已标价工程量清单的项目（子目）名称与招标工程量清单不一致，评标委员会要求澄清、说明或补正，但供应商拒绝澄清、说明或补正的；</w:t>
      </w:r>
    </w:p>
    <w:p w14:paraId="606515EB">
      <w:pPr>
        <w:spacing w:line="360" w:lineRule="auto"/>
        <w:ind w:firstLine="420" w:firstLineChars="200"/>
        <w:rPr>
          <w:rFonts w:hint="eastAsia" w:ascii="宋体" w:hAnsi="宋体"/>
          <w:bCs/>
          <w:color w:val="auto"/>
        </w:rPr>
      </w:pPr>
      <w:r>
        <w:rPr>
          <w:rFonts w:hint="eastAsia" w:ascii="宋体" w:hAnsi="宋体"/>
          <w:bCs/>
          <w:color w:val="auto"/>
        </w:rPr>
        <w:t>24) 供应商对招标工程量清单内容进行增减或对磋商范围进行调整的。</w:t>
      </w:r>
    </w:p>
    <w:p w14:paraId="711C0EE5">
      <w:pPr>
        <w:spacing w:line="360" w:lineRule="auto"/>
        <w:ind w:firstLine="420" w:firstLineChars="200"/>
        <w:rPr>
          <w:rFonts w:hint="eastAsia" w:ascii="宋体" w:hAnsi="宋体"/>
          <w:bCs/>
          <w:color w:val="auto"/>
        </w:rPr>
      </w:pPr>
      <w:r>
        <w:rPr>
          <w:rFonts w:hint="eastAsia" w:ascii="宋体" w:hAnsi="宋体"/>
          <w:bCs/>
          <w:color w:val="auto"/>
        </w:rPr>
        <w:t>25) 法律、法规和磋商文件规定的其他无效情形。</w:t>
      </w:r>
    </w:p>
    <w:p w14:paraId="73D8A67A">
      <w:pPr>
        <w:spacing w:line="360" w:lineRule="auto"/>
        <w:ind w:firstLine="420" w:firstLineChars="200"/>
        <w:rPr>
          <w:rFonts w:hint="eastAsia" w:ascii="宋体" w:hAnsi="宋体"/>
          <w:bCs/>
          <w:color w:val="auto"/>
        </w:rPr>
      </w:pPr>
      <w:r>
        <w:rPr>
          <w:rFonts w:hint="eastAsia" w:ascii="宋体" w:hAnsi="宋体"/>
          <w:bCs/>
          <w:color w:val="auto"/>
        </w:rPr>
        <w:t>2.6 磋商小组对响应文件进行评审，未实质性响应磋商文件的响应文件按无效处理，磋商小组应当 将资格和符合性不通过的情况告知有关供应商。磋商小组从符合磋商文件规定的相应资格条件的供应商 名单中确定不少于 3 家的供应商参加磋商。</w:t>
      </w:r>
    </w:p>
    <w:p w14:paraId="50EEF05D">
      <w:pPr>
        <w:pStyle w:val="20"/>
        <w:spacing w:line="360" w:lineRule="auto"/>
        <w:ind w:firstLine="420"/>
        <w:rPr>
          <w:rFonts w:hint="eastAsia" w:ascii="宋体" w:hAnsi="宋体"/>
          <w:bCs/>
          <w:color w:val="auto"/>
        </w:rPr>
      </w:pPr>
      <w:r>
        <w:rPr>
          <w:rFonts w:hint="eastAsia" w:ascii="宋体" w:hAnsi="宋体"/>
          <w:bCs/>
          <w:color w:val="auto"/>
        </w:rPr>
        <w:t>2.7 通过符合性审查的合格供应商不足 3 家的，不得进入磋商环节，采购人或者采购代理机构应当 重新开展采购活动。</w:t>
      </w:r>
    </w:p>
    <w:p w14:paraId="69C1278D">
      <w:pPr>
        <w:spacing w:line="360" w:lineRule="auto"/>
        <w:ind w:firstLine="420" w:firstLineChars="200"/>
        <w:rPr>
          <w:rFonts w:hint="eastAsia" w:ascii="宋体" w:hAnsi="宋体"/>
          <w:bCs/>
          <w:color w:val="auto"/>
        </w:rPr>
      </w:pPr>
      <w:r>
        <w:rPr>
          <w:rFonts w:hint="eastAsia" w:ascii="宋体" w:hAnsi="宋体"/>
          <w:bCs/>
          <w:color w:val="auto"/>
        </w:rPr>
        <w:t>3．磋商程序</w:t>
      </w:r>
    </w:p>
    <w:p w14:paraId="55BA3E43">
      <w:pPr>
        <w:spacing w:line="360" w:lineRule="auto"/>
        <w:ind w:firstLine="420" w:firstLineChars="200"/>
        <w:rPr>
          <w:rFonts w:hint="eastAsia" w:ascii="宋体" w:hAnsi="宋体"/>
          <w:bCs/>
          <w:color w:val="auto"/>
        </w:rPr>
      </w:pPr>
      <w:r>
        <w:rPr>
          <w:rFonts w:hint="eastAsia" w:ascii="宋体" w:hAnsi="宋体"/>
          <w:bCs/>
          <w:color w:val="auto"/>
        </w:rPr>
        <w:t>3.1 磋商小组按照“供应商须知前附表” 确定的顺序，集中与单一供应商分别进行磋商，并给予所有 参加磋商的供应商平等的磋商机会。符合磋商资格的供应商必须在接到磋商通知后规定时间内参加磋 商，未在规定时间内参加磋商的视同放弃参加磋商权利，其响应文件按无效响应处理。</w:t>
      </w:r>
    </w:p>
    <w:p w14:paraId="1304C04D">
      <w:pPr>
        <w:spacing w:line="360" w:lineRule="auto"/>
        <w:ind w:firstLine="420" w:firstLineChars="200"/>
        <w:rPr>
          <w:rFonts w:hint="eastAsia" w:ascii="宋体" w:hAnsi="宋体"/>
          <w:bCs/>
          <w:color w:val="auto"/>
        </w:rPr>
      </w:pPr>
      <w:r>
        <w:rPr>
          <w:rFonts w:hint="eastAsia" w:ascii="宋体" w:hAnsi="宋体"/>
          <w:bCs/>
          <w:color w:val="auto"/>
        </w:rPr>
        <w:t>3.2 在磋商过程中，磋商小组可以根据磋商文件和磋商情况实质性变动合同草案条款，但不得变动 磋商文件中的其他内容。实质性变动的内容，须经采购人代表确认。可能实质性变动的内容为合同草案 条款。</w:t>
      </w:r>
    </w:p>
    <w:p w14:paraId="1C2763D3">
      <w:pPr>
        <w:spacing w:line="360" w:lineRule="auto"/>
        <w:ind w:firstLine="420" w:firstLineChars="200"/>
        <w:rPr>
          <w:rFonts w:hint="eastAsia" w:ascii="宋体" w:hAnsi="宋体"/>
          <w:bCs/>
          <w:color w:val="auto"/>
        </w:rPr>
      </w:pPr>
      <w:r>
        <w:rPr>
          <w:rFonts w:hint="eastAsia" w:ascii="宋体" w:hAnsi="宋体"/>
          <w:bCs/>
          <w:color w:val="auto"/>
        </w:rPr>
        <w:t>3.3 对磋商文件作出的实质性变动是磋商文件的有效组成部分，由磋商小组及时以书面形式同时通 知所有参加磋商的供应商。</w:t>
      </w:r>
    </w:p>
    <w:p w14:paraId="7F2D2E08">
      <w:pPr>
        <w:spacing w:line="360" w:lineRule="auto"/>
        <w:ind w:firstLine="420" w:firstLineChars="200"/>
        <w:rPr>
          <w:rFonts w:hint="eastAsia" w:ascii="宋体" w:hAnsi="宋体"/>
          <w:bCs/>
          <w:color w:val="auto"/>
        </w:rPr>
      </w:pPr>
      <w:r>
        <w:rPr>
          <w:rFonts w:hint="eastAsia" w:ascii="宋体" w:hAnsi="宋体"/>
          <w:bCs/>
          <w:color w:val="auto"/>
        </w:rPr>
        <w:t>3.4 供应商必须按照磋商文件的变动情况和磋商小组的要求重新提交响应文件，并由其法定代表人 或者授权代表签字或者加盖公章。由委托代理人签字的，若委托代理人不是响应文件中授权的委托代理 人时，必须同时出示有效的法定代表人授权委托书原件。供应商为自然人的，必须由本人签字并附身份 证明。参加磋商的供应商未在规定时间内重新提交响应文件的，视同退出磋商。</w:t>
      </w:r>
    </w:p>
    <w:p w14:paraId="04890885">
      <w:pPr>
        <w:spacing w:line="360" w:lineRule="auto"/>
        <w:ind w:firstLine="420" w:firstLineChars="200"/>
        <w:rPr>
          <w:rFonts w:hint="eastAsia" w:ascii="宋体" w:hAnsi="宋体"/>
          <w:bCs/>
          <w:color w:val="auto"/>
        </w:rPr>
      </w:pPr>
      <w:r>
        <w:rPr>
          <w:rFonts w:hint="eastAsia" w:ascii="宋体" w:hAnsi="宋体"/>
          <w:bCs/>
          <w:color w:val="auto"/>
        </w:rPr>
        <w:t>3.5磋商中，磋商的任何一方不得透露与磋商有关的其他供应商的技术资料、价格和其他信息。</w:t>
      </w:r>
    </w:p>
    <w:p w14:paraId="50743B87">
      <w:pPr>
        <w:spacing w:line="360" w:lineRule="auto"/>
        <w:ind w:firstLine="420" w:firstLineChars="200"/>
        <w:rPr>
          <w:rFonts w:hint="eastAsia" w:ascii="宋体" w:hAnsi="宋体"/>
          <w:bCs/>
          <w:color w:val="auto"/>
        </w:rPr>
      </w:pPr>
      <w:r>
        <w:rPr>
          <w:rFonts w:hint="eastAsia" w:ascii="宋体" w:hAnsi="宋体"/>
          <w:bCs/>
          <w:color w:val="auto"/>
        </w:rPr>
        <w:t>3.6 采购代理机构对磋商过程和重要磋商内容进行记录，磋商双方在记录上签字确认。</w:t>
      </w:r>
    </w:p>
    <w:p w14:paraId="43E5EF3B">
      <w:pPr>
        <w:spacing w:line="360" w:lineRule="auto"/>
        <w:ind w:firstLine="420" w:firstLineChars="200"/>
        <w:rPr>
          <w:rFonts w:hint="eastAsia" w:ascii="宋体" w:hAnsi="宋体"/>
          <w:bCs/>
          <w:color w:val="auto"/>
        </w:rPr>
      </w:pPr>
      <w:r>
        <w:rPr>
          <w:rFonts w:hint="eastAsia" w:ascii="宋体" w:hAnsi="宋体"/>
          <w:bCs/>
          <w:color w:val="auto"/>
        </w:rPr>
        <w:t>3.7 磋商过程中重新提交的响应文件，供应商可以在开启前补充、修改。</w:t>
      </w:r>
    </w:p>
    <w:p w14:paraId="3296BEDB">
      <w:pPr>
        <w:rPr>
          <w:rFonts w:hint="eastAsia" w:ascii="宋体" w:hAnsi="宋体"/>
          <w:bCs/>
          <w:color w:val="auto"/>
        </w:rPr>
      </w:pPr>
      <w:r>
        <w:rPr>
          <w:rFonts w:hint="eastAsia" w:ascii="宋体" w:hAnsi="宋体"/>
          <w:bCs/>
          <w:color w:val="auto"/>
        </w:rPr>
        <w:t>3.8 对磋商过程提交的响应文件进行有效性、完整性和响应程度审查，通过审查的合格供应商不足3家的，采购人或者采购代理机构应当重新开展采购活动。</w:t>
      </w:r>
    </w:p>
    <w:p w14:paraId="287DACCD">
      <w:pPr>
        <w:spacing w:line="360" w:lineRule="auto"/>
        <w:ind w:firstLine="420" w:firstLineChars="200"/>
        <w:rPr>
          <w:rFonts w:hint="eastAsia" w:ascii="宋体" w:hAnsi="宋体"/>
          <w:bCs/>
          <w:color w:val="auto"/>
        </w:rPr>
      </w:pPr>
      <w:r>
        <w:rPr>
          <w:rFonts w:hint="eastAsia" w:ascii="宋体" w:hAnsi="宋体"/>
          <w:bCs/>
          <w:color w:val="auto"/>
        </w:rPr>
        <w:t>4．最后报价</w:t>
      </w:r>
    </w:p>
    <w:p w14:paraId="1F40B28F">
      <w:pPr>
        <w:spacing w:line="360" w:lineRule="auto"/>
        <w:ind w:firstLine="420" w:firstLineChars="200"/>
        <w:rPr>
          <w:rFonts w:hint="eastAsia" w:ascii="宋体" w:hAnsi="宋体"/>
          <w:bCs/>
          <w:color w:val="auto"/>
        </w:rPr>
      </w:pPr>
      <w:r>
        <w:rPr>
          <w:rFonts w:hint="eastAsia" w:ascii="宋体" w:hAnsi="宋体"/>
          <w:bCs/>
          <w:color w:val="auto"/>
        </w:rPr>
        <w:t>4.1 磋商文件能够详细列明采购标的的技术、服务要求的，磋商结束后，由磋商小组要求所有继续参加磋商的供应商在规定时间内密封提交最后报价，提交最后报价的供应商不得少于3 家，否则必须重 新采购。</w:t>
      </w:r>
    </w:p>
    <w:p w14:paraId="121DFEB5">
      <w:pPr>
        <w:spacing w:line="360" w:lineRule="auto"/>
        <w:ind w:firstLine="420" w:firstLineChars="200"/>
        <w:rPr>
          <w:rFonts w:hint="eastAsia" w:ascii="宋体" w:hAnsi="宋体"/>
          <w:bCs/>
          <w:color w:val="auto"/>
        </w:rPr>
      </w:pPr>
      <w:r>
        <w:rPr>
          <w:rFonts w:hint="eastAsia" w:ascii="宋体" w:hAnsi="宋体"/>
          <w:bCs/>
          <w:color w:val="auto"/>
        </w:rPr>
        <w:t>4.2磋商文件不能详细列明采购标的的技术、服务要求，需经磋商由供应商提供最后设计方案或者</w:t>
      </w:r>
    </w:p>
    <w:p w14:paraId="1E7B4E58">
      <w:pPr>
        <w:spacing w:line="360" w:lineRule="auto"/>
        <w:ind w:firstLine="420" w:firstLineChars="200"/>
        <w:rPr>
          <w:rFonts w:hint="eastAsia" w:ascii="宋体" w:hAnsi="宋体"/>
          <w:bCs/>
          <w:color w:val="auto"/>
        </w:rPr>
      </w:pPr>
      <w:r>
        <w:rPr>
          <w:rFonts w:hint="eastAsia" w:ascii="宋体" w:hAnsi="宋体"/>
          <w:bCs/>
          <w:color w:val="auto"/>
        </w:rPr>
        <w:t>解决方案的，磋商结束后，由磋商小组按照少数服从多数的原则投票推荐 3 家以上供应商的设计方案或 者解决方案，并要求其在规定时间内密封提交最后报价。</w:t>
      </w:r>
    </w:p>
    <w:p w14:paraId="08D481F9">
      <w:pPr>
        <w:spacing w:line="360" w:lineRule="auto"/>
        <w:ind w:firstLine="420" w:firstLineChars="200"/>
        <w:rPr>
          <w:rFonts w:hint="eastAsia" w:ascii="宋体" w:hAnsi="宋体"/>
          <w:bCs/>
          <w:color w:val="auto"/>
        </w:rPr>
      </w:pPr>
      <w:r>
        <w:rPr>
          <w:rFonts w:hint="eastAsia" w:ascii="宋体" w:hAnsi="宋体"/>
          <w:bCs/>
          <w:color w:val="auto"/>
        </w:rPr>
        <w:t>4.3 已经提交响应文件的供应商，在提交最后报价之前，可以根据磋商情况退出磋商，退出磋商的 供应商的响应文件按无效响应处理。采购人、采购代理机构将退还退出磋商的供应商的保证金。</w:t>
      </w:r>
    </w:p>
    <w:p w14:paraId="3CD22522">
      <w:pPr>
        <w:spacing w:line="360" w:lineRule="auto"/>
        <w:ind w:firstLine="420" w:firstLineChars="200"/>
        <w:rPr>
          <w:rFonts w:hint="eastAsia" w:ascii="宋体" w:hAnsi="宋体"/>
          <w:bCs/>
          <w:color w:val="auto"/>
        </w:rPr>
      </w:pPr>
      <w:r>
        <w:rPr>
          <w:rFonts w:hint="eastAsia" w:ascii="宋体" w:hAnsi="宋体"/>
          <w:bCs/>
          <w:color w:val="auto"/>
        </w:rPr>
        <w:t>4.4供应商未在规定时间内提交最后报价的，视同退出磋商。</w:t>
      </w:r>
    </w:p>
    <w:p w14:paraId="62312200">
      <w:pPr>
        <w:spacing w:line="360" w:lineRule="auto"/>
        <w:ind w:firstLine="420" w:firstLineChars="200"/>
        <w:rPr>
          <w:rFonts w:hint="eastAsia" w:ascii="宋体" w:hAnsi="宋体"/>
          <w:bCs/>
          <w:color w:val="auto"/>
        </w:rPr>
      </w:pPr>
      <w:r>
        <w:rPr>
          <w:rFonts w:hint="eastAsia" w:ascii="宋体" w:hAnsi="宋体"/>
          <w:bCs/>
          <w:color w:val="auto"/>
        </w:rPr>
        <w:t>4.5 磋商小组收齐某一分标最后报价后统一开启，磋商小组对最后报价进行有效性、完整性和响应 程度的审查。</w:t>
      </w:r>
    </w:p>
    <w:p w14:paraId="138E4616">
      <w:pPr>
        <w:spacing w:line="360" w:lineRule="auto"/>
        <w:ind w:firstLine="420" w:firstLineChars="200"/>
        <w:rPr>
          <w:rFonts w:hint="eastAsia" w:ascii="宋体" w:hAnsi="宋体"/>
          <w:bCs/>
          <w:color w:val="auto"/>
        </w:rPr>
      </w:pPr>
      <w:r>
        <w:rPr>
          <w:rFonts w:hint="eastAsia" w:ascii="宋体" w:hAnsi="宋体"/>
          <w:bCs/>
          <w:color w:val="auto"/>
        </w:rPr>
        <w:t>4.6 响应文件最后报价的报价函与最后工程量清单报价不一致的，按照本章第 2.4 条的规定修正。</w:t>
      </w:r>
    </w:p>
    <w:p w14:paraId="00A49824">
      <w:pPr>
        <w:spacing w:line="360" w:lineRule="auto"/>
        <w:ind w:firstLine="420" w:firstLineChars="200"/>
        <w:rPr>
          <w:rFonts w:hint="eastAsia" w:ascii="宋体" w:hAnsi="宋体"/>
          <w:bCs/>
          <w:color w:val="auto"/>
        </w:rPr>
      </w:pPr>
      <w:r>
        <w:rPr>
          <w:rFonts w:hint="eastAsia" w:ascii="宋体" w:hAnsi="宋体"/>
          <w:bCs/>
          <w:color w:val="auto"/>
        </w:rPr>
        <w:t>4.7修正后的报价出现下列情形的，按无效响应处理：</w:t>
      </w:r>
    </w:p>
    <w:p w14:paraId="7DF0542B">
      <w:pPr>
        <w:spacing w:line="360" w:lineRule="auto"/>
        <w:ind w:firstLine="420" w:firstLineChars="200"/>
        <w:rPr>
          <w:rFonts w:hint="eastAsia" w:ascii="宋体" w:hAnsi="宋体"/>
          <w:bCs/>
          <w:color w:val="auto"/>
        </w:rPr>
      </w:pPr>
      <w:r>
        <w:rPr>
          <w:rFonts w:hint="eastAsia" w:ascii="宋体" w:hAnsi="宋体"/>
          <w:bCs/>
          <w:color w:val="auto"/>
        </w:rPr>
        <w:t>（1）供应商不确认的；</w:t>
      </w:r>
    </w:p>
    <w:p w14:paraId="07DAE601">
      <w:pPr>
        <w:spacing w:line="360" w:lineRule="auto"/>
        <w:ind w:firstLine="420" w:firstLineChars="200"/>
        <w:rPr>
          <w:rFonts w:hint="eastAsia" w:ascii="宋体" w:hAnsi="宋体"/>
          <w:bCs/>
          <w:color w:val="auto"/>
        </w:rPr>
      </w:pPr>
      <w:r>
        <w:rPr>
          <w:rFonts w:hint="eastAsia" w:ascii="宋体" w:hAnsi="宋体"/>
          <w:bCs/>
          <w:color w:val="auto"/>
        </w:rPr>
        <w:t>（2）经供应商确认修正后的竞标报价（包含首次报价、最后报价）超过所竞标分标规定的采购预 算金额或者最高限价的（如本项目公布了最高限价）；</w:t>
      </w:r>
    </w:p>
    <w:p w14:paraId="30AB3AC7">
      <w:pPr>
        <w:spacing w:line="360" w:lineRule="auto"/>
        <w:ind w:firstLine="420" w:firstLineChars="200"/>
        <w:rPr>
          <w:rFonts w:hint="eastAsia" w:ascii="宋体" w:hAnsi="宋体"/>
          <w:bCs/>
          <w:color w:val="auto"/>
        </w:rPr>
      </w:pPr>
      <w:r>
        <w:rPr>
          <w:rFonts w:hint="eastAsia" w:ascii="宋体" w:hAnsi="宋体"/>
          <w:bCs/>
          <w:color w:val="auto"/>
        </w:rPr>
        <w:t>（3）经供应商确认修正后的竞标报价（包含首次报价、最后报价）超过分项采购预算金额或者最 高限价的（如本项目公布了最高限价）。</w:t>
      </w:r>
    </w:p>
    <w:p w14:paraId="24DDB282">
      <w:pPr>
        <w:spacing w:line="360" w:lineRule="auto"/>
        <w:ind w:firstLine="420" w:firstLineChars="200"/>
        <w:rPr>
          <w:rFonts w:hint="eastAsia" w:ascii="宋体" w:hAnsi="宋体"/>
          <w:bCs/>
          <w:color w:val="auto"/>
        </w:rPr>
      </w:pPr>
      <w:r>
        <w:rPr>
          <w:rFonts w:hint="eastAsia" w:ascii="宋体" w:hAnsi="宋体"/>
          <w:bCs/>
          <w:color w:val="auto"/>
        </w:rPr>
        <w:t>4.8  经供应商确认修正后的最后报价作为评审及签订合同的依据。</w:t>
      </w:r>
    </w:p>
    <w:p w14:paraId="4BF903A1">
      <w:pPr>
        <w:spacing w:line="360" w:lineRule="auto"/>
        <w:ind w:firstLine="420" w:firstLineChars="200"/>
        <w:rPr>
          <w:rFonts w:hint="eastAsia" w:ascii="宋体" w:hAnsi="宋体"/>
          <w:bCs/>
          <w:color w:val="auto"/>
        </w:rPr>
      </w:pPr>
      <w:r>
        <w:rPr>
          <w:rFonts w:hint="eastAsia" w:ascii="宋体" w:hAnsi="宋体"/>
          <w:bCs/>
          <w:color w:val="auto"/>
        </w:rPr>
        <w:t>4.9 供应商出现最后报价按无效响应处理或者响应文件按无效处理时，磋商小组应当告知有关供应商。</w:t>
      </w:r>
    </w:p>
    <w:p w14:paraId="216B631A">
      <w:pPr>
        <w:spacing w:line="360" w:lineRule="auto"/>
        <w:ind w:firstLine="420" w:firstLineChars="200"/>
        <w:rPr>
          <w:rFonts w:hint="eastAsia" w:ascii="宋体" w:hAnsi="宋体" w:eastAsia="宋体" w:cs="Times New Roman"/>
          <w:bCs/>
          <w:color w:val="auto"/>
        </w:rPr>
      </w:pPr>
      <w:r>
        <w:rPr>
          <w:rFonts w:hint="eastAsia" w:ascii="宋体" w:hAnsi="宋体" w:eastAsia="宋体" w:cs="Times New Roman"/>
          <w:bCs/>
          <w:color w:val="auto"/>
        </w:rPr>
        <w:t>4.10 最后报价结束后，磋商小组不得再与供应商进行任何形式的商谈。</w:t>
      </w:r>
    </w:p>
    <w:p w14:paraId="45130158">
      <w:pPr>
        <w:spacing w:line="360" w:lineRule="auto"/>
        <w:ind w:firstLine="420" w:firstLineChars="200"/>
        <w:rPr>
          <w:rFonts w:hint="eastAsia" w:ascii="宋体" w:hAnsi="宋体" w:eastAsia="宋体" w:cs="Times New Roman"/>
          <w:bCs/>
          <w:color w:val="auto"/>
        </w:rPr>
      </w:pPr>
      <w:r>
        <w:rPr>
          <w:rFonts w:hint="eastAsia" w:ascii="宋体" w:hAnsi="宋体" w:eastAsia="宋体" w:cs="Times New Roman"/>
          <w:bCs/>
          <w:color w:val="auto"/>
        </w:rPr>
        <w:t>4.11 本工程的磋商报价不准使用报价调整函，磋商函中的报价必须与已标价工程量清单一致，否则作无效磋商处理。磋商小组应当要求所有继续参加磋商的供应商在规定时间内密封提交最后报价，提交 最后报价的供应商不得少于 3 家。供应商应采用已标价工程量清单方式报价，磋商供应商应预先准备 好调整后的已标价工程量清单并提供电子版作为应答文件的一部分一并上传递交，其编制依据及计算规 则与首次报价的相同。否则，该竞标报价将被视为无效。</w:t>
      </w:r>
    </w:p>
    <w:p w14:paraId="25FAEF7B">
      <w:pPr>
        <w:spacing w:line="360" w:lineRule="auto"/>
        <w:ind w:firstLine="420" w:firstLineChars="200"/>
        <w:rPr>
          <w:rFonts w:hint="eastAsia" w:ascii="宋体" w:hAnsi="宋体"/>
          <w:bCs/>
          <w:color w:val="auto"/>
        </w:rPr>
      </w:pPr>
      <w:r>
        <w:rPr>
          <w:rFonts w:hint="eastAsia" w:ascii="宋体" w:hAnsi="宋体"/>
          <w:bCs/>
          <w:color w:val="auto"/>
        </w:rPr>
        <w:t>5．比较与评价</w:t>
      </w:r>
    </w:p>
    <w:p w14:paraId="798BDBA8">
      <w:pPr>
        <w:spacing w:line="360" w:lineRule="auto"/>
        <w:ind w:firstLine="420" w:firstLineChars="200"/>
        <w:rPr>
          <w:rFonts w:hint="eastAsia" w:ascii="宋体" w:hAnsi="宋体"/>
          <w:bCs/>
          <w:color w:val="auto"/>
        </w:rPr>
      </w:pPr>
      <w:r>
        <w:rPr>
          <w:rFonts w:hint="eastAsia" w:ascii="宋体" w:hAnsi="宋体"/>
          <w:bCs/>
          <w:color w:val="auto"/>
        </w:rPr>
        <w:t>5.1 评审方法：综合评分法。</w:t>
      </w:r>
    </w:p>
    <w:p w14:paraId="09B10C79">
      <w:pPr>
        <w:spacing w:line="360" w:lineRule="auto"/>
        <w:ind w:firstLine="420" w:firstLineChars="200"/>
        <w:rPr>
          <w:rFonts w:hint="eastAsia" w:ascii="宋体" w:hAnsi="宋体"/>
          <w:bCs/>
          <w:color w:val="auto"/>
        </w:rPr>
      </w:pPr>
      <w:r>
        <w:rPr>
          <w:rFonts w:hint="eastAsia" w:ascii="宋体" w:hAnsi="宋体"/>
          <w:bCs/>
          <w:color w:val="auto"/>
        </w:rPr>
        <w:t>5.2  经磋商确定并提交最后报价的供应商后，由磋商小组采用综合评分法对提交最后报价的供应商 的响应文件和最后报价进行综合评分。</w:t>
      </w:r>
    </w:p>
    <w:p w14:paraId="060D6AD7">
      <w:pPr>
        <w:spacing w:line="360" w:lineRule="auto"/>
        <w:ind w:firstLine="420" w:firstLineChars="200"/>
        <w:rPr>
          <w:rFonts w:hint="eastAsia" w:ascii="宋体" w:hAnsi="宋体"/>
          <w:bCs/>
          <w:color w:val="auto"/>
        </w:rPr>
      </w:pPr>
      <w:r>
        <w:rPr>
          <w:rFonts w:hint="eastAsia" w:ascii="宋体" w:hAnsi="宋体"/>
          <w:bCs/>
          <w:color w:val="auto"/>
        </w:rPr>
        <w:t>5.3 评审时，磋商小组各成员应当独立对每个有效响应的文件进行评价、打分，然后汇总每个供应 商每项评分因素的得分。</w:t>
      </w:r>
    </w:p>
    <w:p w14:paraId="1B6AA7E7">
      <w:pPr>
        <w:spacing w:line="360" w:lineRule="auto"/>
        <w:ind w:firstLine="420" w:firstLineChars="200"/>
        <w:rPr>
          <w:rFonts w:hint="eastAsia" w:ascii="宋体" w:hAnsi="宋体"/>
          <w:bCs/>
          <w:color w:val="auto"/>
        </w:rPr>
      </w:pPr>
      <w:r>
        <w:rPr>
          <w:rFonts w:hint="eastAsia" w:ascii="宋体" w:hAnsi="宋体"/>
          <w:bCs/>
          <w:color w:val="auto"/>
        </w:rPr>
        <w:t>（1）磋商小组按照磋商文件中规定的评审标准计算各供应商的报价得分。项目评审过程中，不得去掉最后报价中的最高报价和最低报价。</w:t>
      </w:r>
    </w:p>
    <w:p w14:paraId="6365AAF5">
      <w:pPr>
        <w:spacing w:line="360" w:lineRule="auto"/>
        <w:ind w:firstLine="420" w:firstLineChars="200"/>
        <w:rPr>
          <w:rFonts w:hint="eastAsia" w:ascii="宋体" w:hAnsi="宋体"/>
          <w:bCs/>
          <w:color w:val="auto"/>
        </w:rPr>
      </w:pPr>
      <w:r>
        <w:rPr>
          <w:rFonts w:hint="eastAsia" w:ascii="宋体" w:hAnsi="宋体"/>
          <w:bCs/>
          <w:color w:val="auto"/>
        </w:rPr>
        <w:t>（2）各供应商的得分为磋商小组所有成员的有效评分的算术平均数。</w:t>
      </w:r>
    </w:p>
    <w:p w14:paraId="5C8DA3B9">
      <w:pPr>
        <w:spacing w:line="360" w:lineRule="auto"/>
        <w:ind w:firstLine="420" w:firstLineChars="200"/>
        <w:rPr>
          <w:rFonts w:hint="eastAsia" w:ascii="宋体" w:hAnsi="宋体"/>
          <w:bCs/>
          <w:color w:val="auto"/>
        </w:rPr>
      </w:pPr>
      <w:r>
        <w:rPr>
          <w:rFonts w:hint="eastAsia" w:ascii="宋体" w:hAnsi="宋体"/>
          <w:bCs/>
          <w:color w:val="auto"/>
        </w:rPr>
        <w:t>5.4  评审价为供应商的最后报价进行政策性扣除后的价格，评审价只是作为评审时使用。最终成交 供应商的成交金额等于最后报价（如有修正，以确认修正后的最后报价为准）。</w:t>
      </w:r>
    </w:p>
    <w:p w14:paraId="6D313721">
      <w:pPr>
        <w:spacing w:line="360" w:lineRule="auto"/>
        <w:ind w:firstLine="420" w:firstLineChars="200"/>
        <w:rPr>
          <w:rFonts w:hint="eastAsia" w:ascii="宋体" w:hAnsi="宋体"/>
          <w:bCs/>
          <w:color w:val="auto"/>
        </w:rPr>
      </w:pPr>
      <w:r>
        <w:rPr>
          <w:rFonts w:hint="eastAsia" w:ascii="宋体" w:hAnsi="宋体"/>
          <w:bCs/>
          <w:color w:val="auto"/>
        </w:rPr>
        <w:t>5.5 由磋商小组根据综合评分情况，按照评审总得分由高到低顺序推荐 3 名以上成交候选供应商， 并编写评审报告。评审总得分相同的，按照最后报价由低到高的顺序推荐。评审总得分且最后报价相同 的，按照技术指标优劣顺序推荐。</w:t>
      </w:r>
    </w:p>
    <w:p w14:paraId="52BA845B">
      <w:pPr>
        <w:pStyle w:val="20"/>
        <w:spacing w:line="360" w:lineRule="auto"/>
        <w:ind w:right="-187" w:rightChars="-89" w:firstLine="420"/>
        <w:rPr>
          <w:rFonts w:hint="eastAsia" w:ascii="宋体" w:hAnsi="宋体" w:eastAsia="宋体" w:cs="宋体"/>
          <w:color w:val="auto"/>
          <w:highlight w:val="none"/>
        </w:rPr>
      </w:pPr>
      <w:r>
        <w:rPr>
          <w:rFonts w:hint="eastAsia" w:ascii="宋体" w:hAnsi="宋体"/>
          <w:bCs/>
          <w:color w:val="auto"/>
        </w:rPr>
        <w:t>5.6 评审报告应当由磋商小组全体人员签字认可。磋商小组成员对评审报告有异议的，磋商小组按 照少数服从多数的原则推荐成交候选供应商，采购程序继续进行。对评审报告有异议的磋商小组成员， 应当在报告上签署不同意见并说明理由，由磋商小组书面记录相关情况。磋商小组成员拒绝在报告上签 字又不书面说明其不同意见和理由的，视为同意评审报告。</w:t>
      </w:r>
    </w:p>
    <w:p w14:paraId="538B1F9E">
      <w:pPr>
        <w:pStyle w:val="4"/>
        <w:spacing w:before="0" w:after="0" w:line="360" w:lineRule="auto"/>
        <w:rPr>
          <w:rFonts w:hint="eastAsia" w:ascii="宋体" w:hAnsi="宋体" w:eastAsia="宋体" w:cs="宋体"/>
          <w:color w:val="auto"/>
          <w:sz w:val="21"/>
          <w:szCs w:val="21"/>
          <w:highlight w:val="none"/>
        </w:rPr>
      </w:pPr>
      <w:bookmarkStart w:id="195" w:name="_Toc239839888"/>
      <w:bookmarkStart w:id="196" w:name="_Toc486196161"/>
      <w:bookmarkStart w:id="197" w:name="_Toc486922978"/>
      <w:r>
        <w:rPr>
          <w:rFonts w:hint="eastAsia" w:ascii="宋体" w:hAnsi="宋体" w:eastAsia="宋体" w:cs="宋体"/>
          <w:color w:val="auto"/>
          <w:sz w:val="21"/>
          <w:szCs w:val="21"/>
          <w:highlight w:val="none"/>
        </w:rPr>
        <w:t>20．无效的响应文件</w:t>
      </w:r>
      <w:bookmarkEnd w:id="191"/>
      <w:bookmarkEnd w:id="192"/>
      <w:bookmarkEnd w:id="193"/>
      <w:bookmarkEnd w:id="194"/>
      <w:bookmarkEnd w:id="195"/>
      <w:bookmarkEnd w:id="196"/>
      <w:bookmarkEnd w:id="197"/>
    </w:p>
    <w:p w14:paraId="7A0798C5">
      <w:pPr>
        <w:pStyle w:val="20"/>
        <w:spacing w:line="360" w:lineRule="auto"/>
        <w:ind w:left="525" w:hanging="525" w:hangingChars="250"/>
        <w:rPr>
          <w:rFonts w:hint="eastAsia" w:ascii="宋体" w:hAnsi="宋体" w:eastAsia="宋体" w:cs="宋体"/>
          <w:color w:val="auto"/>
          <w:kern w:val="0"/>
          <w:highlight w:val="none"/>
        </w:rPr>
      </w:pPr>
      <w:r>
        <w:rPr>
          <w:rFonts w:hint="eastAsia" w:ascii="宋体" w:hAnsi="宋体" w:eastAsia="宋体" w:cs="宋体"/>
          <w:color w:val="auto"/>
          <w:highlight w:val="none"/>
        </w:rPr>
        <w:t>20.1</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rPr>
        <w:t>有下列情形之一的，其将被视为无效磋商：</w:t>
      </w:r>
    </w:p>
    <w:p w14:paraId="63E7D63E">
      <w:pPr>
        <w:pStyle w:val="20"/>
        <w:spacing w:line="360" w:lineRule="auto"/>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实质上没有响应磋商文件要求的磋商将被视为无效磋商。</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rPr>
        <w:t>不得通过修正或撤销不合要求的偏离从而使其响应文件成为实质上响应的磋商。</w:t>
      </w:r>
    </w:p>
    <w:p w14:paraId="4C56DE13">
      <w:pPr>
        <w:pStyle w:val="20"/>
        <w:spacing w:line="360" w:lineRule="auto"/>
        <w:ind w:left="525" w:hanging="525" w:hangingChars="250"/>
        <w:rPr>
          <w:rFonts w:hint="eastAsia" w:ascii="宋体" w:hAnsi="宋体" w:eastAsia="宋体" w:cs="宋体"/>
          <w:color w:val="auto"/>
          <w:kern w:val="0"/>
          <w:highlight w:val="none"/>
        </w:rPr>
      </w:pPr>
      <w:r>
        <w:rPr>
          <w:rFonts w:hint="eastAsia" w:ascii="宋体" w:hAnsi="宋体" w:eastAsia="宋体" w:cs="宋体"/>
          <w:color w:val="auto"/>
          <w:highlight w:val="none"/>
        </w:rPr>
        <w:t>20.1.1</w:t>
      </w:r>
      <w:r>
        <w:rPr>
          <w:rFonts w:hint="eastAsia" w:ascii="宋体" w:hAnsi="宋体" w:eastAsia="宋体" w:cs="宋体"/>
          <w:color w:val="auto"/>
          <w:kern w:val="0"/>
          <w:highlight w:val="none"/>
        </w:rPr>
        <w:t>在资格性审查、符合性检查时，如发现下列情形之一的，将确定为无效响应文件：</w:t>
      </w:r>
    </w:p>
    <w:p w14:paraId="59A4153C">
      <w:pPr>
        <w:pStyle w:val="20"/>
        <w:spacing w:line="360" w:lineRule="auto"/>
        <w:ind w:firstLine="420" w:firstLineChars="200"/>
        <w:rPr>
          <w:rFonts w:hint="eastAsia" w:ascii="宋体" w:hAnsi="宋体" w:eastAsia="宋体" w:cs="宋体"/>
          <w:color w:val="auto"/>
          <w:highlight w:val="none"/>
        </w:rPr>
      </w:pPr>
      <w:bookmarkStart w:id="198" w:name="_Toc207770861"/>
      <w:bookmarkStart w:id="199" w:name="_Toc185702575"/>
      <w:bookmarkStart w:id="200" w:name="_Toc206525708"/>
      <w:bookmarkStart w:id="201" w:name="_Toc239839889"/>
      <w:bookmarkStart w:id="202" w:name="_Toc230578083"/>
      <w:r>
        <w:rPr>
          <w:rFonts w:hint="eastAsia" w:ascii="宋体" w:hAnsi="宋体" w:eastAsia="宋体" w:cs="宋体"/>
          <w:color w:val="auto"/>
          <w:highlight w:val="none"/>
          <w:lang w:val="en-US" w:eastAsia="zh-CN"/>
        </w:rPr>
        <w:t xml:space="preserve">（1）无磋商函； </w:t>
      </w:r>
    </w:p>
    <w:p w14:paraId="613960D7">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（2）无磋商函附录； </w:t>
      </w:r>
    </w:p>
    <w:p w14:paraId="1E3B3025">
      <w:pPr>
        <w:pStyle w:val="2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（3）无磋商保证金（缴纳证明复印件）；</w:t>
      </w:r>
    </w:p>
    <w:p w14:paraId="011AC466">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（4）无企业营业执照副本； </w:t>
      </w:r>
    </w:p>
    <w:p w14:paraId="17F2824E">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（5）无企业资质证书副本； </w:t>
      </w:r>
    </w:p>
    <w:p w14:paraId="1E965223">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（6）无安全生产许可证副本； </w:t>
      </w:r>
    </w:p>
    <w:p w14:paraId="02CE6BD8">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（7）无项目经理（建造师）的注册建造师证书； </w:t>
      </w:r>
    </w:p>
    <w:p w14:paraId="08A24D3D">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（8）无法定代表人资格证明书（附法定代表人身份证的复印件）； </w:t>
      </w:r>
    </w:p>
    <w:p w14:paraId="5F29F64C">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（9）无法人授权委托书原件或委托代理人身份证复印件（委托代理时必须提供，否则磋商无效）； </w:t>
      </w:r>
    </w:p>
    <w:p w14:paraId="7B7F3BCF">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（10）工程量清单报价不齐全； </w:t>
      </w:r>
    </w:p>
    <w:p w14:paraId="79D8B889">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（11）磋商供应商资质不满足前附表第 1.3 款要求； </w:t>
      </w:r>
    </w:p>
    <w:p w14:paraId="2DC9DEDA">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（12）磋商供应商未按规定电子签章； </w:t>
      </w:r>
    </w:p>
    <w:p w14:paraId="1536B4A7">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3</w:t>
      </w:r>
      <w:r>
        <w:rPr>
          <w:rFonts w:hint="eastAsia" w:ascii="宋体" w:hAnsi="宋体" w:eastAsia="宋体" w:cs="宋体"/>
          <w:color w:val="auto"/>
          <w:highlight w:val="none"/>
          <w:lang w:val="en-US" w:eastAsia="zh-CN"/>
        </w:rPr>
        <w:t xml:space="preserve">）未按规定的格式填写或者字迹模糊、辨认不清； </w:t>
      </w:r>
    </w:p>
    <w:p w14:paraId="6E982675">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4</w:t>
      </w:r>
      <w:r>
        <w:rPr>
          <w:rFonts w:hint="eastAsia" w:ascii="宋体" w:hAnsi="宋体" w:eastAsia="宋体" w:cs="宋体"/>
          <w:color w:val="auto"/>
          <w:highlight w:val="none"/>
          <w:lang w:val="en-US" w:eastAsia="zh-CN"/>
        </w:rPr>
        <w:t xml:space="preserve">）竞争性磋商响应文件份数不符合磋商采购文件要求或不标明正、副本的； </w:t>
      </w:r>
    </w:p>
    <w:p w14:paraId="26CD5BC6">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5</w:t>
      </w:r>
      <w:r>
        <w:rPr>
          <w:rFonts w:hint="eastAsia" w:ascii="宋体" w:hAnsi="宋体" w:eastAsia="宋体" w:cs="宋体"/>
          <w:color w:val="auto"/>
          <w:highlight w:val="none"/>
          <w:lang w:val="en-US" w:eastAsia="zh-CN"/>
        </w:rPr>
        <w:t xml:space="preserve">）磋商供应商未按竞争性磋商文件的规定递交磋商保证金的； </w:t>
      </w:r>
    </w:p>
    <w:p w14:paraId="4B31767E">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6</w:t>
      </w:r>
      <w:r>
        <w:rPr>
          <w:rFonts w:hint="eastAsia" w:ascii="宋体" w:hAnsi="宋体" w:eastAsia="宋体" w:cs="宋体"/>
          <w:color w:val="auto"/>
          <w:highlight w:val="none"/>
          <w:lang w:val="en-US" w:eastAsia="zh-CN"/>
        </w:rPr>
        <w:t xml:space="preserve">）竞争性磋商响应文件内容不真实； </w:t>
      </w:r>
    </w:p>
    <w:p w14:paraId="135F9A8D">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hAnsi="宋体" w:cs="宋体"/>
          <w:color w:val="auto"/>
          <w:highlight w:val="none"/>
          <w:lang w:val="en-US" w:eastAsia="zh-CN"/>
        </w:rPr>
        <w:t>17</w:t>
      </w:r>
      <w:r>
        <w:rPr>
          <w:rFonts w:hint="eastAsia" w:ascii="宋体" w:hAnsi="宋体" w:eastAsia="宋体" w:cs="宋体"/>
          <w:color w:val="auto"/>
          <w:highlight w:val="none"/>
          <w:lang w:val="en-US" w:eastAsia="zh-CN"/>
        </w:rPr>
        <w:t xml:space="preserve">）磋商报价高于采购预算价的； </w:t>
      </w:r>
    </w:p>
    <w:p w14:paraId="3AA1F16C">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hAnsi="宋体" w:cs="宋体"/>
          <w:color w:val="auto"/>
          <w:highlight w:val="none"/>
          <w:lang w:val="en-US" w:eastAsia="zh-CN"/>
        </w:rPr>
        <w:t>18</w:t>
      </w:r>
      <w:r>
        <w:rPr>
          <w:rFonts w:hint="eastAsia" w:ascii="宋体" w:hAnsi="宋体" w:eastAsia="宋体" w:cs="宋体"/>
          <w:color w:val="auto"/>
          <w:highlight w:val="none"/>
          <w:lang w:val="en-US" w:eastAsia="zh-CN"/>
        </w:rPr>
        <w:t xml:space="preserve">）在“磋商附录”中,磋商供应商未对采购文件有关工期、磋商有效期、质量要求、技术 </w:t>
      </w:r>
    </w:p>
    <w:p w14:paraId="26B1DC6D">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条款、磋商范围等实质性内容做出响应的。</w:t>
      </w:r>
    </w:p>
    <w:p w14:paraId="0D711620">
      <w:pPr>
        <w:pStyle w:val="4"/>
        <w:spacing w:before="0" w:after="0" w:line="360" w:lineRule="auto"/>
        <w:rPr>
          <w:rFonts w:hint="eastAsia" w:ascii="宋体" w:hAnsi="宋体" w:eastAsia="宋体" w:cs="宋体"/>
          <w:color w:val="auto"/>
          <w:sz w:val="21"/>
          <w:szCs w:val="21"/>
          <w:highlight w:val="none"/>
        </w:rPr>
      </w:pPr>
      <w:bookmarkStart w:id="203" w:name="_Toc486196162"/>
      <w:bookmarkStart w:id="204" w:name="_Toc486922979"/>
      <w:r>
        <w:rPr>
          <w:rFonts w:hint="eastAsia" w:ascii="宋体" w:hAnsi="宋体" w:eastAsia="宋体" w:cs="宋体"/>
          <w:color w:val="auto"/>
          <w:sz w:val="21"/>
          <w:szCs w:val="21"/>
          <w:highlight w:val="none"/>
        </w:rPr>
        <w:t>21．废标</w:t>
      </w:r>
      <w:bookmarkEnd w:id="198"/>
      <w:bookmarkEnd w:id="199"/>
      <w:bookmarkEnd w:id="200"/>
      <w:bookmarkEnd w:id="201"/>
      <w:bookmarkEnd w:id="202"/>
      <w:bookmarkEnd w:id="203"/>
      <w:bookmarkEnd w:id="204"/>
    </w:p>
    <w:p w14:paraId="65492265">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color w:val="auto"/>
          <w:highlight w:val="none"/>
        </w:rPr>
        <w:t>21</w:t>
      </w:r>
      <w:r>
        <w:rPr>
          <w:rFonts w:hint="eastAsia" w:ascii="宋体" w:hAnsi="宋体" w:eastAsia="宋体" w:cs="宋体"/>
          <w:bCs/>
          <w:color w:val="auto"/>
          <w:highlight w:val="none"/>
        </w:rPr>
        <w:t>.1出现下列情形之一的，采购人或者采购代理机构应当终止竞争性磋商采购活动，发布项目终止公告并说明原因，重新开展采购活动：</w:t>
      </w:r>
    </w:p>
    <w:p w14:paraId="17A6C766">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（1）因情况变化，不再符合规定的竞争性磋商采购方式适用情形的；</w:t>
      </w:r>
    </w:p>
    <w:p w14:paraId="1C248988">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 xml:space="preserve">（2）出现影响采购公正的违法、违规行为的； </w:t>
      </w:r>
    </w:p>
    <w:p w14:paraId="7DD7343C">
      <w:pPr>
        <w:pStyle w:val="20"/>
        <w:tabs>
          <w:tab w:val="left" w:pos="869"/>
        </w:tabs>
        <w:spacing w:line="360" w:lineRule="auto"/>
        <w:ind w:left="525" w:leftChars="50" w:hanging="420" w:hangingChars="200"/>
        <w:rPr>
          <w:rFonts w:hint="eastAsia" w:ascii="宋体" w:hAnsi="宋体" w:eastAsia="宋体" w:cs="宋体"/>
          <w:b/>
          <w:bCs/>
          <w:color w:val="auto"/>
          <w:highlight w:val="none"/>
          <w:lang w:eastAsia="zh-CN"/>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eastAsia="zh-CN"/>
        </w:rPr>
        <w:t>投标人的报价均超过了招标人采购预算价的（具体详见《投标人须知前附表》第1项），采购人不能支付的；</w:t>
      </w:r>
    </w:p>
    <w:p w14:paraId="2BC65FF4">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（4）因重大变故，采购任务取消的。</w:t>
      </w:r>
    </w:p>
    <w:p w14:paraId="7B0EA74E">
      <w:pPr>
        <w:pStyle w:val="20"/>
        <w:spacing w:line="360" w:lineRule="auto"/>
        <w:ind w:left="0" w:leftChars="0" w:firstLine="0" w:firstLineChars="0"/>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分标符合专业条件的</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或者对招标文件作实质响应的</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不足3家的；</w:t>
      </w:r>
    </w:p>
    <w:p w14:paraId="7662C96D">
      <w:pPr>
        <w:adjustRightInd w:val="0"/>
        <w:snapToGrid w:val="0"/>
        <w:spacing w:line="360" w:lineRule="auto"/>
        <w:ind w:left="0" w:leftChars="0" w:firstLine="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21.2</w:t>
      </w:r>
      <w:r>
        <w:rPr>
          <w:rFonts w:hint="eastAsia" w:ascii="宋体" w:hAnsi="宋体" w:eastAsia="宋体" w:cs="宋体"/>
          <w:b w:val="0"/>
          <w:bCs w:val="0"/>
          <w:color w:val="auto"/>
          <w:highlight w:val="none"/>
        </w:rPr>
        <w:t>采购过程中出现以下情形，导致电子交易平台无法正常运行，或者无法保证电子交易的公平、公正和安全时，采购组织机构可中止电子交易活动：</w:t>
      </w:r>
    </w:p>
    <w:p w14:paraId="6846DBAF">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电子交易平台发生故障而无法登录访问的； </w:t>
      </w:r>
    </w:p>
    <w:p w14:paraId="7234140F">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电子交易平台应用或数据库出现错误，不能进行正常操作的；</w:t>
      </w:r>
    </w:p>
    <w:p w14:paraId="2DD16D18">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电子交易平台发现严重安全漏洞，有潜在泄密危险的；</w:t>
      </w:r>
    </w:p>
    <w:p w14:paraId="100F538B">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病毒发作导致不能进行正常操作的； </w:t>
      </w:r>
    </w:p>
    <w:p w14:paraId="0B3EE2CA">
      <w:pPr>
        <w:adjustRightInd w:val="0"/>
        <w:snapToGrid w:val="0"/>
        <w:spacing w:line="360" w:lineRule="auto"/>
        <w:ind w:firstLine="420"/>
        <w:rPr>
          <w:rFonts w:hint="eastAsia" w:ascii="宋体" w:hAnsi="宋体" w:eastAsia="宋体" w:cs="宋体"/>
          <w:bCs/>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其他无法保证电子交易的公平、公正和安全的情况。</w:t>
      </w:r>
    </w:p>
    <w:p w14:paraId="2BED8FDC">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21.</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废标后，</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将把废标理由通知所有</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w:t>
      </w:r>
    </w:p>
    <w:p w14:paraId="707CD395">
      <w:pPr>
        <w:pStyle w:val="4"/>
        <w:spacing w:before="0" w:after="0" w:line="360" w:lineRule="auto"/>
        <w:rPr>
          <w:rFonts w:hint="eastAsia" w:ascii="宋体" w:hAnsi="宋体" w:eastAsia="宋体" w:cs="宋体"/>
          <w:color w:val="auto"/>
          <w:sz w:val="21"/>
          <w:szCs w:val="21"/>
          <w:highlight w:val="none"/>
          <w:lang w:val="en-US" w:eastAsia="zh-CN"/>
        </w:rPr>
      </w:pPr>
      <w:bookmarkStart w:id="205" w:name="_Toc486922980"/>
      <w:bookmarkStart w:id="206" w:name="_Toc486196163"/>
      <w:r>
        <w:rPr>
          <w:rFonts w:hint="eastAsia" w:ascii="宋体" w:hAnsi="宋体" w:eastAsia="宋体" w:cs="宋体"/>
          <w:color w:val="auto"/>
          <w:sz w:val="21"/>
          <w:szCs w:val="21"/>
          <w:highlight w:val="none"/>
        </w:rPr>
        <w:t>22．响应文件及应标样品的退回</w:t>
      </w:r>
      <w:bookmarkEnd w:id="205"/>
      <w:bookmarkEnd w:id="206"/>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p w14:paraId="5B78C80D">
      <w:pPr>
        <w:spacing w:line="360" w:lineRule="auto"/>
        <w:jc w:val="center"/>
        <w:rPr>
          <w:rFonts w:hint="eastAsia" w:ascii="宋体" w:hAnsi="宋体" w:eastAsia="宋体" w:cs="宋体"/>
          <w:b/>
          <w:bCs/>
          <w:color w:val="auto"/>
          <w:sz w:val="24"/>
          <w:szCs w:val="24"/>
          <w:highlight w:val="none"/>
        </w:rPr>
      </w:pPr>
      <w:bookmarkStart w:id="207" w:name="_Toc486196164"/>
      <w:bookmarkStart w:id="208" w:name="_Toc486922981"/>
    </w:p>
    <w:p w14:paraId="2D4C3750">
      <w:pPr>
        <w:spacing w:line="360" w:lineRule="auto"/>
        <w:jc w:val="center"/>
        <w:rPr>
          <w:rFonts w:hint="eastAsia" w:ascii="宋体" w:hAnsi="宋体" w:eastAsia="宋体" w:cs="宋体"/>
          <w:b/>
          <w:bCs/>
          <w:color w:val="auto"/>
          <w:sz w:val="24"/>
          <w:szCs w:val="24"/>
          <w:highlight w:val="none"/>
        </w:rPr>
      </w:pPr>
    </w:p>
    <w:p w14:paraId="0924F757">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六   确定成交</w:t>
      </w:r>
      <w:bookmarkEnd w:id="207"/>
      <w:bookmarkEnd w:id="208"/>
      <w:r>
        <w:rPr>
          <w:rFonts w:hint="eastAsia" w:ascii="宋体" w:hAnsi="宋体" w:eastAsia="宋体" w:cs="宋体"/>
          <w:b/>
          <w:bCs/>
          <w:color w:val="auto"/>
          <w:sz w:val="24"/>
          <w:szCs w:val="24"/>
          <w:highlight w:val="none"/>
          <w:lang w:eastAsia="zh-CN"/>
        </w:rPr>
        <w:t>供应商</w:t>
      </w:r>
    </w:p>
    <w:p w14:paraId="332A43C3">
      <w:pPr>
        <w:pStyle w:val="4"/>
        <w:spacing w:before="0" w:after="0" w:line="360" w:lineRule="auto"/>
        <w:rPr>
          <w:rFonts w:hint="eastAsia" w:ascii="宋体" w:hAnsi="宋体" w:eastAsia="宋体" w:cs="宋体"/>
          <w:color w:val="auto"/>
          <w:sz w:val="21"/>
          <w:szCs w:val="21"/>
          <w:highlight w:val="none"/>
        </w:rPr>
      </w:pPr>
      <w:bookmarkStart w:id="209" w:name="_Toc486922982"/>
      <w:bookmarkStart w:id="210" w:name="_Toc486196165"/>
      <w:r>
        <w:rPr>
          <w:rFonts w:hint="eastAsia" w:ascii="宋体" w:hAnsi="宋体" w:eastAsia="宋体" w:cs="宋体"/>
          <w:color w:val="auto"/>
          <w:sz w:val="21"/>
          <w:szCs w:val="21"/>
          <w:highlight w:val="none"/>
        </w:rPr>
        <w:t>23．确定成交人</w:t>
      </w:r>
      <w:bookmarkEnd w:id="209"/>
      <w:bookmarkEnd w:id="210"/>
    </w:p>
    <w:p w14:paraId="7147AE88">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23.1采购人从评审报告提出的成交候选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中，采购人按照评审报告推荐排名第一的候选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确定为成交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，也可以书面授权谈判小组直接确定成交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p>
    <w:p w14:paraId="0A06CE54">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color w:val="auto"/>
          <w:highlight w:val="none"/>
        </w:rPr>
        <w:t>23.2若成交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自愿放弃成交，或因不可抗力提出不能履行合同，或者磋商文件规定应当提交履约保证金而在规定的期限内未能提交的，采购人可以按照评审报告推荐的候选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名单排序，确定下一候选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为成交</w:t>
      </w:r>
      <w:r>
        <w:rPr>
          <w:rFonts w:hint="eastAsia" w:ascii="宋体" w:hAnsi="宋体" w:eastAsia="宋体" w:cs="宋体"/>
          <w:color w:val="auto"/>
          <w:highlight w:val="none"/>
          <w:lang w:eastAsia="zh-CN"/>
        </w:rPr>
        <w:t>供应商</w:t>
      </w:r>
      <w:r>
        <w:rPr>
          <w:rFonts w:hint="eastAsia" w:ascii="宋体" w:hAnsi="宋体" w:eastAsia="宋体" w:cs="宋体"/>
          <w:bCs/>
          <w:color w:val="auto"/>
          <w:highlight w:val="none"/>
        </w:rPr>
        <w:t>，以此类推。</w:t>
      </w:r>
    </w:p>
    <w:p w14:paraId="4366ADF1">
      <w:pPr>
        <w:pStyle w:val="3"/>
        <w:spacing w:line="360" w:lineRule="auto"/>
        <w:jc w:val="center"/>
        <w:rPr>
          <w:rFonts w:hint="eastAsia" w:ascii="宋体" w:hAnsi="宋体" w:eastAsia="宋体" w:cs="宋体"/>
          <w:b/>
          <w:bCs/>
          <w:color w:val="auto"/>
          <w:kern w:val="2"/>
          <w:sz w:val="24"/>
          <w:szCs w:val="24"/>
          <w:highlight w:val="none"/>
          <w:lang w:val="en-US" w:eastAsia="zh-CN" w:bidi="ar-SA"/>
        </w:rPr>
      </w:pPr>
      <w:bookmarkStart w:id="211" w:name="_Toc206525709"/>
      <w:bookmarkStart w:id="212" w:name="_Toc207770862"/>
      <w:bookmarkStart w:id="213" w:name="_Toc239839890"/>
      <w:bookmarkStart w:id="214" w:name="_Toc230578084"/>
      <w:bookmarkStart w:id="215" w:name="_Toc185702576"/>
      <w:bookmarkStart w:id="216" w:name="_Toc23734"/>
      <w:bookmarkStart w:id="217" w:name="_Toc486922983"/>
      <w:bookmarkStart w:id="218" w:name="_Toc486196166"/>
      <w:r>
        <w:rPr>
          <w:rFonts w:hint="eastAsia" w:ascii="宋体" w:hAnsi="宋体" w:eastAsia="宋体" w:cs="宋体"/>
          <w:b/>
          <w:bCs/>
          <w:color w:val="auto"/>
          <w:kern w:val="2"/>
          <w:sz w:val="24"/>
          <w:szCs w:val="24"/>
          <w:highlight w:val="none"/>
          <w:lang w:val="en-US" w:eastAsia="zh-CN" w:bidi="ar-SA"/>
        </w:rPr>
        <w:t xml:space="preserve">七   </w:t>
      </w:r>
      <w:bookmarkEnd w:id="211"/>
      <w:bookmarkEnd w:id="212"/>
      <w:bookmarkEnd w:id="213"/>
      <w:bookmarkEnd w:id="214"/>
      <w:bookmarkEnd w:id="215"/>
      <w:r>
        <w:rPr>
          <w:rFonts w:hint="eastAsia" w:ascii="宋体" w:hAnsi="宋体" w:eastAsia="宋体" w:cs="宋体"/>
          <w:b/>
          <w:bCs/>
          <w:color w:val="auto"/>
          <w:kern w:val="2"/>
          <w:sz w:val="24"/>
          <w:szCs w:val="24"/>
          <w:highlight w:val="none"/>
          <w:lang w:val="en-US" w:eastAsia="zh-CN" w:bidi="ar-SA"/>
        </w:rPr>
        <w:t>成交公告</w:t>
      </w:r>
      <w:bookmarkEnd w:id="216"/>
      <w:bookmarkEnd w:id="217"/>
      <w:bookmarkEnd w:id="218"/>
    </w:p>
    <w:p w14:paraId="120E0218">
      <w:pPr>
        <w:pStyle w:val="4"/>
        <w:spacing w:before="0" w:after="0" w:line="360" w:lineRule="auto"/>
        <w:rPr>
          <w:rFonts w:hint="eastAsia" w:ascii="宋体" w:hAnsi="宋体" w:eastAsia="宋体" w:cs="宋体"/>
          <w:color w:val="auto"/>
          <w:sz w:val="21"/>
          <w:szCs w:val="21"/>
          <w:highlight w:val="none"/>
        </w:rPr>
      </w:pPr>
      <w:bookmarkStart w:id="219" w:name="_Toc207770863"/>
      <w:bookmarkStart w:id="220" w:name="_Toc230578085"/>
      <w:bookmarkStart w:id="221" w:name="_Toc185702577"/>
      <w:bookmarkStart w:id="222" w:name="_Toc206525710"/>
      <w:bookmarkStart w:id="223" w:name="_Toc239839891"/>
      <w:bookmarkStart w:id="224" w:name="_Toc486196167"/>
      <w:bookmarkStart w:id="225" w:name="_Toc486922984"/>
      <w:r>
        <w:rPr>
          <w:rFonts w:hint="eastAsia" w:ascii="宋体" w:hAnsi="宋体" w:eastAsia="宋体" w:cs="宋体"/>
          <w:color w:val="auto"/>
          <w:sz w:val="21"/>
          <w:szCs w:val="21"/>
          <w:highlight w:val="none"/>
        </w:rPr>
        <w:t>24</w:t>
      </w:r>
      <w:bookmarkEnd w:id="219"/>
      <w:bookmarkEnd w:id="220"/>
      <w:bookmarkEnd w:id="221"/>
      <w:bookmarkEnd w:id="222"/>
      <w:r>
        <w:rPr>
          <w:rFonts w:hint="eastAsia" w:ascii="宋体" w:hAnsi="宋体" w:eastAsia="宋体" w:cs="宋体"/>
          <w:color w:val="auto"/>
          <w:sz w:val="21"/>
          <w:szCs w:val="21"/>
          <w:highlight w:val="none"/>
        </w:rPr>
        <w:t>．结果</w:t>
      </w:r>
      <w:bookmarkEnd w:id="223"/>
      <w:r>
        <w:rPr>
          <w:rFonts w:hint="eastAsia" w:ascii="宋体" w:hAnsi="宋体" w:eastAsia="宋体" w:cs="宋体"/>
          <w:color w:val="auto"/>
          <w:sz w:val="21"/>
          <w:szCs w:val="21"/>
          <w:highlight w:val="none"/>
        </w:rPr>
        <w:t>公告</w:t>
      </w:r>
      <w:bookmarkEnd w:id="224"/>
      <w:bookmarkEnd w:id="225"/>
    </w:p>
    <w:p w14:paraId="6F396542">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24.1在采购人确定成交人后，采购代理机构将在采购信息发布媒体上公告成交结果。</w:t>
      </w:r>
    </w:p>
    <w:p w14:paraId="120B68ED">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24.2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认为成交结果使自己的权益受到损害的，可以在成交结果公告期限届满之日起7个工作日内以书面形式向采购人或采购代理机构提出质疑，逾期将不再受理。</w:t>
      </w:r>
    </w:p>
    <w:p w14:paraId="10A13ABF">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24.3采购人、采购代理机构将在收到</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的书面形式质疑后七个工作日内做出答复，但答复的内容不得涉及商业秘密。</w:t>
      </w:r>
    </w:p>
    <w:p w14:paraId="097594A7">
      <w:pPr>
        <w:pStyle w:val="20"/>
        <w:spacing w:line="360" w:lineRule="auto"/>
        <w:ind w:left="525" w:hanging="525" w:hangingChars="25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highlight w:val="none"/>
        </w:rPr>
        <w:t>24.4质疑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必须首先经过质疑程序，对采购代理机构的答复不满意或者采购代理机构未在规定的时间内做出答复的，可以在答复期满后十五个工作日内书面向同级采购监督管理部门投诉。</w:t>
      </w:r>
    </w:p>
    <w:p w14:paraId="4F3DB4D2">
      <w:pPr>
        <w:pStyle w:val="3"/>
        <w:spacing w:line="360" w:lineRule="auto"/>
        <w:jc w:val="center"/>
        <w:rPr>
          <w:rFonts w:hint="eastAsia" w:ascii="宋体" w:hAnsi="宋体" w:eastAsia="宋体" w:cs="宋体"/>
          <w:b/>
          <w:bCs/>
          <w:color w:val="auto"/>
          <w:kern w:val="2"/>
          <w:sz w:val="24"/>
          <w:szCs w:val="24"/>
          <w:highlight w:val="none"/>
          <w:lang w:val="en-US" w:eastAsia="zh-CN" w:bidi="ar-SA"/>
        </w:rPr>
      </w:pPr>
      <w:bookmarkStart w:id="226" w:name="_Toc24543"/>
      <w:bookmarkStart w:id="227" w:name="_Toc486196168"/>
      <w:bookmarkStart w:id="228" w:name="_Toc486922985"/>
      <w:r>
        <w:rPr>
          <w:rFonts w:hint="eastAsia" w:ascii="宋体" w:hAnsi="宋体" w:eastAsia="宋体" w:cs="宋体"/>
          <w:b/>
          <w:bCs/>
          <w:color w:val="auto"/>
          <w:kern w:val="2"/>
          <w:sz w:val="24"/>
          <w:szCs w:val="24"/>
          <w:highlight w:val="none"/>
          <w:lang w:val="en-US" w:eastAsia="zh-CN" w:bidi="ar-SA"/>
        </w:rPr>
        <w:t>八   签订合同</w:t>
      </w:r>
      <w:bookmarkEnd w:id="226"/>
      <w:bookmarkEnd w:id="227"/>
      <w:bookmarkEnd w:id="228"/>
    </w:p>
    <w:p w14:paraId="47C958F2">
      <w:pPr>
        <w:pStyle w:val="4"/>
        <w:spacing w:before="0" w:after="0" w:line="360" w:lineRule="auto"/>
        <w:rPr>
          <w:rFonts w:hint="eastAsia" w:ascii="宋体" w:hAnsi="宋体" w:eastAsia="宋体" w:cs="宋体"/>
          <w:color w:val="auto"/>
          <w:sz w:val="21"/>
          <w:szCs w:val="21"/>
          <w:highlight w:val="none"/>
        </w:rPr>
      </w:pPr>
      <w:bookmarkStart w:id="229" w:name="_Toc486922986"/>
      <w:bookmarkStart w:id="230" w:name="_Toc486196169"/>
      <w:bookmarkStart w:id="231" w:name="_Toc206525711"/>
      <w:bookmarkStart w:id="232" w:name="_Toc230578086"/>
      <w:bookmarkStart w:id="233" w:name="_Toc239839892"/>
      <w:bookmarkStart w:id="234" w:name="_Toc185702578"/>
      <w:bookmarkStart w:id="235" w:name="_Toc207770864"/>
      <w:r>
        <w:rPr>
          <w:rFonts w:hint="eastAsia" w:ascii="宋体" w:hAnsi="宋体" w:eastAsia="宋体" w:cs="宋体"/>
          <w:color w:val="auto"/>
          <w:sz w:val="21"/>
          <w:szCs w:val="21"/>
          <w:highlight w:val="none"/>
        </w:rPr>
        <w:t>25．成交通知</w:t>
      </w:r>
      <w:bookmarkEnd w:id="229"/>
      <w:bookmarkEnd w:id="230"/>
      <w:bookmarkEnd w:id="231"/>
      <w:bookmarkEnd w:id="232"/>
      <w:bookmarkEnd w:id="233"/>
      <w:bookmarkEnd w:id="234"/>
      <w:bookmarkEnd w:id="235"/>
    </w:p>
    <w:p w14:paraId="20E5F810">
      <w:pPr>
        <w:pStyle w:val="20"/>
        <w:spacing w:line="360" w:lineRule="auto"/>
        <w:ind w:left="505" w:hanging="505" w:hangingChars="250"/>
        <w:rPr>
          <w:rFonts w:hint="eastAsia" w:ascii="宋体" w:hAnsi="宋体" w:eastAsia="宋体" w:cs="宋体"/>
          <w:color w:val="auto"/>
          <w:highlight w:val="none"/>
        </w:rPr>
      </w:pPr>
      <w:r>
        <w:rPr>
          <w:rFonts w:hint="eastAsia" w:ascii="宋体" w:hAnsi="宋体" w:eastAsia="宋体" w:cs="宋体"/>
          <w:color w:val="auto"/>
          <w:spacing w:val="-4"/>
          <w:highlight w:val="none"/>
        </w:rPr>
        <w:t>25.1在公告成交</w:t>
      </w:r>
      <w:r>
        <w:rPr>
          <w:rFonts w:hint="eastAsia" w:ascii="宋体" w:hAnsi="宋体" w:eastAsia="宋体" w:cs="宋体"/>
          <w:color w:val="auto"/>
          <w:highlight w:val="none"/>
        </w:rPr>
        <w:t>结果</w:t>
      </w:r>
      <w:r>
        <w:rPr>
          <w:rFonts w:hint="eastAsia" w:ascii="宋体" w:hAnsi="宋体" w:eastAsia="宋体" w:cs="宋体"/>
          <w:color w:val="auto"/>
          <w:spacing w:val="-4"/>
          <w:highlight w:val="none"/>
        </w:rPr>
        <w:t>的同时向成交</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发出成交通知书。成交</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应自接到通知之日起七个工作日内办理成交通知书领取手续，否则，采购单位有权取消其成交资格。</w:t>
      </w:r>
    </w:p>
    <w:p w14:paraId="1CA57F04">
      <w:pPr>
        <w:pStyle w:val="4"/>
        <w:spacing w:before="0" w:after="0" w:line="360" w:lineRule="auto"/>
        <w:rPr>
          <w:rFonts w:hint="eastAsia" w:ascii="宋体" w:hAnsi="宋体" w:eastAsia="宋体" w:cs="宋体"/>
          <w:color w:val="auto"/>
          <w:sz w:val="21"/>
          <w:szCs w:val="21"/>
          <w:highlight w:val="none"/>
        </w:rPr>
      </w:pPr>
      <w:bookmarkStart w:id="236" w:name="_Toc239839895"/>
      <w:bookmarkStart w:id="237" w:name="_Toc230578089"/>
      <w:bookmarkStart w:id="238" w:name="_Toc486196170"/>
      <w:bookmarkStart w:id="239" w:name="_Toc206525714"/>
      <w:bookmarkStart w:id="240" w:name="_Toc486922987"/>
      <w:bookmarkStart w:id="241" w:name="_Toc207770867"/>
      <w:bookmarkStart w:id="242" w:name="_Toc207770866"/>
      <w:bookmarkStart w:id="243" w:name="_Toc206525713"/>
      <w:bookmarkStart w:id="244" w:name="_Toc185702580"/>
      <w:bookmarkStart w:id="245" w:name="_Toc239839894"/>
      <w:bookmarkStart w:id="246" w:name="_Toc230578088"/>
      <w:r>
        <w:rPr>
          <w:rFonts w:hint="eastAsia" w:ascii="宋体" w:hAnsi="宋体" w:eastAsia="宋体" w:cs="宋体"/>
          <w:color w:val="auto"/>
          <w:sz w:val="21"/>
          <w:szCs w:val="21"/>
          <w:highlight w:val="none"/>
        </w:rPr>
        <w:t>26．履约保证金</w:t>
      </w:r>
      <w:bookmarkEnd w:id="236"/>
      <w:bookmarkEnd w:id="237"/>
      <w:bookmarkEnd w:id="238"/>
      <w:bookmarkEnd w:id="239"/>
      <w:bookmarkEnd w:id="240"/>
      <w:bookmarkEnd w:id="241"/>
    </w:p>
    <w:p w14:paraId="3923F0B2">
      <w:pPr>
        <w:pStyle w:val="20"/>
        <w:spacing w:line="360" w:lineRule="auto"/>
        <w:ind w:left="505" w:hanging="505" w:hangingChars="25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26.1 </w:t>
      </w:r>
      <w:r>
        <w:rPr>
          <w:rFonts w:hint="eastAsia" w:ascii="宋体" w:hAnsi="宋体" w:eastAsia="宋体" w:cs="宋体"/>
          <w:color w:val="auto"/>
          <w:highlight w:val="none"/>
        </w:rPr>
        <w:t>履约保证：</w:t>
      </w:r>
      <w:r>
        <w:rPr>
          <w:rFonts w:hint="eastAsia" w:ascii="宋体" w:hAnsi="宋体" w:eastAsia="宋体" w:cs="宋体"/>
          <w:color w:val="auto"/>
        </w:rPr>
        <w:t>按前附表须知第</w:t>
      </w:r>
      <w:r>
        <w:rPr>
          <w:rFonts w:hint="eastAsia" w:ascii="宋体" w:hAnsi="宋体" w:eastAsia="宋体" w:cs="宋体"/>
          <w:color w:val="auto"/>
          <w:lang w:val="en-US" w:eastAsia="zh-CN"/>
        </w:rPr>
        <w:t>13</w:t>
      </w:r>
      <w:r>
        <w:rPr>
          <w:rFonts w:hint="eastAsia" w:ascii="宋体" w:hAnsi="宋体" w:eastAsia="宋体" w:cs="宋体"/>
          <w:color w:val="auto"/>
        </w:rPr>
        <w:t>项执行。否则，不予签订合同。</w:t>
      </w:r>
    </w:p>
    <w:p w14:paraId="01B4C010">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 xml:space="preserve">26.2 </w:t>
      </w:r>
      <w:r>
        <w:rPr>
          <w:rFonts w:hint="eastAsia" w:ascii="宋体" w:hAnsi="宋体" w:eastAsia="宋体" w:cs="宋体"/>
          <w:color w:val="auto"/>
          <w:spacing w:val="-4"/>
          <w:highlight w:val="none"/>
        </w:rPr>
        <w:t>履约保证金的退还</w:t>
      </w:r>
      <w:r>
        <w:rPr>
          <w:rFonts w:hint="eastAsia" w:ascii="宋体" w:hAnsi="宋体" w:eastAsia="宋体" w:cs="宋体"/>
          <w:color w:val="auto"/>
          <w:highlight w:val="none"/>
        </w:rPr>
        <w:t>：成交人按合同履约后，按</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须知前附表第13项的要求</w:t>
      </w:r>
      <w:r>
        <w:rPr>
          <w:rFonts w:hint="eastAsia" w:ascii="宋体" w:hAnsi="宋体" w:eastAsia="宋体" w:cs="宋体"/>
          <w:color w:val="auto"/>
          <w:highlight w:val="none"/>
        </w:rPr>
        <w:t>办理退还履约保证金手续，</w:t>
      </w:r>
      <w:r>
        <w:rPr>
          <w:rFonts w:hint="eastAsia" w:ascii="宋体" w:hAnsi="宋体" w:eastAsia="宋体" w:cs="宋体"/>
          <w:color w:val="auto"/>
          <w:highlight w:val="none"/>
          <w:lang w:eastAsia="zh-CN"/>
        </w:rPr>
        <w:t>采购单位</w:t>
      </w:r>
      <w:r>
        <w:rPr>
          <w:rFonts w:hint="eastAsia" w:ascii="宋体" w:hAnsi="宋体" w:eastAsia="宋体" w:cs="宋体"/>
          <w:color w:val="auto"/>
          <w:highlight w:val="none"/>
        </w:rPr>
        <w:t>收到退还申请后，将在5个工作日内不计利息原额退还。</w:t>
      </w:r>
    </w:p>
    <w:p w14:paraId="752F1051">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26.3履约保证金作为违约金的一部分及用于补偿甲方因乙方不能完成其合同义务而蒙受的损失。如成交人不按双方签订的合同规定履约，则对其全部履约保证金不予退还，履约保证金不足以赔偿损失的，按实际损失赔偿。</w:t>
      </w:r>
    </w:p>
    <w:p w14:paraId="6373F0B0">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26.4在履约保证金到期退还日期前，若成交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的开户名称、开户银行、帐号有变动的，请以书面形式通知</w:t>
      </w:r>
      <w:r>
        <w:rPr>
          <w:rFonts w:hint="eastAsia" w:ascii="宋体" w:hAnsi="宋体" w:eastAsia="宋体" w:cs="宋体"/>
          <w:color w:val="auto"/>
          <w:highlight w:val="none"/>
          <w:lang w:eastAsia="zh-CN"/>
        </w:rPr>
        <w:t>采购单位</w:t>
      </w:r>
      <w:r>
        <w:rPr>
          <w:rFonts w:hint="eastAsia" w:ascii="宋体" w:hAnsi="宋体" w:eastAsia="宋体" w:cs="宋体"/>
          <w:color w:val="auto"/>
          <w:highlight w:val="none"/>
        </w:rPr>
        <w:t>，否则由此产生的后果由成交人自负。</w:t>
      </w:r>
    </w:p>
    <w:p w14:paraId="3D3B0C2F">
      <w:pPr>
        <w:pStyle w:val="4"/>
        <w:spacing w:before="0" w:after="0" w:line="360" w:lineRule="auto"/>
        <w:rPr>
          <w:rFonts w:hint="eastAsia" w:ascii="宋体" w:hAnsi="宋体" w:eastAsia="宋体" w:cs="宋体"/>
          <w:color w:val="auto"/>
          <w:sz w:val="21"/>
          <w:szCs w:val="21"/>
          <w:highlight w:val="none"/>
        </w:rPr>
      </w:pPr>
      <w:bookmarkStart w:id="247" w:name="_Toc486196171"/>
      <w:bookmarkStart w:id="248" w:name="_Toc486922988"/>
      <w:r>
        <w:rPr>
          <w:rFonts w:hint="eastAsia" w:ascii="宋体" w:hAnsi="宋体" w:eastAsia="宋体" w:cs="宋体"/>
          <w:color w:val="auto"/>
          <w:sz w:val="21"/>
          <w:szCs w:val="21"/>
          <w:highlight w:val="none"/>
        </w:rPr>
        <w:t>27．签订合同</w:t>
      </w:r>
      <w:bookmarkEnd w:id="242"/>
      <w:bookmarkEnd w:id="243"/>
      <w:bookmarkEnd w:id="244"/>
      <w:bookmarkEnd w:id="245"/>
      <w:bookmarkEnd w:id="246"/>
      <w:bookmarkEnd w:id="247"/>
      <w:bookmarkEnd w:id="248"/>
    </w:p>
    <w:p w14:paraId="12CDC7BD">
      <w:pPr>
        <w:pStyle w:val="20"/>
        <w:spacing w:line="360" w:lineRule="auto"/>
        <w:ind w:left="525" w:hanging="525" w:hangingChars="250"/>
        <w:rPr>
          <w:rFonts w:hint="eastAsia" w:ascii="宋体" w:hAnsi="宋体" w:eastAsia="宋体" w:cs="宋体"/>
          <w:color w:val="auto"/>
          <w:highlight w:val="none"/>
        </w:rPr>
      </w:pPr>
      <w:bookmarkStart w:id="249" w:name="_Toc185702581"/>
      <w:r>
        <w:rPr>
          <w:rFonts w:hint="eastAsia" w:ascii="宋体" w:hAnsi="宋体" w:eastAsia="宋体" w:cs="宋体"/>
          <w:color w:val="auto"/>
          <w:highlight w:val="none"/>
        </w:rPr>
        <w:t>27.1成交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凭成交通知书及履约保证金收据原件按照采购文件规定的时间内与采购单位签订合同。不得再与采购人签署订立背离磋商文件确定的合同文本以及采购标的、规格型号、采购金额、采购数量、技术和服务要求等实质性内容的协议。</w:t>
      </w:r>
    </w:p>
    <w:bookmarkEnd w:id="249"/>
    <w:p w14:paraId="4AF1081A">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27.2</w:t>
      </w:r>
      <w:r>
        <w:rPr>
          <w:rFonts w:hint="eastAsia" w:ascii="宋体" w:hAnsi="宋体" w:eastAsia="宋体" w:cs="宋体"/>
          <w:color w:val="auto"/>
          <w:spacing w:val="-4"/>
          <w:highlight w:val="none"/>
        </w:rPr>
        <w:t>除不可抗力等因素外，成交通知书发出后，</w:t>
      </w:r>
      <w:r>
        <w:rPr>
          <w:rFonts w:hint="eastAsia" w:ascii="宋体" w:hAnsi="宋体" w:eastAsia="宋体" w:cs="宋体"/>
          <w:color w:val="auto"/>
          <w:highlight w:val="none"/>
        </w:rPr>
        <w:t>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拒绝签订采购合同的，应当承担相应的法律责任。成交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拒绝签订采购合同的，采购人可以按照评审报告推荐的候选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名单排序，确定下一候选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并签订采购合同，也可以重新开展采购活动。拒绝签订采购合同的成交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不得参加对该项目重新开展的采购活动。采购人将违约</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的不良行为报采购监管部门。</w:t>
      </w:r>
    </w:p>
    <w:p w14:paraId="549B16C3">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27.3由于成交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放弃成交或未按规定签订合同，造成本项目的合同成交价提高（指采购人选择第二成交候选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导致成交金额高于违约人的成交价），所超出违约人的成交价部分由违约人承担赔偿责任。</w:t>
      </w:r>
    </w:p>
    <w:p w14:paraId="299FE901">
      <w:pPr>
        <w:pStyle w:val="3"/>
        <w:spacing w:line="360" w:lineRule="auto"/>
        <w:jc w:val="center"/>
        <w:rPr>
          <w:rFonts w:hint="eastAsia" w:ascii="宋体" w:hAnsi="宋体" w:eastAsia="宋体" w:cs="宋体"/>
          <w:b/>
          <w:bCs/>
          <w:color w:val="auto"/>
          <w:kern w:val="2"/>
          <w:sz w:val="24"/>
          <w:szCs w:val="24"/>
          <w:highlight w:val="none"/>
          <w:lang w:val="en-US" w:eastAsia="zh-CN" w:bidi="ar-SA"/>
        </w:rPr>
      </w:pPr>
      <w:bookmarkStart w:id="250" w:name="_Toc185702582"/>
      <w:bookmarkStart w:id="251" w:name="_Toc486196172"/>
      <w:bookmarkStart w:id="252" w:name="_Toc2116"/>
      <w:bookmarkStart w:id="253" w:name="_Toc486922989"/>
      <w:bookmarkStart w:id="254" w:name="_Toc207770868"/>
      <w:bookmarkStart w:id="255" w:name="_Toc239839896"/>
      <w:bookmarkStart w:id="256" w:name="_Toc206525715"/>
      <w:bookmarkStart w:id="257" w:name="_Toc230578090"/>
      <w:r>
        <w:rPr>
          <w:rFonts w:hint="eastAsia" w:ascii="宋体" w:hAnsi="宋体" w:eastAsia="宋体" w:cs="宋体"/>
          <w:b/>
          <w:bCs/>
          <w:color w:val="auto"/>
          <w:kern w:val="2"/>
          <w:sz w:val="24"/>
          <w:szCs w:val="24"/>
          <w:highlight w:val="none"/>
          <w:lang w:val="en-US" w:eastAsia="zh-CN" w:bidi="ar-SA"/>
        </w:rPr>
        <w:t>九   其他事项</w:t>
      </w:r>
      <w:bookmarkEnd w:id="250"/>
      <w:bookmarkEnd w:id="251"/>
      <w:bookmarkEnd w:id="252"/>
      <w:bookmarkEnd w:id="253"/>
      <w:bookmarkEnd w:id="254"/>
      <w:bookmarkEnd w:id="255"/>
      <w:bookmarkEnd w:id="256"/>
      <w:bookmarkEnd w:id="257"/>
    </w:p>
    <w:p w14:paraId="2C3CFC91">
      <w:pPr>
        <w:pStyle w:val="4"/>
        <w:spacing w:before="0" w:after="0" w:line="360" w:lineRule="auto"/>
        <w:rPr>
          <w:rFonts w:hint="eastAsia" w:ascii="宋体" w:hAnsi="宋体" w:eastAsia="宋体" w:cs="宋体"/>
          <w:color w:val="auto"/>
          <w:sz w:val="21"/>
          <w:szCs w:val="21"/>
          <w:highlight w:val="none"/>
        </w:rPr>
      </w:pPr>
      <w:bookmarkStart w:id="258" w:name="_Toc206525716"/>
      <w:bookmarkStart w:id="259" w:name="_Toc230578091"/>
      <w:bookmarkStart w:id="260" w:name="_Toc239839897"/>
      <w:bookmarkStart w:id="261" w:name="_Toc207770869"/>
      <w:bookmarkStart w:id="262" w:name="_Toc185702583"/>
      <w:bookmarkStart w:id="263" w:name="_Toc486196173"/>
      <w:bookmarkStart w:id="264" w:name="_Toc486922990"/>
      <w:bookmarkStart w:id="265" w:name="_Toc230578092"/>
      <w:bookmarkStart w:id="266" w:name="_Toc207770870"/>
      <w:bookmarkStart w:id="267" w:name="_Toc486196174"/>
      <w:bookmarkStart w:id="268" w:name="_Toc486922991"/>
      <w:bookmarkStart w:id="269" w:name="_Toc206525717"/>
      <w:bookmarkStart w:id="270" w:name="_Toc239839898"/>
      <w:bookmarkStart w:id="271" w:name="_Toc185702584"/>
      <w:r>
        <w:rPr>
          <w:rFonts w:hint="eastAsia" w:ascii="宋体" w:hAnsi="宋体" w:eastAsia="宋体" w:cs="宋体"/>
          <w:color w:val="auto"/>
          <w:sz w:val="21"/>
          <w:szCs w:val="21"/>
          <w:highlight w:val="none"/>
        </w:rPr>
        <w:t>28</w:t>
      </w:r>
      <w:bookmarkEnd w:id="258"/>
      <w:bookmarkEnd w:id="259"/>
      <w:bookmarkEnd w:id="260"/>
      <w:bookmarkEnd w:id="261"/>
      <w:bookmarkEnd w:id="262"/>
      <w:r>
        <w:rPr>
          <w:rFonts w:hint="eastAsia" w:ascii="宋体" w:hAnsi="宋体" w:eastAsia="宋体" w:cs="宋体"/>
          <w:color w:val="auto"/>
          <w:sz w:val="21"/>
          <w:szCs w:val="21"/>
          <w:highlight w:val="none"/>
        </w:rPr>
        <w:t>．成交相关费</w:t>
      </w:r>
      <w:bookmarkEnd w:id="263"/>
      <w:r>
        <w:rPr>
          <w:rFonts w:hint="eastAsia" w:ascii="宋体" w:hAnsi="宋体" w:eastAsia="宋体" w:cs="宋体"/>
          <w:color w:val="auto"/>
          <w:sz w:val="21"/>
          <w:szCs w:val="21"/>
          <w:highlight w:val="none"/>
        </w:rPr>
        <w:t>用</w:t>
      </w:r>
      <w:bookmarkEnd w:id="264"/>
    </w:p>
    <w:p w14:paraId="03263E9E">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28.1成交人在领取成交通知书前</w:t>
      </w:r>
      <w:r>
        <w:rPr>
          <w:rFonts w:hint="eastAsia" w:ascii="宋体" w:hAnsi="宋体" w:eastAsia="宋体" w:cs="宋体"/>
          <w:color w:val="auto"/>
          <w:highlight w:val="none"/>
          <w:lang w:eastAsia="zh-CN"/>
        </w:rPr>
        <w:t>，项目采购成交供应供应商</w:t>
      </w:r>
      <w:r>
        <w:rPr>
          <w:rFonts w:hint="eastAsia" w:ascii="宋体" w:hAnsi="宋体" w:eastAsia="宋体" w:cs="宋体"/>
          <w:color w:val="auto"/>
          <w:highlight w:val="none"/>
        </w:rPr>
        <w:t>向</w:t>
      </w:r>
      <w:r>
        <w:rPr>
          <w:rFonts w:hint="eastAsia" w:hAnsi="宋体" w:cs="宋体"/>
          <w:color w:val="auto"/>
          <w:highlight w:val="none"/>
          <w:lang w:eastAsia="zh-CN"/>
        </w:rPr>
        <w:t>广西龙建工程管理有限公司</w:t>
      </w:r>
      <w:r>
        <w:rPr>
          <w:rFonts w:hint="eastAsia" w:ascii="宋体" w:hAnsi="宋体" w:eastAsia="宋体" w:cs="宋体"/>
          <w:color w:val="auto"/>
          <w:highlight w:val="none"/>
        </w:rPr>
        <w:t>一次性付清代理服务费及开标费。</w:t>
      </w:r>
    </w:p>
    <w:p w14:paraId="6F9C85D3">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28.2上述款项，请现金现存或转账电汇转入</w:t>
      </w:r>
      <w:r>
        <w:rPr>
          <w:rFonts w:hint="eastAsia" w:ascii="宋体" w:hAnsi="宋体" w:eastAsia="宋体" w:cs="宋体"/>
          <w:color w:val="auto"/>
          <w:highlight w:val="none"/>
          <w:lang w:val="en-US" w:eastAsia="zh-CN"/>
        </w:rPr>
        <w:t>我公司</w:t>
      </w:r>
      <w:r>
        <w:rPr>
          <w:rFonts w:hint="eastAsia" w:ascii="宋体" w:hAnsi="宋体" w:eastAsia="宋体" w:cs="宋体"/>
          <w:color w:val="auto"/>
          <w:highlight w:val="none"/>
        </w:rPr>
        <w:t>银行帐户。</w:t>
      </w:r>
    </w:p>
    <w:p w14:paraId="78D356DD">
      <w:pPr>
        <w:pStyle w:val="4"/>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eastAsia="zh-CN"/>
        </w:rPr>
        <w:t>广西龙建工程管理有限公司苍梧</w:t>
      </w:r>
      <w:r>
        <w:rPr>
          <w:rFonts w:hint="eastAsia" w:ascii="宋体" w:hAnsi="宋体" w:eastAsia="宋体" w:cs="宋体"/>
          <w:color w:val="auto"/>
          <w:sz w:val="21"/>
          <w:szCs w:val="21"/>
        </w:rPr>
        <w:t>分公司</w:t>
      </w:r>
    </w:p>
    <w:p w14:paraId="58E5E16C">
      <w:pPr>
        <w:pStyle w:val="4"/>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开户银行：中国建设银行股份有限公司梧州河西支行</w:t>
      </w:r>
    </w:p>
    <w:p w14:paraId="40391FF6">
      <w:pPr>
        <w:pStyle w:val="4"/>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银行账号：45050164865600000550</w:t>
      </w:r>
    </w:p>
    <w:p w14:paraId="41F2C147">
      <w:pPr>
        <w:pStyle w:val="4"/>
        <w:spacing w:before="0" w:after="0"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29．解释权</w:t>
      </w:r>
      <w:bookmarkEnd w:id="265"/>
      <w:bookmarkEnd w:id="266"/>
      <w:bookmarkEnd w:id="267"/>
      <w:bookmarkEnd w:id="268"/>
      <w:bookmarkEnd w:id="269"/>
      <w:bookmarkEnd w:id="270"/>
      <w:bookmarkEnd w:id="271"/>
    </w:p>
    <w:p w14:paraId="442A81AA">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29.1本磋商文件是根据国家有关法律、法规以及采购管理有关规定和参照国际惯例编制，解释权属本采购代理机构。</w:t>
      </w:r>
    </w:p>
    <w:p w14:paraId="23470A17">
      <w:pPr>
        <w:pStyle w:val="4"/>
        <w:spacing w:before="0" w:after="0" w:line="360" w:lineRule="auto"/>
        <w:rPr>
          <w:rFonts w:hint="eastAsia" w:ascii="宋体" w:hAnsi="宋体" w:eastAsia="宋体" w:cs="宋体"/>
          <w:color w:val="auto"/>
          <w:sz w:val="21"/>
          <w:szCs w:val="21"/>
          <w:highlight w:val="none"/>
        </w:rPr>
      </w:pPr>
      <w:bookmarkStart w:id="272" w:name="_Toc206525718"/>
      <w:bookmarkStart w:id="273" w:name="_Toc239839899"/>
      <w:bookmarkStart w:id="274" w:name="_Toc185702585"/>
      <w:bookmarkStart w:id="275" w:name="_Toc230578093"/>
      <w:bookmarkStart w:id="276" w:name="_Toc207770871"/>
      <w:bookmarkStart w:id="277" w:name="_Toc486922992"/>
      <w:bookmarkStart w:id="278" w:name="_Toc486196175"/>
      <w:r>
        <w:rPr>
          <w:rFonts w:hint="eastAsia" w:ascii="宋体" w:hAnsi="宋体" w:eastAsia="宋体" w:cs="宋体"/>
          <w:color w:val="auto"/>
          <w:sz w:val="21"/>
          <w:szCs w:val="21"/>
          <w:highlight w:val="none"/>
        </w:rPr>
        <w:t>30</w:t>
      </w:r>
      <w:bookmarkEnd w:id="272"/>
      <w:bookmarkEnd w:id="273"/>
      <w:bookmarkEnd w:id="274"/>
      <w:bookmarkEnd w:id="275"/>
      <w:bookmarkEnd w:id="276"/>
      <w:r>
        <w:rPr>
          <w:rFonts w:hint="eastAsia" w:ascii="宋体" w:hAnsi="宋体" w:eastAsia="宋体" w:cs="宋体"/>
          <w:color w:val="auto"/>
          <w:sz w:val="21"/>
          <w:szCs w:val="21"/>
          <w:highlight w:val="none"/>
        </w:rPr>
        <w:t>．知识产权</w:t>
      </w:r>
      <w:bookmarkEnd w:id="277"/>
      <w:bookmarkEnd w:id="278"/>
    </w:p>
    <w:p w14:paraId="35E78F95">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30.1所有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的响应文件以及在本项目的设计成果（包括知识产权在内的任何权利）均归采购人所有，不予退还。</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并保证所交付的设计成果不侵犯第三人的任何合法权益。</w:t>
      </w:r>
    </w:p>
    <w:p w14:paraId="306F1220">
      <w:pPr>
        <w:pStyle w:val="4"/>
        <w:spacing w:before="0" w:after="0" w:line="360" w:lineRule="auto"/>
        <w:rPr>
          <w:rFonts w:hint="eastAsia" w:ascii="宋体" w:hAnsi="宋体" w:eastAsia="宋体" w:cs="宋体"/>
          <w:color w:val="auto"/>
          <w:sz w:val="21"/>
          <w:szCs w:val="21"/>
          <w:highlight w:val="none"/>
        </w:rPr>
      </w:pPr>
      <w:bookmarkStart w:id="279" w:name="_Toc486922993"/>
      <w:bookmarkStart w:id="280" w:name="_Toc486196176"/>
      <w:r>
        <w:rPr>
          <w:rFonts w:hint="eastAsia" w:ascii="宋体" w:hAnsi="宋体" w:eastAsia="宋体" w:cs="宋体"/>
          <w:color w:val="auto"/>
          <w:sz w:val="21"/>
          <w:szCs w:val="21"/>
          <w:highlight w:val="none"/>
        </w:rPr>
        <w:t>31．需要补充的其他内容</w:t>
      </w:r>
      <w:bookmarkEnd w:id="279"/>
      <w:bookmarkEnd w:id="280"/>
    </w:p>
    <w:p w14:paraId="0806CEE2">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31.1需要补充的其他内容：见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7B431C61">
      <w:pPr>
        <w:ind w:left="0" w:leftChars="0" w:firstLine="0" w:firstLineChars="0"/>
        <w:rPr>
          <w:rFonts w:hint="default" w:eastAsia="宋体"/>
          <w:color w:val="auto"/>
          <w:lang w:val="en-US" w:eastAsia="zh-CN"/>
        </w:rPr>
      </w:pPr>
    </w:p>
    <w:p w14:paraId="1C6F0F18">
      <w:pPr>
        <w:pStyle w:val="20"/>
        <w:spacing w:line="380" w:lineRule="exact"/>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63AA598">
      <w:pPr>
        <w:pStyle w:val="3"/>
        <w:bidi w:val="0"/>
        <w:rPr>
          <w:rFonts w:hint="eastAsia"/>
          <w:color w:val="auto"/>
          <w:sz w:val="44"/>
          <w:szCs w:val="44"/>
        </w:rPr>
      </w:pPr>
      <w:bookmarkStart w:id="281" w:name="_Toc239839900"/>
      <w:bookmarkStart w:id="282" w:name="_Toc185703008"/>
      <w:bookmarkStart w:id="283" w:name="_Toc486922994"/>
      <w:bookmarkStart w:id="284" w:name="_Toc185702586"/>
      <w:bookmarkStart w:id="285" w:name="_Toc156106969"/>
      <w:bookmarkStart w:id="286" w:name="_Toc147248434"/>
      <w:bookmarkStart w:id="287" w:name="_Toc20359_WPSOffice_Level1"/>
      <w:bookmarkStart w:id="288" w:name="_Toc14375"/>
      <w:r>
        <w:rPr>
          <w:rFonts w:hint="eastAsia"/>
          <w:color w:val="auto"/>
          <w:sz w:val="44"/>
          <w:szCs w:val="44"/>
        </w:rPr>
        <w:t xml:space="preserve">第三章   </w:t>
      </w:r>
      <w:bookmarkEnd w:id="281"/>
      <w:bookmarkEnd w:id="282"/>
      <w:bookmarkEnd w:id="283"/>
      <w:bookmarkEnd w:id="284"/>
      <w:bookmarkEnd w:id="285"/>
      <w:bookmarkEnd w:id="286"/>
      <w:r>
        <w:rPr>
          <w:rFonts w:hint="eastAsia"/>
          <w:color w:val="auto"/>
          <w:sz w:val="44"/>
          <w:szCs w:val="44"/>
          <w:lang w:eastAsia="zh-CN"/>
        </w:rPr>
        <w:t>项目</w:t>
      </w:r>
      <w:r>
        <w:rPr>
          <w:rFonts w:hint="eastAsia"/>
          <w:color w:val="auto"/>
          <w:sz w:val="44"/>
          <w:szCs w:val="44"/>
        </w:rPr>
        <w:t>内容及要求</w:t>
      </w:r>
      <w:bookmarkEnd w:id="287"/>
      <w:bookmarkEnd w:id="288"/>
    </w:p>
    <w:p w14:paraId="66749772">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项目内容及要求</w:t>
      </w:r>
    </w:p>
    <w:p w14:paraId="0D423FAF">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一、项目概况 </w:t>
      </w:r>
    </w:p>
    <w:p w14:paraId="012378C0">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主要施工内容：</w:t>
      </w:r>
    </w:p>
    <w:p w14:paraId="00201442">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1.</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具体范围以工程量清单及施工图设计为准)</w:t>
      </w:r>
    </w:p>
    <w:p w14:paraId="6DF8C490">
      <w:pPr>
        <w:spacing w:line="360" w:lineRule="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要求工期：</w:t>
      </w:r>
      <w:r>
        <w:rPr>
          <w:rFonts w:hint="eastAsia" w:ascii="宋体" w:hAnsi="宋体" w:cs="宋体"/>
          <w:color w:val="auto"/>
          <w:sz w:val="28"/>
          <w:szCs w:val="28"/>
          <w:highlight w:val="none"/>
          <w:lang w:val="en-US" w:eastAsia="zh-CN"/>
        </w:rPr>
        <w:t>合同签订后，双方确认符合施工条件起60个日历日内</w:t>
      </w:r>
    </w:p>
    <w:p w14:paraId="08164E96">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付款方式：</w:t>
      </w:r>
    </w:p>
    <w:p w14:paraId="349590FD">
      <w:pPr>
        <w:numPr>
          <w:ilvl w:val="0"/>
          <w:numId w:val="0"/>
        </w:numPr>
        <w:spacing w:line="360" w:lineRule="auto"/>
        <w:ind w:firstLine="560" w:firstLineChars="20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 xml:space="preserve"> </w:t>
      </w:r>
      <w:r>
        <w:rPr>
          <w:rFonts w:hint="eastAsia" w:ascii="宋体" w:hAnsi="宋体" w:eastAsia="宋体" w:cs="宋体"/>
          <w:b w:val="0"/>
          <w:bCs w:val="0"/>
          <w:color w:val="auto"/>
          <w:sz w:val="28"/>
          <w:szCs w:val="28"/>
          <w:highlight w:val="none"/>
          <w:lang w:val="en-US" w:eastAsia="zh-CN"/>
        </w:rPr>
        <w:t>施工团队进场后付30%；工程竣工验收后付至合同总价的80%工程款（工程量与原设计无减少情况下）；待工程结算审核造价后，工程款付至结算价的97%（含已支付的工程款）；结算余款的3%作为工程质量保修金，待工程质量保修期满及审计结算后支付，预留结算价款的3%作为质量缺陷保证金，工程质量缺陷责任期为12个月（从竣工验收合格之日计起），期满后1个月内退回（无息）。</w:t>
      </w:r>
    </w:p>
    <w:p w14:paraId="5F2C0081">
      <w:pPr>
        <w:numPr>
          <w:ilvl w:val="0"/>
          <w:numId w:val="0"/>
        </w:numPr>
        <w:spacing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四、验收要求：</w:t>
      </w:r>
      <w:r>
        <w:rPr>
          <w:rFonts w:hint="eastAsia" w:ascii="宋体" w:hAnsi="宋体" w:eastAsia="宋体" w:cs="宋体"/>
          <w:b w:val="0"/>
          <w:bCs w:val="0"/>
          <w:color w:val="auto"/>
          <w:sz w:val="28"/>
          <w:szCs w:val="28"/>
          <w:highlight w:val="none"/>
          <w:lang w:eastAsia="zh-CN"/>
        </w:rPr>
        <w:t>符合国家施工及竣工验收之“合格”标准</w:t>
      </w:r>
      <w:r>
        <w:rPr>
          <w:rFonts w:hint="eastAsia" w:ascii="宋体" w:hAnsi="宋体" w:cs="宋体"/>
          <w:b w:val="0"/>
          <w:bCs w:val="0"/>
          <w:color w:val="auto"/>
          <w:sz w:val="28"/>
          <w:szCs w:val="28"/>
          <w:highlight w:val="none"/>
          <w:lang w:eastAsia="zh-CN"/>
        </w:rPr>
        <w:t>。</w:t>
      </w:r>
    </w:p>
    <w:p w14:paraId="1BAC4813">
      <w:pPr>
        <w:pStyle w:val="34"/>
        <w:numPr>
          <w:ilvl w:val="0"/>
          <w:numId w:val="0"/>
        </w:numPr>
        <w:spacing w:line="360" w:lineRule="auto"/>
        <w:ind w:firstLine="562" w:firstLineChars="20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五、技术标准和要求</w:t>
      </w:r>
    </w:p>
    <w:p w14:paraId="707ED7D9">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按照根据国家行业和地方现行标准、规范和规程等施工。</w:t>
      </w:r>
    </w:p>
    <w:p w14:paraId="3D5E936D">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工程项目按国家或行业的施工验收规范、工程质量检验评定标准及设计文件等检验评定标准；</w:t>
      </w:r>
    </w:p>
    <w:p w14:paraId="522B333E">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标准产品按选定的国家或行业检验评定标准；</w:t>
      </w:r>
    </w:p>
    <w:p w14:paraId="18AC23BD">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4、非标产品按设计文件和由其指定的检验评定机构的标准</w:t>
      </w:r>
    </w:p>
    <w:p w14:paraId="3AFBCADC">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六、</w:t>
      </w:r>
      <w:r>
        <w:rPr>
          <w:rFonts w:hint="eastAsia" w:ascii="宋体" w:hAnsi="宋体" w:eastAsia="宋体" w:cs="宋体"/>
          <w:b/>
          <w:bCs/>
          <w:color w:val="auto"/>
          <w:sz w:val="28"/>
          <w:szCs w:val="28"/>
          <w:highlight w:val="none"/>
        </w:rPr>
        <w:t>承包方式：</w:t>
      </w:r>
      <w:r>
        <w:rPr>
          <w:rFonts w:hint="eastAsia" w:ascii="宋体" w:hAnsi="宋体" w:eastAsia="宋体" w:cs="宋体"/>
          <w:b w:val="0"/>
          <w:bCs w:val="0"/>
          <w:color w:val="auto"/>
          <w:sz w:val="28"/>
          <w:szCs w:val="28"/>
          <w:highlight w:val="none"/>
          <w:lang w:val="en-US" w:eastAsia="zh-CN"/>
        </w:rPr>
        <w:t>综合单价固定，工程量按实际结算。</w:t>
      </w:r>
    </w:p>
    <w:p w14:paraId="488C32DE">
      <w:pPr>
        <w:spacing w:line="360" w:lineRule="auto"/>
        <w:rPr>
          <w:rFonts w:hint="eastAsia" w:ascii="宋体" w:hAnsi="宋体" w:eastAsia="宋体" w:cs="宋体"/>
          <w:color w:val="auto"/>
          <w:sz w:val="22"/>
          <w:szCs w:val="28"/>
          <w:highlight w:val="none"/>
          <w:lang w:val="en-US" w:eastAsia="zh-CN"/>
        </w:rPr>
      </w:pPr>
    </w:p>
    <w:p w14:paraId="518F28BE">
      <w:pPr>
        <w:pStyle w:val="3"/>
        <w:ind w:left="0" w:leftChars="0" w:firstLine="0" w:firstLineChars="0"/>
        <w:jc w:val="center"/>
        <w:rPr>
          <w:rFonts w:hint="eastAsia"/>
          <w:color w:val="auto"/>
          <w:highlight w:val="none"/>
        </w:rPr>
      </w:pPr>
      <w:bookmarkStart w:id="289" w:name="_Toc486922995"/>
      <w:bookmarkStart w:id="290" w:name="_Toc239839916"/>
      <w:bookmarkStart w:id="291" w:name="_Toc147248435"/>
      <w:bookmarkStart w:id="292" w:name="_Toc185702587"/>
      <w:bookmarkStart w:id="293" w:name="_Toc156106970"/>
      <w:bookmarkStart w:id="294" w:name="_Toc185703009"/>
      <w:bookmarkStart w:id="295" w:name="_Toc7661_WPSOffice_Level1"/>
      <w:r>
        <w:rPr>
          <w:rFonts w:hint="eastAsia"/>
          <w:color w:val="auto"/>
          <w:highlight w:val="none"/>
        </w:rPr>
        <w:br w:type="page"/>
      </w:r>
      <w:bookmarkStart w:id="296" w:name="_Toc12604"/>
      <w:r>
        <w:rPr>
          <w:rFonts w:hint="eastAsia"/>
          <w:b/>
          <w:bCs w:val="0"/>
          <w:color w:val="auto"/>
          <w:highlight w:val="none"/>
        </w:rPr>
        <w:t xml:space="preserve">第四章 </w:t>
      </w:r>
      <w:r>
        <w:rPr>
          <w:rFonts w:hint="eastAsia"/>
          <w:b/>
          <w:bCs w:val="0"/>
          <w:color w:val="auto"/>
          <w:highlight w:val="none"/>
          <w:lang w:val="en-US" w:eastAsia="zh-CN"/>
        </w:rPr>
        <w:t xml:space="preserve"> </w:t>
      </w:r>
      <w:r>
        <w:rPr>
          <w:rFonts w:hint="eastAsia"/>
          <w:b/>
          <w:bCs w:val="0"/>
          <w:color w:val="auto"/>
          <w:highlight w:val="none"/>
        </w:rPr>
        <w:t xml:space="preserve"> </w:t>
      </w:r>
      <w:bookmarkEnd w:id="289"/>
      <w:bookmarkEnd w:id="290"/>
      <w:bookmarkEnd w:id="291"/>
      <w:bookmarkEnd w:id="292"/>
      <w:bookmarkEnd w:id="293"/>
      <w:bookmarkEnd w:id="294"/>
      <w:r>
        <w:rPr>
          <w:rFonts w:hint="eastAsia"/>
          <w:b/>
          <w:bCs w:val="0"/>
          <w:color w:val="auto"/>
          <w:highlight w:val="none"/>
        </w:rPr>
        <w:t>合同条款及格式</w:t>
      </w:r>
      <w:bookmarkEnd w:id="295"/>
      <w:bookmarkEnd w:id="296"/>
    </w:p>
    <w:p w14:paraId="0432884B">
      <w:pPr>
        <w:pStyle w:val="20"/>
        <w:spacing w:line="400" w:lineRule="exact"/>
        <w:ind w:firstLine="4" w:firstLineChars="2"/>
        <w:rPr>
          <w:rFonts w:hint="eastAsia" w:ascii="宋体" w:hAnsi="宋体" w:eastAsia="宋体" w:cs="宋体"/>
          <w:b/>
          <w:bCs/>
          <w:color w:val="auto"/>
          <w:highlight w:val="none"/>
        </w:rPr>
      </w:pPr>
    </w:p>
    <w:p w14:paraId="1A9E8E4F">
      <w:pPr>
        <w:pStyle w:val="20"/>
        <w:spacing w:line="400" w:lineRule="exact"/>
        <w:ind w:firstLine="4" w:firstLineChars="2"/>
        <w:rPr>
          <w:rFonts w:hint="eastAsia" w:ascii="宋体" w:hAnsi="宋体" w:eastAsia="宋体" w:cs="宋体"/>
          <w:b/>
          <w:bCs/>
          <w:color w:val="auto"/>
          <w:highlight w:val="none"/>
        </w:rPr>
      </w:pPr>
      <w:r>
        <w:rPr>
          <w:rFonts w:hint="eastAsia" w:ascii="宋体" w:hAnsi="宋体" w:eastAsia="宋体" w:cs="宋体"/>
          <w:b/>
          <w:bCs/>
          <w:color w:val="auto"/>
          <w:highlight w:val="none"/>
        </w:rPr>
        <w:cr/>
      </w:r>
      <w:r>
        <w:rPr>
          <w:rFonts w:hint="eastAsia" w:ascii="宋体" w:hAnsi="宋体" w:eastAsia="宋体" w:cs="宋体"/>
          <w:b/>
          <w:bCs/>
          <w:color w:val="auto"/>
          <w:highlight w:val="none"/>
        </w:rPr>
        <w:t>（注：本合同样本仅供参考，具体内容由采购人和成交人协商确定，但补充和修改不得造成与本章格式内容有实质性的违背。）</w:t>
      </w:r>
    </w:p>
    <w:p w14:paraId="11ECAA9A">
      <w:pPr>
        <w:pStyle w:val="20"/>
        <w:spacing w:line="200" w:lineRule="exact"/>
        <w:ind w:firstLine="420"/>
        <w:rPr>
          <w:rFonts w:hint="eastAsia" w:ascii="宋体" w:hAnsi="宋体" w:eastAsia="宋体" w:cs="宋体"/>
          <w:color w:val="auto"/>
          <w:highlight w:val="none"/>
        </w:rPr>
      </w:pPr>
      <w:r>
        <w:rPr>
          <w:rFonts w:hint="eastAsia" w:ascii="宋体" w:hAnsi="宋体" w:eastAsia="宋体" w:cs="宋体"/>
          <w:b/>
          <w:bCs/>
          <w:color w:val="auto"/>
          <w:highlight w:val="none"/>
        </w:rPr>
        <w:cr/>
      </w:r>
      <w:r>
        <w:rPr>
          <w:rFonts w:hint="eastAsia" w:ascii="宋体" w:hAnsi="宋体" w:eastAsia="宋体" w:cs="宋体"/>
          <w:b/>
          <w:bCs/>
          <w:color w:val="auto"/>
          <w:highlight w:val="none"/>
        </w:rPr>
        <w:cr/>
      </w:r>
      <w:r>
        <w:rPr>
          <w:rFonts w:hint="eastAsia" w:ascii="宋体" w:hAnsi="宋体" w:eastAsia="宋体" w:cs="宋体"/>
          <w:b/>
          <w:color w:val="auto"/>
          <w:sz w:val="32"/>
          <w:highlight w:val="none"/>
        </w:rPr>
        <w:br w:type="page"/>
      </w:r>
    </w:p>
    <w:p w14:paraId="67C44C9A">
      <w:pPr>
        <w:jc w:val="center"/>
        <w:rPr>
          <w:rFonts w:hint="eastAsia" w:ascii="宋体" w:hAnsi="宋体" w:eastAsia="宋体" w:cs="宋体"/>
          <w:bCs/>
          <w:color w:val="auto"/>
          <w:sz w:val="30"/>
          <w:szCs w:val="30"/>
          <w:highlight w:val="none"/>
        </w:rPr>
      </w:pPr>
    </w:p>
    <w:p w14:paraId="5FD1E4B0">
      <w:pPr>
        <w:jc w:val="center"/>
        <w:rPr>
          <w:rFonts w:hint="eastAsia" w:ascii="宋体" w:hAnsi="宋体" w:eastAsia="宋体" w:cs="宋体"/>
          <w:bCs/>
          <w:color w:val="auto"/>
          <w:sz w:val="30"/>
          <w:szCs w:val="30"/>
          <w:highlight w:val="none"/>
        </w:rPr>
      </w:pPr>
    </w:p>
    <w:p w14:paraId="4E79ADE5">
      <w:pPr>
        <w:jc w:val="center"/>
        <w:rPr>
          <w:rFonts w:hint="eastAsia" w:ascii="宋体" w:hAnsi="宋体" w:eastAsia="宋体" w:cs="宋体"/>
          <w:bCs/>
          <w:color w:val="auto"/>
          <w:sz w:val="30"/>
          <w:szCs w:val="30"/>
          <w:highlight w:val="none"/>
        </w:rPr>
      </w:pPr>
    </w:p>
    <w:p w14:paraId="0FAC08D3">
      <w:pPr>
        <w:jc w:val="center"/>
        <w:rPr>
          <w:rFonts w:hint="eastAsia" w:ascii="宋体" w:hAnsi="宋体" w:eastAsia="宋体" w:cs="宋体"/>
          <w:bCs/>
          <w:color w:val="auto"/>
          <w:sz w:val="30"/>
          <w:szCs w:val="30"/>
          <w:highlight w:val="none"/>
        </w:rPr>
      </w:pPr>
    </w:p>
    <w:p w14:paraId="6653D1D7">
      <w:pPr>
        <w:jc w:val="center"/>
        <w:rPr>
          <w:rFonts w:hint="eastAsia" w:ascii="宋体" w:hAnsi="宋体" w:eastAsia="宋体" w:cs="宋体"/>
          <w:bCs/>
          <w:color w:val="auto"/>
          <w:sz w:val="30"/>
          <w:szCs w:val="30"/>
          <w:highlight w:val="none"/>
        </w:rPr>
      </w:pPr>
    </w:p>
    <w:p w14:paraId="55C3663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建设工程施工合同</w:t>
      </w:r>
    </w:p>
    <w:p w14:paraId="05D24140">
      <w:pPr>
        <w:rPr>
          <w:rFonts w:hint="eastAsia" w:ascii="宋体" w:hAnsi="宋体" w:eastAsia="宋体" w:cs="宋体"/>
          <w:bCs/>
          <w:color w:val="auto"/>
          <w:sz w:val="30"/>
          <w:szCs w:val="30"/>
          <w:highlight w:val="none"/>
        </w:rPr>
      </w:pPr>
    </w:p>
    <w:p w14:paraId="595F8524">
      <w:pPr>
        <w:pStyle w:val="34"/>
        <w:rPr>
          <w:rFonts w:hint="eastAsia" w:ascii="宋体" w:hAnsi="宋体" w:eastAsia="宋体" w:cs="宋体"/>
          <w:bCs/>
          <w:color w:val="auto"/>
          <w:sz w:val="30"/>
          <w:szCs w:val="30"/>
          <w:highlight w:val="none"/>
        </w:rPr>
      </w:pPr>
    </w:p>
    <w:p w14:paraId="1AE71080">
      <w:pPr>
        <w:pStyle w:val="34"/>
        <w:rPr>
          <w:rFonts w:hint="eastAsia" w:ascii="宋体" w:hAnsi="宋体" w:eastAsia="宋体" w:cs="宋体"/>
          <w:bCs/>
          <w:color w:val="auto"/>
          <w:sz w:val="30"/>
          <w:szCs w:val="30"/>
          <w:highlight w:val="none"/>
        </w:rPr>
      </w:pPr>
    </w:p>
    <w:p w14:paraId="3F802D02">
      <w:pPr>
        <w:pStyle w:val="34"/>
        <w:rPr>
          <w:rFonts w:hint="eastAsia" w:ascii="宋体" w:hAnsi="宋体" w:eastAsia="宋体" w:cs="宋体"/>
          <w:bCs/>
          <w:color w:val="auto"/>
          <w:sz w:val="30"/>
          <w:szCs w:val="30"/>
          <w:highlight w:val="none"/>
        </w:rPr>
      </w:pPr>
    </w:p>
    <w:p w14:paraId="709A68CB">
      <w:pPr>
        <w:pStyle w:val="34"/>
        <w:rPr>
          <w:rFonts w:hint="eastAsia" w:ascii="宋体" w:hAnsi="宋体" w:eastAsia="宋体" w:cs="宋体"/>
          <w:bCs/>
          <w:color w:val="auto"/>
          <w:sz w:val="22"/>
          <w:szCs w:val="22"/>
          <w:highlight w:val="none"/>
        </w:rPr>
      </w:pPr>
    </w:p>
    <w:p w14:paraId="16174643">
      <w:pPr>
        <w:ind w:left="0" w:leftChars="0" w:firstLine="2939" w:firstLineChars="1336"/>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项目名称：</w:t>
      </w:r>
      <w:r>
        <w:rPr>
          <w:rFonts w:hint="eastAsia" w:ascii="宋体" w:hAnsi="宋体" w:eastAsia="宋体" w:cs="宋体"/>
          <w:bCs/>
          <w:color w:val="auto"/>
          <w:sz w:val="22"/>
          <w:szCs w:val="22"/>
          <w:highlight w:val="none"/>
          <w:u w:val="single"/>
        </w:rPr>
        <w:t xml:space="preserve">                  </w:t>
      </w:r>
    </w:p>
    <w:p w14:paraId="7FB6DFD4">
      <w:pPr>
        <w:ind w:left="0" w:leftChars="0" w:firstLine="2939" w:firstLineChars="1336"/>
        <w:rPr>
          <w:rFonts w:hint="eastAsia" w:ascii="宋体" w:hAnsi="宋体" w:eastAsia="宋体" w:cs="宋体"/>
          <w:color w:val="auto"/>
          <w:sz w:val="22"/>
          <w:szCs w:val="22"/>
          <w:highlight w:val="none"/>
        </w:rPr>
      </w:pPr>
    </w:p>
    <w:p w14:paraId="04BFF834">
      <w:pPr>
        <w:ind w:left="0" w:leftChars="0" w:firstLine="2939" w:firstLineChars="1336"/>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项目编号：</w:t>
      </w:r>
      <w:r>
        <w:rPr>
          <w:rFonts w:hint="eastAsia" w:ascii="宋体" w:hAnsi="宋体" w:eastAsia="宋体" w:cs="宋体"/>
          <w:bCs/>
          <w:color w:val="auto"/>
          <w:sz w:val="22"/>
          <w:szCs w:val="22"/>
          <w:highlight w:val="none"/>
          <w:u w:val="single"/>
        </w:rPr>
        <w:t xml:space="preserve">                  </w:t>
      </w:r>
    </w:p>
    <w:p w14:paraId="510D825B">
      <w:pPr>
        <w:ind w:left="0" w:leftChars="0" w:firstLine="2939" w:firstLineChars="1336"/>
        <w:rPr>
          <w:rFonts w:hint="eastAsia" w:ascii="宋体" w:hAnsi="宋体" w:eastAsia="宋体" w:cs="宋体"/>
          <w:bCs/>
          <w:color w:val="auto"/>
          <w:sz w:val="22"/>
          <w:szCs w:val="22"/>
          <w:highlight w:val="none"/>
        </w:rPr>
      </w:pPr>
    </w:p>
    <w:p w14:paraId="5E50C3F8">
      <w:pPr>
        <w:ind w:left="0" w:leftChars="0" w:firstLine="2939" w:firstLineChars="1336"/>
        <w:rPr>
          <w:rFonts w:hint="eastAsia" w:ascii="宋体" w:hAnsi="宋体" w:eastAsia="宋体" w:cs="宋体"/>
          <w:bCs/>
          <w:color w:val="auto"/>
          <w:sz w:val="22"/>
          <w:szCs w:val="22"/>
          <w:highlight w:val="none"/>
        </w:rPr>
      </w:pPr>
    </w:p>
    <w:p w14:paraId="446821D5">
      <w:pPr>
        <w:ind w:left="0" w:leftChars="0" w:firstLine="2939" w:firstLineChars="1336"/>
        <w:rPr>
          <w:rFonts w:hint="eastAsia" w:ascii="宋体" w:hAnsi="宋体" w:eastAsia="宋体" w:cs="宋体"/>
          <w:bCs/>
          <w:color w:val="auto"/>
          <w:sz w:val="22"/>
          <w:szCs w:val="22"/>
          <w:highlight w:val="none"/>
        </w:rPr>
      </w:pPr>
    </w:p>
    <w:p w14:paraId="1D31749B">
      <w:pPr>
        <w:ind w:left="0" w:leftChars="0" w:firstLine="2939" w:firstLineChars="1336"/>
        <w:rPr>
          <w:rFonts w:hint="eastAsia" w:ascii="宋体" w:hAnsi="宋体" w:eastAsia="宋体" w:cs="宋体"/>
          <w:bCs/>
          <w:color w:val="auto"/>
          <w:sz w:val="22"/>
          <w:szCs w:val="22"/>
          <w:highlight w:val="none"/>
        </w:rPr>
      </w:pPr>
    </w:p>
    <w:p w14:paraId="685213FE">
      <w:pPr>
        <w:ind w:left="0" w:leftChars="0" w:firstLine="2939" w:firstLineChars="1336"/>
        <w:rPr>
          <w:rFonts w:hint="eastAsia" w:ascii="宋体" w:hAnsi="宋体" w:eastAsia="宋体" w:cs="宋体"/>
          <w:bCs/>
          <w:color w:val="auto"/>
          <w:sz w:val="22"/>
          <w:szCs w:val="22"/>
          <w:highlight w:val="none"/>
        </w:rPr>
      </w:pPr>
    </w:p>
    <w:p w14:paraId="78A3AEF7">
      <w:pPr>
        <w:ind w:left="0" w:leftChars="0" w:firstLine="2939" w:firstLineChars="1336"/>
        <w:rPr>
          <w:rFonts w:hint="eastAsia" w:ascii="宋体" w:hAnsi="宋体" w:eastAsia="宋体" w:cs="宋体"/>
          <w:bCs/>
          <w:color w:val="auto"/>
          <w:sz w:val="22"/>
          <w:szCs w:val="22"/>
          <w:highlight w:val="none"/>
        </w:rPr>
      </w:pPr>
    </w:p>
    <w:p w14:paraId="163FC481">
      <w:pPr>
        <w:ind w:left="0" w:leftChars="0" w:firstLine="2939" w:firstLineChars="1336"/>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发包人：</w:t>
      </w:r>
      <w:r>
        <w:rPr>
          <w:rFonts w:hint="eastAsia" w:ascii="宋体" w:hAnsi="宋体" w:eastAsia="宋体" w:cs="宋体"/>
          <w:bCs/>
          <w:color w:val="auto"/>
          <w:sz w:val="22"/>
          <w:szCs w:val="22"/>
          <w:highlight w:val="none"/>
          <w:u w:val="single"/>
        </w:rPr>
        <w:t xml:space="preserve">               </w:t>
      </w:r>
    </w:p>
    <w:p w14:paraId="7CB03773">
      <w:pPr>
        <w:ind w:left="0" w:leftChars="0" w:firstLine="2939" w:firstLineChars="1336"/>
        <w:rPr>
          <w:rFonts w:hint="eastAsia" w:ascii="宋体" w:hAnsi="宋体" w:eastAsia="宋体" w:cs="宋体"/>
          <w:bCs/>
          <w:color w:val="auto"/>
          <w:sz w:val="22"/>
          <w:szCs w:val="22"/>
          <w:highlight w:val="none"/>
        </w:rPr>
      </w:pPr>
    </w:p>
    <w:p w14:paraId="2D19E3F2">
      <w:pPr>
        <w:ind w:left="0" w:leftChars="0" w:firstLine="2939" w:firstLineChars="1336"/>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承包人：</w:t>
      </w:r>
      <w:r>
        <w:rPr>
          <w:rFonts w:hint="eastAsia" w:ascii="宋体" w:hAnsi="宋体" w:eastAsia="宋体" w:cs="宋体"/>
          <w:bCs/>
          <w:color w:val="auto"/>
          <w:sz w:val="22"/>
          <w:szCs w:val="22"/>
          <w:highlight w:val="none"/>
          <w:u w:val="single"/>
        </w:rPr>
        <w:t xml:space="preserve">                  </w:t>
      </w:r>
    </w:p>
    <w:p w14:paraId="775213FC">
      <w:pPr>
        <w:tabs>
          <w:tab w:val="left" w:pos="7380"/>
        </w:tabs>
        <w:spacing w:line="400" w:lineRule="exact"/>
        <w:ind w:firstLine="835" w:firstLineChars="398"/>
        <w:rPr>
          <w:rFonts w:hint="eastAsia" w:ascii="宋体" w:hAnsi="宋体" w:eastAsia="宋体" w:cs="宋体"/>
          <w:bCs/>
          <w:color w:val="auto"/>
          <w:szCs w:val="21"/>
          <w:highlight w:val="none"/>
        </w:rPr>
      </w:pPr>
    </w:p>
    <w:p w14:paraId="00528B76">
      <w:pPr>
        <w:tabs>
          <w:tab w:val="left" w:pos="7380"/>
        </w:tabs>
        <w:spacing w:line="400" w:lineRule="exact"/>
        <w:ind w:firstLine="835" w:firstLineChars="398"/>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p w14:paraId="5035F5B7">
      <w:pPr>
        <w:snapToGrid w:val="0"/>
        <w:spacing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广西壮族自治区梧州市建设工程施工合同</w:t>
      </w:r>
    </w:p>
    <w:p w14:paraId="5E2C0258">
      <w:pPr>
        <w:snapToGrid w:val="0"/>
        <w:spacing w:line="400" w:lineRule="exact"/>
        <w:jc w:val="center"/>
        <w:rPr>
          <w:rFonts w:hint="eastAsia" w:ascii="宋体" w:hAnsi="宋体" w:eastAsia="宋体" w:cs="宋体"/>
          <w:b/>
          <w:bCs/>
          <w:color w:val="auto"/>
          <w:sz w:val="24"/>
          <w:highlight w:val="none"/>
        </w:rPr>
      </w:pPr>
    </w:p>
    <w:p w14:paraId="7E21CD45">
      <w:pPr>
        <w:snapToGrid w:val="0"/>
        <w:spacing w:line="400" w:lineRule="exact"/>
        <w:ind w:right="480" w:firstLine="7140" w:firstLineChars="3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合同编号：</w:t>
      </w:r>
    </w:p>
    <w:p w14:paraId="70598907">
      <w:pPr>
        <w:snapToGrid w:val="0"/>
        <w:spacing w:line="400" w:lineRule="exact"/>
        <w:rPr>
          <w:rFonts w:hint="eastAsia" w:ascii="宋体" w:hAnsi="宋体" w:eastAsia="宋体" w:cs="宋体"/>
          <w:color w:val="auto"/>
          <w:szCs w:val="21"/>
          <w:highlight w:val="none"/>
        </w:rPr>
      </w:pPr>
    </w:p>
    <w:p w14:paraId="64FAF0EF">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发包人（全称）：</w:t>
      </w:r>
      <w:r>
        <w:rPr>
          <w:rFonts w:hint="eastAsia" w:ascii="宋体" w:hAnsi="宋体" w:eastAsia="宋体" w:cs="宋体"/>
          <w:color w:val="auto"/>
          <w:highlight w:val="none"/>
          <w:u w:val="single"/>
        </w:rPr>
        <w:t xml:space="preserve">                              </w:t>
      </w:r>
    </w:p>
    <w:p w14:paraId="693108DA">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承包人（全称）：</w:t>
      </w:r>
      <w:r>
        <w:rPr>
          <w:rFonts w:hint="eastAsia" w:ascii="宋体" w:hAnsi="宋体" w:eastAsia="宋体" w:cs="宋体"/>
          <w:color w:val="auto"/>
          <w:highlight w:val="none"/>
          <w:u w:val="single"/>
        </w:rPr>
        <w:t xml:space="preserve">                              </w:t>
      </w:r>
    </w:p>
    <w:p w14:paraId="45A6D8D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根据《中华人民共和国</w:t>
      </w:r>
      <w:r>
        <w:rPr>
          <w:rFonts w:hint="eastAsia" w:ascii="宋体" w:hAnsi="宋体" w:cs="宋体"/>
          <w:color w:val="auto"/>
          <w:highlight w:val="none"/>
          <w:lang w:eastAsia="zh-CN"/>
        </w:rPr>
        <w:t>民法典</w:t>
      </w:r>
      <w:r>
        <w:rPr>
          <w:rFonts w:hint="eastAsia" w:ascii="宋体" w:hAnsi="宋体" w:eastAsia="宋体" w:cs="宋体"/>
          <w:color w:val="auto"/>
          <w:highlight w:val="none"/>
        </w:rPr>
        <w:t>》、《中华人民共和国建筑法》及有关法律规定，遵循平等、自愿、公平和诚实信用的原则，双方就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工程施工及有关事项协商一致，共同达成如下协议：</w:t>
      </w:r>
      <w:bookmarkStart w:id="297" w:name="_Toc351203481"/>
    </w:p>
    <w:p w14:paraId="4C96F1C1">
      <w:pPr>
        <w:spacing w:line="360" w:lineRule="auto"/>
        <w:ind w:firstLine="422" w:firstLineChars="200"/>
        <w:outlineLvl w:val="0"/>
        <w:rPr>
          <w:rFonts w:hint="eastAsia" w:ascii="宋体" w:hAnsi="宋体" w:eastAsia="宋体" w:cs="宋体"/>
          <w:b/>
          <w:bCs/>
          <w:color w:val="auto"/>
          <w:highlight w:val="none"/>
        </w:rPr>
      </w:pPr>
      <w:bookmarkStart w:id="298" w:name="_Toc24561"/>
      <w:r>
        <w:rPr>
          <w:rFonts w:hint="eastAsia" w:ascii="宋体" w:hAnsi="宋体" w:eastAsia="宋体" w:cs="宋体"/>
          <w:b/>
          <w:bCs/>
          <w:color w:val="auto"/>
          <w:highlight w:val="none"/>
        </w:rPr>
        <w:t>一、工程概况</w:t>
      </w:r>
      <w:bookmarkEnd w:id="297"/>
      <w:bookmarkEnd w:id="298"/>
    </w:p>
    <w:p w14:paraId="2BCFEA70">
      <w:pPr>
        <w:spacing w:line="360" w:lineRule="auto"/>
        <w:ind w:firstLine="411" w:firstLineChars="196"/>
        <w:rPr>
          <w:rFonts w:hint="eastAsia" w:ascii="宋体" w:hAnsi="宋体" w:eastAsia="宋体" w:cs="宋体"/>
          <w:color w:val="auto"/>
          <w:highlight w:val="none"/>
          <w:u w:val="single"/>
        </w:rPr>
      </w:pPr>
      <w:r>
        <w:rPr>
          <w:rFonts w:hint="eastAsia" w:ascii="宋体" w:hAnsi="宋体" w:eastAsia="宋体" w:cs="宋体"/>
          <w:color w:val="auto"/>
          <w:highlight w:val="none"/>
        </w:rPr>
        <w:t>1. 工程名称：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2C3255B">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2. 工程地点：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63C527D">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3. 工程立项批准文号：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1A6F20C">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4. 资金来源：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8B41F94">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5. 工程内容：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3F9D3DA">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群体工程应附《承包人承揽工程项目一览表》（附件1）。</w:t>
      </w:r>
    </w:p>
    <w:p w14:paraId="26C3959C">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6. 工程承包范围：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CDB664A">
      <w:pPr>
        <w:spacing w:line="360" w:lineRule="auto"/>
        <w:ind w:firstLine="407" w:firstLineChars="193"/>
        <w:outlineLvl w:val="0"/>
        <w:rPr>
          <w:rFonts w:hint="eastAsia" w:ascii="宋体" w:hAnsi="宋体" w:eastAsia="宋体" w:cs="宋体"/>
          <w:b/>
          <w:bCs/>
          <w:color w:val="auto"/>
          <w:highlight w:val="none"/>
        </w:rPr>
      </w:pPr>
      <w:bookmarkStart w:id="299" w:name="_Toc10602"/>
      <w:bookmarkStart w:id="300" w:name="_Toc351203482"/>
      <w:r>
        <w:rPr>
          <w:rFonts w:hint="eastAsia" w:ascii="宋体" w:hAnsi="宋体" w:eastAsia="宋体" w:cs="宋体"/>
          <w:b/>
          <w:bCs/>
          <w:color w:val="auto"/>
          <w:highlight w:val="none"/>
        </w:rPr>
        <w:t>二、合同工期</w:t>
      </w:r>
      <w:bookmarkEnd w:id="299"/>
      <w:bookmarkEnd w:id="300"/>
    </w:p>
    <w:p w14:paraId="5489D68B">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计划开工日期：</w:t>
      </w:r>
      <w:r>
        <w:rPr>
          <w:rFonts w:hint="eastAsia" w:ascii="宋体" w:hAnsi="宋体" w:eastAsia="宋体" w:cs="宋体"/>
          <w:color w:val="auto"/>
          <w:highlight w:val="none"/>
          <w:u w:val="single"/>
        </w:rPr>
        <w:t></w:t>
      </w:r>
      <w:r>
        <w:rPr>
          <w:rFonts w:hint="eastAsia" w:ascii="宋体" w:hAnsi="宋体" w:eastAsia="宋体" w:cs="宋体"/>
          <w:color w:val="auto"/>
          <w:highlight w:val="none"/>
        </w:rPr>
        <w:t>年</w:t>
      </w:r>
      <w:r>
        <w:rPr>
          <w:rFonts w:hint="eastAsia" w:ascii="宋体" w:hAnsi="宋体" w:eastAsia="宋体" w:cs="宋体"/>
          <w:color w:val="auto"/>
          <w:highlight w:val="none"/>
          <w:u w:val="single"/>
        </w:rPr>
        <w:t></w:t>
      </w:r>
      <w:r>
        <w:rPr>
          <w:rFonts w:hint="eastAsia" w:ascii="宋体" w:hAnsi="宋体" w:eastAsia="宋体" w:cs="宋体"/>
          <w:color w:val="auto"/>
          <w:highlight w:val="none"/>
        </w:rPr>
        <w:t>月</w:t>
      </w:r>
      <w:r>
        <w:rPr>
          <w:rFonts w:hint="eastAsia" w:ascii="宋体" w:hAnsi="宋体" w:eastAsia="宋体" w:cs="宋体"/>
          <w:color w:val="auto"/>
          <w:highlight w:val="none"/>
          <w:u w:val="single"/>
        </w:rPr>
        <w:t></w:t>
      </w:r>
      <w:r>
        <w:rPr>
          <w:rFonts w:hint="eastAsia" w:ascii="宋体" w:hAnsi="宋体" w:eastAsia="宋体" w:cs="宋体"/>
          <w:color w:val="auto"/>
          <w:highlight w:val="none"/>
        </w:rPr>
        <w:t>日。（具体以发包人书面通知为准）</w:t>
      </w:r>
    </w:p>
    <w:p w14:paraId="51A9D715">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计划竣工日期：</w:t>
      </w:r>
      <w:r>
        <w:rPr>
          <w:rFonts w:hint="eastAsia" w:ascii="宋体" w:hAnsi="宋体" w:eastAsia="宋体" w:cs="宋体"/>
          <w:color w:val="auto"/>
          <w:highlight w:val="none"/>
          <w:u w:val="single"/>
        </w:rPr>
        <w:t></w:t>
      </w:r>
      <w:r>
        <w:rPr>
          <w:rFonts w:hint="eastAsia" w:ascii="宋体" w:hAnsi="宋体" w:eastAsia="宋体" w:cs="宋体"/>
          <w:color w:val="auto"/>
          <w:highlight w:val="none"/>
        </w:rPr>
        <w:t>年</w:t>
      </w:r>
      <w:r>
        <w:rPr>
          <w:rFonts w:hint="eastAsia" w:ascii="宋体" w:hAnsi="宋体" w:eastAsia="宋体" w:cs="宋体"/>
          <w:color w:val="auto"/>
          <w:highlight w:val="none"/>
          <w:u w:val="single"/>
        </w:rPr>
        <w:t></w:t>
      </w:r>
      <w:r>
        <w:rPr>
          <w:rFonts w:hint="eastAsia" w:ascii="宋体" w:hAnsi="宋体" w:eastAsia="宋体" w:cs="宋体"/>
          <w:color w:val="auto"/>
          <w:highlight w:val="none"/>
        </w:rPr>
        <w:t>月</w:t>
      </w:r>
      <w:r>
        <w:rPr>
          <w:rFonts w:hint="eastAsia" w:ascii="宋体" w:hAnsi="宋体" w:eastAsia="宋体" w:cs="宋体"/>
          <w:color w:val="auto"/>
          <w:highlight w:val="none"/>
          <w:u w:val="single"/>
        </w:rPr>
        <w:t></w:t>
      </w:r>
      <w:r>
        <w:rPr>
          <w:rFonts w:hint="eastAsia" w:ascii="宋体" w:hAnsi="宋体" w:eastAsia="宋体" w:cs="宋体"/>
          <w:color w:val="auto"/>
          <w:highlight w:val="none"/>
        </w:rPr>
        <w:t>日。</w:t>
      </w:r>
    </w:p>
    <w:p w14:paraId="7721C3A9">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工期总日历天数：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天。工期总日历天数与根据前述计划开竣工日期计算的工期天数不一致的，以工期总日历天数为准。</w:t>
      </w:r>
    </w:p>
    <w:p w14:paraId="0C2CA492">
      <w:pPr>
        <w:spacing w:line="360" w:lineRule="auto"/>
        <w:ind w:firstLine="459"/>
        <w:outlineLvl w:val="0"/>
        <w:rPr>
          <w:rFonts w:hint="eastAsia" w:ascii="宋体" w:hAnsi="宋体" w:eastAsia="宋体" w:cs="宋体"/>
          <w:b/>
          <w:bCs/>
          <w:color w:val="auto"/>
          <w:highlight w:val="none"/>
        </w:rPr>
      </w:pPr>
      <w:bookmarkStart w:id="301" w:name="_Toc351203483"/>
      <w:bookmarkStart w:id="302" w:name="_Toc8673"/>
      <w:r>
        <w:rPr>
          <w:rFonts w:hint="eastAsia" w:ascii="宋体" w:hAnsi="宋体" w:eastAsia="宋体" w:cs="宋体"/>
          <w:b/>
          <w:bCs/>
          <w:color w:val="auto"/>
          <w:highlight w:val="none"/>
        </w:rPr>
        <w:t>三、质量标准</w:t>
      </w:r>
      <w:bookmarkEnd w:id="301"/>
      <w:bookmarkEnd w:id="302"/>
    </w:p>
    <w:p w14:paraId="1DD72322">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工程质量符合标准。</w:t>
      </w:r>
    </w:p>
    <w:p w14:paraId="4F0ACA56">
      <w:pPr>
        <w:spacing w:line="360" w:lineRule="auto"/>
        <w:ind w:firstLine="459"/>
        <w:outlineLvl w:val="0"/>
        <w:rPr>
          <w:rFonts w:hint="eastAsia" w:ascii="宋体" w:hAnsi="宋体" w:eastAsia="宋体" w:cs="宋体"/>
          <w:b/>
          <w:bCs/>
          <w:color w:val="auto"/>
          <w:highlight w:val="none"/>
        </w:rPr>
      </w:pPr>
      <w:bookmarkStart w:id="303" w:name="_Toc351203484"/>
      <w:bookmarkStart w:id="304" w:name="_Toc30917"/>
      <w:r>
        <w:rPr>
          <w:rFonts w:hint="eastAsia" w:ascii="宋体" w:hAnsi="宋体" w:eastAsia="宋体" w:cs="宋体"/>
          <w:b/>
          <w:bCs/>
          <w:color w:val="auto"/>
          <w:highlight w:val="none"/>
        </w:rPr>
        <w:t>四、签约合同价与合同价格形式</w:t>
      </w:r>
      <w:bookmarkEnd w:id="303"/>
      <w:bookmarkEnd w:id="304"/>
    </w:p>
    <w:p w14:paraId="78DC0F05">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1. 签约合同价为：</w:t>
      </w:r>
    </w:p>
    <w:p w14:paraId="08870308">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2A070B98">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其中：</w:t>
      </w:r>
    </w:p>
    <w:p w14:paraId="4DD50F4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（1）安全文明施工费：</w:t>
      </w:r>
    </w:p>
    <w:p w14:paraId="7288FADC">
      <w:pPr>
        <w:spacing w:line="360" w:lineRule="auto"/>
        <w:ind w:left="420" w:leftChars="200"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15C9BC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）材料和工程设备暂估价金额：</w:t>
      </w:r>
    </w:p>
    <w:p w14:paraId="346DDECA">
      <w:pPr>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725B77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）专业工程暂估价金额：</w:t>
      </w:r>
    </w:p>
    <w:p w14:paraId="5B8E468E">
      <w:pPr>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36FC35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）暂列金额：</w:t>
      </w:r>
    </w:p>
    <w:p w14:paraId="7522BD88">
      <w:pPr>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74102505">
      <w:pPr>
        <w:spacing w:line="36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）增值税额：</w:t>
      </w:r>
    </w:p>
    <w:p w14:paraId="79D8C4FD">
      <w:pPr>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154ABF50">
      <w:pPr>
        <w:spacing w:line="360" w:lineRule="auto"/>
        <w:ind w:firstLine="987" w:firstLineChars="470"/>
        <w:rPr>
          <w:rFonts w:hint="eastAsia" w:ascii="宋体" w:hAnsi="宋体" w:eastAsia="宋体" w:cs="宋体"/>
          <w:color w:val="auto"/>
          <w:highlight w:val="none"/>
        </w:rPr>
      </w:pPr>
      <w:r>
        <w:rPr>
          <w:rFonts w:hint="eastAsia" w:ascii="宋体" w:hAnsi="宋体" w:eastAsia="宋体" w:cs="宋体"/>
          <w:color w:val="auto"/>
          <w:highlight w:val="none"/>
        </w:rPr>
        <w:t>增值税率：</w:t>
      </w:r>
      <w:r>
        <w:rPr>
          <w:rFonts w:hint="eastAsia" w:ascii="宋体" w:hAnsi="宋体" w:eastAsia="宋体" w:cs="宋体"/>
          <w:color w:val="auto"/>
          <w:highlight w:val="none"/>
          <w:u w:val="single"/>
        </w:rPr>
        <w:t xml:space="preserve">  　　　　　　  </w:t>
      </w:r>
    </w:p>
    <w:p w14:paraId="7D20F4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 合同价格形式：   </w:t>
      </w:r>
      <w:r>
        <w:rPr>
          <w:rFonts w:hint="eastAsia" w:ascii="宋体" w:hAnsi="宋体" w:eastAsia="宋体" w:cs="宋体"/>
          <w:color w:val="auto"/>
          <w:highlight w:val="none"/>
          <w:u w:val="single"/>
        </w:rPr>
        <w:t xml:space="preserve">  综合单价固定  </w:t>
      </w:r>
      <w:r>
        <w:rPr>
          <w:rFonts w:hint="eastAsia" w:ascii="宋体" w:hAnsi="宋体" w:eastAsia="宋体" w:cs="宋体"/>
          <w:color w:val="auto"/>
          <w:highlight w:val="none"/>
        </w:rPr>
        <w:t>。</w:t>
      </w:r>
    </w:p>
    <w:p w14:paraId="6B05B1F6">
      <w:pPr>
        <w:spacing w:line="360" w:lineRule="auto"/>
        <w:ind w:firstLine="422" w:firstLineChars="200"/>
        <w:outlineLvl w:val="0"/>
        <w:rPr>
          <w:rFonts w:hint="eastAsia" w:ascii="宋体" w:hAnsi="宋体" w:eastAsia="宋体" w:cs="宋体"/>
          <w:b/>
          <w:bCs/>
          <w:color w:val="auto"/>
          <w:highlight w:val="none"/>
        </w:rPr>
      </w:pPr>
      <w:bookmarkStart w:id="305" w:name="_Toc351203485"/>
      <w:bookmarkStart w:id="306" w:name="_Toc13940"/>
      <w:r>
        <w:rPr>
          <w:rFonts w:hint="eastAsia" w:ascii="宋体" w:hAnsi="宋体" w:eastAsia="宋体" w:cs="宋体"/>
          <w:b/>
          <w:bCs/>
          <w:color w:val="auto"/>
          <w:highlight w:val="none"/>
        </w:rPr>
        <w:t>五、</w:t>
      </w:r>
      <w:bookmarkEnd w:id="305"/>
      <w:r>
        <w:rPr>
          <w:rFonts w:hint="eastAsia" w:ascii="宋体" w:hAnsi="宋体" w:eastAsia="宋体" w:cs="宋体"/>
          <w:b/>
          <w:bCs/>
          <w:color w:val="auto"/>
          <w:highlight w:val="none"/>
        </w:rPr>
        <w:t>项目经理</w:t>
      </w:r>
      <w:bookmarkEnd w:id="306"/>
    </w:p>
    <w:p w14:paraId="080D38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承包人项目经理：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A1645F8">
      <w:pPr>
        <w:spacing w:line="360" w:lineRule="auto"/>
        <w:ind w:firstLine="422" w:firstLineChars="200"/>
        <w:outlineLvl w:val="0"/>
        <w:rPr>
          <w:rFonts w:hint="eastAsia" w:ascii="宋体" w:hAnsi="宋体" w:eastAsia="宋体" w:cs="宋体"/>
          <w:b/>
          <w:bCs/>
          <w:color w:val="auto"/>
          <w:highlight w:val="none"/>
        </w:rPr>
      </w:pPr>
      <w:bookmarkStart w:id="307" w:name="_Toc27845"/>
      <w:bookmarkStart w:id="308" w:name="_Toc351203486"/>
      <w:r>
        <w:rPr>
          <w:rFonts w:hint="eastAsia" w:ascii="宋体" w:hAnsi="宋体" w:eastAsia="宋体" w:cs="宋体"/>
          <w:b/>
          <w:bCs/>
          <w:color w:val="auto"/>
          <w:highlight w:val="none"/>
        </w:rPr>
        <w:t>六、合同文件构成</w:t>
      </w:r>
      <w:bookmarkEnd w:id="307"/>
      <w:bookmarkEnd w:id="308"/>
    </w:p>
    <w:p w14:paraId="63478C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本协议书与下列文件一起构成合同文件：</w:t>
      </w:r>
    </w:p>
    <w:p w14:paraId="73ACA058">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（1）中标通知书（如有）；</w:t>
      </w:r>
    </w:p>
    <w:p w14:paraId="268EAEF5">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（2）投标函及其附录（如有）； </w:t>
      </w:r>
    </w:p>
    <w:p w14:paraId="16AC3037">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（3）专用合同条款及其附件；</w:t>
      </w:r>
    </w:p>
    <w:p w14:paraId="5E7B2DC8">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（4）通用合同条款；</w:t>
      </w:r>
    </w:p>
    <w:p w14:paraId="375DB78F">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（5）技术标准和要求；</w:t>
      </w:r>
    </w:p>
    <w:p w14:paraId="145C837F">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（6）已标价工程量清单或预算书； </w:t>
      </w:r>
    </w:p>
    <w:p w14:paraId="6419A515">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）其他合同文件：</w:t>
      </w:r>
    </w:p>
    <w:p w14:paraId="28D154DB">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及附件（含所有补充通知）；</w:t>
      </w:r>
    </w:p>
    <w:p w14:paraId="68BDBC10">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在合同订立及履行过程中形成的与合同有关的文件均构成合同文件组成部分。</w:t>
      </w:r>
    </w:p>
    <w:p w14:paraId="3EA71785">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0BCE24A7">
      <w:pPr>
        <w:autoSpaceDE w:val="0"/>
        <w:autoSpaceDN w:val="0"/>
        <w:adjustRightInd w:val="0"/>
        <w:spacing w:line="360" w:lineRule="auto"/>
        <w:ind w:firstLine="422" w:firstLineChars="200"/>
        <w:jc w:val="left"/>
        <w:outlineLvl w:val="0"/>
        <w:rPr>
          <w:rFonts w:hint="eastAsia" w:ascii="宋体" w:hAnsi="宋体" w:eastAsia="宋体" w:cs="宋体"/>
          <w:b/>
          <w:bCs/>
          <w:color w:val="auto"/>
          <w:highlight w:val="none"/>
        </w:rPr>
      </w:pPr>
      <w:bookmarkStart w:id="309" w:name="_Toc6245"/>
      <w:bookmarkStart w:id="310" w:name="_Toc351203487"/>
      <w:r>
        <w:rPr>
          <w:rFonts w:hint="eastAsia" w:ascii="宋体" w:hAnsi="宋体" w:eastAsia="宋体" w:cs="宋体"/>
          <w:b/>
          <w:bCs/>
          <w:color w:val="auto"/>
          <w:highlight w:val="none"/>
        </w:rPr>
        <w:t>七、承诺</w:t>
      </w:r>
      <w:bookmarkEnd w:id="309"/>
      <w:bookmarkEnd w:id="310"/>
    </w:p>
    <w:p w14:paraId="797F6D9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 发包人承诺按照法律规定履行项目审批手续、筹集工程建设资金并按照合同约定的期限和方式支付合同价款。</w:t>
      </w:r>
    </w:p>
    <w:p w14:paraId="4C6D2C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承包人承诺按照法律规定及合同约定组织完成工程施工，确保工程质量和安全，不进行转包及违法分包，并在缺陷责任期及保修期内承担相应的工程维修责任。</w:t>
      </w:r>
    </w:p>
    <w:p w14:paraId="49DBE3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发包人和承包人通过招投标形式签订合同的，双方理解并承诺不再就同一工程另行签订与合同实质性内容相背离的协议。</w:t>
      </w:r>
      <w:bookmarkStart w:id="311" w:name="_Toc351203488"/>
    </w:p>
    <w:p w14:paraId="03B49673">
      <w:pPr>
        <w:spacing w:line="360" w:lineRule="auto"/>
        <w:ind w:firstLine="422" w:firstLineChars="200"/>
        <w:outlineLvl w:val="0"/>
        <w:rPr>
          <w:rFonts w:hint="eastAsia" w:ascii="宋体" w:hAnsi="宋体" w:eastAsia="宋体" w:cs="宋体"/>
          <w:b/>
          <w:bCs/>
          <w:color w:val="auto"/>
          <w:highlight w:val="none"/>
        </w:rPr>
      </w:pPr>
      <w:bookmarkStart w:id="312" w:name="_Toc5056"/>
      <w:r>
        <w:rPr>
          <w:rFonts w:hint="eastAsia" w:ascii="宋体" w:hAnsi="宋体" w:eastAsia="宋体" w:cs="宋体"/>
          <w:b/>
          <w:bCs/>
          <w:color w:val="auto"/>
          <w:highlight w:val="none"/>
        </w:rPr>
        <w:t>八、词语含义</w:t>
      </w:r>
      <w:bookmarkEnd w:id="311"/>
      <w:bookmarkEnd w:id="312"/>
    </w:p>
    <w:p w14:paraId="116E73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本协议书中词语含义与第二部分通用合同条款中赋予的含义相同。</w:t>
      </w:r>
    </w:p>
    <w:p w14:paraId="46E855A6">
      <w:pPr>
        <w:spacing w:line="360" w:lineRule="auto"/>
        <w:ind w:firstLine="422" w:firstLineChars="200"/>
        <w:outlineLvl w:val="0"/>
        <w:rPr>
          <w:rFonts w:hint="eastAsia" w:ascii="宋体" w:hAnsi="宋体" w:eastAsia="宋体" w:cs="宋体"/>
          <w:b/>
          <w:bCs/>
          <w:color w:val="auto"/>
          <w:highlight w:val="none"/>
        </w:rPr>
      </w:pPr>
      <w:bookmarkStart w:id="313" w:name="_Toc10542"/>
      <w:bookmarkStart w:id="314" w:name="_Toc351203489"/>
      <w:r>
        <w:rPr>
          <w:rFonts w:hint="eastAsia" w:ascii="宋体" w:hAnsi="宋体" w:eastAsia="宋体" w:cs="宋体"/>
          <w:b/>
          <w:bCs/>
          <w:color w:val="auto"/>
          <w:highlight w:val="none"/>
        </w:rPr>
        <w:t>九、签订时间</w:t>
      </w:r>
      <w:bookmarkEnd w:id="313"/>
      <w:bookmarkEnd w:id="314"/>
    </w:p>
    <w:p w14:paraId="22BE00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日签订。</w:t>
      </w:r>
    </w:p>
    <w:p w14:paraId="2CD4B2E1">
      <w:pPr>
        <w:spacing w:line="360" w:lineRule="auto"/>
        <w:ind w:firstLine="422" w:firstLineChars="200"/>
        <w:outlineLvl w:val="0"/>
        <w:rPr>
          <w:rFonts w:hint="eastAsia" w:ascii="宋体" w:hAnsi="宋体" w:eastAsia="宋体" w:cs="宋体"/>
          <w:b/>
          <w:bCs/>
          <w:color w:val="auto"/>
          <w:highlight w:val="none"/>
        </w:rPr>
      </w:pPr>
      <w:bookmarkStart w:id="315" w:name="_Toc3029"/>
      <w:bookmarkStart w:id="316" w:name="_Toc351203490"/>
      <w:r>
        <w:rPr>
          <w:rFonts w:hint="eastAsia" w:ascii="宋体" w:hAnsi="宋体" w:eastAsia="宋体" w:cs="宋体"/>
          <w:b/>
          <w:bCs/>
          <w:color w:val="auto"/>
          <w:highlight w:val="none"/>
        </w:rPr>
        <w:t>十、签订地点</w:t>
      </w:r>
      <w:bookmarkEnd w:id="315"/>
      <w:bookmarkEnd w:id="316"/>
    </w:p>
    <w:p w14:paraId="0F4A54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签订。</w:t>
      </w:r>
    </w:p>
    <w:p w14:paraId="5C8A8EA3">
      <w:pPr>
        <w:spacing w:line="360" w:lineRule="auto"/>
        <w:ind w:firstLine="422" w:firstLineChars="200"/>
        <w:outlineLvl w:val="0"/>
        <w:rPr>
          <w:rFonts w:hint="eastAsia" w:ascii="宋体" w:hAnsi="宋体" w:eastAsia="宋体" w:cs="宋体"/>
          <w:b/>
          <w:bCs/>
          <w:color w:val="auto"/>
          <w:highlight w:val="none"/>
        </w:rPr>
      </w:pPr>
      <w:bookmarkStart w:id="317" w:name="_Toc351203491"/>
      <w:bookmarkStart w:id="318" w:name="_Toc3771"/>
      <w:r>
        <w:rPr>
          <w:rFonts w:hint="eastAsia" w:ascii="宋体" w:hAnsi="宋体" w:eastAsia="宋体" w:cs="宋体"/>
          <w:b/>
          <w:bCs/>
          <w:color w:val="auto"/>
          <w:highlight w:val="none"/>
        </w:rPr>
        <w:t>十一、补充协议</w:t>
      </w:r>
      <w:bookmarkEnd w:id="317"/>
      <w:bookmarkEnd w:id="318"/>
    </w:p>
    <w:p w14:paraId="39195D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合同未尽事宜，合同当事人另行签订补充协议，补充协议是合同的组成部分。</w:t>
      </w:r>
    </w:p>
    <w:p w14:paraId="20624F28">
      <w:pPr>
        <w:spacing w:line="360" w:lineRule="auto"/>
        <w:ind w:firstLine="422" w:firstLineChars="200"/>
        <w:outlineLvl w:val="0"/>
        <w:rPr>
          <w:rFonts w:hint="eastAsia" w:ascii="宋体" w:hAnsi="宋体" w:eastAsia="宋体" w:cs="宋体"/>
          <w:b/>
          <w:bCs/>
          <w:color w:val="auto"/>
          <w:highlight w:val="none"/>
        </w:rPr>
      </w:pPr>
      <w:bookmarkStart w:id="319" w:name="_Toc351203492"/>
      <w:bookmarkStart w:id="320" w:name="_Toc2661"/>
      <w:r>
        <w:rPr>
          <w:rFonts w:hint="eastAsia" w:ascii="宋体" w:hAnsi="宋体" w:eastAsia="宋体" w:cs="宋体"/>
          <w:b/>
          <w:bCs/>
          <w:color w:val="auto"/>
          <w:highlight w:val="none"/>
        </w:rPr>
        <w:t>十二、合同生效</w:t>
      </w:r>
      <w:bookmarkEnd w:id="319"/>
      <w:bookmarkEnd w:id="320"/>
    </w:p>
    <w:p w14:paraId="4157C79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本合同自</w:t>
      </w:r>
      <w:r>
        <w:rPr>
          <w:rFonts w:hint="eastAsia" w:ascii="宋体" w:hAnsi="宋体" w:eastAsia="宋体" w:cs="宋体"/>
          <w:color w:val="auto"/>
          <w:highlight w:val="none"/>
          <w:u w:val="single"/>
        </w:rPr>
        <w:t xml:space="preserve">  双方法定代表人或其委托代理人签字并盖公章之日  </w:t>
      </w:r>
      <w:r>
        <w:rPr>
          <w:rFonts w:hint="eastAsia" w:ascii="宋体" w:hAnsi="宋体" w:eastAsia="宋体" w:cs="宋体"/>
          <w:color w:val="auto"/>
          <w:highlight w:val="none"/>
        </w:rPr>
        <w:t>生效。</w:t>
      </w:r>
    </w:p>
    <w:p w14:paraId="75A50ED3">
      <w:pPr>
        <w:spacing w:line="360" w:lineRule="auto"/>
        <w:ind w:firstLine="422" w:firstLineChars="200"/>
        <w:outlineLvl w:val="0"/>
        <w:rPr>
          <w:rFonts w:hint="eastAsia" w:ascii="宋体" w:hAnsi="宋体" w:eastAsia="宋体" w:cs="宋体"/>
          <w:b/>
          <w:bCs/>
          <w:color w:val="auto"/>
          <w:highlight w:val="none"/>
        </w:rPr>
      </w:pPr>
      <w:bookmarkStart w:id="321" w:name="_Toc351203493"/>
      <w:bookmarkStart w:id="322" w:name="_Toc15238"/>
      <w:r>
        <w:rPr>
          <w:rFonts w:hint="eastAsia" w:ascii="宋体" w:hAnsi="宋体" w:eastAsia="宋体" w:cs="宋体"/>
          <w:b/>
          <w:bCs/>
          <w:color w:val="auto"/>
          <w:highlight w:val="none"/>
        </w:rPr>
        <w:t>十三、合同份数</w:t>
      </w:r>
      <w:bookmarkEnd w:id="321"/>
      <w:bookmarkEnd w:id="322"/>
    </w:p>
    <w:p w14:paraId="2E6F1B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份，均具有同等法律效力，发包人执</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份，承包人执</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p>
    <w:p w14:paraId="5E61FF81">
      <w:pPr>
        <w:spacing w:line="360" w:lineRule="auto"/>
        <w:rPr>
          <w:rFonts w:hint="eastAsia" w:ascii="宋体" w:hAnsi="宋体" w:eastAsia="宋体" w:cs="宋体"/>
          <w:color w:val="auto"/>
          <w:highlight w:val="none"/>
        </w:rPr>
      </w:pPr>
    </w:p>
    <w:p w14:paraId="692E80B6">
      <w:pPr>
        <w:spacing w:line="360" w:lineRule="auto"/>
        <w:rPr>
          <w:rFonts w:hint="eastAsia" w:ascii="宋体" w:hAnsi="宋体" w:eastAsia="宋体" w:cs="宋体"/>
          <w:color w:val="auto"/>
          <w:highlight w:val="none"/>
        </w:rPr>
      </w:pPr>
    </w:p>
    <w:p w14:paraId="4E22285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发包人：  （公章）                              承包人：  （公章）</w:t>
      </w:r>
    </w:p>
    <w:p w14:paraId="2F794545">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21F1D75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                    法定代表人或其委托代理人：</w:t>
      </w:r>
    </w:p>
    <w:p w14:paraId="6C24C6F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（签字）                                     （签字）</w:t>
      </w:r>
    </w:p>
    <w:p w14:paraId="1E6642F0">
      <w:pPr>
        <w:spacing w:line="360" w:lineRule="auto"/>
        <w:rPr>
          <w:rFonts w:hint="eastAsia" w:ascii="宋体" w:hAnsi="宋体" w:eastAsia="宋体" w:cs="宋体"/>
          <w:color w:val="auto"/>
          <w:highlight w:val="none"/>
          <w:u w:val="single"/>
        </w:rPr>
      </w:pPr>
    </w:p>
    <w:p w14:paraId="01546D65">
      <w:pPr>
        <w:tabs>
          <w:tab w:val="left" w:pos="441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统一社会信用代码：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BFFEC0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地  址：</w:t>
      </w:r>
      <w:r>
        <w:rPr>
          <w:rFonts w:hint="eastAsia" w:ascii="宋体" w:hAnsi="宋体" w:eastAsia="宋体" w:cs="宋体"/>
          <w:color w:val="auto"/>
          <w:highlight w:val="none"/>
          <w:u w:val="single"/>
        </w:rPr>
        <w:t xml:space="preserve">                            </w:t>
      </w:r>
    </w:p>
    <w:p w14:paraId="4496C00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xml:space="preserve">                          </w:t>
      </w:r>
    </w:p>
    <w:p w14:paraId="1E09195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法定代表人：</w:t>
      </w:r>
      <w:r>
        <w:rPr>
          <w:rFonts w:hint="eastAsia" w:ascii="宋体" w:hAnsi="宋体" w:eastAsia="宋体" w:cs="宋体"/>
          <w:color w:val="auto"/>
          <w:highlight w:val="none"/>
          <w:u w:val="single"/>
        </w:rPr>
        <w:t xml:space="preserve">                        </w:t>
      </w:r>
    </w:p>
    <w:p w14:paraId="2CD340D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委托代理人：</w:t>
      </w:r>
      <w:r>
        <w:rPr>
          <w:rFonts w:hint="eastAsia" w:ascii="宋体" w:hAnsi="宋体" w:eastAsia="宋体" w:cs="宋体"/>
          <w:color w:val="auto"/>
          <w:highlight w:val="none"/>
          <w:u w:val="single"/>
        </w:rPr>
        <w:t xml:space="preserve">                         </w:t>
      </w:r>
    </w:p>
    <w:p w14:paraId="7DBFA8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  话：</w:t>
      </w:r>
      <w:r>
        <w:rPr>
          <w:rFonts w:hint="eastAsia" w:ascii="宋体" w:hAnsi="宋体" w:eastAsia="宋体" w:cs="宋体"/>
          <w:color w:val="auto"/>
          <w:highlight w:val="none"/>
          <w:u w:val="single"/>
        </w:rPr>
        <w:t xml:space="preserve">                            </w:t>
      </w:r>
    </w:p>
    <w:p w14:paraId="17BF5ED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  真：</w:t>
      </w:r>
      <w:r>
        <w:rPr>
          <w:rFonts w:hint="eastAsia" w:ascii="宋体" w:hAnsi="宋体" w:eastAsia="宋体" w:cs="宋体"/>
          <w:color w:val="auto"/>
          <w:highlight w:val="none"/>
          <w:u w:val="single"/>
        </w:rPr>
        <w:t xml:space="preserve">                             </w:t>
      </w:r>
    </w:p>
    <w:p w14:paraId="14684C0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电子信箱：</w:t>
      </w:r>
      <w:r>
        <w:rPr>
          <w:rFonts w:hint="eastAsia" w:ascii="宋体" w:hAnsi="宋体" w:eastAsia="宋体" w:cs="宋体"/>
          <w:color w:val="auto"/>
          <w:highlight w:val="none"/>
          <w:u w:val="single"/>
        </w:rPr>
        <w:t xml:space="preserve">                         </w:t>
      </w:r>
    </w:p>
    <w:p w14:paraId="036D62E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xml:space="preserve">                         </w:t>
      </w:r>
    </w:p>
    <w:p w14:paraId="5B8C81A3">
      <w:pPr>
        <w:rPr>
          <w:rFonts w:hint="eastAsia" w:ascii="宋体" w:hAnsi="宋体" w:eastAsia="宋体" w:cs="宋体"/>
          <w:color w:val="auto"/>
          <w:highlight w:val="none"/>
          <w:u w:val="single"/>
        </w:rPr>
      </w:pPr>
      <w:r>
        <w:rPr>
          <w:rFonts w:hint="eastAsia" w:ascii="宋体" w:hAnsi="宋体" w:eastAsia="宋体" w:cs="宋体"/>
          <w:color w:val="auto"/>
          <w:highlight w:val="none"/>
        </w:rPr>
        <w:t>账  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账  号：</w:t>
      </w:r>
      <w:r>
        <w:rPr>
          <w:rFonts w:hint="eastAsia" w:ascii="宋体" w:hAnsi="宋体" w:eastAsia="宋体" w:cs="宋体"/>
          <w:color w:val="auto"/>
          <w:highlight w:val="none"/>
          <w:u w:val="single"/>
        </w:rPr>
        <w:t xml:space="preserve">                           </w:t>
      </w:r>
    </w:p>
    <w:p w14:paraId="78CBD695">
      <w:pPr>
        <w:widowControl/>
        <w:jc w:val="left"/>
        <w:rPr>
          <w:rFonts w:hint="eastAsia" w:ascii="宋体" w:hAnsi="宋体" w:eastAsia="宋体" w:cs="宋体"/>
          <w:color w:val="auto"/>
          <w:highlight w:val="none"/>
          <w:u w:val="single"/>
        </w:rPr>
      </w:pPr>
      <w:r>
        <w:rPr>
          <w:rFonts w:hint="eastAsia" w:ascii="宋体" w:hAnsi="宋体" w:eastAsia="宋体" w:cs="宋体"/>
          <w:color w:val="auto"/>
          <w:highlight w:val="none"/>
        </w:rPr>
        <w:br w:type="page"/>
      </w:r>
    </w:p>
    <w:p w14:paraId="68D8D16E">
      <w:pPr>
        <w:pStyle w:val="3"/>
        <w:keepNext w:val="0"/>
        <w:jc w:val="center"/>
        <w:rPr>
          <w:rFonts w:hint="eastAsia" w:ascii="宋体" w:hAnsi="宋体" w:eastAsia="宋体" w:cs="宋体"/>
          <w:color w:val="auto"/>
          <w:sz w:val="30"/>
          <w:szCs w:val="30"/>
          <w:highlight w:val="none"/>
        </w:rPr>
      </w:pPr>
      <w:bookmarkStart w:id="323" w:name="_Toc407135192"/>
      <w:bookmarkStart w:id="324" w:name="_Toc26674"/>
      <w:bookmarkStart w:id="325" w:name="_Toc389065256"/>
      <w:bookmarkStart w:id="326" w:name="_Toc487632689"/>
      <w:bookmarkStart w:id="327" w:name="_Toc373478338"/>
      <w:bookmarkStart w:id="328" w:name="_Toc351203632"/>
      <w:bookmarkStart w:id="329" w:name="_Toc373227691"/>
      <w:r>
        <w:rPr>
          <w:rFonts w:hint="eastAsia" w:ascii="宋体" w:hAnsi="宋体" w:eastAsia="宋体" w:cs="宋体"/>
          <w:color w:val="auto"/>
          <w:sz w:val="30"/>
          <w:szCs w:val="30"/>
          <w:highlight w:val="none"/>
        </w:rPr>
        <w:t>第二部分 通用合同条款</w:t>
      </w:r>
      <w:bookmarkEnd w:id="323"/>
      <w:bookmarkEnd w:id="324"/>
      <w:bookmarkEnd w:id="325"/>
      <w:bookmarkEnd w:id="326"/>
    </w:p>
    <w:p w14:paraId="4788CD65">
      <w:pPr>
        <w:spacing w:line="360" w:lineRule="auto"/>
        <w:ind w:firstLine="420" w:firstLineChars="200"/>
        <w:rPr>
          <w:rFonts w:hint="eastAsia" w:ascii="宋体" w:hAnsi="宋体" w:eastAsia="宋体" w:cs="宋体"/>
          <w:color w:val="auto"/>
          <w:kern w:val="0"/>
          <w:highlight w:val="none"/>
        </w:rPr>
      </w:pPr>
    </w:p>
    <w:p w14:paraId="6EB7A851">
      <w:pPr>
        <w:spacing w:line="360" w:lineRule="auto"/>
        <w:ind w:firstLine="422" w:firstLineChars="200"/>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采用《建设工程施工合同（示范文本）》（GF—201</w:t>
      </w:r>
      <w:r>
        <w:rPr>
          <w:rFonts w:hint="eastAsia" w:ascii="宋体" w:hAnsi="宋体" w:cs="宋体"/>
          <w:b/>
          <w:bCs/>
          <w:color w:val="auto"/>
          <w:kern w:val="0"/>
          <w:highlight w:val="none"/>
          <w:lang w:val="en-US" w:eastAsia="zh-CN"/>
        </w:rPr>
        <w:t>7</w:t>
      </w:r>
      <w:r>
        <w:rPr>
          <w:rFonts w:hint="eastAsia" w:ascii="宋体" w:hAnsi="宋体" w:eastAsia="宋体" w:cs="宋体"/>
          <w:b/>
          <w:bCs/>
          <w:color w:val="auto"/>
          <w:kern w:val="0"/>
          <w:highlight w:val="none"/>
        </w:rPr>
        <w:t>—0201）。</w:t>
      </w:r>
    </w:p>
    <w:p w14:paraId="3B800ADB">
      <w:pPr>
        <w:pStyle w:val="3"/>
        <w:keepNext w:val="0"/>
        <w:jc w:val="center"/>
        <w:outlineLvl w:val="9"/>
        <w:rPr>
          <w:rFonts w:hint="eastAsia" w:ascii="宋体" w:hAnsi="宋体" w:eastAsia="宋体" w:cs="宋体"/>
          <w:color w:val="auto"/>
          <w:sz w:val="30"/>
          <w:szCs w:val="30"/>
          <w:highlight w:val="none"/>
        </w:rPr>
      </w:pPr>
    </w:p>
    <w:p w14:paraId="7AA75874">
      <w:pPr>
        <w:pStyle w:val="3"/>
        <w:keepNext w:val="0"/>
        <w:jc w:val="center"/>
        <w:rPr>
          <w:rFonts w:hint="eastAsia" w:ascii="宋体" w:hAnsi="宋体" w:eastAsia="宋体" w:cs="宋体"/>
          <w:color w:val="auto"/>
          <w:sz w:val="30"/>
          <w:szCs w:val="30"/>
          <w:highlight w:val="none"/>
        </w:rPr>
      </w:pPr>
      <w:bookmarkStart w:id="330" w:name="_Toc407135193"/>
      <w:bookmarkStart w:id="331" w:name="_Toc487632690"/>
      <w:bookmarkStart w:id="332" w:name="_Toc389065257"/>
      <w:bookmarkStart w:id="333" w:name="_Toc23730"/>
      <w:r>
        <w:rPr>
          <w:rFonts w:hint="eastAsia" w:ascii="宋体" w:hAnsi="宋体" w:eastAsia="宋体" w:cs="宋体"/>
          <w:color w:val="auto"/>
          <w:sz w:val="30"/>
          <w:szCs w:val="30"/>
          <w:highlight w:val="none"/>
        </w:rPr>
        <w:t>第三部分 专用合同条款</w:t>
      </w:r>
      <w:bookmarkEnd w:id="327"/>
      <w:bookmarkEnd w:id="328"/>
      <w:bookmarkEnd w:id="329"/>
      <w:bookmarkEnd w:id="330"/>
      <w:bookmarkEnd w:id="331"/>
      <w:bookmarkEnd w:id="332"/>
      <w:bookmarkEnd w:id="333"/>
    </w:p>
    <w:p w14:paraId="0F5E6D1B">
      <w:pPr>
        <w:spacing w:line="360" w:lineRule="auto"/>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（注：专用合同条款每一条均应填写完整！）</w:t>
      </w:r>
    </w:p>
    <w:p w14:paraId="579197B7">
      <w:pPr>
        <w:pStyle w:val="4"/>
        <w:rPr>
          <w:rFonts w:hint="eastAsia" w:ascii="宋体" w:hAnsi="宋体" w:eastAsia="宋体" w:cs="宋体"/>
          <w:color w:val="auto"/>
          <w:highlight w:val="none"/>
        </w:rPr>
      </w:pPr>
      <w:bookmarkStart w:id="334" w:name="_Toc487632691"/>
      <w:bookmarkStart w:id="335" w:name="_Toc351203633"/>
      <w:bookmarkStart w:id="336" w:name="_Toc373227692"/>
      <w:bookmarkStart w:id="337" w:name="_Toc373478339"/>
      <w:bookmarkStart w:id="338" w:name="_Toc389065258"/>
      <w:bookmarkStart w:id="339" w:name="_Toc407135194"/>
      <w:r>
        <w:rPr>
          <w:rFonts w:hint="eastAsia" w:ascii="宋体" w:hAnsi="宋体" w:eastAsia="宋体" w:cs="宋体"/>
          <w:color w:val="auto"/>
          <w:highlight w:val="none"/>
        </w:rPr>
        <w:t>1</w:t>
      </w:r>
      <w:bookmarkStart w:id="340" w:name="_Toc296891196"/>
      <w:bookmarkStart w:id="341" w:name="_Toc296347155"/>
      <w:bookmarkStart w:id="342" w:name="_Toc292559866"/>
      <w:bookmarkStart w:id="343" w:name="_Toc296944495"/>
      <w:bookmarkStart w:id="344" w:name="_Toc296503156"/>
      <w:bookmarkStart w:id="345" w:name="_Toc296346657"/>
      <w:bookmarkStart w:id="346" w:name="_Toc292559361"/>
      <w:bookmarkStart w:id="347" w:name="_Toc296890984"/>
      <w:bookmarkStart w:id="348" w:name="_Toc297120456"/>
      <w:bookmarkStart w:id="349" w:name="_Toc297048342"/>
      <w:r>
        <w:rPr>
          <w:rFonts w:hint="eastAsia" w:ascii="宋体" w:hAnsi="宋体" w:eastAsia="宋体" w:cs="宋体"/>
          <w:color w:val="auto"/>
          <w:highlight w:val="none"/>
        </w:rPr>
        <w:t>. 一般约定</w:t>
      </w:r>
      <w:bookmarkEnd w:id="334"/>
      <w:bookmarkEnd w:id="335"/>
      <w:bookmarkEnd w:id="336"/>
      <w:bookmarkEnd w:id="337"/>
      <w:bookmarkEnd w:id="338"/>
      <w:bookmarkEnd w:id="339"/>
    </w:p>
    <w:bookmarkEnd w:id="340"/>
    <w:bookmarkEnd w:id="341"/>
    <w:bookmarkEnd w:id="342"/>
    <w:bookmarkEnd w:id="343"/>
    <w:bookmarkEnd w:id="344"/>
    <w:bookmarkEnd w:id="345"/>
    <w:bookmarkEnd w:id="346"/>
    <w:bookmarkEnd w:id="347"/>
    <w:bookmarkEnd w:id="348"/>
    <w:bookmarkEnd w:id="349"/>
    <w:p w14:paraId="3C8237C9">
      <w:pPr>
        <w:pStyle w:val="5"/>
        <w:rPr>
          <w:rFonts w:hint="eastAsia" w:ascii="宋体" w:hAnsi="宋体" w:eastAsia="宋体" w:cs="宋体"/>
          <w:color w:val="auto"/>
          <w:highlight w:val="none"/>
        </w:rPr>
      </w:pPr>
      <w:bookmarkStart w:id="350" w:name="_Toc487632692"/>
      <w:bookmarkStart w:id="351" w:name="_Toc373227693"/>
      <w:bookmarkStart w:id="352" w:name="_Toc389065259"/>
      <w:bookmarkStart w:id="353" w:name="_Toc373478340"/>
      <w:bookmarkStart w:id="354" w:name="_Toc407135195"/>
      <w:r>
        <w:rPr>
          <w:rFonts w:hint="eastAsia" w:ascii="宋体" w:hAnsi="宋体" w:eastAsia="宋体" w:cs="宋体"/>
          <w:color w:val="auto"/>
          <w:highlight w:val="none"/>
        </w:rPr>
        <w:t>1.1 词语定义</w:t>
      </w:r>
      <w:bookmarkEnd w:id="350"/>
      <w:bookmarkEnd w:id="351"/>
      <w:bookmarkEnd w:id="352"/>
      <w:bookmarkEnd w:id="353"/>
      <w:bookmarkEnd w:id="354"/>
    </w:p>
    <w:p w14:paraId="2A3C3524">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1.1.1 合同</w:t>
      </w:r>
    </w:p>
    <w:p w14:paraId="2238AF42">
      <w:pPr>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1.1.1.1 其他合同文件包括：</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合同协议书；中标通知书；</w:t>
      </w:r>
      <w:r>
        <w:rPr>
          <w:rFonts w:hint="eastAsia" w:ascii="宋体" w:hAnsi="宋体" w:eastAsia="宋体" w:cs="宋体"/>
          <w:color w:val="auto"/>
          <w:kern w:val="0"/>
          <w:szCs w:val="21"/>
          <w:highlight w:val="none"/>
          <w:u w:val="single"/>
        </w:rPr>
        <w:t>投标函及其附录；</w:t>
      </w:r>
      <w:r>
        <w:rPr>
          <w:rFonts w:hint="eastAsia" w:ascii="宋体" w:hAnsi="宋体" w:eastAsia="宋体" w:cs="宋体"/>
          <w:color w:val="auto"/>
          <w:szCs w:val="21"/>
          <w:highlight w:val="none"/>
          <w:u w:val="single"/>
        </w:rPr>
        <w:t>专用合同条款及其附件；通用合同条款；技术标准和要求；招标工程量清单；</w:t>
      </w:r>
      <w:r>
        <w:rPr>
          <w:rFonts w:hint="eastAsia" w:ascii="宋体" w:hAnsi="宋体" w:eastAsia="宋体" w:cs="宋体"/>
          <w:color w:val="auto"/>
          <w:szCs w:val="21"/>
          <w:highlight w:val="none"/>
          <w:u w:val="single"/>
          <w:lang w:eastAsia="zh-CN"/>
        </w:rPr>
        <w:t>竞争性磋商文件</w:t>
      </w:r>
      <w:r>
        <w:rPr>
          <w:rFonts w:hint="eastAsia" w:ascii="宋体" w:hAnsi="宋体" w:eastAsia="宋体" w:cs="宋体"/>
          <w:color w:val="auto"/>
          <w:szCs w:val="21"/>
          <w:highlight w:val="none"/>
          <w:u w:val="single"/>
        </w:rPr>
        <w:t>；投标文件；其他合同文件；补充协议；工程洽商；经发包人同意监理人发布的变更指示和工程签证；工程会议纪要；备忘录</w:t>
      </w:r>
      <w:r>
        <w:rPr>
          <w:rFonts w:hint="eastAsia" w:ascii="宋体" w:hAnsi="宋体" w:cs="宋体"/>
          <w:color w:val="auto"/>
          <w:szCs w:val="21"/>
          <w:highlight w:val="none"/>
          <w:u w:val="single"/>
          <w:lang w:eastAsia="zh-CN"/>
        </w:rPr>
        <w:t xml:space="preserve">等，双方当事人确认构成合同文件的其他文件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DC443C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合同当事人及其他相关方</w:t>
      </w:r>
    </w:p>
    <w:p w14:paraId="1613CD8B">
      <w:pPr>
        <w:spacing w:line="360" w:lineRule="auto"/>
        <w:ind w:firstLine="420" w:firstLineChars="200"/>
        <w:outlineLvl w:val="0"/>
        <w:rPr>
          <w:rFonts w:hint="eastAsia" w:ascii="宋体" w:hAnsi="宋体" w:eastAsia="宋体" w:cs="宋体"/>
          <w:color w:val="auto"/>
          <w:highlight w:val="none"/>
        </w:rPr>
      </w:pPr>
      <w:bookmarkStart w:id="355" w:name="_Toc8090"/>
      <w:r>
        <w:rPr>
          <w:rFonts w:hint="eastAsia" w:ascii="宋体" w:hAnsi="宋体" w:eastAsia="宋体" w:cs="宋体"/>
          <w:color w:val="auto"/>
          <w:highlight w:val="none"/>
        </w:rPr>
        <w:t>1.1.2.1 监理人：</w:t>
      </w:r>
      <w:bookmarkEnd w:id="355"/>
    </w:p>
    <w:p w14:paraId="7378D9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3D080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资质类别和等级：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C2743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6A3B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83DC1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85D7F31">
      <w:pPr>
        <w:spacing w:line="360" w:lineRule="auto"/>
        <w:ind w:firstLine="420" w:firstLineChars="200"/>
        <w:outlineLvl w:val="0"/>
        <w:rPr>
          <w:rFonts w:hint="eastAsia" w:ascii="宋体" w:hAnsi="宋体" w:eastAsia="宋体" w:cs="宋体"/>
          <w:color w:val="auto"/>
          <w:highlight w:val="none"/>
        </w:rPr>
      </w:pPr>
      <w:bookmarkStart w:id="356" w:name="_Toc1503"/>
      <w:r>
        <w:rPr>
          <w:rFonts w:hint="eastAsia" w:ascii="宋体" w:hAnsi="宋体" w:eastAsia="宋体" w:cs="宋体"/>
          <w:color w:val="auto"/>
          <w:highlight w:val="none"/>
        </w:rPr>
        <w:t>1.1.2.2设计人：</w:t>
      </w:r>
      <w:bookmarkEnd w:id="356"/>
    </w:p>
    <w:p w14:paraId="1A9A7F6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4520F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资质类别和等级：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4F686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647F1A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4A7951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94608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工程和设备</w:t>
      </w:r>
    </w:p>
    <w:p w14:paraId="193BDCAD">
      <w:pPr>
        <w:spacing w:line="360" w:lineRule="auto"/>
        <w:ind w:firstLine="420" w:firstLineChars="200"/>
        <w:rPr>
          <w:rFonts w:hint="eastAsia" w:ascii="宋体" w:hAnsi="宋体" w:eastAsia="宋体" w:cs="宋体"/>
          <w:color w:val="auto"/>
          <w:highlight w:val="none"/>
        </w:rPr>
      </w:pPr>
      <w:bookmarkStart w:id="357" w:name="_Toc389065260"/>
      <w:bookmarkStart w:id="358" w:name="_Toc373478341"/>
      <w:bookmarkStart w:id="359" w:name="_Toc373227694"/>
      <w:bookmarkStart w:id="360" w:name="_Toc487632693"/>
      <w:bookmarkStart w:id="361" w:name="_Toc407135196"/>
      <w:r>
        <w:rPr>
          <w:rFonts w:hint="eastAsia" w:ascii="宋体" w:hAnsi="宋体" w:eastAsia="宋体" w:cs="宋体"/>
          <w:color w:val="auto"/>
          <w:highlight w:val="none"/>
        </w:rPr>
        <w:t>1.1.3.1 作为施工现场组成部分的其他场所包括：</w:t>
      </w:r>
      <w:r>
        <w:rPr>
          <w:rFonts w:hint="eastAsia" w:ascii="宋体" w:hAnsi="宋体" w:eastAsia="宋体" w:cs="宋体"/>
          <w:color w:val="auto"/>
          <w:highlight w:val="none"/>
          <w:u w:val="single"/>
        </w:rPr>
        <w:t>包括永久占地、临时占地。</w:t>
      </w:r>
    </w:p>
    <w:p w14:paraId="12195EDF">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1.1.3.2 永久占地包括：</w:t>
      </w:r>
      <w:r>
        <w:rPr>
          <w:rFonts w:hint="eastAsia" w:ascii="宋体" w:hAnsi="宋体" w:eastAsia="宋体" w:cs="宋体"/>
          <w:color w:val="auto"/>
          <w:highlight w:val="none"/>
          <w:u w:val="single"/>
        </w:rPr>
        <w:t>为实施合同工程需永久占用的土地。</w:t>
      </w:r>
    </w:p>
    <w:p w14:paraId="176B0C3F">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1.1.3.3 临时占地包括：</w:t>
      </w:r>
      <w:r>
        <w:rPr>
          <w:rFonts w:hint="eastAsia" w:ascii="宋体" w:hAnsi="宋体" w:eastAsia="宋体" w:cs="宋体"/>
          <w:color w:val="auto"/>
          <w:highlight w:val="none"/>
          <w:u w:val="single"/>
        </w:rPr>
        <w:t>为实施合同工程需永久占用的土地。</w:t>
      </w:r>
    </w:p>
    <w:p w14:paraId="39C85EA0">
      <w:pPr>
        <w:pStyle w:val="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法律</w:t>
      </w:r>
      <w:bookmarkEnd w:id="357"/>
      <w:bookmarkEnd w:id="358"/>
      <w:bookmarkEnd w:id="359"/>
      <w:bookmarkEnd w:id="360"/>
      <w:bookmarkEnd w:id="361"/>
    </w:p>
    <w:p w14:paraId="7240167F">
      <w:pPr>
        <w:autoSpaceDE w:val="0"/>
        <w:autoSpaceDN w:val="0"/>
        <w:adjustRightIn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适用于合同的其他规范性文件：</w:t>
      </w:r>
      <w:r>
        <w:rPr>
          <w:rFonts w:hint="eastAsia" w:ascii="宋体" w:hAnsi="宋体" w:cs="宋体"/>
          <w:color w:val="auto"/>
          <w:highlight w:val="none"/>
          <w:u w:val="single"/>
          <w:lang w:val="en-US" w:eastAsia="zh-CN"/>
        </w:rPr>
        <w:t>《中华人民共和国民法典》、《中华人民共和国建筑法》、《中华人民共和国安全生产法》、《建筑工程质量管理条例》、桂政发【2012】42号《广西壮族自治区人民政府关于印发广西壮族自治区建筑安装工程劳动保险费管理办法的通知》、梧政办发[2014]2号《梧州市人民政府办公室转发市住建委关于我市建设工程安全防护文明施工措施费管理规定的通知》，《梧州市人民政府办公室关于印发我市国有投资项目建设工程招投标监管若干规定的通知》梧政办发【2018】203号文、《梧州市关于全面治理拖欠农民工工资问题的实施方案及配套办法》梧政办发【2017】201号文以及其他有关法律、法规和工程所在地的政府及相关主管部门制定的规范性文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C1D5E45">
      <w:pPr>
        <w:pStyle w:val="5"/>
        <w:rPr>
          <w:rFonts w:hint="eastAsia" w:ascii="宋体" w:hAnsi="宋体" w:eastAsia="宋体" w:cs="宋体"/>
          <w:color w:val="auto"/>
          <w:highlight w:val="none"/>
        </w:rPr>
      </w:pPr>
      <w:bookmarkStart w:id="362" w:name="_Toc389065261"/>
      <w:bookmarkStart w:id="363" w:name="_Toc373227695"/>
      <w:bookmarkStart w:id="364" w:name="_Toc407135197"/>
      <w:bookmarkStart w:id="365" w:name="_Toc373478342"/>
      <w:bookmarkStart w:id="366" w:name="_Toc487632694"/>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标准和规范</w:t>
      </w:r>
      <w:bookmarkEnd w:id="362"/>
      <w:bookmarkEnd w:id="363"/>
      <w:bookmarkEnd w:id="364"/>
      <w:bookmarkEnd w:id="365"/>
      <w:bookmarkEnd w:id="366"/>
    </w:p>
    <w:p w14:paraId="39B81B9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1.3.1 适用于工程的标准规范包括：</w:t>
      </w:r>
      <w:r>
        <w:rPr>
          <w:rFonts w:hint="eastAsia" w:ascii="宋体" w:hAnsi="宋体" w:eastAsia="宋体" w:cs="宋体"/>
          <w:color w:val="auto"/>
          <w:highlight w:val="none"/>
          <w:u w:val="single"/>
        </w:rPr>
        <w:t xml:space="preserve">  现行的国家标准、行业标准、地方规范性文件    </w:t>
      </w:r>
      <w:r>
        <w:rPr>
          <w:rFonts w:hint="eastAsia" w:ascii="宋体" w:hAnsi="宋体" w:eastAsia="宋体" w:cs="宋体"/>
          <w:color w:val="auto"/>
          <w:highlight w:val="none"/>
        </w:rPr>
        <w:t>。</w:t>
      </w:r>
    </w:p>
    <w:p w14:paraId="16872EC4">
      <w:pPr>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1.3.2 发包人提供国外标准、规范的名称：</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756074E2">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发包人提供国外标准、规范的份数：</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无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48DD8F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发包人提供国外标准、规范的名称：</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无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52E541A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1.3.3 发包人对工程的技术标准和功能要求的特殊要求：</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4A0CC43A">
      <w:pPr>
        <w:pStyle w:val="5"/>
        <w:rPr>
          <w:rFonts w:hint="eastAsia" w:ascii="宋体" w:hAnsi="宋体" w:eastAsia="宋体" w:cs="宋体"/>
          <w:color w:val="auto"/>
          <w:highlight w:val="none"/>
        </w:rPr>
      </w:pPr>
      <w:bookmarkStart w:id="367" w:name="_Toc407135198"/>
      <w:bookmarkStart w:id="368" w:name="_Toc373478343"/>
      <w:bookmarkStart w:id="369" w:name="_Toc389065262"/>
      <w:bookmarkStart w:id="370" w:name="_Toc487632695"/>
      <w:bookmarkStart w:id="371" w:name="_Toc373227696"/>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合同文件的优先顺序</w:t>
      </w:r>
      <w:bookmarkEnd w:id="367"/>
      <w:bookmarkEnd w:id="368"/>
      <w:bookmarkEnd w:id="369"/>
      <w:bookmarkEnd w:id="370"/>
      <w:bookmarkEnd w:id="371"/>
    </w:p>
    <w:p w14:paraId="2866A8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合同文件组成及优先顺序为：</w:t>
      </w:r>
    </w:p>
    <w:p w14:paraId="0E14C66D">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（1）合同协议书；</w:t>
      </w:r>
    </w:p>
    <w:p w14:paraId="22BECA0C">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（2）中标通知书；</w:t>
      </w:r>
    </w:p>
    <w:p w14:paraId="4CDFB190">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（3）磋商函及其附录；</w:t>
      </w:r>
    </w:p>
    <w:p w14:paraId="1C6A4D38">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（4）专用合同条款及其附件；</w:t>
      </w:r>
    </w:p>
    <w:p w14:paraId="436EA3C9">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（5）通用合同条款；</w:t>
      </w:r>
    </w:p>
    <w:p w14:paraId="42F2643B">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（6）</w:t>
      </w:r>
      <w:r>
        <w:rPr>
          <w:rFonts w:hint="eastAsia" w:ascii="宋体" w:hAnsi="宋体" w:eastAsia="宋体" w:cs="宋体"/>
          <w:color w:val="auto"/>
          <w:kern w:val="0"/>
          <w:highlight w:val="none"/>
          <w:u w:val="single"/>
        </w:rPr>
        <w:t xml:space="preserve">  技术标准和要求      </w:t>
      </w:r>
      <w:r>
        <w:rPr>
          <w:rFonts w:hint="eastAsia" w:ascii="宋体" w:hAnsi="宋体" w:eastAsia="宋体" w:cs="宋体"/>
          <w:color w:val="auto"/>
          <w:kern w:val="0"/>
          <w:highlight w:val="none"/>
        </w:rPr>
        <w:t>；</w:t>
      </w:r>
    </w:p>
    <w:p w14:paraId="71AEA30B">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r>
        <w:rPr>
          <w:rFonts w:hint="eastAsia" w:ascii="宋体" w:hAnsi="宋体" w:eastAsia="宋体" w:cs="宋体"/>
          <w:color w:val="auto"/>
          <w:kern w:val="0"/>
          <w:highlight w:val="none"/>
          <w:u w:val="single"/>
        </w:rPr>
        <w:t xml:space="preserve">  已标价工程量清单或预算书      </w:t>
      </w:r>
      <w:r>
        <w:rPr>
          <w:rFonts w:hint="eastAsia" w:ascii="宋体" w:hAnsi="宋体" w:eastAsia="宋体" w:cs="宋体"/>
          <w:color w:val="auto"/>
          <w:kern w:val="0"/>
          <w:highlight w:val="none"/>
        </w:rPr>
        <w:t>；</w:t>
      </w:r>
    </w:p>
    <w:p w14:paraId="24FD6CC5">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cs="宋体"/>
          <w:color w:val="auto"/>
          <w:kern w:val="0"/>
          <w:highlight w:val="none"/>
          <w:lang w:val="en-US" w:eastAsia="zh-CN"/>
        </w:rPr>
        <w:t>8</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其他合同文件    </w:t>
      </w:r>
      <w:r>
        <w:rPr>
          <w:rFonts w:hint="eastAsia" w:ascii="宋体" w:hAnsi="宋体" w:eastAsia="宋体" w:cs="宋体"/>
          <w:color w:val="auto"/>
          <w:kern w:val="0"/>
          <w:highlight w:val="none"/>
        </w:rPr>
        <w:t>。</w:t>
      </w:r>
    </w:p>
    <w:p w14:paraId="54CB426D">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cs="宋体"/>
          <w:color w:val="auto"/>
          <w:kern w:val="0"/>
          <w:highlight w:val="none"/>
          <w:lang w:val="en-US" w:eastAsia="zh-CN"/>
        </w:rPr>
        <w:t>9</w:t>
      </w:r>
      <w:r>
        <w:rPr>
          <w:rFonts w:hint="eastAsia" w:ascii="宋体" w:hAnsi="宋体" w:eastAsia="宋体" w:cs="宋体"/>
          <w:color w:val="auto"/>
          <w:kern w:val="0"/>
          <w:highlight w:val="none"/>
        </w:rPr>
        <w:t>）《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w:t>
      </w:r>
    </w:p>
    <w:p w14:paraId="7E6940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说明：（6）、（7）、（8）填空内容分别限于技术标准和要求、已标价工程量清单或预算书、其他合同文件四者之一，其优先顺序可根据采取的不同合同方式由双方约定。</w:t>
      </w:r>
    </w:p>
    <w:p w14:paraId="2EA8F13D">
      <w:pPr>
        <w:pStyle w:val="5"/>
        <w:rPr>
          <w:rFonts w:hint="eastAsia" w:ascii="宋体" w:hAnsi="宋体" w:eastAsia="宋体" w:cs="宋体"/>
          <w:color w:val="auto"/>
          <w:highlight w:val="none"/>
        </w:rPr>
      </w:pPr>
      <w:bookmarkStart w:id="372" w:name="_Toc373227697"/>
      <w:bookmarkStart w:id="373" w:name="_Toc407135199"/>
      <w:bookmarkStart w:id="374" w:name="_Toc487632696"/>
      <w:bookmarkStart w:id="375" w:name="_Toc373478344"/>
      <w:bookmarkStart w:id="376" w:name="_Toc389065263"/>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图纸和承包人文件</w:t>
      </w:r>
      <w:bookmarkEnd w:id="372"/>
      <w:bookmarkEnd w:id="373"/>
      <w:bookmarkEnd w:id="374"/>
      <w:bookmarkEnd w:id="375"/>
      <w:bookmarkEnd w:id="376"/>
      <w:r>
        <w:rPr>
          <w:rFonts w:hint="eastAsia" w:ascii="宋体" w:hAnsi="宋体" w:eastAsia="宋体" w:cs="宋体"/>
          <w:color w:val="auto"/>
          <w:highlight w:val="none"/>
        </w:rPr>
        <w:tab/>
      </w:r>
    </w:p>
    <w:p w14:paraId="598401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1.5.1 图纸的提供</w:t>
      </w:r>
    </w:p>
    <w:p w14:paraId="269056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发包人向承包人提供图纸的期限：</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DF50C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发包人向承包人提供图纸的数量：</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套（承包人需要增加图纸套数的，发包人应代为复制，复制费用由承包人承担）；</w:t>
      </w:r>
    </w:p>
    <w:p w14:paraId="6CC209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发包人向承包人提供图纸的内容：</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eastAsia="zh-CN"/>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2BDEEC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1.5.2承包人文件</w:t>
      </w:r>
    </w:p>
    <w:p w14:paraId="2039B429">
      <w:pPr>
        <w:spacing w:line="360" w:lineRule="auto"/>
        <w:ind w:firstLine="420" w:firstLineChars="200"/>
        <w:jc w:val="left"/>
        <w:rPr>
          <w:rFonts w:hint="eastAsia" w:ascii="宋体" w:hAnsi="宋体" w:eastAsia="宋体" w:cs="宋体"/>
          <w:color w:val="auto"/>
          <w:highlight w:val="none"/>
          <w:u w:val="single"/>
        </w:rPr>
      </w:pPr>
      <w:bookmarkStart w:id="377" w:name="_Toc407135200"/>
      <w:bookmarkStart w:id="378" w:name="_Toc389065264"/>
      <w:bookmarkStart w:id="379" w:name="_Toc373227698"/>
      <w:bookmarkStart w:id="380" w:name="_Toc373478345"/>
      <w:bookmarkStart w:id="381" w:name="_Toc487632697"/>
      <w:r>
        <w:rPr>
          <w:rFonts w:hint="eastAsia" w:ascii="宋体" w:hAnsi="宋体" w:eastAsia="宋体" w:cs="宋体"/>
          <w:color w:val="auto"/>
          <w:highlight w:val="none"/>
        </w:rPr>
        <w:t>需要由承包人提供的文件，包括：</w:t>
      </w:r>
      <w:r>
        <w:rPr>
          <w:rFonts w:hint="eastAsia" w:ascii="宋体" w:hAnsi="宋体" w:eastAsia="宋体" w:cs="宋体"/>
          <w:color w:val="auto"/>
          <w:highlight w:val="none"/>
          <w:u w:val="single"/>
        </w:rPr>
        <w:t xml:space="preserve">因承包人原因提出的设计变更方案、质量处理整改方案 </w:t>
      </w:r>
      <w:r>
        <w:rPr>
          <w:rFonts w:hint="eastAsia" w:ascii="宋体" w:hAnsi="宋体" w:eastAsia="宋体" w:cs="宋体"/>
          <w:color w:val="auto"/>
          <w:highlight w:val="none"/>
        </w:rPr>
        <w:t>；</w:t>
      </w:r>
    </w:p>
    <w:p w14:paraId="044F768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承包人提供的文件的期限为：</w:t>
      </w:r>
      <w:r>
        <w:rPr>
          <w:rFonts w:hint="eastAsia" w:ascii="宋体" w:hAnsi="宋体" w:eastAsia="宋体" w:cs="宋体"/>
          <w:color w:val="auto"/>
          <w:highlight w:val="none"/>
          <w:u w:val="single"/>
        </w:rPr>
        <w:t xml:space="preserve">    文件实施前3天      </w:t>
      </w:r>
      <w:r>
        <w:rPr>
          <w:rFonts w:hint="eastAsia" w:ascii="宋体" w:hAnsi="宋体" w:eastAsia="宋体" w:cs="宋体"/>
          <w:color w:val="auto"/>
          <w:highlight w:val="none"/>
        </w:rPr>
        <w:t>；</w:t>
      </w:r>
    </w:p>
    <w:p w14:paraId="2CE362B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承包人提供的文件的数量为：</w:t>
      </w:r>
      <w:r>
        <w:rPr>
          <w:rFonts w:hint="eastAsia" w:ascii="宋体" w:hAnsi="宋体" w:eastAsia="宋体" w:cs="宋体"/>
          <w:color w:val="auto"/>
          <w:highlight w:val="none"/>
          <w:u w:val="single"/>
        </w:rPr>
        <w:t xml:space="preserve">  按发包人要求提供      </w:t>
      </w:r>
      <w:r>
        <w:rPr>
          <w:rFonts w:hint="eastAsia" w:ascii="宋体" w:hAnsi="宋体" w:eastAsia="宋体" w:cs="宋体"/>
          <w:color w:val="auto"/>
          <w:highlight w:val="none"/>
        </w:rPr>
        <w:t>；</w:t>
      </w:r>
    </w:p>
    <w:p w14:paraId="78AF7C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承包人提供的文件的形式为：</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eastAsia="zh-CN"/>
        </w:rPr>
        <w:t>电子签章</w:t>
      </w:r>
      <w:r>
        <w:rPr>
          <w:rFonts w:hint="eastAsia" w:ascii="宋体" w:hAnsi="宋体" w:eastAsia="宋体" w:cs="宋体"/>
          <w:color w:val="auto"/>
          <w:highlight w:val="none"/>
          <w:u w:val="single"/>
        </w:rPr>
        <w:t xml:space="preserve">的纸质文件  </w:t>
      </w:r>
      <w:r>
        <w:rPr>
          <w:rFonts w:hint="eastAsia" w:ascii="宋体" w:hAnsi="宋体" w:eastAsia="宋体" w:cs="宋体"/>
          <w:color w:val="auto"/>
          <w:highlight w:val="none"/>
        </w:rPr>
        <w:t>；</w:t>
      </w:r>
    </w:p>
    <w:p w14:paraId="082B69C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发包人审批承包人文件的期限：</w:t>
      </w:r>
      <w:r>
        <w:rPr>
          <w:rFonts w:hint="eastAsia" w:ascii="宋体" w:hAnsi="宋体" w:eastAsia="宋体" w:cs="宋体"/>
          <w:color w:val="auto"/>
          <w:highlight w:val="none"/>
          <w:u w:val="single"/>
        </w:rPr>
        <w:t xml:space="preserve">    收到文件后7天内   </w:t>
      </w:r>
      <w:r>
        <w:rPr>
          <w:rFonts w:hint="eastAsia" w:ascii="宋体" w:hAnsi="宋体" w:eastAsia="宋体" w:cs="宋体"/>
          <w:color w:val="auto"/>
          <w:highlight w:val="none"/>
        </w:rPr>
        <w:t>。</w:t>
      </w:r>
    </w:p>
    <w:p w14:paraId="2A0ECDC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1.5.3 现场图纸准备</w:t>
      </w:r>
    </w:p>
    <w:p w14:paraId="7BB335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关于现场图纸准备的约定：</w:t>
      </w:r>
      <w:r>
        <w:rPr>
          <w:rFonts w:hint="eastAsia" w:ascii="宋体" w:hAnsi="宋体" w:eastAsia="宋体" w:cs="宋体"/>
          <w:color w:val="auto"/>
          <w:highlight w:val="none"/>
          <w:u w:val="single"/>
        </w:rPr>
        <w:t xml:space="preserve">   按通用合同条款执行       </w:t>
      </w:r>
      <w:r>
        <w:rPr>
          <w:rFonts w:hint="eastAsia" w:ascii="宋体" w:hAnsi="宋体" w:eastAsia="宋体" w:cs="宋体"/>
          <w:color w:val="auto"/>
          <w:highlight w:val="none"/>
        </w:rPr>
        <w:t>。</w:t>
      </w:r>
    </w:p>
    <w:p w14:paraId="08CCA459">
      <w:pPr>
        <w:pStyle w:val="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联络</w:t>
      </w:r>
      <w:bookmarkEnd w:id="377"/>
      <w:bookmarkEnd w:id="378"/>
      <w:bookmarkEnd w:id="379"/>
      <w:bookmarkEnd w:id="380"/>
      <w:bookmarkEnd w:id="381"/>
    </w:p>
    <w:p w14:paraId="22292E52">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1.6.1发包人和承包人应当在</w:t>
      </w:r>
      <w:r>
        <w:rPr>
          <w:rFonts w:hint="eastAsia" w:ascii="宋体" w:hAnsi="宋体" w:eastAsia="宋体" w:cs="宋体"/>
          <w:color w:val="auto"/>
          <w:highlight w:val="none"/>
          <w:u w:val="single"/>
        </w:rPr>
        <w:t xml:space="preserve"> 3 </w:t>
      </w:r>
      <w:r>
        <w:rPr>
          <w:rFonts w:hint="eastAsia" w:ascii="宋体" w:hAnsi="宋体" w:eastAsia="宋体" w:cs="宋体"/>
          <w:color w:val="auto"/>
          <w:kern w:val="0"/>
          <w:highlight w:val="none"/>
        </w:rPr>
        <w:t>天内将与合同有关的通知、批准、证明、证书、指示、指令、要求、请求、同意、意见、确定和决定等书面函件送达对方当事人。</w:t>
      </w:r>
    </w:p>
    <w:p w14:paraId="482904E1">
      <w:pPr>
        <w:spacing w:line="360" w:lineRule="auto"/>
        <w:ind w:firstLine="420" w:firstLineChars="200"/>
        <w:rPr>
          <w:rFonts w:hint="eastAsia" w:ascii="宋体" w:hAnsi="宋体" w:eastAsia="宋体" w:cs="宋体"/>
          <w:color w:val="auto"/>
          <w:kern w:val="0"/>
          <w:highlight w:val="none"/>
        </w:rPr>
      </w:pPr>
      <w:bookmarkStart w:id="382" w:name="_Toc373478346"/>
      <w:bookmarkStart w:id="383" w:name="_Toc407135201"/>
      <w:bookmarkStart w:id="384" w:name="_Toc487632698"/>
      <w:bookmarkStart w:id="385" w:name="_Toc389065265"/>
      <w:bookmarkStart w:id="386" w:name="_Toc373227699"/>
      <w:r>
        <w:rPr>
          <w:rFonts w:hint="eastAsia" w:ascii="宋体" w:hAnsi="宋体" w:eastAsia="宋体" w:cs="宋体"/>
          <w:color w:val="auto"/>
          <w:kern w:val="0"/>
          <w:highlight w:val="none"/>
        </w:rPr>
        <w:t>1.6.2 发包人接收文件的地点：</w:t>
      </w:r>
      <w:r>
        <w:rPr>
          <w:rFonts w:hint="eastAsia" w:ascii="宋体" w:hAnsi="宋体" w:eastAsia="宋体" w:cs="宋体"/>
          <w:color w:val="auto"/>
          <w:highlight w:val="none"/>
          <w:u w:val="single"/>
        </w:rPr>
        <w:t xml:space="preserve">       发包人办公室      </w:t>
      </w:r>
      <w:r>
        <w:rPr>
          <w:rFonts w:hint="eastAsia" w:ascii="宋体" w:hAnsi="宋体" w:eastAsia="宋体" w:cs="宋体"/>
          <w:color w:val="auto"/>
          <w:kern w:val="0"/>
          <w:highlight w:val="none"/>
        </w:rPr>
        <w:t>；</w:t>
      </w:r>
    </w:p>
    <w:p w14:paraId="24F42456">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发包人指定的接收人为：</w:t>
      </w:r>
      <w:r>
        <w:rPr>
          <w:rFonts w:hint="eastAsia" w:ascii="宋体" w:hAnsi="宋体" w:eastAsia="宋体" w:cs="宋体"/>
          <w:color w:val="auto"/>
          <w:highlight w:val="none"/>
          <w:u w:val="single"/>
        </w:rPr>
        <w:t xml:space="preserve">      工地代表（可委托）       </w:t>
      </w:r>
      <w:r>
        <w:rPr>
          <w:rFonts w:hint="eastAsia" w:ascii="宋体" w:hAnsi="宋体" w:eastAsia="宋体" w:cs="宋体"/>
          <w:color w:val="auto"/>
          <w:kern w:val="0"/>
          <w:highlight w:val="none"/>
        </w:rPr>
        <w:t>。</w:t>
      </w:r>
    </w:p>
    <w:p w14:paraId="6CE9F3E5">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承包人接收文件的地点：</w:t>
      </w:r>
      <w:r>
        <w:rPr>
          <w:rFonts w:hint="eastAsia" w:ascii="宋体" w:hAnsi="宋体" w:eastAsia="宋体" w:cs="宋体"/>
          <w:color w:val="auto"/>
          <w:highlight w:val="none"/>
          <w:u w:val="single"/>
        </w:rPr>
        <w:t xml:space="preserve">      承包人项目部办公室       </w:t>
      </w:r>
      <w:r>
        <w:rPr>
          <w:rFonts w:hint="eastAsia" w:ascii="宋体" w:hAnsi="宋体" w:eastAsia="宋体" w:cs="宋体"/>
          <w:color w:val="auto"/>
          <w:kern w:val="0"/>
          <w:highlight w:val="none"/>
        </w:rPr>
        <w:t>；</w:t>
      </w:r>
    </w:p>
    <w:p w14:paraId="3F7412DA">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承包人指定的接收人为：</w:t>
      </w:r>
      <w:r>
        <w:rPr>
          <w:rFonts w:hint="eastAsia" w:ascii="宋体" w:hAnsi="宋体" w:eastAsia="宋体" w:cs="宋体"/>
          <w:color w:val="auto"/>
          <w:highlight w:val="none"/>
          <w:u w:val="single"/>
        </w:rPr>
        <w:t xml:space="preserve">        项目经理               </w:t>
      </w:r>
      <w:r>
        <w:rPr>
          <w:rFonts w:hint="eastAsia" w:ascii="宋体" w:hAnsi="宋体" w:eastAsia="宋体" w:cs="宋体"/>
          <w:color w:val="auto"/>
          <w:kern w:val="0"/>
          <w:highlight w:val="none"/>
        </w:rPr>
        <w:t>。</w:t>
      </w:r>
    </w:p>
    <w:p w14:paraId="06F67A6B">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监理人接收文件的地点：</w:t>
      </w:r>
      <w:r>
        <w:rPr>
          <w:rFonts w:hint="eastAsia" w:ascii="宋体" w:hAnsi="宋体" w:eastAsia="宋体" w:cs="宋体"/>
          <w:color w:val="auto"/>
          <w:highlight w:val="none"/>
          <w:u w:val="single"/>
        </w:rPr>
        <w:t xml:space="preserve">       项目监理部              </w:t>
      </w:r>
      <w:r>
        <w:rPr>
          <w:rFonts w:hint="eastAsia" w:ascii="宋体" w:hAnsi="宋体" w:eastAsia="宋体" w:cs="宋体"/>
          <w:color w:val="auto"/>
          <w:kern w:val="0"/>
          <w:highlight w:val="none"/>
        </w:rPr>
        <w:t>；</w:t>
      </w:r>
    </w:p>
    <w:p w14:paraId="793FEE9D">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监理人指定的接收人为：</w:t>
      </w:r>
      <w:r>
        <w:rPr>
          <w:rFonts w:hint="eastAsia" w:ascii="宋体" w:hAnsi="宋体" w:eastAsia="宋体" w:cs="宋体"/>
          <w:color w:val="auto"/>
          <w:highlight w:val="none"/>
          <w:u w:val="single"/>
        </w:rPr>
        <w:t xml:space="preserve">       总监理工程师（可委托）  </w:t>
      </w:r>
      <w:r>
        <w:rPr>
          <w:rFonts w:hint="eastAsia" w:ascii="宋体" w:hAnsi="宋体" w:eastAsia="宋体" w:cs="宋体"/>
          <w:color w:val="auto"/>
          <w:kern w:val="0"/>
          <w:highlight w:val="none"/>
        </w:rPr>
        <w:t>。</w:t>
      </w:r>
    </w:p>
    <w:p w14:paraId="2696050F">
      <w:pPr>
        <w:pStyle w:val="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交通运输</w:t>
      </w:r>
      <w:bookmarkEnd w:id="382"/>
      <w:bookmarkEnd w:id="383"/>
      <w:bookmarkEnd w:id="384"/>
      <w:bookmarkEnd w:id="385"/>
      <w:bookmarkEnd w:id="386"/>
    </w:p>
    <w:p w14:paraId="5E8601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bookmarkStart w:id="387" w:name="_Toc312677986"/>
      <w:bookmarkStart w:id="388" w:name="_Toc318581155"/>
      <w:bookmarkStart w:id="389" w:name="_Toc304295521"/>
      <w:bookmarkStart w:id="390" w:name="_Toc303539100"/>
      <w:bookmarkStart w:id="391" w:name="_Toc300934943"/>
      <w:r>
        <w:rPr>
          <w:rFonts w:hint="eastAsia" w:ascii="宋体" w:hAnsi="宋体" w:eastAsia="宋体" w:cs="宋体"/>
          <w:color w:val="auto"/>
          <w:highlight w:val="none"/>
        </w:rPr>
        <w:t>.7.1 出入现场的权利</w:t>
      </w:r>
    </w:p>
    <w:p w14:paraId="2379EC14">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关于出入现场的权利的约定：</w:t>
      </w:r>
      <w:r>
        <w:rPr>
          <w:rFonts w:hint="eastAsia" w:ascii="宋体" w:hAnsi="宋体" w:eastAsia="宋体" w:cs="宋体"/>
          <w:color w:val="auto"/>
          <w:highlight w:val="none"/>
          <w:u w:val="single"/>
        </w:rPr>
        <w:t xml:space="preserve">  按现有出入现场的道路现状交付承包人，由承包人自行解决取得出入现场的道路通行的权利 ，发包人应协助办理有关手续  </w:t>
      </w:r>
      <w:r>
        <w:rPr>
          <w:rFonts w:hint="eastAsia" w:ascii="宋体" w:hAnsi="宋体" w:eastAsia="宋体" w:cs="宋体"/>
          <w:color w:val="auto"/>
          <w:highlight w:val="none"/>
        </w:rPr>
        <w:t>。</w:t>
      </w:r>
    </w:p>
    <w:bookmarkEnd w:id="387"/>
    <w:bookmarkEnd w:id="388"/>
    <w:bookmarkEnd w:id="389"/>
    <w:bookmarkEnd w:id="390"/>
    <w:bookmarkEnd w:id="391"/>
    <w:p w14:paraId="361CA4B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bookmarkStart w:id="392" w:name="_Toc318581156"/>
      <w:bookmarkStart w:id="393" w:name="_Toc300934944"/>
      <w:bookmarkStart w:id="394" w:name="_Toc304295522"/>
      <w:bookmarkStart w:id="395" w:name="_Toc303539101"/>
      <w:bookmarkStart w:id="396" w:name="_Toc312677987"/>
      <w:r>
        <w:rPr>
          <w:rFonts w:hint="eastAsia" w:ascii="宋体" w:hAnsi="宋体" w:eastAsia="宋体" w:cs="宋体"/>
          <w:color w:val="auto"/>
          <w:highlight w:val="none"/>
        </w:rPr>
        <w:t>.7.2场内交通</w:t>
      </w:r>
    </w:p>
    <w:p w14:paraId="27F473DA">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关于场外交通和场内交通的边界的约定：</w:t>
      </w:r>
      <w:r>
        <w:rPr>
          <w:rFonts w:hint="eastAsia" w:ascii="宋体" w:hAnsi="宋体" w:eastAsia="宋体" w:cs="宋体"/>
          <w:color w:val="auto"/>
          <w:highlight w:val="none"/>
          <w:u w:val="single"/>
        </w:rPr>
        <w:t xml:space="preserve"> 由承包方按照规划红线进行封闭围挡，施工现场封闭围挡范围以内为场内交通；范围以外为场外交通   </w:t>
      </w:r>
      <w:r>
        <w:rPr>
          <w:rFonts w:hint="eastAsia" w:ascii="宋体" w:hAnsi="宋体" w:eastAsia="宋体" w:cs="宋体"/>
          <w:color w:val="auto"/>
          <w:highlight w:val="none"/>
        </w:rPr>
        <w:t>。</w:t>
      </w:r>
    </w:p>
    <w:p w14:paraId="145C73D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关于发包人向承包人免费提供满足工程施工需要的场内道路和交通设施的约定：</w:t>
      </w:r>
      <w:r>
        <w:rPr>
          <w:rFonts w:hint="eastAsia" w:ascii="宋体" w:hAnsi="宋体" w:eastAsia="宋体" w:cs="宋体"/>
          <w:color w:val="auto"/>
          <w:highlight w:val="none"/>
          <w:u w:val="single"/>
        </w:rPr>
        <w:t xml:space="preserve">发包人按照施工现场现状提供施工需要的场内道路和交通设施，承包人负责修建、维修、养护和管理施工所需的其他场内临时道路和交通设施，并承担相应的费用 </w:t>
      </w:r>
      <w:r>
        <w:rPr>
          <w:rFonts w:hint="eastAsia" w:ascii="宋体" w:hAnsi="宋体" w:eastAsia="宋体" w:cs="宋体"/>
          <w:color w:val="auto"/>
          <w:highlight w:val="none"/>
        </w:rPr>
        <w:t>。</w:t>
      </w:r>
      <w:bookmarkEnd w:id="392"/>
      <w:bookmarkEnd w:id="393"/>
      <w:bookmarkEnd w:id="394"/>
      <w:bookmarkEnd w:id="395"/>
      <w:bookmarkEnd w:id="396"/>
      <w:bookmarkStart w:id="397" w:name="_Toc318581157"/>
    </w:p>
    <w:p w14:paraId="6995B1A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1.7.3 超大件和超重件的运输</w:t>
      </w:r>
    </w:p>
    <w:p w14:paraId="6BC2ADA2">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运输超大件或超重件所需的道路和桥梁临时加固改造费用和其他有关费用由</w:t>
      </w:r>
      <w:r>
        <w:rPr>
          <w:rFonts w:hint="eastAsia" w:ascii="宋体" w:hAnsi="宋体" w:eastAsia="宋体" w:cs="宋体"/>
          <w:color w:val="auto"/>
          <w:highlight w:val="none"/>
          <w:u w:val="single"/>
        </w:rPr>
        <w:t xml:space="preserve">  承包方  </w:t>
      </w:r>
      <w:r>
        <w:rPr>
          <w:rFonts w:hint="eastAsia" w:ascii="宋体" w:hAnsi="宋体" w:eastAsia="宋体" w:cs="宋体"/>
          <w:color w:val="auto"/>
          <w:highlight w:val="none"/>
        </w:rPr>
        <w:t>承担。</w:t>
      </w:r>
    </w:p>
    <w:bookmarkEnd w:id="397"/>
    <w:p w14:paraId="31710F82">
      <w:pPr>
        <w:pStyle w:val="5"/>
        <w:rPr>
          <w:rFonts w:hint="eastAsia" w:ascii="宋体" w:hAnsi="宋体" w:eastAsia="宋体" w:cs="宋体"/>
          <w:color w:val="auto"/>
          <w:highlight w:val="none"/>
        </w:rPr>
      </w:pPr>
      <w:bookmarkStart w:id="398" w:name="_Toc407135202"/>
      <w:bookmarkStart w:id="399" w:name="_Toc373478347"/>
      <w:bookmarkStart w:id="400" w:name="_Toc487632699"/>
      <w:bookmarkStart w:id="401" w:name="_Toc373227700"/>
      <w:bookmarkStart w:id="402" w:name="_Toc389065266"/>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知识产权</w:t>
      </w:r>
      <w:bookmarkEnd w:id="398"/>
      <w:bookmarkEnd w:id="399"/>
      <w:bookmarkEnd w:id="400"/>
      <w:bookmarkEnd w:id="401"/>
      <w:bookmarkEnd w:id="402"/>
    </w:p>
    <w:p w14:paraId="05950B0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highlight w:val="none"/>
          <w:u w:val="single"/>
        </w:rPr>
        <w:t xml:space="preserve">   归发包人  </w:t>
      </w:r>
      <w:r>
        <w:rPr>
          <w:rFonts w:hint="eastAsia" w:ascii="宋体" w:hAnsi="宋体" w:eastAsia="宋体" w:cs="宋体"/>
          <w:color w:val="auto"/>
          <w:highlight w:val="none"/>
        </w:rPr>
        <w:t>。</w:t>
      </w:r>
    </w:p>
    <w:p w14:paraId="1672D30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关于发包人提供的上述文件的使用限制的要求：</w:t>
      </w:r>
      <w:r>
        <w:rPr>
          <w:rFonts w:hint="eastAsia" w:ascii="宋体" w:hAnsi="宋体" w:eastAsia="宋体" w:cs="宋体"/>
          <w:color w:val="auto"/>
          <w:highlight w:val="none"/>
          <w:u w:val="single"/>
        </w:rPr>
        <w:t xml:space="preserve">   未经发包人书面同意，承包人不得为了合同以外的目的而复制、使用上述文件或将之提供给任何第三方    </w:t>
      </w:r>
      <w:r>
        <w:rPr>
          <w:rFonts w:hint="eastAsia" w:ascii="宋体" w:hAnsi="宋体" w:eastAsia="宋体" w:cs="宋体"/>
          <w:color w:val="auto"/>
          <w:highlight w:val="none"/>
        </w:rPr>
        <w:t>。</w:t>
      </w:r>
    </w:p>
    <w:p w14:paraId="5E64558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1.8.2 关于承包人为实施工程所编制文件的著作权的归属：</w:t>
      </w:r>
      <w:r>
        <w:rPr>
          <w:rFonts w:hint="eastAsia" w:ascii="宋体" w:hAnsi="宋体" w:eastAsia="宋体" w:cs="宋体"/>
          <w:color w:val="auto"/>
          <w:highlight w:val="none"/>
          <w:u w:val="single"/>
        </w:rPr>
        <w:t xml:space="preserve">   按通用合同条款执行    </w:t>
      </w:r>
      <w:r>
        <w:rPr>
          <w:rFonts w:hint="eastAsia" w:ascii="宋体" w:hAnsi="宋体" w:eastAsia="宋体" w:cs="宋体"/>
          <w:color w:val="auto"/>
          <w:highlight w:val="none"/>
        </w:rPr>
        <w:t>。</w:t>
      </w:r>
    </w:p>
    <w:p w14:paraId="37853C8F">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1.8.3关于承包人提供的上述文件的使用限制的要求：</w:t>
      </w:r>
      <w:r>
        <w:rPr>
          <w:rFonts w:hint="eastAsia" w:ascii="宋体" w:hAnsi="宋体" w:eastAsia="宋体" w:cs="宋体"/>
          <w:color w:val="auto"/>
          <w:highlight w:val="none"/>
          <w:u w:val="single"/>
        </w:rPr>
        <w:t xml:space="preserve"> 未经发包人书面同意，承包人不得为了合同以外的目的而复制、使用上述文件或将之提供给任何第三方   </w:t>
      </w:r>
      <w:r>
        <w:rPr>
          <w:rFonts w:hint="eastAsia" w:ascii="宋体" w:hAnsi="宋体" w:eastAsia="宋体" w:cs="宋体"/>
          <w:color w:val="auto"/>
          <w:highlight w:val="none"/>
        </w:rPr>
        <w:t>。</w:t>
      </w:r>
    </w:p>
    <w:p w14:paraId="6A0A8F87">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1.8.4 承包人在施工过程中所采用的专利、专有技术、技术秘密的使用费的承担方式：</w:t>
      </w:r>
    </w:p>
    <w:p w14:paraId="12EDD128">
      <w:pPr>
        <w:spacing w:line="360" w:lineRule="auto"/>
        <w:rPr>
          <w:rFonts w:hint="eastAsia" w:ascii="宋体" w:hAnsi="宋体" w:eastAsia="宋体" w:cs="宋体"/>
          <w:color w:val="auto"/>
          <w:kern w:val="0"/>
          <w:highlight w:val="none"/>
        </w:rPr>
      </w:pPr>
      <w:r>
        <w:rPr>
          <w:rFonts w:hint="eastAsia" w:ascii="宋体" w:hAnsi="宋体" w:eastAsia="宋体" w:cs="宋体"/>
          <w:color w:val="auto"/>
          <w:highlight w:val="none"/>
          <w:u w:val="single"/>
        </w:rPr>
        <w:t xml:space="preserve">        按通用合同条款执行   </w:t>
      </w:r>
      <w:r>
        <w:rPr>
          <w:rFonts w:hint="eastAsia" w:ascii="宋体" w:hAnsi="宋体" w:eastAsia="宋体" w:cs="宋体"/>
          <w:color w:val="auto"/>
          <w:kern w:val="0"/>
          <w:highlight w:val="none"/>
        </w:rPr>
        <w:t>。</w:t>
      </w:r>
    </w:p>
    <w:p w14:paraId="510D0CD3">
      <w:pPr>
        <w:pStyle w:val="5"/>
        <w:rPr>
          <w:rFonts w:hint="eastAsia" w:ascii="宋体" w:hAnsi="宋体" w:eastAsia="宋体" w:cs="宋体"/>
          <w:color w:val="auto"/>
          <w:highlight w:val="none"/>
        </w:rPr>
      </w:pPr>
      <w:bookmarkStart w:id="403" w:name="_Toc373478348"/>
      <w:bookmarkStart w:id="404" w:name="_Toc373227701"/>
      <w:bookmarkStart w:id="405" w:name="_Toc487632700"/>
      <w:bookmarkStart w:id="406" w:name="_Toc407135203"/>
      <w:bookmarkStart w:id="407" w:name="_Toc389065267"/>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工程量清单错误的修正</w:t>
      </w:r>
      <w:bookmarkEnd w:id="403"/>
      <w:bookmarkEnd w:id="404"/>
      <w:bookmarkEnd w:id="405"/>
      <w:bookmarkEnd w:id="406"/>
      <w:bookmarkEnd w:id="407"/>
    </w:p>
    <w:p w14:paraId="1BF5A7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出现工程量清单工程量偏差时，是否调整合同价格：</w:t>
      </w:r>
      <w:r>
        <w:rPr>
          <w:rFonts w:hint="eastAsia" w:ascii="宋体" w:hAnsi="宋体" w:eastAsia="宋体" w:cs="宋体"/>
          <w:color w:val="auto"/>
          <w:highlight w:val="none"/>
          <w:u w:val="single"/>
        </w:rPr>
        <w:t xml:space="preserve">  除设计变更以外，不调整合同价    </w:t>
      </w:r>
      <w:r>
        <w:rPr>
          <w:rFonts w:hint="eastAsia" w:ascii="宋体" w:hAnsi="宋体" w:eastAsia="宋体" w:cs="宋体"/>
          <w:color w:val="auto"/>
          <w:kern w:val="0"/>
          <w:highlight w:val="none"/>
        </w:rPr>
        <w:t>。</w:t>
      </w:r>
    </w:p>
    <w:p w14:paraId="288087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允许调整合同价格的工程量偏差范围及其调整办法：</w:t>
      </w:r>
    </w:p>
    <w:p w14:paraId="302B3FC0">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按10.4.1 变更估价原则           </w:t>
      </w:r>
      <w:r>
        <w:rPr>
          <w:rFonts w:hint="eastAsia" w:ascii="宋体" w:hAnsi="宋体" w:eastAsia="宋体" w:cs="宋体"/>
          <w:color w:val="auto"/>
          <w:kern w:val="0"/>
          <w:highlight w:val="none"/>
        </w:rPr>
        <w:t>。</w:t>
      </w:r>
    </w:p>
    <w:p w14:paraId="06643CFD">
      <w:pPr>
        <w:pStyle w:val="4"/>
        <w:rPr>
          <w:rFonts w:hint="eastAsia" w:ascii="宋体" w:hAnsi="宋体" w:eastAsia="宋体" w:cs="宋体"/>
          <w:color w:val="auto"/>
          <w:highlight w:val="none"/>
        </w:rPr>
      </w:pPr>
      <w:bookmarkStart w:id="408" w:name="_Toc373478349"/>
      <w:bookmarkStart w:id="409" w:name="_Toc389065268"/>
      <w:bookmarkStart w:id="410" w:name="_Toc351203634"/>
      <w:bookmarkStart w:id="411" w:name="_Toc373227702"/>
      <w:bookmarkStart w:id="412" w:name="_Toc487632701"/>
      <w:bookmarkStart w:id="413" w:name="_Toc407135204"/>
      <w:r>
        <w:rPr>
          <w:rFonts w:hint="eastAsia" w:ascii="宋体" w:hAnsi="宋体" w:eastAsia="宋体" w:cs="宋体"/>
          <w:color w:val="auto"/>
          <w:highlight w:val="none"/>
        </w:rPr>
        <w:t>2</w:t>
      </w:r>
      <w:bookmarkStart w:id="414" w:name="_Toc296891197"/>
      <w:bookmarkStart w:id="415" w:name="_Toc292559362"/>
      <w:bookmarkStart w:id="416" w:name="_Toc297120457"/>
      <w:bookmarkStart w:id="417" w:name="_Toc297048343"/>
      <w:bookmarkStart w:id="418" w:name="_Toc296347156"/>
      <w:bookmarkStart w:id="419" w:name="_Toc296890985"/>
      <w:bookmarkStart w:id="420" w:name="_Toc296503157"/>
      <w:bookmarkStart w:id="421" w:name="_Toc292559867"/>
      <w:bookmarkStart w:id="422" w:name="_Toc296346658"/>
      <w:bookmarkStart w:id="423" w:name="_Toc296944496"/>
      <w:r>
        <w:rPr>
          <w:rFonts w:hint="eastAsia" w:ascii="宋体" w:hAnsi="宋体" w:eastAsia="宋体" w:cs="宋体"/>
          <w:color w:val="auto"/>
          <w:highlight w:val="none"/>
        </w:rPr>
        <w:t>. 发包人</w:t>
      </w:r>
      <w:bookmarkEnd w:id="408"/>
      <w:bookmarkEnd w:id="409"/>
      <w:bookmarkEnd w:id="410"/>
      <w:bookmarkEnd w:id="411"/>
      <w:bookmarkEnd w:id="412"/>
      <w:bookmarkEnd w:id="413"/>
    </w:p>
    <w:bookmarkEnd w:id="414"/>
    <w:bookmarkEnd w:id="415"/>
    <w:bookmarkEnd w:id="416"/>
    <w:bookmarkEnd w:id="417"/>
    <w:bookmarkEnd w:id="418"/>
    <w:bookmarkEnd w:id="419"/>
    <w:bookmarkEnd w:id="420"/>
    <w:bookmarkEnd w:id="421"/>
    <w:bookmarkEnd w:id="422"/>
    <w:bookmarkEnd w:id="423"/>
    <w:p w14:paraId="17A90341">
      <w:pPr>
        <w:pStyle w:val="5"/>
        <w:rPr>
          <w:rFonts w:hint="eastAsia" w:ascii="宋体" w:hAnsi="宋体" w:eastAsia="宋体" w:cs="宋体"/>
          <w:color w:val="auto"/>
          <w:highlight w:val="none"/>
        </w:rPr>
      </w:pPr>
      <w:bookmarkStart w:id="424" w:name="_Toc373227703"/>
      <w:bookmarkStart w:id="425" w:name="_Toc407135205"/>
      <w:bookmarkStart w:id="426" w:name="_Toc373478350"/>
      <w:bookmarkStart w:id="427" w:name="_Toc487632702"/>
      <w:bookmarkStart w:id="428" w:name="_Toc389065269"/>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发包人代表</w:t>
      </w:r>
      <w:bookmarkEnd w:id="424"/>
      <w:bookmarkEnd w:id="425"/>
      <w:bookmarkEnd w:id="426"/>
      <w:bookmarkEnd w:id="427"/>
      <w:bookmarkEnd w:id="428"/>
    </w:p>
    <w:p w14:paraId="740ECF9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发包人代表：</w:t>
      </w:r>
    </w:p>
    <w:p w14:paraId="515BE90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52066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26F539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职    务：</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7A2E17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   </w:t>
      </w:r>
      <w:r>
        <w:rPr>
          <w:rFonts w:hint="eastAsia" w:ascii="宋体" w:hAnsi="宋体" w:eastAsia="宋体" w:cs="宋体"/>
          <w:color w:val="auto"/>
          <w:highlight w:val="none"/>
        </w:rPr>
        <w:t>；</w:t>
      </w:r>
    </w:p>
    <w:p w14:paraId="610F71B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   </w:t>
      </w:r>
      <w:r>
        <w:rPr>
          <w:rFonts w:hint="eastAsia" w:ascii="宋体" w:hAnsi="宋体" w:eastAsia="宋体" w:cs="宋体"/>
          <w:color w:val="auto"/>
          <w:highlight w:val="none"/>
        </w:rPr>
        <w:t>；</w:t>
      </w:r>
    </w:p>
    <w:p w14:paraId="6DEFFA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FA34A2C">
      <w:pPr>
        <w:pStyle w:val="79"/>
        <w:spacing w:line="360" w:lineRule="auto"/>
        <w:ind w:firstLine="420" w:firstLineChars="200"/>
        <w:rPr>
          <w:rFonts w:hint="eastAsia" w:ascii="宋体" w:hAnsi="宋体" w:eastAsia="宋体" w:cs="宋体"/>
          <w:color w:val="auto"/>
          <w:highlight w:val="none"/>
          <w:u w:val="single"/>
        </w:rPr>
      </w:pPr>
      <w:bookmarkStart w:id="429" w:name="_Toc487632703"/>
      <w:bookmarkStart w:id="430" w:name="_Toc389065270"/>
      <w:bookmarkStart w:id="431" w:name="_Toc373227704"/>
      <w:bookmarkStart w:id="432" w:name="_Toc373478351"/>
      <w:bookmarkStart w:id="433" w:name="_Toc407135206"/>
      <w:r>
        <w:rPr>
          <w:rFonts w:hint="eastAsia" w:ascii="宋体" w:hAnsi="宋体" w:eastAsia="宋体" w:cs="宋体"/>
          <w:color w:val="auto"/>
          <w:highlight w:val="none"/>
        </w:rPr>
        <w:t>发包人对发包人代表的授权范围如下：</w:t>
      </w:r>
      <w:r>
        <w:rPr>
          <w:rFonts w:hint="eastAsia" w:ascii="宋体" w:hAnsi="宋体" w:eastAsia="宋体" w:cs="宋体"/>
          <w:color w:val="auto"/>
          <w:highlight w:val="none"/>
          <w:u w:val="single"/>
        </w:rPr>
        <w:t>除以下事项以外，发包人代表有权处理合同履行过程中与发包人有关的事宜：</w:t>
      </w:r>
    </w:p>
    <w:p w14:paraId="16E88E83">
      <w:pPr>
        <w:pStyle w:val="7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（1）发布暂停施工命令</w:t>
      </w:r>
    </w:p>
    <w:p w14:paraId="0D519F20">
      <w:pPr>
        <w:pStyle w:val="7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（2）同意组织竣工验收</w:t>
      </w:r>
    </w:p>
    <w:p w14:paraId="0609709F">
      <w:pPr>
        <w:pStyle w:val="7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（3）签认竣工付款证书</w:t>
      </w:r>
    </w:p>
    <w:p w14:paraId="1842058C">
      <w:pPr>
        <w:pStyle w:val="7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（4）签发工程接收证书</w:t>
      </w:r>
    </w:p>
    <w:p w14:paraId="6D5B8744">
      <w:pPr>
        <w:pStyle w:val="7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（5）签发缺陷责任终止证书</w:t>
      </w:r>
    </w:p>
    <w:p w14:paraId="60F458DE">
      <w:pPr>
        <w:pStyle w:val="79"/>
        <w:spacing w:line="360" w:lineRule="auto"/>
        <w:ind w:firstLine="420" w:firstLineChars="200"/>
        <w:rPr>
          <w:rFonts w:hint="eastAsia" w:ascii="宋体" w:hAnsi="宋体" w:eastAsia="宋体" w:cs="宋体"/>
          <w:color w:val="auto"/>
          <w:sz w:val="24"/>
          <w:highlight w:val="none"/>
          <w:u w:val="single"/>
        </w:rPr>
      </w:pPr>
      <w:r>
        <w:rPr>
          <w:rFonts w:hint="eastAsia" w:ascii="宋体" w:hAnsi="宋体" w:eastAsia="宋体" w:cs="宋体"/>
          <w:color w:val="auto"/>
          <w:highlight w:val="none"/>
        </w:rPr>
        <w:t>（6）签发最终结清证书。</w:t>
      </w:r>
    </w:p>
    <w:p w14:paraId="5FC5EE09">
      <w:pPr>
        <w:pStyle w:val="5"/>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施工现场、施工条件和基础资料的提供</w:t>
      </w:r>
      <w:bookmarkEnd w:id="429"/>
      <w:bookmarkEnd w:id="430"/>
      <w:bookmarkEnd w:id="431"/>
      <w:bookmarkEnd w:id="432"/>
      <w:bookmarkEnd w:id="433"/>
    </w:p>
    <w:p w14:paraId="001690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2.2.1 提供施工现场</w:t>
      </w:r>
    </w:p>
    <w:p w14:paraId="550E770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关于发包人移交施工现场的期限要求：</w:t>
      </w:r>
      <w:r>
        <w:rPr>
          <w:rFonts w:hint="eastAsia" w:ascii="宋体" w:hAnsi="宋体" w:eastAsia="宋体" w:cs="宋体"/>
          <w:color w:val="auto"/>
          <w:highlight w:val="none"/>
          <w:u w:val="single"/>
        </w:rPr>
        <w:t xml:space="preserve">   开工日期7天前   </w:t>
      </w:r>
      <w:r>
        <w:rPr>
          <w:rFonts w:hint="eastAsia" w:ascii="宋体" w:hAnsi="宋体" w:eastAsia="宋体" w:cs="宋体"/>
          <w:color w:val="auto"/>
          <w:highlight w:val="none"/>
        </w:rPr>
        <w:t>。</w:t>
      </w:r>
    </w:p>
    <w:p w14:paraId="702974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2.2.2 提供施工条件</w:t>
      </w:r>
    </w:p>
    <w:p w14:paraId="57E6C9EB">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关于发包人应负责提供施工所需要的条件，包括：</w:t>
      </w:r>
      <w:r>
        <w:rPr>
          <w:rFonts w:hint="eastAsia" w:ascii="宋体" w:hAnsi="宋体" w:eastAsia="宋体" w:cs="宋体"/>
          <w:color w:val="auto"/>
          <w:highlight w:val="none"/>
          <w:u w:val="single"/>
        </w:rPr>
        <w:t xml:space="preserve">   发包人在开工前协调施工所需的水、电等。承包人负责其所需的水、电等施工管线的铺设，费用由承包人承担，施工用水、电费由承包人按规定向供水、电部门交纳。发包人提供的临时施工用的总水表及总电表箱在交给承包人正常使用后，由承包人负责对总水表及总电表箱进行维护及保管，如由于总水表及总电表箱属正常损耗或施工不当造成需要更换或维修的由承包人负责；如由于临时施工用水总水管及临时施工用电变压器的容量不能满足施工要求的，承包人应及时通知发包人提出进行增容安装，发包人负责增容安装；但临时施工用水供到各幢楼后的水压力不能满足施工要求的，经供水部门确认需要二次加压后才能使用的，由承包人自行负责解决   </w:t>
      </w:r>
      <w:r>
        <w:rPr>
          <w:rFonts w:hint="eastAsia" w:ascii="宋体" w:hAnsi="宋体" w:eastAsia="宋体" w:cs="宋体"/>
          <w:color w:val="auto"/>
          <w:highlight w:val="none"/>
        </w:rPr>
        <w:t>。</w:t>
      </w:r>
    </w:p>
    <w:p w14:paraId="46D7A899">
      <w:pPr>
        <w:pStyle w:val="5"/>
        <w:rPr>
          <w:rFonts w:hint="eastAsia" w:ascii="宋体" w:hAnsi="宋体" w:eastAsia="宋体" w:cs="宋体"/>
          <w:color w:val="auto"/>
          <w:highlight w:val="none"/>
        </w:rPr>
      </w:pPr>
      <w:bookmarkStart w:id="434" w:name="_Toc373227705"/>
      <w:bookmarkStart w:id="435" w:name="_Toc487632704"/>
      <w:bookmarkStart w:id="436" w:name="_Toc389065271"/>
      <w:bookmarkStart w:id="437" w:name="_Toc373478352"/>
      <w:bookmarkStart w:id="438" w:name="_Toc407135207"/>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资金来源证明及支付担保</w:t>
      </w:r>
      <w:bookmarkEnd w:id="434"/>
      <w:bookmarkEnd w:id="435"/>
      <w:bookmarkEnd w:id="436"/>
      <w:bookmarkEnd w:id="437"/>
      <w:bookmarkEnd w:id="438"/>
    </w:p>
    <w:p w14:paraId="7AF07E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发包人提供资金来源证明的期限要求：</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0BDEA03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发包人是否提供支付担保：</w:t>
      </w:r>
      <w:r>
        <w:rPr>
          <w:rFonts w:hint="eastAsia" w:ascii="宋体" w:hAnsi="宋体" w:eastAsia="宋体" w:cs="宋体"/>
          <w:color w:val="auto"/>
          <w:highlight w:val="none"/>
          <w:u w:val="single"/>
        </w:rPr>
        <w:t xml:space="preserve">     否          </w:t>
      </w:r>
      <w:r>
        <w:rPr>
          <w:rFonts w:hint="eastAsia" w:ascii="宋体" w:hAnsi="宋体" w:eastAsia="宋体" w:cs="宋体"/>
          <w:color w:val="auto"/>
          <w:highlight w:val="none"/>
        </w:rPr>
        <w:t>。</w:t>
      </w:r>
    </w:p>
    <w:p w14:paraId="6B7B4A1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发包人提供支付担保的形式：</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038DF8F8">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发包人提供的支付担保格式见合同附件2。</w:t>
      </w:r>
    </w:p>
    <w:p w14:paraId="5AED1E54">
      <w:pPr>
        <w:pStyle w:val="4"/>
        <w:rPr>
          <w:rFonts w:hint="eastAsia" w:ascii="宋体" w:hAnsi="宋体" w:eastAsia="宋体" w:cs="宋体"/>
          <w:color w:val="auto"/>
          <w:highlight w:val="none"/>
        </w:rPr>
      </w:pPr>
      <w:bookmarkStart w:id="439" w:name="_Toc389065272"/>
      <w:bookmarkStart w:id="440" w:name="_Toc487632705"/>
      <w:bookmarkStart w:id="441" w:name="_Toc407135208"/>
      <w:bookmarkStart w:id="442" w:name="_Toc373478353"/>
      <w:bookmarkStart w:id="443" w:name="_Toc373227706"/>
      <w:bookmarkStart w:id="444" w:name="_Toc351203635"/>
      <w:r>
        <w:rPr>
          <w:rFonts w:hint="eastAsia" w:ascii="宋体" w:hAnsi="宋体" w:eastAsia="宋体" w:cs="宋体"/>
          <w:color w:val="auto"/>
          <w:highlight w:val="none"/>
        </w:rPr>
        <w:t>3</w:t>
      </w:r>
      <w:bookmarkStart w:id="445" w:name="_Toc292559363"/>
      <w:bookmarkStart w:id="446" w:name="_Toc297120458"/>
      <w:bookmarkStart w:id="447" w:name="_Toc296891198"/>
      <w:bookmarkStart w:id="448" w:name="_Toc296503158"/>
      <w:bookmarkStart w:id="449" w:name="_Toc296347157"/>
      <w:bookmarkStart w:id="450" w:name="_Toc292559868"/>
      <w:bookmarkStart w:id="451" w:name="_Toc296944497"/>
      <w:bookmarkStart w:id="452" w:name="_Toc297048344"/>
      <w:bookmarkStart w:id="453" w:name="_Toc296346659"/>
      <w:bookmarkStart w:id="454" w:name="_Toc296890986"/>
      <w:r>
        <w:rPr>
          <w:rFonts w:hint="eastAsia" w:ascii="宋体" w:hAnsi="宋体" w:eastAsia="宋体" w:cs="宋体"/>
          <w:color w:val="auto"/>
          <w:highlight w:val="none"/>
        </w:rPr>
        <w:t>. 承包人</w:t>
      </w:r>
      <w:bookmarkEnd w:id="439"/>
      <w:bookmarkEnd w:id="440"/>
      <w:bookmarkEnd w:id="441"/>
      <w:bookmarkEnd w:id="442"/>
      <w:bookmarkEnd w:id="443"/>
      <w:bookmarkEnd w:id="444"/>
    </w:p>
    <w:bookmarkEnd w:id="445"/>
    <w:bookmarkEnd w:id="446"/>
    <w:bookmarkEnd w:id="447"/>
    <w:bookmarkEnd w:id="448"/>
    <w:bookmarkEnd w:id="449"/>
    <w:bookmarkEnd w:id="450"/>
    <w:bookmarkEnd w:id="451"/>
    <w:bookmarkEnd w:id="452"/>
    <w:bookmarkEnd w:id="453"/>
    <w:bookmarkEnd w:id="454"/>
    <w:p w14:paraId="28684630">
      <w:pPr>
        <w:pStyle w:val="5"/>
        <w:rPr>
          <w:rFonts w:hint="eastAsia" w:ascii="宋体" w:hAnsi="宋体" w:eastAsia="宋体" w:cs="宋体"/>
          <w:color w:val="auto"/>
          <w:highlight w:val="none"/>
        </w:rPr>
      </w:pPr>
      <w:bookmarkStart w:id="455" w:name="_Toc407135209"/>
      <w:bookmarkStart w:id="456" w:name="_Toc373227707"/>
      <w:bookmarkStart w:id="457" w:name="_Toc487632706"/>
      <w:bookmarkStart w:id="458" w:name="_Toc373478354"/>
      <w:bookmarkStart w:id="459" w:name="_Toc389065273"/>
      <w:r>
        <w:rPr>
          <w:rFonts w:hint="eastAsia" w:ascii="宋体" w:hAnsi="宋体" w:eastAsia="宋体" w:cs="宋体"/>
          <w:color w:val="auto"/>
          <w:highlight w:val="none"/>
        </w:rPr>
        <w:t>3.1 承包人的一般义务</w:t>
      </w:r>
      <w:bookmarkEnd w:id="455"/>
      <w:bookmarkEnd w:id="456"/>
      <w:bookmarkEnd w:id="457"/>
      <w:bookmarkEnd w:id="458"/>
      <w:bookmarkEnd w:id="459"/>
    </w:p>
    <w:p w14:paraId="6225FC88">
      <w:pPr>
        <w:spacing w:line="360" w:lineRule="auto"/>
        <w:ind w:firstLine="420" w:firstLineChars="200"/>
        <w:jc w:val="left"/>
        <w:rPr>
          <w:rFonts w:hint="eastAsia" w:ascii="宋体" w:hAnsi="宋体" w:eastAsia="宋体" w:cs="宋体"/>
          <w:color w:val="auto"/>
          <w:highlight w:val="none"/>
          <w:u w:val="single"/>
        </w:rPr>
      </w:pPr>
      <w:bookmarkStart w:id="460" w:name="_Toc373227708"/>
      <w:bookmarkStart w:id="461" w:name="_Toc487632707"/>
      <w:bookmarkStart w:id="462" w:name="_Toc389065274"/>
      <w:bookmarkStart w:id="463" w:name="_Toc407135210"/>
      <w:bookmarkStart w:id="464" w:name="_Toc373478355"/>
      <w:r>
        <w:rPr>
          <w:rFonts w:hint="eastAsia" w:ascii="宋体" w:hAnsi="宋体" w:eastAsia="宋体" w:cs="宋体"/>
          <w:color w:val="auto"/>
          <w:highlight w:val="none"/>
          <w:u w:val="single"/>
        </w:rPr>
        <w:t xml:space="preserve">按照现行的建设工程文件归档规范，符合竣工验收要求的竣工图、施工管理资料、施工技术资料、检验（测）资料、评定（价）资料及国家、地方规定的其他资料  </w:t>
      </w:r>
      <w:r>
        <w:rPr>
          <w:rFonts w:hint="eastAsia" w:ascii="宋体" w:hAnsi="宋体" w:eastAsia="宋体" w:cs="宋体"/>
          <w:color w:val="auto"/>
          <w:highlight w:val="none"/>
        </w:rPr>
        <w:t>。</w:t>
      </w:r>
    </w:p>
    <w:p w14:paraId="1373C2C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承包人需要提交的竣工资料套数：</w:t>
      </w:r>
      <w:r>
        <w:rPr>
          <w:rFonts w:hint="eastAsia" w:ascii="宋体" w:hAnsi="宋体" w:eastAsia="宋体" w:cs="宋体"/>
          <w:color w:val="auto"/>
          <w:highlight w:val="none"/>
          <w:u w:val="single"/>
        </w:rPr>
        <w:t xml:space="preserve">     5套       </w:t>
      </w:r>
      <w:r>
        <w:rPr>
          <w:rFonts w:hint="eastAsia" w:ascii="宋体" w:hAnsi="宋体" w:eastAsia="宋体" w:cs="宋体"/>
          <w:color w:val="auto"/>
          <w:highlight w:val="none"/>
        </w:rPr>
        <w:t>。</w:t>
      </w:r>
    </w:p>
    <w:p w14:paraId="404DA1E2">
      <w:pPr>
        <w:spacing w:line="360" w:lineRule="auto"/>
        <w:ind w:left="424" w:leftChars="202"/>
        <w:jc w:val="left"/>
        <w:rPr>
          <w:rFonts w:hint="eastAsia" w:ascii="宋体" w:hAnsi="宋体" w:eastAsia="宋体" w:cs="宋体"/>
          <w:color w:val="auto"/>
          <w:highlight w:val="none"/>
        </w:rPr>
      </w:pPr>
      <w:r>
        <w:rPr>
          <w:rFonts w:hint="eastAsia" w:ascii="宋体" w:hAnsi="宋体" w:eastAsia="宋体" w:cs="宋体"/>
          <w:color w:val="auto"/>
          <w:highlight w:val="none"/>
        </w:rPr>
        <w:t>承包人提交的竣工资料的费用承担：</w:t>
      </w:r>
      <w:r>
        <w:rPr>
          <w:rFonts w:hint="eastAsia" w:ascii="宋体" w:hAnsi="宋体" w:eastAsia="宋体" w:cs="宋体"/>
          <w:color w:val="auto"/>
          <w:highlight w:val="none"/>
          <w:u w:val="single"/>
        </w:rPr>
        <w:t xml:space="preserve">   承包人承担  </w:t>
      </w:r>
      <w:r>
        <w:rPr>
          <w:rFonts w:hint="eastAsia" w:ascii="宋体" w:hAnsi="宋体" w:eastAsia="宋体" w:cs="宋体"/>
          <w:color w:val="auto"/>
          <w:highlight w:val="none"/>
        </w:rPr>
        <w:t>。</w:t>
      </w:r>
    </w:p>
    <w:p w14:paraId="0F1D7CA3">
      <w:pPr>
        <w:spacing w:line="360" w:lineRule="auto"/>
        <w:ind w:left="424" w:leftChars="202"/>
        <w:jc w:val="left"/>
        <w:rPr>
          <w:rFonts w:hint="eastAsia" w:ascii="宋体" w:hAnsi="宋体" w:eastAsia="宋体" w:cs="宋体"/>
          <w:color w:val="auto"/>
          <w:highlight w:val="none"/>
        </w:rPr>
      </w:pPr>
      <w:r>
        <w:rPr>
          <w:rFonts w:hint="eastAsia" w:ascii="宋体" w:hAnsi="宋体" w:eastAsia="宋体" w:cs="宋体"/>
          <w:color w:val="auto"/>
          <w:highlight w:val="none"/>
        </w:rPr>
        <w:t>承包人提交的竣工资料移交时间：</w:t>
      </w:r>
      <w:r>
        <w:rPr>
          <w:rFonts w:hint="eastAsia" w:ascii="宋体" w:hAnsi="宋体" w:eastAsia="宋体" w:cs="宋体"/>
          <w:color w:val="auto"/>
          <w:highlight w:val="none"/>
          <w:u w:val="single"/>
        </w:rPr>
        <w:t xml:space="preserve">   工程竣工验收合格后7日内  </w:t>
      </w:r>
      <w:r>
        <w:rPr>
          <w:rFonts w:hint="eastAsia" w:ascii="宋体" w:hAnsi="宋体" w:eastAsia="宋体" w:cs="宋体"/>
          <w:color w:val="auto"/>
          <w:highlight w:val="none"/>
        </w:rPr>
        <w:t>。</w:t>
      </w:r>
    </w:p>
    <w:p w14:paraId="6D0AC26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承包人提交的竣工资料形式要求：</w:t>
      </w:r>
      <w:r>
        <w:rPr>
          <w:rFonts w:hint="eastAsia" w:ascii="宋体" w:hAnsi="宋体" w:eastAsia="宋体" w:cs="宋体"/>
          <w:color w:val="auto"/>
          <w:highlight w:val="none"/>
          <w:u w:val="single"/>
        </w:rPr>
        <w:t xml:space="preserve">   纸质4套，电子扫描件文档1套  </w:t>
      </w:r>
      <w:r>
        <w:rPr>
          <w:rFonts w:hint="eastAsia" w:ascii="宋体" w:hAnsi="宋体" w:eastAsia="宋体" w:cs="宋体"/>
          <w:color w:val="auto"/>
          <w:highlight w:val="none"/>
        </w:rPr>
        <w:t>。</w:t>
      </w:r>
    </w:p>
    <w:p w14:paraId="2AC39E8A">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（10）承包人应履行的其他义务：</w:t>
      </w:r>
      <w:r>
        <w:rPr>
          <w:rFonts w:hint="eastAsia" w:ascii="宋体" w:hAnsi="宋体" w:eastAsia="宋体" w:cs="宋体"/>
          <w:color w:val="auto"/>
          <w:kern w:val="0"/>
          <w:highlight w:val="none"/>
          <w:u w:val="single"/>
        </w:rPr>
        <w:t xml:space="preserve">   严格执行建筑节能相关法律法规，在施工过程中节约资源，杜绝浪费     </w:t>
      </w:r>
      <w:r>
        <w:rPr>
          <w:rFonts w:hint="eastAsia" w:ascii="宋体" w:hAnsi="宋体" w:eastAsia="宋体" w:cs="宋体"/>
          <w:color w:val="auto"/>
          <w:kern w:val="0"/>
          <w:highlight w:val="none"/>
        </w:rPr>
        <w:t>。</w:t>
      </w:r>
    </w:p>
    <w:p w14:paraId="50AEC677">
      <w:pPr>
        <w:pStyle w:val="5"/>
        <w:rPr>
          <w:rFonts w:hint="eastAsia" w:ascii="宋体" w:hAnsi="宋体" w:eastAsia="宋体" w:cs="宋体"/>
          <w:color w:val="auto"/>
          <w:highlight w:val="none"/>
        </w:rPr>
      </w:pPr>
      <w:r>
        <w:rPr>
          <w:rFonts w:hint="eastAsia" w:ascii="宋体" w:hAnsi="宋体" w:eastAsia="宋体" w:cs="宋体"/>
          <w:color w:val="auto"/>
          <w:highlight w:val="none"/>
        </w:rPr>
        <w:t>3.2 项目经理</w:t>
      </w:r>
      <w:bookmarkEnd w:id="460"/>
      <w:bookmarkEnd w:id="461"/>
      <w:bookmarkEnd w:id="462"/>
      <w:bookmarkEnd w:id="463"/>
      <w:bookmarkEnd w:id="464"/>
    </w:p>
    <w:p w14:paraId="0E8B6C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3.2.1 </w:t>
      </w:r>
      <w:r>
        <w:rPr>
          <w:rFonts w:hint="eastAsia" w:ascii="宋体" w:hAnsi="宋体" w:eastAsia="宋体" w:cs="宋体"/>
          <w:color w:val="auto"/>
          <w:highlight w:val="none"/>
        </w:rPr>
        <w:t>项目经理：</w:t>
      </w:r>
    </w:p>
    <w:p w14:paraId="340C0BA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5AE6F9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4A72A5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建造师执业资格等级：</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74716EE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建造师注册证书号：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6E7AEA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建造师执业印章号：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612390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安全生产考核合格证书号：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40A45B1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388A2B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42407F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AA0C94F">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承包人对项目经理的授权范围如下：  </w:t>
      </w:r>
      <w:r>
        <w:rPr>
          <w:rFonts w:hint="eastAsia" w:ascii="宋体" w:hAnsi="宋体" w:eastAsia="宋体" w:cs="宋体"/>
          <w:color w:val="auto"/>
          <w:highlight w:val="none"/>
          <w:u w:val="single"/>
        </w:rPr>
        <w:t>项目经理经承包人授权后代表承包人负责履行合同，但是下列事项必须经承包人同意，并加盖承包人单位公章方为有效：</w:t>
      </w:r>
    </w:p>
    <w:p w14:paraId="1F048745">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1）与本工程相关的任何补充协议的签订；</w:t>
      </w:r>
    </w:p>
    <w:p w14:paraId="699EC01C">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2）与本工程相关的任何分包合同、采购合同、聘任合同的签订：</w:t>
      </w:r>
    </w:p>
    <w:p w14:paraId="751ECBC4">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3）同意涉及合同价款变化超过1万元或合同工期变化超过3天的变更指示；</w:t>
      </w:r>
    </w:p>
    <w:p w14:paraId="6117AFAD">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4）进度款支付申请；</w:t>
      </w:r>
    </w:p>
    <w:p w14:paraId="11C8AC88">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5）竣工验收申请；</w:t>
      </w:r>
    </w:p>
    <w:p w14:paraId="336CAF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6）最终结清申请单 </w:t>
      </w:r>
      <w:r>
        <w:rPr>
          <w:rFonts w:hint="eastAsia" w:ascii="宋体" w:hAnsi="宋体" w:eastAsia="宋体" w:cs="宋体"/>
          <w:color w:val="auto"/>
          <w:highlight w:val="none"/>
        </w:rPr>
        <w:t>。</w:t>
      </w:r>
    </w:p>
    <w:p w14:paraId="165371E1">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关于项目经理在施工现场的时间要求：</w:t>
      </w:r>
      <w:r>
        <w:rPr>
          <w:rFonts w:hint="eastAsia" w:ascii="宋体" w:hAnsi="宋体" w:eastAsia="宋体" w:cs="宋体"/>
          <w:color w:val="auto"/>
          <w:highlight w:val="none"/>
          <w:u w:val="single"/>
        </w:rPr>
        <w:t xml:space="preserve"> 22天  </w:t>
      </w:r>
      <w:r>
        <w:rPr>
          <w:rFonts w:hint="eastAsia" w:ascii="宋体" w:hAnsi="宋体" w:eastAsia="宋体" w:cs="宋体"/>
          <w:color w:val="auto"/>
          <w:highlight w:val="none"/>
        </w:rPr>
        <w:t>。</w:t>
      </w:r>
    </w:p>
    <w:p w14:paraId="0AECC443">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3.2.2 </w:t>
      </w:r>
      <w:r>
        <w:rPr>
          <w:rFonts w:hint="eastAsia" w:ascii="宋体" w:hAnsi="宋体" w:eastAsia="宋体" w:cs="宋体"/>
          <w:color w:val="auto"/>
          <w:kern w:val="0"/>
          <w:highlight w:val="none"/>
        </w:rPr>
        <w:t>承包人未提交劳动合同，以及没有为项目经理缴纳社会保险证明的违约责任：</w:t>
      </w:r>
      <w:r>
        <w:rPr>
          <w:rFonts w:hint="eastAsia" w:ascii="宋体" w:hAnsi="宋体" w:eastAsia="宋体" w:cs="宋体"/>
          <w:color w:val="auto"/>
          <w:highlight w:val="none"/>
          <w:u w:val="single"/>
        </w:rPr>
        <w:t xml:space="preserve"> 监理人限期承包人在收到提交要求后3日内补交，并承担违约金1000元；3日内不能补交的，发包人有权要求承包人更换项目经理，并承担违约金10000元。由此增加的费用和（或）延误的工期由承包人承担   </w:t>
      </w:r>
      <w:r>
        <w:rPr>
          <w:rFonts w:hint="eastAsia" w:ascii="宋体" w:hAnsi="宋体" w:eastAsia="宋体" w:cs="宋体"/>
          <w:color w:val="auto"/>
          <w:highlight w:val="none"/>
        </w:rPr>
        <w:t>。</w:t>
      </w:r>
    </w:p>
    <w:p w14:paraId="2776514A">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kern w:val="0"/>
          <w:highlight w:val="none"/>
        </w:rPr>
        <w:t>项目经理未经批准，擅自离开施工现场的违约责任：</w:t>
      </w:r>
      <w:r>
        <w:rPr>
          <w:rFonts w:hint="eastAsia" w:ascii="宋体" w:hAnsi="宋体" w:eastAsia="宋体" w:cs="宋体"/>
          <w:color w:val="auto"/>
          <w:highlight w:val="none"/>
          <w:u w:val="single"/>
        </w:rPr>
        <w:t xml:space="preserve">项目经理每月在岗带班时间不得少于当月施工时间的80%。未经发包人同意或正当理由，项目经理每月在岗带班时间少于当月施工时间80%的，少在岗带班一天，发包人有权处违约金1000元/日（人民币）  </w:t>
      </w:r>
      <w:r>
        <w:rPr>
          <w:rFonts w:hint="eastAsia" w:ascii="宋体" w:hAnsi="宋体" w:eastAsia="宋体" w:cs="宋体"/>
          <w:color w:val="auto"/>
          <w:highlight w:val="none"/>
        </w:rPr>
        <w:t>。</w:t>
      </w:r>
    </w:p>
    <w:p w14:paraId="433074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3.2.3 承包人擅自更换项目经理的违约责任：</w:t>
      </w:r>
      <w:r>
        <w:rPr>
          <w:rFonts w:hint="eastAsia" w:ascii="宋体" w:hAnsi="宋体" w:eastAsia="宋体" w:cs="宋体"/>
          <w:color w:val="auto"/>
          <w:highlight w:val="none"/>
          <w:u w:val="single"/>
        </w:rPr>
        <w:t>承包人项目经理必须与承包人投标时所承诺的人员一致，并在  （开工日期）  前到任。在监理人向承包人颁发    （竣工证明材料名称）    前，项目经理不得同时兼任其他任何项目的项目经理</w:t>
      </w:r>
      <w:r>
        <w:rPr>
          <w:rFonts w:hint="eastAsia" w:ascii="宋体" w:hAnsi="宋体" w:eastAsia="宋体" w:cs="宋体"/>
          <w:color w:val="auto"/>
          <w:kern w:val="0"/>
          <w:highlight w:val="none"/>
          <w:u w:val="single"/>
        </w:rPr>
        <w:t>（符合桂建管</w:t>
      </w:r>
      <w:r>
        <w:rPr>
          <w:rFonts w:hint="eastAsia" w:ascii="宋体" w:hAnsi="宋体" w:eastAsia="宋体" w:cs="宋体"/>
          <w:color w:val="auto"/>
          <w:highlight w:val="none"/>
          <w:u w:val="single"/>
        </w:rPr>
        <w:t>﹝2013﹞</w:t>
      </w:r>
      <w:r>
        <w:rPr>
          <w:rFonts w:hint="eastAsia" w:ascii="宋体" w:hAnsi="宋体" w:eastAsia="宋体" w:cs="宋体"/>
          <w:color w:val="auto"/>
          <w:kern w:val="0"/>
          <w:highlight w:val="none"/>
          <w:u w:val="single"/>
        </w:rPr>
        <w:t>17号和</w:t>
      </w:r>
      <w:r>
        <w:rPr>
          <w:rFonts w:hint="eastAsia" w:ascii="宋体" w:hAnsi="宋体" w:eastAsia="宋体" w:cs="宋体"/>
          <w:color w:val="auto"/>
          <w:highlight w:val="none"/>
          <w:u w:val="single"/>
        </w:rPr>
        <w:t>桂建管﹝2014﹞25号</w:t>
      </w:r>
      <w:r>
        <w:rPr>
          <w:rFonts w:hint="eastAsia" w:ascii="宋体" w:hAnsi="宋体" w:eastAsia="宋体" w:cs="宋体"/>
          <w:color w:val="auto"/>
          <w:kern w:val="0"/>
          <w:highlight w:val="none"/>
          <w:u w:val="single"/>
        </w:rPr>
        <w:t>文除外）</w:t>
      </w:r>
      <w:r>
        <w:rPr>
          <w:rFonts w:hint="eastAsia" w:ascii="宋体" w:hAnsi="宋体" w:eastAsia="宋体" w:cs="宋体"/>
          <w:color w:val="auto"/>
          <w:highlight w:val="none"/>
          <w:u w:val="single"/>
        </w:rPr>
        <w:t>。未经发包人书面同意，承包人擅自更换项目经理的视为违约，违约金处 3000元/人•次（人民币）</w:t>
      </w:r>
      <w:r>
        <w:rPr>
          <w:rFonts w:hint="eastAsia" w:ascii="宋体" w:hAnsi="宋体" w:eastAsia="宋体" w:cs="宋体"/>
          <w:color w:val="auto"/>
          <w:highlight w:val="none"/>
        </w:rPr>
        <w:t>。</w:t>
      </w:r>
    </w:p>
    <w:p w14:paraId="407967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3.2.4 承包人无正当理由拒绝更换项目经理的违约责任：</w:t>
      </w:r>
      <w:r>
        <w:rPr>
          <w:rFonts w:hint="eastAsia" w:ascii="宋体" w:hAnsi="宋体" w:eastAsia="宋体" w:cs="宋体"/>
          <w:color w:val="auto"/>
          <w:highlight w:val="none"/>
          <w:u w:val="single"/>
        </w:rPr>
        <w:t>因承包人项目经理不称职，发包人要求调换而未及时调换的，视为承包人违约，必须向发包人交纳处罚金 3000元/人•次（人民币）</w:t>
      </w:r>
      <w:r>
        <w:rPr>
          <w:rFonts w:hint="eastAsia" w:ascii="宋体" w:hAnsi="宋体" w:eastAsia="宋体" w:cs="宋体"/>
          <w:color w:val="auto"/>
          <w:highlight w:val="none"/>
        </w:rPr>
        <w:t>。</w:t>
      </w:r>
    </w:p>
    <w:p w14:paraId="58B23606">
      <w:pPr>
        <w:pStyle w:val="5"/>
        <w:rPr>
          <w:rFonts w:hint="eastAsia" w:ascii="宋体" w:hAnsi="宋体" w:eastAsia="宋体" w:cs="宋体"/>
          <w:color w:val="auto"/>
          <w:highlight w:val="none"/>
        </w:rPr>
      </w:pPr>
      <w:bookmarkStart w:id="465" w:name="_Toc373227709"/>
      <w:bookmarkStart w:id="466" w:name="_Toc407135211"/>
      <w:bookmarkStart w:id="467" w:name="_Toc389065275"/>
      <w:bookmarkStart w:id="468" w:name="_Toc487632708"/>
      <w:bookmarkStart w:id="469" w:name="_Toc373478356"/>
      <w:r>
        <w:rPr>
          <w:rFonts w:hint="eastAsia" w:ascii="宋体" w:hAnsi="宋体" w:eastAsia="宋体" w:cs="宋体"/>
          <w:color w:val="auto"/>
          <w:highlight w:val="none"/>
        </w:rPr>
        <w:t>3.3 承包人人员</w:t>
      </w:r>
      <w:bookmarkEnd w:id="465"/>
      <w:bookmarkEnd w:id="466"/>
      <w:bookmarkEnd w:id="467"/>
      <w:bookmarkEnd w:id="468"/>
      <w:bookmarkEnd w:id="469"/>
    </w:p>
    <w:p w14:paraId="732969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3.3.1 承包人提交项目管理机构及施工现场管理人员安排报告（格式见合同附件3）的期限：</w:t>
      </w:r>
    </w:p>
    <w:p w14:paraId="1A21077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接到开工通知后7天内    </w:t>
      </w:r>
      <w:r>
        <w:rPr>
          <w:rFonts w:hint="eastAsia" w:ascii="宋体" w:hAnsi="宋体" w:eastAsia="宋体" w:cs="宋体"/>
          <w:color w:val="auto"/>
          <w:highlight w:val="none"/>
        </w:rPr>
        <w:t>。</w:t>
      </w:r>
    </w:p>
    <w:p w14:paraId="29800F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3.3.2 承包人无正当理由拒绝撤换主要施工管理人员的违约责任：</w:t>
      </w:r>
      <w:r>
        <w:rPr>
          <w:rFonts w:hint="eastAsia" w:ascii="宋体" w:hAnsi="宋体" w:eastAsia="宋体" w:cs="宋体"/>
          <w:color w:val="auto"/>
          <w:highlight w:val="none"/>
          <w:u w:val="single"/>
        </w:rPr>
        <w:t>因承包人主要施工管理人员不称职，发包人要求调换而无正当理由拒绝撤换或未及时调换的，视为承包人违约，必须向发包人交纳处罚金，处罚标准：技术负责人 1000  元/人•次（人民币）；专业工程师500元/人•次（人民币）</w:t>
      </w:r>
      <w:r>
        <w:rPr>
          <w:rFonts w:hint="eastAsia" w:ascii="宋体" w:hAnsi="宋体" w:eastAsia="宋体" w:cs="宋体"/>
          <w:color w:val="auto"/>
          <w:highlight w:val="none"/>
        </w:rPr>
        <w:t>。</w:t>
      </w:r>
    </w:p>
    <w:p w14:paraId="2B0DAF20">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3.3.3 承包人主要施工管理人员离开施工现场的批准要求：</w:t>
      </w:r>
      <w:r>
        <w:rPr>
          <w:rFonts w:hint="eastAsia" w:ascii="宋体" w:hAnsi="宋体" w:eastAsia="宋体" w:cs="宋体"/>
          <w:color w:val="auto"/>
          <w:highlight w:val="none"/>
          <w:u w:val="single"/>
        </w:rPr>
        <w:t xml:space="preserve">  按通用合同条款执行  </w:t>
      </w:r>
      <w:r>
        <w:rPr>
          <w:rFonts w:hint="eastAsia" w:ascii="宋体" w:hAnsi="宋体" w:eastAsia="宋体" w:cs="宋体"/>
          <w:color w:val="auto"/>
          <w:highlight w:val="none"/>
        </w:rPr>
        <w:t>。</w:t>
      </w:r>
    </w:p>
    <w:p w14:paraId="35A903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3.3.4 承包人擅自更换主要施工管理人员的违约责任：</w:t>
      </w:r>
      <w:r>
        <w:rPr>
          <w:rFonts w:hint="eastAsia" w:ascii="宋体" w:hAnsi="宋体" w:eastAsia="宋体" w:cs="宋体"/>
          <w:color w:val="auto"/>
          <w:highlight w:val="none"/>
          <w:u w:val="single"/>
        </w:rPr>
        <w:t>项目技术负责人、专职安全员及其承诺的其它在场管理人员未经发包人书面同意不准擅自更换，擅自更换项目技术负责人处 1000 元/人•次（人民币）违约金；擅自更换专职安全员处500元/人•次（人民币）违约金；擅自更换其它在场管理人员处500元/人•次（人民币）违约金</w:t>
      </w:r>
      <w:r>
        <w:rPr>
          <w:rFonts w:hint="eastAsia" w:ascii="宋体" w:hAnsi="宋体" w:eastAsia="宋体" w:cs="宋体"/>
          <w:color w:val="auto"/>
          <w:highlight w:val="none"/>
        </w:rPr>
        <w:t>。</w:t>
      </w:r>
    </w:p>
    <w:p w14:paraId="12E24E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承包人主要施工管理人员擅自离开施工现场的违约责任：</w:t>
      </w:r>
      <w:r>
        <w:rPr>
          <w:rFonts w:hint="eastAsia" w:ascii="宋体" w:hAnsi="宋体" w:eastAsia="宋体" w:cs="宋体"/>
          <w:color w:val="auto"/>
          <w:highlight w:val="none"/>
          <w:u w:val="single"/>
        </w:rPr>
        <w:t>未经发包人同意，项目技术负责人擅自离岗的，视为承包人违约，发包人有权处违约金  3000  元/人•次（人民币）；未经发包人同意，专职安全员擅自离岗的，视为承包人违约，发包人有权处违约金1000元/人•次（人民币）；其它在场管理人员擅自离岗的，视为承包人违约，发包人有权处违约金1000元/人•次（人民币）</w:t>
      </w:r>
      <w:r>
        <w:rPr>
          <w:rFonts w:hint="eastAsia" w:ascii="宋体" w:hAnsi="宋体" w:eastAsia="宋体" w:cs="宋体"/>
          <w:color w:val="auto"/>
          <w:highlight w:val="none"/>
        </w:rPr>
        <w:t>。</w:t>
      </w:r>
    </w:p>
    <w:p w14:paraId="233029B3">
      <w:pPr>
        <w:pStyle w:val="5"/>
        <w:rPr>
          <w:rFonts w:hint="eastAsia" w:ascii="宋体" w:hAnsi="宋体" w:eastAsia="宋体" w:cs="宋体"/>
          <w:color w:val="auto"/>
          <w:highlight w:val="none"/>
        </w:rPr>
      </w:pPr>
      <w:bookmarkStart w:id="470" w:name="_Toc373227710"/>
      <w:bookmarkStart w:id="471" w:name="_Toc373478357"/>
      <w:bookmarkStart w:id="472" w:name="_Toc407135212"/>
      <w:bookmarkStart w:id="473" w:name="_Toc389065276"/>
      <w:bookmarkStart w:id="474" w:name="_Toc487632709"/>
      <w:r>
        <w:rPr>
          <w:rFonts w:hint="eastAsia" w:ascii="宋体" w:hAnsi="宋体" w:eastAsia="宋体" w:cs="宋体"/>
          <w:color w:val="auto"/>
          <w:highlight w:val="none"/>
        </w:rPr>
        <w:t>3</w:t>
      </w:r>
      <w:bookmarkStart w:id="475" w:name="_Toc296891199"/>
      <w:bookmarkStart w:id="476" w:name="_Toc296944498"/>
      <w:bookmarkStart w:id="477" w:name="_Toc296503159"/>
      <w:bookmarkStart w:id="478" w:name="_Toc297048345"/>
      <w:bookmarkStart w:id="479" w:name="_Toc296347158"/>
      <w:bookmarkStart w:id="480" w:name="_Toc297216151"/>
      <w:bookmarkStart w:id="481" w:name="_Toc296346660"/>
      <w:bookmarkStart w:id="482" w:name="_Toc303539102"/>
      <w:bookmarkStart w:id="483" w:name="_Toc297120459"/>
      <w:bookmarkStart w:id="484" w:name="_Toc300934945"/>
      <w:bookmarkStart w:id="485" w:name="_Toc292559869"/>
      <w:bookmarkStart w:id="486" w:name="_Toc312677988"/>
      <w:bookmarkStart w:id="487" w:name="_Toc304295523"/>
      <w:bookmarkStart w:id="488" w:name="_Toc292559364"/>
      <w:bookmarkStart w:id="489" w:name="_Toc297123492"/>
      <w:bookmarkStart w:id="490" w:name="_Toc296890987"/>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分包</w:t>
      </w:r>
      <w:bookmarkEnd w:id="470"/>
      <w:bookmarkEnd w:id="471"/>
      <w:bookmarkEnd w:id="472"/>
      <w:bookmarkEnd w:id="473"/>
      <w:bookmarkEnd w:id="474"/>
    </w:p>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14:paraId="78EB2A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bookmarkStart w:id="491" w:name="_Toc297048346"/>
      <w:bookmarkStart w:id="492" w:name="_Toc318581158"/>
      <w:bookmarkStart w:id="493" w:name="_Toc296891200"/>
      <w:bookmarkStart w:id="494" w:name="_Toc292559870"/>
      <w:bookmarkStart w:id="495" w:name="_Toc303539103"/>
      <w:bookmarkStart w:id="496" w:name="_Toc297120460"/>
      <w:bookmarkStart w:id="497" w:name="_Toc304295524"/>
      <w:bookmarkStart w:id="498" w:name="_Toc296503160"/>
      <w:bookmarkStart w:id="499" w:name="_Toc292559365"/>
      <w:bookmarkStart w:id="500" w:name="_Toc300934946"/>
      <w:bookmarkStart w:id="501" w:name="_Toc297216152"/>
      <w:bookmarkStart w:id="502" w:name="_Toc312677989"/>
      <w:bookmarkStart w:id="503" w:name="_Toc296890988"/>
      <w:bookmarkStart w:id="504" w:name="_Toc296346661"/>
      <w:bookmarkStart w:id="505" w:name="_Toc296944499"/>
      <w:bookmarkStart w:id="506" w:name="_Toc296347159"/>
      <w:bookmarkStart w:id="507" w:name="_Toc297123493"/>
      <w:r>
        <w:rPr>
          <w:rFonts w:hint="eastAsia" w:ascii="宋体" w:hAnsi="宋体" w:eastAsia="宋体" w:cs="宋体"/>
          <w:color w:val="auto"/>
          <w:highlight w:val="none"/>
        </w:rPr>
        <w:t>.4.1 分包的一般约定</w:t>
      </w:r>
    </w:p>
    <w:p w14:paraId="3C342C7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禁止分包的工程包括：</w:t>
      </w:r>
      <w:r>
        <w:rPr>
          <w:rFonts w:hint="eastAsia" w:ascii="宋体" w:hAnsi="宋体" w:eastAsia="宋体" w:cs="宋体"/>
          <w:color w:val="auto"/>
          <w:highlight w:val="none"/>
          <w:u w:val="single"/>
        </w:rPr>
        <w:t xml:space="preserve">   本工程不允许分包、转包     </w:t>
      </w:r>
      <w:r>
        <w:rPr>
          <w:rFonts w:hint="eastAsia" w:ascii="宋体" w:hAnsi="宋体" w:eastAsia="宋体" w:cs="宋体"/>
          <w:color w:val="auto"/>
          <w:highlight w:val="none"/>
        </w:rPr>
        <w:t>。</w:t>
      </w:r>
    </w:p>
    <w:p w14:paraId="0DBFFF7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主体结构、关键性工作的范围：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6CE2F3B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w:t>
      </w:r>
      <w:bookmarkStart w:id="508" w:name="_Toc312677990"/>
      <w:bookmarkStart w:id="509" w:name="_Toc318581159"/>
      <w:r>
        <w:rPr>
          <w:rFonts w:hint="eastAsia" w:ascii="宋体" w:hAnsi="宋体" w:eastAsia="宋体" w:cs="宋体"/>
          <w:color w:val="auto"/>
          <w:highlight w:val="none"/>
        </w:rPr>
        <w:t>.4.2 分包的确定</w:t>
      </w:r>
    </w:p>
    <w:p w14:paraId="0BA23AA5">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允许分包的专业工程包括：</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52C027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其他关于分包的约定：</w:t>
      </w:r>
    </w:p>
    <w:p w14:paraId="02EA57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475E7134">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（2）在相关分包合同签订并报送有关建设行政主管部门备案后7天内，承包人应当将一份副本提交给监理人，承包人应保障分包工作不得再次分包。</w:t>
      </w:r>
    </w:p>
    <w:p w14:paraId="23E6FC9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（3）未经承包人和监理人审批同意的分包工程和分包人，承包人有权拒绝验收分包工程和支付相应款项，由此引起的发包人费用增加和(或)延误的工期由发包人承担。</w:t>
      </w:r>
    </w:p>
    <w:p w14:paraId="128A12B7">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（4）承包人有以下情况之一者，发包人有权解除合同，并视情况扣除其履约保证金：</w:t>
      </w:r>
    </w:p>
    <w:p w14:paraId="682B4E3D">
      <w:pPr>
        <w:pStyle w:val="2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①个人承包工程，包括本人单位及外单位人员承包，发包人不承认其个人拥有任何资质等级及营业许可资格。没收全部履约保证金。</w:t>
      </w:r>
    </w:p>
    <w:p w14:paraId="37028835">
      <w:pPr>
        <w:pStyle w:val="2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②几个人联合承包工程，就地组织暗分包队伍，不具备完成本工程的技术、机械能力，被发包人判定为没有能力履行的承包人。没收全部履约保证金。</w:t>
      </w:r>
    </w:p>
    <w:p w14:paraId="295D01B1">
      <w:pPr>
        <w:pStyle w:val="2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③就地转包全部的工程，以谋取高额转让费、管理费的承包人。没收全部履约保证金。</w:t>
      </w:r>
    </w:p>
    <w:p w14:paraId="0783B103">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7EA64D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3.4.3 分包合同价款</w:t>
      </w:r>
    </w:p>
    <w:bookmarkEnd w:id="508"/>
    <w:bookmarkEnd w:id="509"/>
    <w:p w14:paraId="6DB85702">
      <w:pPr>
        <w:spacing w:line="360" w:lineRule="auto"/>
        <w:ind w:firstLine="420" w:firstLineChars="200"/>
        <w:rPr>
          <w:rFonts w:hint="eastAsia" w:ascii="宋体" w:hAnsi="宋体" w:eastAsia="宋体" w:cs="宋体"/>
          <w:color w:val="auto"/>
          <w:highlight w:val="none"/>
        </w:rPr>
      </w:pPr>
      <w:bookmarkStart w:id="510" w:name="_Toc373227711"/>
      <w:bookmarkStart w:id="511" w:name="_Toc389065277"/>
      <w:bookmarkStart w:id="512" w:name="_Toc373478358"/>
      <w:r>
        <w:rPr>
          <w:rFonts w:hint="eastAsia" w:ascii="宋体" w:hAnsi="宋体" w:eastAsia="宋体" w:cs="宋体"/>
          <w:color w:val="auto"/>
          <w:highlight w:val="none"/>
        </w:rPr>
        <w:t>关于分包合同价款支付的约定：</w:t>
      </w:r>
      <w:r>
        <w:rPr>
          <w:rFonts w:hint="eastAsia" w:ascii="宋体" w:hAnsi="宋体" w:eastAsia="宋体" w:cs="宋体"/>
          <w:color w:val="auto"/>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1CB492F1">
      <w:pPr>
        <w:pStyle w:val="5"/>
        <w:rPr>
          <w:rFonts w:hint="eastAsia" w:ascii="宋体" w:hAnsi="宋体" w:eastAsia="宋体" w:cs="宋体"/>
          <w:color w:val="auto"/>
          <w:highlight w:val="none"/>
        </w:rPr>
      </w:pPr>
      <w:bookmarkStart w:id="513" w:name="_Toc487632710"/>
      <w:bookmarkStart w:id="514" w:name="_Toc407135213"/>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 xml:space="preserve">5 </w:t>
      </w:r>
      <w:r>
        <w:rPr>
          <w:rFonts w:hint="eastAsia" w:ascii="宋体" w:hAnsi="宋体" w:eastAsia="宋体" w:cs="宋体"/>
          <w:color w:val="auto"/>
          <w:highlight w:val="none"/>
        </w:rPr>
        <w:t>工程照管与成品、半成品保护</w:t>
      </w:r>
      <w:bookmarkEnd w:id="510"/>
      <w:bookmarkEnd w:id="511"/>
      <w:bookmarkEnd w:id="512"/>
      <w:bookmarkEnd w:id="513"/>
      <w:bookmarkEnd w:id="514"/>
    </w:p>
    <w:p w14:paraId="162FF29C">
      <w:pPr>
        <w:spacing w:line="360" w:lineRule="auto"/>
        <w:ind w:firstLine="420" w:firstLineChars="200"/>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承包人负责照管工程及工程相关的材料、工程设备的起始时间：</w:t>
      </w:r>
      <w:r>
        <w:rPr>
          <w:rFonts w:hint="eastAsia" w:ascii="宋体" w:hAnsi="宋体" w:eastAsia="宋体" w:cs="宋体"/>
          <w:color w:val="auto"/>
          <w:kern w:val="0"/>
          <w:highlight w:val="none"/>
          <w:u w:val="single"/>
        </w:rPr>
        <w:t xml:space="preserve">  从合同签订之日起至竣工验收合格并移交使用方接管之日止，期间所发生的半成品、成品损坏一切责任由承包人负责修复至设计要求    </w:t>
      </w:r>
      <w:r>
        <w:rPr>
          <w:rFonts w:hint="eastAsia" w:ascii="宋体" w:hAnsi="宋体" w:eastAsia="宋体" w:cs="宋体"/>
          <w:color w:val="auto"/>
          <w:kern w:val="0"/>
          <w:highlight w:val="none"/>
        </w:rPr>
        <w:t>。</w:t>
      </w:r>
    </w:p>
    <w:p w14:paraId="5BEF34E4">
      <w:pPr>
        <w:pStyle w:val="5"/>
        <w:rPr>
          <w:rFonts w:hint="eastAsia" w:ascii="宋体" w:hAnsi="宋体" w:eastAsia="宋体" w:cs="宋体"/>
          <w:color w:val="auto"/>
          <w:highlight w:val="none"/>
          <w:lang w:eastAsia="zh-CN"/>
        </w:rPr>
      </w:pPr>
      <w:bookmarkStart w:id="515" w:name="_Toc373478359"/>
      <w:bookmarkStart w:id="516" w:name="_Toc373227712"/>
      <w:bookmarkStart w:id="517" w:name="_Toc389065278"/>
      <w:bookmarkStart w:id="518" w:name="_Toc487632711"/>
      <w:bookmarkStart w:id="519" w:name="_Toc407135214"/>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履约</w:t>
      </w:r>
      <w:bookmarkEnd w:id="515"/>
      <w:bookmarkEnd w:id="516"/>
      <w:bookmarkEnd w:id="517"/>
      <w:r>
        <w:rPr>
          <w:rFonts w:hint="eastAsia" w:ascii="宋体" w:hAnsi="宋体" w:eastAsia="宋体" w:cs="宋体"/>
          <w:color w:val="auto"/>
          <w:highlight w:val="none"/>
        </w:rPr>
        <w:t>保证金</w:t>
      </w:r>
      <w:bookmarkEnd w:id="518"/>
      <w:bookmarkEnd w:id="519"/>
      <w:r>
        <w:rPr>
          <w:rFonts w:hint="eastAsia" w:ascii="宋体" w:hAnsi="宋体" w:cs="宋体"/>
          <w:color w:val="auto"/>
          <w:highlight w:val="none"/>
          <w:lang w:eastAsia="zh-CN"/>
        </w:rPr>
        <w:t>（</w:t>
      </w:r>
      <w:r>
        <w:rPr>
          <w:rFonts w:hint="eastAsia" w:ascii="宋体" w:hAnsi="宋体" w:cs="宋体"/>
          <w:color w:val="auto"/>
          <w:highlight w:val="none"/>
          <w:lang w:val="en-US" w:eastAsia="zh-CN"/>
        </w:rPr>
        <w:t>如需要</w:t>
      </w:r>
      <w:r>
        <w:rPr>
          <w:rFonts w:hint="eastAsia" w:ascii="宋体" w:hAnsi="宋体" w:cs="宋体"/>
          <w:color w:val="auto"/>
          <w:highlight w:val="none"/>
          <w:lang w:eastAsia="zh-CN"/>
        </w:rPr>
        <w:t>）</w:t>
      </w:r>
    </w:p>
    <w:p w14:paraId="615AAB65">
      <w:pPr>
        <w:spacing w:line="360" w:lineRule="auto"/>
        <w:ind w:firstLine="420" w:firstLineChars="200"/>
        <w:jc w:val="left"/>
        <w:rPr>
          <w:rFonts w:hint="eastAsia" w:ascii="宋体" w:hAnsi="宋体" w:eastAsia="宋体" w:cs="宋体"/>
          <w:color w:val="auto"/>
          <w:highlight w:val="none"/>
        </w:rPr>
      </w:pPr>
      <w:bookmarkStart w:id="520" w:name="_Toc351203636"/>
      <w:bookmarkStart w:id="521" w:name="_Toc373478360"/>
      <w:bookmarkStart w:id="522" w:name="_Toc389065279"/>
      <w:bookmarkStart w:id="523" w:name="_Toc373227713"/>
      <w:r>
        <w:rPr>
          <w:rFonts w:hint="eastAsia" w:ascii="宋体" w:hAnsi="宋体" w:eastAsia="宋体" w:cs="宋体"/>
          <w:color w:val="auto"/>
          <w:highlight w:val="none"/>
        </w:rPr>
        <w:t>承包人提供履约担保的形式、金额及期限的：</w:t>
      </w:r>
      <w:r>
        <w:rPr>
          <w:rFonts w:hint="eastAsia" w:ascii="宋体" w:hAnsi="宋体" w:eastAsia="宋体" w:cs="宋体"/>
          <w:color w:val="auto"/>
          <w:highlight w:val="none"/>
          <w:u w:val="single"/>
        </w:rPr>
        <w:t>履约保证金由</w:t>
      </w:r>
      <w:r>
        <w:rPr>
          <w:rFonts w:hint="eastAsia" w:ascii="宋体" w:hAnsi="宋体" w:cs="宋体"/>
          <w:color w:val="auto"/>
          <w:highlight w:val="none"/>
          <w:u w:val="single"/>
          <w:lang w:val="en-US" w:eastAsia="zh-CN"/>
        </w:rPr>
        <w:t>承包人与采购单位签订合同时约定</w:t>
      </w:r>
      <w:r>
        <w:rPr>
          <w:rFonts w:hint="eastAsia" w:ascii="宋体" w:hAnsi="宋体" w:eastAsia="宋体" w:cs="宋体"/>
          <w:color w:val="auto"/>
          <w:highlight w:val="none"/>
          <w:u w:val="single"/>
        </w:rPr>
        <w:t>。履约担保的有效期应当自本合同生效之日起至发包人签认并由监理人向承包人出具 竣工验收意见书之日止。</w:t>
      </w:r>
    </w:p>
    <w:p w14:paraId="792146EC">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工程竣工验收合格并对验收发现的问题完成整改后的7个日历天内，发包人同意退付履约保证金的，承包人凭《履约保证金退付确认函》到</w:t>
      </w:r>
      <w:r>
        <w:rPr>
          <w:rFonts w:hint="eastAsia" w:ascii="宋体" w:hAnsi="宋体" w:cs="宋体"/>
          <w:color w:val="auto"/>
          <w:highlight w:val="none"/>
          <w:u w:val="single"/>
          <w:lang w:val="en-US" w:eastAsia="zh-CN"/>
        </w:rPr>
        <w:t>采购单位</w:t>
      </w:r>
      <w:r>
        <w:rPr>
          <w:rFonts w:hint="eastAsia" w:ascii="宋体" w:hAnsi="宋体" w:eastAsia="宋体" w:cs="宋体"/>
          <w:color w:val="auto"/>
          <w:highlight w:val="none"/>
          <w:u w:val="single"/>
        </w:rPr>
        <w:t>退还履约金。</w:t>
      </w:r>
    </w:p>
    <w:p w14:paraId="158B0A06">
      <w:pPr>
        <w:pStyle w:val="4"/>
        <w:rPr>
          <w:rFonts w:hint="eastAsia" w:ascii="宋体" w:hAnsi="宋体" w:eastAsia="宋体" w:cs="宋体"/>
          <w:color w:val="auto"/>
          <w:highlight w:val="none"/>
        </w:rPr>
      </w:pPr>
      <w:bookmarkStart w:id="524" w:name="_Toc487632712"/>
      <w:bookmarkStart w:id="525" w:name="_Toc407135215"/>
      <w:r>
        <w:rPr>
          <w:rFonts w:hint="eastAsia" w:ascii="宋体" w:hAnsi="宋体" w:eastAsia="宋体" w:cs="宋体"/>
          <w:color w:val="auto"/>
          <w:highlight w:val="none"/>
        </w:rPr>
        <w:t>4</w:t>
      </w:r>
      <w:bookmarkStart w:id="526" w:name="_Toc296890990"/>
      <w:bookmarkStart w:id="527" w:name="_Toc296503162"/>
      <w:bookmarkStart w:id="528" w:name="_Toc292559871"/>
      <w:bookmarkStart w:id="529" w:name="_Toc296944501"/>
      <w:bookmarkStart w:id="530" w:name="_Toc296891202"/>
      <w:bookmarkStart w:id="531" w:name="_Toc296346663"/>
      <w:bookmarkStart w:id="532" w:name="_Toc296347161"/>
      <w:bookmarkStart w:id="533" w:name="_Toc297048348"/>
      <w:bookmarkStart w:id="534" w:name="_Toc267251413"/>
      <w:bookmarkStart w:id="535" w:name="_Toc297120462"/>
      <w:bookmarkStart w:id="536" w:name="_Toc292559366"/>
      <w:r>
        <w:rPr>
          <w:rFonts w:hint="eastAsia" w:ascii="宋体" w:hAnsi="宋体" w:eastAsia="宋体" w:cs="宋体"/>
          <w:color w:val="auto"/>
          <w:highlight w:val="none"/>
        </w:rPr>
        <w:t>. 监</w:t>
      </w:r>
      <w:bookmarkEnd w:id="526"/>
      <w:bookmarkEnd w:id="527"/>
      <w:bookmarkEnd w:id="528"/>
      <w:bookmarkEnd w:id="529"/>
      <w:bookmarkEnd w:id="530"/>
      <w:bookmarkEnd w:id="531"/>
      <w:bookmarkEnd w:id="532"/>
      <w:bookmarkEnd w:id="533"/>
      <w:bookmarkEnd w:id="534"/>
      <w:bookmarkEnd w:id="535"/>
      <w:bookmarkEnd w:id="536"/>
      <w:r>
        <w:rPr>
          <w:rFonts w:hint="eastAsia" w:ascii="宋体" w:hAnsi="宋体" w:eastAsia="宋体" w:cs="宋体"/>
          <w:color w:val="auto"/>
          <w:highlight w:val="none"/>
        </w:rPr>
        <w:t>理人</w:t>
      </w:r>
      <w:bookmarkEnd w:id="520"/>
      <w:bookmarkEnd w:id="521"/>
      <w:bookmarkEnd w:id="522"/>
      <w:bookmarkEnd w:id="523"/>
      <w:bookmarkEnd w:id="524"/>
      <w:bookmarkEnd w:id="525"/>
    </w:p>
    <w:p w14:paraId="50DAA488">
      <w:pPr>
        <w:pStyle w:val="5"/>
        <w:rPr>
          <w:rFonts w:hint="eastAsia" w:ascii="宋体" w:hAnsi="宋体" w:eastAsia="宋体" w:cs="宋体"/>
          <w:color w:val="auto"/>
          <w:highlight w:val="none"/>
        </w:rPr>
      </w:pPr>
      <w:bookmarkStart w:id="537" w:name="_Toc389065280"/>
      <w:bookmarkStart w:id="538" w:name="_Toc487632713"/>
      <w:bookmarkStart w:id="539" w:name="_Toc407135216"/>
      <w:bookmarkStart w:id="540" w:name="_Toc373227714"/>
      <w:bookmarkStart w:id="541" w:name="_Toc373478361"/>
      <w:r>
        <w:rPr>
          <w:rFonts w:hint="eastAsia" w:ascii="宋体" w:hAnsi="宋体" w:eastAsia="宋体" w:cs="宋体"/>
          <w:color w:val="auto"/>
          <w:highlight w:val="none"/>
        </w:rPr>
        <w:t>4.1 监理人的一般规定</w:t>
      </w:r>
      <w:bookmarkEnd w:id="537"/>
      <w:bookmarkEnd w:id="538"/>
      <w:bookmarkEnd w:id="539"/>
      <w:bookmarkEnd w:id="540"/>
      <w:bookmarkEnd w:id="541"/>
    </w:p>
    <w:p w14:paraId="1E0E0684">
      <w:pPr>
        <w:spacing w:line="360" w:lineRule="auto"/>
        <w:ind w:firstLine="420" w:firstLineChars="200"/>
        <w:jc w:val="left"/>
        <w:rPr>
          <w:rFonts w:hint="eastAsia" w:ascii="宋体" w:hAnsi="宋体" w:eastAsia="宋体" w:cs="宋体"/>
          <w:color w:val="auto"/>
          <w:highlight w:val="none"/>
        </w:rPr>
      </w:pPr>
      <w:bookmarkStart w:id="542" w:name="_Toc373478362"/>
      <w:bookmarkStart w:id="543" w:name="_Toc373227715"/>
      <w:bookmarkStart w:id="544" w:name="_Toc389065281"/>
      <w:bookmarkStart w:id="545" w:name="_Toc487632714"/>
      <w:bookmarkStart w:id="546" w:name="_Toc407135217"/>
      <w:r>
        <w:rPr>
          <w:rFonts w:hint="eastAsia" w:ascii="宋体" w:hAnsi="宋体" w:eastAsia="宋体" w:cs="宋体"/>
          <w:color w:val="auto"/>
          <w:highlight w:val="none"/>
        </w:rPr>
        <w:t>关于监理人的监理内容：</w:t>
      </w:r>
      <w:r>
        <w:rPr>
          <w:rFonts w:hint="eastAsia" w:ascii="宋体" w:hAnsi="宋体" w:eastAsia="宋体" w:cs="宋体"/>
          <w:color w:val="auto"/>
          <w:highlight w:val="none"/>
          <w:u w:val="single"/>
        </w:rPr>
        <w:t xml:space="preserve">图纸或工程量清单范围内的全部内容（包括设计变更）  </w:t>
      </w:r>
      <w:r>
        <w:rPr>
          <w:rFonts w:hint="eastAsia" w:ascii="宋体" w:hAnsi="宋体" w:eastAsia="宋体" w:cs="宋体"/>
          <w:color w:val="auto"/>
          <w:highlight w:val="none"/>
        </w:rPr>
        <w:t>。</w:t>
      </w:r>
    </w:p>
    <w:p w14:paraId="7E6E7C4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关于监理人的监理权限：</w:t>
      </w:r>
      <w:r>
        <w:rPr>
          <w:rFonts w:hint="eastAsia" w:ascii="宋体" w:hAnsi="宋体" w:eastAsia="宋体" w:cs="宋体"/>
          <w:color w:val="auto"/>
          <w:highlight w:val="none"/>
          <w:u w:val="single"/>
        </w:rPr>
        <w:t xml:space="preserve">  按监理合同约定    </w:t>
      </w:r>
      <w:r>
        <w:rPr>
          <w:rFonts w:hint="eastAsia" w:ascii="宋体" w:hAnsi="宋体" w:eastAsia="宋体" w:cs="宋体"/>
          <w:color w:val="auto"/>
          <w:highlight w:val="none"/>
        </w:rPr>
        <w:t xml:space="preserve">。 </w:t>
      </w:r>
    </w:p>
    <w:p w14:paraId="2A4B83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关于监理人在施工现场的办公场所、生活场所的提供和费用承担的约定：</w:t>
      </w:r>
      <w:r>
        <w:rPr>
          <w:rFonts w:hint="eastAsia" w:ascii="宋体" w:hAnsi="宋体" w:eastAsia="宋体" w:cs="宋体"/>
          <w:color w:val="auto"/>
          <w:highlight w:val="none"/>
          <w:u w:val="single"/>
        </w:rPr>
        <w:t xml:space="preserve">由承包人承担，承包人投标报价时综合考虑此项费用  </w:t>
      </w:r>
      <w:r>
        <w:rPr>
          <w:rFonts w:hint="eastAsia" w:ascii="宋体" w:hAnsi="宋体" w:eastAsia="宋体" w:cs="宋体"/>
          <w:color w:val="auto"/>
          <w:highlight w:val="none"/>
        </w:rPr>
        <w:t>。</w:t>
      </w:r>
    </w:p>
    <w:p w14:paraId="2BE70C5A">
      <w:pPr>
        <w:pStyle w:val="5"/>
        <w:rPr>
          <w:rFonts w:hint="eastAsia" w:ascii="宋体" w:hAnsi="宋体" w:eastAsia="宋体" w:cs="宋体"/>
          <w:color w:val="auto"/>
          <w:highlight w:val="none"/>
        </w:rPr>
      </w:pPr>
      <w:r>
        <w:rPr>
          <w:rFonts w:hint="eastAsia" w:ascii="宋体" w:hAnsi="宋体" w:eastAsia="宋体" w:cs="宋体"/>
          <w:color w:val="auto"/>
          <w:highlight w:val="none"/>
        </w:rPr>
        <w:t>4.2 监理人员</w:t>
      </w:r>
      <w:bookmarkEnd w:id="542"/>
      <w:bookmarkEnd w:id="543"/>
      <w:bookmarkEnd w:id="544"/>
      <w:bookmarkEnd w:id="545"/>
      <w:bookmarkEnd w:id="546"/>
    </w:p>
    <w:p w14:paraId="2194BE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总监理工程师：</w:t>
      </w:r>
    </w:p>
    <w:p w14:paraId="23A7749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2AE4D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职    务：</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5CEF3D8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监理工程师执业资格证书号：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29074E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BF721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B0F86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40E213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关于监理人的其他约定：</w:t>
      </w:r>
      <w:r>
        <w:rPr>
          <w:rFonts w:hint="eastAsia" w:ascii="宋体" w:hAnsi="宋体" w:eastAsia="宋体" w:cs="宋体"/>
          <w:color w:val="auto"/>
          <w:highlight w:val="none"/>
          <w:u w:val="single"/>
        </w:rPr>
        <w:t>协助发包人做好施工现场的协调工作</w:t>
      </w:r>
      <w:r>
        <w:rPr>
          <w:rFonts w:hint="eastAsia" w:ascii="宋体" w:hAnsi="宋体" w:eastAsia="宋体" w:cs="宋体"/>
          <w:color w:val="auto"/>
          <w:highlight w:val="none"/>
        </w:rPr>
        <w:t>。</w:t>
      </w:r>
    </w:p>
    <w:p w14:paraId="5F475EF2">
      <w:pPr>
        <w:pStyle w:val="5"/>
        <w:rPr>
          <w:rFonts w:hint="eastAsia" w:ascii="宋体" w:hAnsi="宋体" w:eastAsia="宋体" w:cs="宋体"/>
          <w:color w:val="auto"/>
          <w:highlight w:val="none"/>
        </w:rPr>
      </w:pPr>
      <w:bookmarkStart w:id="547" w:name="_Toc373227716"/>
      <w:bookmarkStart w:id="548" w:name="_Toc389065282"/>
      <w:bookmarkStart w:id="549" w:name="_Toc487632715"/>
      <w:bookmarkStart w:id="550" w:name="_Toc373478363"/>
      <w:bookmarkStart w:id="551" w:name="_Toc407135218"/>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 xml:space="preserve">3 </w:t>
      </w:r>
      <w:r>
        <w:rPr>
          <w:rFonts w:hint="eastAsia" w:ascii="宋体" w:hAnsi="宋体" w:eastAsia="宋体" w:cs="宋体"/>
          <w:color w:val="auto"/>
          <w:highlight w:val="none"/>
        </w:rPr>
        <w:t>商定或确定</w:t>
      </w:r>
      <w:bookmarkEnd w:id="547"/>
      <w:bookmarkEnd w:id="548"/>
      <w:bookmarkEnd w:id="549"/>
      <w:bookmarkEnd w:id="550"/>
      <w:bookmarkEnd w:id="551"/>
    </w:p>
    <w:p w14:paraId="081B9689">
      <w:pPr>
        <w:spacing w:line="360" w:lineRule="auto"/>
        <w:ind w:firstLine="420" w:firstLineChars="200"/>
        <w:rPr>
          <w:rFonts w:hint="eastAsia" w:ascii="宋体" w:hAnsi="宋体" w:eastAsia="宋体" w:cs="宋体"/>
          <w:color w:val="auto"/>
          <w:highlight w:val="none"/>
        </w:rPr>
      </w:pPr>
      <w:bookmarkStart w:id="552" w:name="_Toc267251418"/>
      <w:r>
        <w:rPr>
          <w:rFonts w:hint="eastAsia" w:ascii="宋体" w:hAnsi="宋体" w:eastAsia="宋体" w:cs="宋体"/>
          <w:color w:val="auto"/>
          <w:highlight w:val="none"/>
        </w:rPr>
        <w:t>在发包人和承包人不能通过协商达成一致意见时，发包人授权监理人对以下事项进行确定：</w:t>
      </w:r>
    </w:p>
    <w:p w14:paraId="42810C07">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0D29BE5">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0B62778">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6CBA9C9">
      <w:pPr>
        <w:pStyle w:val="4"/>
        <w:rPr>
          <w:rFonts w:hint="eastAsia" w:ascii="宋体" w:hAnsi="宋体" w:eastAsia="宋体" w:cs="宋体"/>
          <w:color w:val="auto"/>
          <w:highlight w:val="none"/>
        </w:rPr>
      </w:pPr>
      <w:bookmarkStart w:id="553" w:name="_Toc407135219"/>
      <w:bookmarkStart w:id="554" w:name="_Toc389065283"/>
      <w:bookmarkStart w:id="555" w:name="_Toc373227717"/>
      <w:bookmarkStart w:id="556" w:name="_Toc373478364"/>
      <w:bookmarkStart w:id="557" w:name="_Toc487632716"/>
      <w:bookmarkStart w:id="558" w:name="_Toc351203637"/>
      <w:r>
        <w:rPr>
          <w:rFonts w:hint="eastAsia" w:ascii="宋体" w:hAnsi="宋体" w:eastAsia="宋体" w:cs="宋体"/>
          <w:color w:val="auto"/>
          <w:highlight w:val="none"/>
        </w:rPr>
        <w:t>5</w:t>
      </w:r>
      <w:bookmarkEnd w:id="552"/>
      <w:bookmarkStart w:id="559" w:name="_Toc296503163"/>
      <w:bookmarkStart w:id="560" w:name="_Toc296347162"/>
      <w:bookmarkStart w:id="561" w:name="_Toc296944502"/>
      <w:bookmarkStart w:id="562" w:name="_Toc297048349"/>
      <w:bookmarkStart w:id="563" w:name="_Toc297120463"/>
      <w:bookmarkStart w:id="564" w:name="_Toc296346664"/>
      <w:bookmarkStart w:id="565" w:name="_Toc292559367"/>
      <w:bookmarkStart w:id="566" w:name="_Toc292559872"/>
      <w:bookmarkStart w:id="567" w:name="_Toc296891203"/>
      <w:bookmarkStart w:id="568" w:name="_Toc296890991"/>
      <w:r>
        <w:rPr>
          <w:rFonts w:hint="eastAsia" w:ascii="宋体" w:hAnsi="宋体" w:eastAsia="宋体" w:cs="宋体"/>
          <w:color w:val="auto"/>
          <w:highlight w:val="none"/>
        </w:rPr>
        <w:t>. 工程质量</w:t>
      </w:r>
      <w:bookmarkEnd w:id="553"/>
      <w:bookmarkEnd w:id="554"/>
      <w:bookmarkEnd w:id="555"/>
      <w:bookmarkEnd w:id="556"/>
      <w:bookmarkEnd w:id="557"/>
      <w:bookmarkEnd w:id="558"/>
    </w:p>
    <w:p w14:paraId="1C1BEAB7">
      <w:pPr>
        <w:pStyle w:val="5"/>
        <w:rPr>
          <w:rFonts w:hint="eastAsia" w:ascii="宋体" w:hAnsi="宋体" w:eastAsia="宋体" w:cs="宋体"/>
          <w:color w:val="auto"/>
          <w:highlight w:val="none"/>
        </w:rPr>
      </w:pPr>
      <w:bookmarkStart w:id="569" w:name="_Toc389065284"/>
      <w:bookmarkStart w:id="570" w:name="_Toc487632717"/>
      <w:bookmarkStart w:id="571" w:name="_Toc407135220"/>
      <w:bookmarkStart w:id="572" w:name="_Toc373478365"/>
      <w:bookmarkStart w:id="573" w:name="_Toc373227718"/>
      <w:r>
        <w:rPr>
          <w:rFonts w:hint="eastAsia" w:ascii="宋体" w:hAnsi="宋体" w:eastAsia="宋体" w:cs="宋体"/>
          <w:color w:val="auto"/>
          <w:highlight w:val="none"/>
        </w:rPr>
        <w:t>5.1 质量要求</w:t>
      </w:r>
      <w:bookmarkEnd w:id="569"/>
      <w:bookmarkEnd w:id="570"/>
      <w:bookmarkEnd w:id="571"/>
      <w:bookmarkEnd w:id="572"/>
      <w:bookmarkEnd w:id="573"/>
    </w:p>
    <w:p w14:paraId="43AB997F">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5</w:t>
      </w:r>
      <w:bookmarkStart w:id="574" w:name="_Toc297216155"/>
      <w:bookmarkStart w:id="575" w:name="_Toc297123496"/>
      <w:bookmarkStart w:id="576" w:name="_Toc304295527"/>
      <w:bookmarkStart w:id="577" w:name="_Toc318581164"/>
      <w:bookmarkStart w:id="578" w:name="_Toc303539106"/>
      <w:bookmarkStart w:id="579" w:name="_Toc312677997"/>
      <w:bookmarkStart w:id="580" w:name="_Toc300934949"/>
      <w:r>
        <w:rPr>
          <w:rFonts w:hint="eastAsia" w:ascii="宋体" w:hAnsi="宋体" w:eastAsia="宋体" w:cs="宋体"/>
          <w:color w:val="auto"/>
          <w:highlight w:val="none"/>
        </w:rPr>
        <w:t>.1.1 特殊质量标准和要求：</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57B21C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关于工程奖项的约定：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22219C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5.3 隐蔽工程检查</w:t>
      </w:r>
    </w:p>
    <w:p w14:paraId="0ACCCC80">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171289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监理人不能按时进行检查时，应提前</w:t>
      </w:r>
      <w:r>
        <w:rPr>
          <w:rFonts w:hint="eastAsia" w:ascii="宋体" w:hAnsi="宋体" w:eastAsia="宋体" w:cs="宋体"/>
          <w:color w:val="auto"/>
          <w:highlight w:val="none"/>
          <w:u w:val="single"/>
        </w:rPr>
        <w:t xml:space="preserve">  24  </w:t>
      </w:r>
      <w:r>
        <w:rPr>
          <w:rFonts w:hint="eastAsia" w:ascii="宋体" w:hAnsi="宋体" w:eastAsia="宋体" w:cs="宋体"/>
          <w:color w:val="auto"/>
          <w:highlight w:val="none"/>
        </w:rPr>
        <w:t>小时提交书面延期要求。</w:t>
      </w:r>
    </w:p>
    <w:p w14:paraId="4AE361C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关于延期最长不得超过：</w:t>
      </w:r>
      <w:r>
        <w:rPr>
          <w:rFonts w:hint="eastAsia" w:ascii="宋体" w:hAnsi="宋体" w:eastAsia="宋体" w:cs="宋体"/>
          <w:color w:val="auto"/>
          <w:highlight w:val="none"/>
          <w:u w:val="single"/>
        </w:rPr>
        <w:t xml:space="preserve">    48  </w:t>
      </w:r>
      <w:r>
        <w:rPr>
          <w:rFonts w:hint="eastAsia" w:ascii="宋体" w:hAnsi="宋体" w:eastAsia="宋体" w:cs="宋体"/>
          <w:color w:val="auto"/>
          <w:highlight w:val="none"/>
        </w:rPr>
        <w:t>小时。</w:t>
      </w:r>
    </w:p>
    <w:p w14:paraId="4428229B">
      <w:pPr>
        <w:pStyle w:val="4"/>
        <w:rPr>
          <w:rFonts w:hint="eastAsia" w:ascii="宋体" w:hAnsi="宋体" w:eastAsia="宋体" w:cs="宋体"/>
          <w:color w:val="auto"/>
          <w:highlight w:val="none"/>
        </w:rPr>
      </w:pPr>
      <w:bookmarkStart w:id="581" w:name="_Toc389065285"/>
      <w:bookmarkStart w:id="582" w:name="_Toc351203638"/>
      <w:bookmarkStart w:id="583" w:name="_Toc487632718"/>
      <w:bookmarkStart w:id="584" w:name="_Toc373478366"/>
      <w:bookmarkStart w:id="585" w:name="_Toc373227719"/>
      <w:bookmarkStart w:id="586" w:name="_Toc407135221"/>
      <w:r>
        <w:rPr>
          <w:rFonts w:hint="eastAsia" w:ascii="宋体" w:hAnsi="宋体" w:eastAsia="宋体" w:cs="宋体"/>
          <w:color w:val="auto"/>
          <w:highlight w:val="none"/>
        </w:rPr>
        <w:t>6. 安全文明施工与环境保护</w:t>
      </w:r>
      <w:bookmarkEnd w:id="581"/>
      <w:bookmarkEnd w:id="582"/>
      <w:bookmarkEnd w:id="583"/>
      <w:bookmarkEnd w:id="584"/>
      <w:bookmarkEnd w:id="585"/>
      <w:bookmarkEnd w:id="586"/>
    </w:p>
    <w:p w14:paraId="27322105">
      <w:pPr>
        <w:pStyle w:val="5"/>
        <w:rPr>
          <w:rFonts w:hint="eastAsia" w:ascii="宋体" w:hAnsi="宋体" w:eastAsia="宋体" w:cs="宋体"/>
          <w:color w:val="auto"/>
          <w:highlight w:val="none"/>
        </w:rPr>
      </w:pPr>
      <w:bookmarkStart w:id="587" w:name="_Toc487632719"/>
      <w:bookmarkStart w:id="588" w:name="_Toc373478367"/>
      <w:bookmarkStart w:id="589" w:name="_Toc407135222"/>
      <w:bookmarkStart w:id="590" w:name="_Toc373227720"/>
      <w:bookmarkStart w:id="591" w:name="_Toc389065286"/>
      <w:r>
        <w:rPr>
          <w:rFonts w:hint="eastAsia" w:ascii="宋体" w:hAnsi="宋体" w:eastAsia="宋体" w:cs="宋体"/>
          <w:color w:val="auto"/>
          <w:highlight w:val="none"/>
        </w:rPr>
        <w:t>6.1 安全文明施工</w:t>
      </w:r>
      <w:bookmarkEnd w:id="587"/>
      <w:bookmarkEnd w:id="588"/>
      <w:bookmarkEnd w:id="589"/>
      <w:bookmarkEnd w:id="590"/>
      <w:bookmarkEnd w:id="591"/>
    </w:p>
    <w:p w14:paraId="7785F37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6.1.1 项目安全生产的达标目标及相应事项的约定：</w:t>
      </w:r>
      <w:r>
        <w:rPr>
          <w:rFonts w:hint="eastAsia" w:ascii="宋体" w:hAnsi="宋体" w:eastAsia="宋体" w:cs="宋体"/>
          <w:color w:val="auto"/>
          <w:highlight w:val="none"/>
          <w:u w:val="single"/>
        </w:rPr>
        <w:t>符合安全文明施工工地标准，配备消防设备（符合消防安全规定），防止火灾发生，费用由承包人承担。承包人承担一切由于自身安全措施不力而造成的安全事故责任及因此而发生的费用</w:t>
      </w:r>
      <w:r>
        <w:rPr>
          <w:rFonts w:hint="eastAsia" w:ascii="宋体" w:hAnsi="宋体" w:eastAsia="宋体" w:cs="宋体"/>
          <w:color w:val="auto"/>
          <w:highlight w:val="none"/>
        </w:rPr>
        <w:t>。</w:t>
      </w:r>
    </w:p>
    <w:p w14:paraId="48DEDDC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关于安全文明施工奖项的约定：</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308ACB57">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6.1.2 关于治安保卫的特别约定：</w:t>
      </w:r>
      <w:r>
        <w:rPr>
          <w:rFonts w:hint="eastAsia" w:ascii="宋体" w:hAnsi="宋体" w:eastAsia="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42E92C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关于编制施工场地治安管理计划的约定：</w:t>
      </w:r>
      <w:r>
        <w:rPr>
          <w:rFonts w:hint="eastAsia" w:ascii="宋体" w:hAnsi="宋体" w:eastAsia="宋体" w:cs="宋体"/>
          <w:color w:val="auto"/>
          <w:highlight w:val="none"/>
          <w:u w:val="single"/>
        </w:rPr>
        <w:t xml:space="preserve">   由承包人负责编制和办理报批手续    </w:t>
      </w:r>
      <w:r>
        <w:rPr>
          <w:rFonts w:hint="eastAsia" w:ascii="宋体" w:hAnsi="宋体" w:eastAsia="宋体" w:cs="宋体"/>
          <w:color w:val="auto"/>
          <w:highlight w:val="none"/>
        </w:rPr>
        <w:t>。</w:t>
      </w:r>
    </w:p>
    <w:p w14:paraId="07664F0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6.1.3 文明施工</w:t>
      </w:r>
    </w:p>
    <w:p w14:paraId="287F3F3D">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合同当事人对文明施工的要求：</w:t>
      </w:r>
      <w:r>
        <w:rPr>
          <w:rFonts w:hint="eastAsia" w:ascii="宋体" w:hAnsi="宋体" w:eastAsia="宋体" w:cs="宋体"/>
          <w:color w:val="auto"/>
          <w:highlight w:val="none"/>
          <w:u w:val="single"/>
        </w:rPr>
        <w:t>1、承包人在施工过程中，应遵守有关环境保护的法律，履行合同约定的环境保护义务，并对违反法律和合同约定义务所造成的环境破坏、人身伤害和财产损失负责。</w:t>
      </w:r>
    </w:p>
    <w:p w14:paraId="7EDFBBB4">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2、承包人应编制施工环保措施计划，报送监理人审批，其中所编制施工环保措施的实施标准不得低于承包人投标文件中相应措施的计划标准。</w:t>
      </w:r>
    </w:p>
    <w:p w14:paraId="18295B7D">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3、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72B3A9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4、承包人应加强对噪声、粉尘、废气、废水和废油的控制，努力降低噪声，控制粉尘和废气浓度，做好废水和废油的治理和排放。因承包人原因造成的处罚由承包人负责   </w:t>
      </w:r>
      <w:r>
        <w:rPr>
          <w:rFonts w:hint="eastAsia" w:ascii="宋体" w:hAnsi="宋体" w:eastAsia="宋体" w:cs="宋体"/>
          <w:color w:val="auto"/>
          <w:highlight w:val="none"/>
        </w:rPr>
        <w:t>。</w:t>
      </w:r>
    </w:p>
    <w:p w14:paraId="0DD3A78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6.1.4 关于安全文明施工费支付比例和支付期限的约定：</w:t>
      </w:r>
    </w:p>
    <w:p w14:paraId="171C4909">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（1）本合同价款已包含安全文明施工费</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w:t>
      </w:r>
    </w:p>
    <w:p w14:paraId="4187465A">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（2）使用要求：专款专用。具体按</w:t>
      </w:r>
      <w:r>
        <w:rPr>
          <w:rFonts w:hint="eastAsia" w:ascii="宋体" w:hAnsi="宋体" w:eastAsia="宋体" w:cs="宋体"/>
          <w:color w:val="auto"/>
          <w:kern w:val="0"/>
          <w:highlight w:val="none"/>
          <w:u w:val="single"/>
        </w:rPr>
        <w:t>《广西壮族自治区建设工程安全文明施工费使用管理细则》（桂建质〔2015〕16号）</w:t>
      </w:r>
      <w:r>
        <w:rPr>
          <w:rFonts w:hint="eastAsia" w:ascii="宋体" w:hAnsi="宋体" w:eastAsia="宋体" w:cs="宋体"/>
          <w:color w:val="auto"/>
          <w:kern w:val="0"/>
          <w:highlight w:val="none"/>
        </w:rPr>
        <w:t>和</w:t>
      </w:r>
      <w:r>
        <w:rPr>
          <w:rFonts w:hint="eastAsia" w:ascii="宋体" w:hAnsi="宋体" w:eastAsia="宋体" w:cs="宋体"/>
          <w:color w:val="auto"/>
          <w:kern w:val="0"/>
          <w:highlight w:val="none"/>
          <w:u w:val="single"/>
        </w:rPr>
        <w:t xml:space="preserve">    梧州   </w:t>
      </w:r>
      <w:r>
        <w:rPr>
          <w:rFonts w:hint="eastAsia" w:ascii="宋体" w:hAnsi="宋体" w:eastAsia="宋体" w:cs="宋体"/>
          <w:color w:val="auto"/>
          <w:kern w:val="0"/>
          <w:highlight w:val="none"/>
        </w:rPr>
        <w:t>市相关规定执行。</w:t>
      </w:r>
    </w:p>
    <w:p w14:paraId="0C80EFB4">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（3）支付约定：在本合同签订后7个工作日内，预付安全文明施工费总额的30 %，其余部分与进度款同期支付。</w:t>
      </w:r>
    </w:p>
    <w:p w14:paraId="2F5AE7CE">
      <w:pPr>
        <w:pStyle w:val="4"/>
        <w:rPr>
          <w:rFonts w:hint="eastAsia" w:ascii="宋体" w:hAnsi="宋体" w:eastAsia="宋体" w:cs="宋体"/>
          <w:color w:val="auto"/>
          <w:highlight w:val="none"/>
        </w:rPr>
      </w:pPr>
      <w:bookmarkStart w:id="592" w:name="_Toc487632720"/>
      <w:bookmarkStart w:id="593" w:name="_Toc407135223"/>
      <w:bookmarkStart w:id="594" w:name="_Toc389065287"/>
      <w:bookmarkStart w:id="595" w:name="_Toc373478368"/>
      <w:bookmarkStart w:id="596" w:name="_Toc373227721"/>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环境保护</w:t>
      </w:r>
      <w:bookmarkEnd w:id="592"/>
      <w:bookmarkEnd w:id="593"/>
      <w:bookmarkEnd w:id="594"/>
      <w:bookmarkEnd w:id="595"/>
      <w:bookmarkEnd w:id="596"/>
    </w:p>
    <w:p w14:paraId="4EF34AB1">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因施工需要，经发包人批准，由承包人办理有关施工场地交通、环卫和施工噪音管理等手续，费用由承包人负责。</w:t>
      </w:r>
    </w:p>
    <w:p w14:paraId="7DBC3276">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经过城市道路的施工车辆，必须按交警、城管、运输等部门相关规定执行。由于施工车辆造成的道路、环境等污染，其责任和费用均由承包人承担。</w:t>
      </w:r>
    </w:p>
    <w:bookmarkEnd w:id="574"/>
    <w:bookmarkEnd w:id="575"/>
    <w:bookmarkEnd w:id="576"/>
    <w:bookmarkEnd w:id="577"/>
    <w:bookmarkEnd w:id="578"/>
    <w:bookmarkEnd w:id="579"/>
    <w:bookmarkEnd w:id="580"/>
    <w:p w14:paraId="0B645F00">
      <w:pPr>
        <w:pStyle w:val="4"/>
        <w:rPr>
          <w:rFonts w:hint="eastAsia" w:ascii="宋体" w:hAnsi="宋体" w:eastAsia="宋体" w:cs="宋体"/>
          <w:color w:val="auto"/>
          <w:highlight w:val="none"/>
        </w:rPr>
      </w:pPr>
      <w:bookmarkStart w:id="597" w:name="_Toc373227722"/>
      <w:bookmarkStart w:id="598" w:name="_Toc373478369"/>
      <w:bookmarkStart w:id="599" w:name="_Toc389065288"/>
      <w:bookmarkStart w:id="600" w:name="_Toc351203639"/>
      <w:bookmarkStart w:id="601" w:name="_Toc407135224"/>
      <w:bookmarkStart w:id="602" w:name="_Toc487632721"/>
      <w:r>
        <w:rPr>
          <w:rFonts w:hint="eastAsia" w:ascii="宋体" w:hAnsi="宋体" w:eastAsia="宋体" w:cs="宋体"/>
          <w:color w:val="auto"/>
          <w:highlight w:val="none"/>
        </w:rPr>
        <w:t>7. 工期和进度</w:t>
      </w:r>
      <w:bookmarkEnd w:id="597"/>
      <w:bookmarkEnd w:id="598"/>
      <w:bookmarkEnd w:id="599"/>
      <w:bookmarkEnd w:id="600"/>
      <w:bookmarkEnd w:id="601"/>
      <w:bookmarkEnd w:id="602"/>
    </w:p>
    <w:p w14:paraId="1271A3A4">
      <w:pPr>
        <w:pStyle w:val="5"/>
        <w:rPr>
          <w:rFonts w:hint="eastAsia" w:ascii="宋体" w:hAnsi="宋体" w:eastAsia="宋体" w:cs="宋体"/>
          <w:color w:val="auto"/>
          <w:highlight w:val="none"/>
        </w:rPr>
      </w:pPr>
      <w:bookmarkStart w:id="603" w:name="_Toc487632722"/>
      <w:bookmarkStart w:id="604" w:name="_Toc373478370"/>
      <w:bookmarkStart w:id="605" w:name="_Toc373227723"/>
      <w:bookmarkStart w:id="606" w:name="_Toc407135225"/>
      <w:bookmarkStart w:id="607" w:name="_Toc389065289"/>
      <w:r>
        <w:rPr>
          <w:rFonts w:hint="eastAsia" w:ascii="宋体" w:hAnsi="宋体" w:eastAsia="宋体" w:cs="宋体"/>
          <w:color w:val="auto"/>
          <w:highlight w:val="none"/>
        </w:rPr>
        <w:t>7.1 施工组织设计</w:t>
      </w:r>
      <w:bookmarkEnd w:id="603"/>
      <w:bookmarkEnd w:id="604"/>
      <w:bookmarkEnd w:id="605"/>
      <w:bookmarkEnd w:id="606"/>
      <w:bookmarkEnd w:id="607"/>
    </w:p>
    <w:p w14:paraId="28417695">
      <w:pPr>
        <w:rPr>
          <w:rFonts w:hint="eastAsia"/>
          <w:color w:val="auto"/>
          <w:lang w:val="en-US" w:eastAsia="zh-CN"/>
        </w:rPr>
      </w:pPr>
      <w:r>
        <w:rPr>
          <w:rFonts w:hint="eastAsia"/>
          <w:color w:val="auto"/>
          <w:lang w:val="en-US" w:eastAsia="zh-CN"/>
        </w:rPr>
        <w:t>7.1.1 合同当事人约定的施工组织设计应包括的其他内容：  按照工程特点和行业有关规定编制。</w:t>
      </w:r>
    </w:p>
    <w:p w14:paraId="61C135A2">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7.1.2 </w:t>
      </w:r>
      <w:r>
        <w:rPr>
          <w:rFonts w:hint="eastAsia" w:ascii="宋体" w:hAnsi="宋体" w:eastAsia="宋体" w:cs="宋体"/>
          <w:color w:val="auto"/>
          <w:kern w:val="0"/>
          <w:highlight w:val="none"/>
        </w:rPr>
        <w:t>施工组织设计的提交和修改</w:t>
      </w:r>
    </w:p>
    <w:p w14:paraId="2187BA2C">
      <w:pPr>
        <w:autoSpaceDE w:val="0"/>
        <w:autoSpaceDN w:val="0"/>
        <w:adjustRightInd w:val="0"/>
        <w:spacing w:line="360" w:lineRule="auto"/>
        <w:ind w:firstLine="420" w:firstLineChars="200"/>
        <w:jc w:val="left"/>
        <w:rPr>
          <w:rFonts w:hint="eastAsia" w:ascii="宋体" w:hAnsi="宋体" w:eastAsia="宋体" w:cs="宋体"/>
          <w:color w:val="auto"/>
          <w:highlight w:val="none"/>
          <w:u w:val="single"/>
        </w:rPr>
      </w:pPr>
      <w:bookmarkStart w:id="608" w:name="_Toc373227724"/>
      <w:bookmarkStart w:id="609" w:name="_Toc407135226"/>
      <w:bookmarkStart w:id="610" w:name="_Toc373478371"/>
      <w:bookmarkStart w:id="611" w:name="_Toc389065290"/>
      <w:bookmarkStart w:id="612" w:name="_Toc487632723"/>
      <w:r>
        <w:rPr>
          <w:rFonts w:hint="eastAsia" w:ascii="宋体" w:hAnsi="宋体" w:eastAsia="宋体" w:cs="宋体"/>
          <w:color w:val="auto"/>
          <w:kern w:val="0"/>
          <w:highlight w:val="none"/>
        </w:rPr>
        <w:t>承包人提交详细施工组织设计的期限的约定：</w:t>
      </w:r>
      <w:r>
        <w:rPr>
          <w:rFonts w:hint="eastAsia" w:ascii="宋体" w:hAnsi="宋体" w:eastAsia="宋体" w:cs="宋体"/>
          <w:color w:val="auto"/>
          <w:highlight w:val="none"/>
          <w:u w:val="single"/>
        </w:rPr>
        <w:t xml:space="preserve">承包人应在投标文件施工组织设计的基础上，编制工程详细施工组织设计，要求后者的各项实施标准不得降低前者对应项目所计划的标准。承包人应在合同签订后14天内，但最迟不得晚于开工通知载明的开工日期前7天，向监理人提交详细的的施工组织设计，并由监理人报送发包人  </w:t>
      </w:r>
      <w:r>
        <w:rPr>
          <w:rFonts w:hint="eastAsia" w:ascii="宋体" w:hAnsi="宋体" w:eastAsia="宋体" w:cs="宋体"/>
          <w:color w:val="auto"/>
          <w:highlight w:val="none"/>
        </w:rPr>
        <w:t>。</w:t>
      </w:r>
    </w:p>
    <w:p w14:paraId="689244F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发包人和监理人在收到详细的施工组织设计后确认或提出修改意见的期限：</w:t>
      </w:r>
      <w:r>
        <w:rPr>
          <w:rFonts w:hint="eastAsia" w:ascii="宋体" w:hAnsi="宋体" w:eastAsia="宋体" w:cs="宋体"/>
          <w:color w:val="auto"/>
          <w:highlight w:val="none"/>
          <w:u w:val="single"/>
        </w:rPr>
        <w:t xml:space="preserve">收到后7天内 </w:t>
      </w:r>
      <w:r>
        <w:rPr>
          <w:rFonts w:hint="eastAsia" w:ascii="宋体" w:hAnsi="宋体" w:eastAsia="宋体" w:cs="宋体"/>
          <w:color w:val="auto"/>
          <w:highlight w:val="none"/>
        </w:rPr>
        <w:t>。</w:t>
      </w:r>
    </w:p>
    <w:p w14:paraId="0DBDDF2F">
      <w:pPr>
        <w:pStyle w:val="5"/>
        <w:rPr>
          <w:rFonts w:hint="eastAsia" w:ascii="宋体" w:hAnsi="宋体" w:eastAsia="宋体" w:cs="宋体"/>
          <w:color w:val="auto"/>
          <w:highlight w:val="none"/>
        </w:rPr>
      </w:pPr>
      <w:r>
        <w:rPr>
          <w:rFonts w:hint="eastAsia" w:ascii="宋体" w:hAnsi="宋体" w:eastAsia="宋体" w:cs="宋体"/>
          <w:color w:val="auto"/>
          <w:highlight w:val="none"/>
        </w:rPr>
        <w:t>7</w:t>
      </w:r>
      <w:bookmarkStart w:id="613" w:name="_Toc312677479"/>
      <w:bookmarkStart w:id="614" w:name="_Toc300934966"/>
      <w:bookmarkStart w:id="615" w:name="_Toc312678005"/>
      <w:bookmarkStart w:id="616" w:name="_Toc303539123"/>
      <w:bookmarkStart w:id="617" w:name="_Toc304295541"/>
      <w:bookmarkStart w:id="618" w:name="_Toc297123514"/>
      <w:bookmarkStart w:id="619" w:name="_Toc297216173"/>
      <w:r>
        <w:rPr>
          <w:rFonts w:hint="eastAsia" w:ascii="宋体" w:hAnsi="宋体" w:eastAsia="宋体" w:cs="宋体"/>
          <w:color w:val="auto"/>
          <w:highlight w:val="none"/>
        </w:rPr>
        <w:t>.2 施工进度计划</w:t>
      </w:r>
      <w:bookmarkEnd w:id="608"/>
      <w:bookmarkEnd w:id="609"/>
      <w:bookmarkEnd w:id="610"/>
      <w:bookmarkEnd w:id="611"/>
      <w:bookmarkEnd w:id="612"/>
    </w:p>
    <w:p w14:paraId="674CC82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施工进度计划的修订</w:t>
      </w:r>
    </w:p>
    <w:p w14:paraId="559563C6">
      <w:pPr>
        <w:spacing w:line="360" w:lineRule="auto"/>
        <w:ind w:firstLine="210" w:firstLineChars="100"/>
        <w:jc w:val="left"/>
        <w:rPr>
          <w:rFonts w:hint="eastAsia" w:ascii="宋体" w:hAnsi="宋体" w:eastAsia="宋体" w:cs="宋体"/>
          <w:color w:val="auto"/>
          <w:highlight w:val="none"/>
        </w:rPr>
      </w:pPr>
      <w:r>
        <w:rPr>
          <w:rFonts w:hint="eastAsia" w:ascii="宋体" w:hAnsi="宋体" w:eastAsia="宋体" w:cs="宋体"/>
          <w:color w:val="auto"/>
          <w:highlight w:val="none"/>
        </w:rPr>
        <w:t>发包人和监理人在收到修订的施工进度计划后确认或提出修改意见的期限：</w:t>
      </w:r>
      <w:r>
        <w:rPr>
          <w:rFonts w:hint="eastAsia" w:ascii="宋体" w:hAnsi="宋体" w:eastAsia="宋体" w:cs="宋体"/>
          <w:color w:val="auto"/>
          <w:highlight w:val="none"/>
          <w:u w:val="single"/>
        </w:rPr>
        <w:t xml:space="preserve"> 收到后7天内 </w:t>
      </w:r>
      <w:r>
        <w:rPr>
          <w:rFonts w:hint="eastAsia" w:ascii="宋体" w:hAnsi="宋体" w:eastAsia="宋体" w:cs="宋体"/>
          <w:color w:val="auto"/>
          <w:highlight w:val="none"/>
        </w:rPr>
        <w:t>。</w:t>
      </w:r>
    </w:p>
    <w:p w14:paraId="3076769C">
      <w:pPr>
        <w:pStyle w:val="5"/>
        <w:rPr>
          <w:rFonts w:hint="eastAsia" w:ascii="宋体" w:hAnsi="宋体" w:eastAsia="宋体" w:cs="宋体"/>
          <w:color w:val="auto"/>
          <w:highlight w:val="none"/>
        </w:rPr>
      </w:pPr>
      <w:bookmarkStart w:id="620" w:name="_Toc407135227"/>
      <w:bookmarkStart w:id="621" w:name="_Toc389065291"/>
      <w:bookmarkStart w:id="622" w:name="_Toc373227725"/>
      <w:bookmarkStart w:id="623" w:name="_Toc373478372"/>
      <w:bookmarkStart w:id="624" w:name="_Toc487632724"/>
      <w:r>
        <w:rPr>
          <w:rFonts w:hint="eastAsia" w:ascii="宋体" w:hAnsi="宋体" w:eastAsia="宋体" w:cs="宋体"/>
          <w:color w:val="auto"/>
          <w:highlight w:val="none"/>
        </w:rPr>
        <w:t>7.3 开工</w:t>
      </w:r>
      <w:bookmarkEnd w:id="620"/>
      <w:bookmarkEnd w:id="621"/>
      <w:bookmarkEnd w:id="622"/>
      <w:bookmarkEnd w:id="623"/>
      <w:bookmarkEnd w:id="624"/>
    </w:p>
    <w:p w14:paraId="0735E6B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7.3.1 开工准备</w:t>
      </w:r>
    </w:p>
    <w:p w14:paraId="3166B360">
      <w:pPr>
        <w:spacing w:line="360" w:lineRule="auto"/>
        <w:ind w:firstLine="426"/>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关于承包人提交</w:t>
      </w:r>
      <w:r>
        <w:rPr>
          <w:rFonts w:hint="eastAsia" w:ascii="宋体" w:hAnsi="宋体" w:eastAsia="宋体" w:cs="宋体"/>
          <w:color w:val="auto"/>
          <w:kern w:val="0"/>
          <w:highlight w:val="none"/>
        </w:rPr>
        <w:t>工程开工报审表的期限：</w:t>
      </w:r>
      <w:r>
        <w:rPr>
          <w:rFonts w:hint="eastAsia" w:ascii="宋体" w:hAnsi="宋体" w:eastAsia="宋体" w:cs="宋体"/>
          <w:color w:val="auto"/>
          <w:highlight w:val="none"/>
          <w:u w:val="single"/>
        </w:rPr>
        <w:t xml:space="preserve">  开工前3天</w:t>
      </w:r>
      <w:r>
        <w:rPr>
          <w:rFonts w:hint="eastAsia" w:ascii="宋体" w:hAnsi="宋体" w:eastAsia="宋体" w:cs="宋体"/>
          <w:color w:val="auto"/>
          <w:highlight w:val="none"/>
        </w:rPr>
        <w:t>。</w:t>
      </w:r>
    </w:p>
    <w:p w14:paraId="03D29544">
      <w:pPr>
        <w:spacing w:line="360" w:lineRule="auto"/>
        <w:ind w:firstLine="426"/>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关于发包人应完成的其他开工准备工作及期限：</w:t>
      </w:r>
      <w:r>
        <w:rPr>
          <w:rFonts w:hint="eastAsia" w:ascii="宋体" w:hAnsi="宋体" w:eastAsia="宋体" w:cs="宋体"/>
          <w:color w:val="auto"/>
          <w:highlight w:val="none"/>
          <w:u w:val="single"/>
        </w:rPr>
        <w:t>开工前7天</w:t>
      </w:r>
      <w:r>
        <w:rPr>
          <w:rFonts w:hint="eastAsia" w:ascii="宋体" w:hAnsi="宋体" w:eastAsia="宋体" w:cs="宋体"/>
          <w:color w:val="auto"/>
          <w:highlight w:val="none"/>
        </w:rPr>
        <w:t>。</w:t>
      </w:r>
    </w:p>
    <w:p w14:paraId="1F8C47D7">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关于承包人应完成的其他开工准备工作及期限：</w:t>
      </w:r>
      <w:r>
        <w:rPr>
          <w:rFonts w:hint="eastAsia" w:ascii="宋体" w:hAnsi="宋体" w:eastAsia="宋体" w:cs="宋体"/>
          <w:color w:val="auto"/>
          <w:highlight w:val="none"/>
          <w:u w:val="single"/>
        </w:rPr>
        <w:t xml:space="preserve">  开工前7天</w:t>
      </w:r>
      <w:r>
        <w:rPr>
          <w:rFonts w:hint="eastAsia" w:ascii="宋体" w:hAnsi="宋体" w:eastAsia="宋体" w:cs="宋体"/>
          <w:color w:val="auto"/>
          <w:highlight w:val="none"/>
        </w:rPr>
        <w:t>。</w:t>
      </w:r>
    </w:p>
    <w:p w14:paraId="54AC252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7.3.2 开工通知</w:t>
      </w:r>
    </w:p>
    <w:p w14:paraId="7E2790C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因发包人原因造成监理人未能在计划开工日期之日起</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天内发出开工通知的，承包人有权提出价格调整要求，或者解除合同。</w:t>
      </w:r>
    </w:p>
    <w:bookmarkEnd w:id="613"/>
    <w:bookmarkEnd w:id="614"/>
    <w:bookmarkEnd w:id="615"/>
    <w:bookmarkEnd w:id="616"/>
    <w:bookmarkEnd w:id="617"/>
    <w:bookmarkEnd w:id="618"/>
    <w:bookmarkEnd w:id="619"/>
    <w:p w14:paraId="27F0DAC6">
      <w:pPr>
        <w:pStyle w:val="5"/>
        <w:rPr>
          <w:rFonts w:hint="eastAsia" w:ascii="宋体" w:hAnsi="宋体" w:eastAsia="宋体" w:cs="宋体"/>
          <w:color w:val="auto"/>
          <w:highlight w:val="none"/>
        </w:rPr>
      </w:pPr>
      <w:bookmarkStart w:id="625" w:name="_Toc373227726"/>
      <w:bookmarkStart w:id="626" w:name="_Toc407135228"/>
      <w:bookmarkStart w:id="627" w:name="_Toc487632725"/>
      <w:bookmarkStart w:id="628" w:name="_Toc373478373"/>
      <w:bookmarkStart w:id="629" w:name="_Toc389065292"/>
      <w:r>
        <w:rPr>
          <w:rFonts w:hint="eastAsia" w:ascii="宋体" w:hAnsi="宋体" w:eastAsia="宋体" w:cs="宋体"/>
          <w:color w:val="auto"/>
          <w:highlight w:val="none"/>
        </w:rPr>
        <w:t>7.4 测量放线</w:t>
      </w:r>
      <w:bookmarkEnd w:id="625"/>
      <w:bookmarkEnd w:id="626"/>
      <w:bookmarkEnd w:id="627"/>
      <w:bookmarkEnd w:id="628"/>
      <w:bookmarkEnd w:id="629"/>
    </w:p>
    <w:p w14:paraId="6D2F526E">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发包人通过监理人向承包人提供测量基准点、基准线和水准点及其书面资料的期限：</w:t>
      </w:r>
    </w:p>
    <w:p w14:paraId="27A3D85D">
      <w:pPr>
        <w:spacing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开工通知载明的开工日期前7天     </w:t>
      </w:r>
      <w:r>
        <w:rPr>
          <w:rFonts w:hint="eastAsia" w:ascii="宋体" w:hAnsi="宋体" w:eastAsia="宋体" w:cs="宋体"/>
          <w:color w:val="auto"/>
          <w:highlight w:val="none"/>
        </w:rPr>
        <w:t>。</w:t>
      </w:r>
    </w:p>
    <w:p w14:paraId="5ACB7A3F">
      <w:pPr>
        <w:pStyle w:val="5"/>
        <w:rPr>
          <w:rFonts w:hint="eastAsia" w:ascii="宋体" w:hAnsi="宋体" w:eastAsia="宋体" w:cs="宋体"/>
          <w:color w:val="auto"/>
          <w:highlight w:val="none"/>
        </w:rPr>
      </w:pPr>
      <w:bookmarkStart w:id="630" w:name="_Toc389065293"/>
      <w:bookmarkStart w:id="631" w:name="_Toc487632726"/>
      <w:bookmarkStart w:id="632" w:name="_Toc373227727"/>
      <w:bookmarkStart w:id="633" w:name="_Toc407135229"/>
      <w:bookmarkStart w:id="634" w:name="_Toc373478374"/>
      <w:r>
        <w:rPr>
          <w:rFonts w:hint="eastAsia" w:ascii="宋体" w:hAnsi="宋体" w:eastAsia="宋体" w:cs="宋体"/>
          <w:color w:val="auto"/>
          <w:highlight w:val="none"/>
        </w:rPr>
        <w:t>7</w:t>
      </w:r>
      <w:bookmarkStart w:id="635" w:name="_Toc303539125"/>
      <w:bookmarkStart w:id="636" w:name="_Toc304295546"/>
      <w:bookmarkStart w:id="637" w:name="_Toc297123516"/>
      <w:bookmarkStart w:id="638" w:name="_Toc297216175"/>
      <w:bookmarkStart w:id="639" w:name="_Toc312678010"/>
      <w:bookmarkStart w:id="640" w:name="_Toc300934968"/>
      <w:bookmarkStart w:id="641" w:name="_Toc312677484"/>
      <w:r>
        <w:rPr>
          <w:rFonts w:hint="eastAsia" w:ascii="宋体" w:hAnsi="宋体" w:eastAsia="宋体" w:cs="宋体"/>
          <w:color w:val="auto"/>
          <w:highlight w:val="none"/>
        </w:rPr>
        <w:t>.5 工期延误</w:t>
      </w:r>
      <w:bookmarkEnd w:id="630"/>
      <w:bookmarkEnd w:id="631"/>
      <w:bookmarkEnd w:id="632"/>
      <w:bookmarkEnd w:id="633"/>
      <w:bookmarkEnd w:id="634"/>
    </w:p>
    <w:bookmarkEnd w:id="635"/>
    <w:bookmarkEnd w:id="636"/>
    <w:bookmarkEnd w:id="637"/>
    <w:bookmarkEnd w:id="638"/>
    <w:bookmarkEnd w:id="639"/>
    <w:bookmarkEnd w:id="640"/>
    <w:bookmarkEnd w:id="641"/>
    <w:p w14:paraId="69E56C2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7.5.1 因发包人原因导致工期延误</w:t>
      </w:r>
    </w:p>
    <w:p w14:paraId="6E73350E">
      <w:pPr>
        <w:spacing w:line="360" w:lineRule="auto"/>
        <w:ind w:firstLine="840" w:firstLineChars="4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因发包人原因导致工期延误的其他情形：</w:t>
      </w:r>
      <w:r>
        <w:rPr>
          <w:rFonts w:hint="eastAsia" w:ascii="宋体" w:hAnsi="宋体" w:eastAsia="宋体" w:cs="宋体"/>
          <w:color w:val="auto"/>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auto"/>
          <w:highlight w:val="none"/>
        </w:rPr>
        <w:t xml:space="preserve"> 。</w:t>
      </w:r>
    </w:p>
    <w:p w14:paraId="771459F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w:t>
      </w:r>
      <w:bookmarkStart w:id="642" w:name="_Toc312677486"/>
      <w:bookmarkStart w:id="643" w:name="_Toc318581169"/>
      <w:bookmarkStart w:id="644" w:name="_Toc312678012"/>
      <w:bookmarkStart w:id="645" w:name="_Toc297216177"/>
      <w:bookmarkStart w:id="646" w:name="_Toc304295548"/>
      <w:bookmarkStart w:id="647" w:name="_Toc297123518"/>
      <w:bookmarkStart w:id="648" w:name="_Toc303539127"/>
      <w:bookmarkStart w:id="649" w:name="_Toc300934970"/>
      <w:r>
        <w:rPr>
          <w:rFonts w:hint="eastAsia" w:ascii="宋体" w:hAnsi="宋体" w:eastAsia="宋体" w:cs="宋体"/>
          <w:color w:val="auto"/>
          <w:highlight w:val="none"/>
        </w:rPr>
        <w:t>.5.2 因承包人原因导致工期延误</w:t>
      </w:r>
    </w:p>
    <w:bookmarkEnd w:id="642"/>
    <w:bookmarkEnd w:id="643"/>
    <w:bookmarkEnd w:id="644"/>
    <w:p w14:paraId="5DD6F62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双方约定经监理工程师确认，工期相应顺延的情况：</w:t>
      </w:r>
      <w:r>
        <w:rPr>
          <w:rFonts w:hint="eastAsia" w:ascii="宋体" w:hAnsi="宋体" w:eastAsia="宋体" w:cs="宋体"/>
          <w:color w:val="auto"/>
          <w:highlight w:val="none"/>
          <w:u w:val="single"/>
        </w:rPr>
        <w:t xml:space="preserve">   按通用条款执行    </w:t>
      </w:r>
      <w:r>
        <w:rPr>
          <w:rFonts w:hint="eastAsia" w:ascii="宋体" w:hAnsi="宋体" w:eastAsia="宋体" w:cs="宋体"/>
          <w:color w:val="auto"/>
          <w:highlight w:val="none"/>
        </w:rPr>
        <w:t>。</w:t>
      </w:r>
    </w:p>
    <w:p w14:paraId="13260194">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因</w:t>
      </w:r>
      <w:bookmarkStart w:id="650" w:name="_Toc318581170"/>
      <w:bookmarkStart w:id="651" w:name="_Toc312678013"/>
      <w:bookmarkStart w:id="652" w:name="_Toc312677487"/>
      <w:r>
        <w:rPr>
          <w:rFonts w:hint="eastAsia" w:ascii="宋体" w:hAnsi="宋体" w:eastAsia="宋体" w:cs="宋体"/>
          <w:color w:val="auto"/>
          <w:highlight w:val="none"/>
        </w:rPr>
        <w:t>承包人原因造成工期延误，逾期竣工违约金的计算方法为：</w:t>
      </w:r>
      <w:r>
        <w:rPr>
          <w:rFonts w:hint="eastAsia" w:ascii="宋体" w:hAnsi="宋体" w:eastAsia="宋体" w:cs="宋体"/>
          <w:color w:val="auto"/>
          <w:highlight w:val="none"/>
          <w:u w:val="single"/>
        </w:rPr>
        <w:t xml:space="preserve">非上述原因，承包人不能按合同约定的时间竣工，承包人应承担违约责任。应向发包人支付误期赔偿费（赔偿费按逾期竣工的单栋工程罚款，每延误一天,按该栋工程结算造价扣除建安劳保费、发包人材料设备价款、暂估专业工程、暂列金额后的万分之 五 处罚,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 </w:t>
      </w:r>
    </w:p>
    <w:bookmarkEnd w:id="645"/>
    <w:bookmarkEnd w:id="646"/>
    <w:bookmarkEnd w:id="647"/>
    <w:bookmarkEnd w:id="648"/>
    <w:bookmarkEnd w:id="649"/>
    <w:bookmarkEnd w:id="650"/>
    <w:bookmarkEnd w:id="651"/>
    <w:bookmarkEnd w:id="652"/>
    <w:p w14:paraId="00C8E65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因承包人原因造成工期延误，逾</w:t>
      </w:r>
      <w:bookmarkStart w:id="653" w:name="_Toc318581171"/>
      <w:bookmarkStart w:id="654" w:name="_Toc312678014"/>
      <w:r>
        <w:rPr>
          <w:rFonts w:hint="eastAsia" w:ascii="宋体" w:hAnsi="宋体" w:eastAsia="宋体" w:cs="宋体"/>
          <w:color w:val="auto"/>
          <w:highlight w:val="none"/>
        </w:rPr>
        <w:t>期竣工违约金的上限：</w:t>
      </w:r>
      <w:r>
        <w:rPr>
          <w:rFonts w:hint="eastAsia" w:ascii="宋体" w:hAnsi="宋体" w:eastAsia="宋体" w:cs="宋体"/>
          <w:color w:val="auto"/>
          <w:highlight w:val="none"/>
          <w:u w:val="single"/>
        </w:rPr>
        <w:t>逾期竣工的单位工程结算造价扣除建安劳保费、发包人材料价款、暂估专业工程、暂列金额后的 10 %</w:t>
      </w:r>
      <w:r>
        <w:rPr>
          <w:rFonts w:hint="eastAsia" w:ascii="宋体" w:hAnsi="宋体" w:eastAsia="宋体" w:cs="宋体"/>
          <w:color w:val="auto"/>
          <w:highlight w:val="none"/>
        </w:rPr>
        <w:t>。</w:t>
      </w:r>
    </w:p>
    <w:bookmarkEnd w:id="653"/>
    <w:bookmarkEnd w:id="654"/>
    <w:p w14:paraId="192464D0">
      <w:pPr>
        <w:pStyle w:val="5"/>
        <w:rPr>
          <w:rFonts w:hint="eastAsia" w:ascii="宋体" w:hAnsi="宋体" w:eastAsia="宋体" w:cs="宋体"/>
          <w:color w:val="auto"/>
          <w:highlight w:val="none"/>
        </w:rPr>
      </w:pPr>
      <w:bookmarkStart w:id="655" w:name="_Toc407135230"/>
      <w:bookmarkStart w:id="656" w:name="_Toc373478375"/>
      <w:bookmarkStart w:id="657" w:name="_Toc487632727"/>
      <w:bookmarkStart w:id="658" w:name="_Toc373227728"/>
      <w:bookmarkStart w:id="659" w:name="_Toc389065294"/>
      <w:r>
        <w:rPr>
          <w:rFonts w:hint="eastAsia" w:ascii="宋体" w:hAnsi="宋体" w:eastAsia="宋体" w:cs="宋体"/>
          <w:color w:val="auto"/>
          <w:highlight w:val="none"/>
        </w:rPr>
        <w:t>7</w:t>
      </w:r>
      <w:bookmarkStart w:id="660" w:name="_Toc300934971"/>
      <w:bookmarkStart w:id="661" w:name="_Toc303539128"/>
      <w:bookmarkStart w:id="662" w:name="_Toc304295549"/>
      <w:bookmarkStart w:id="663" w:name="_Toc297123519"/>
      <w:bookmarkStart w:id="664" w:name="_Toc297216178"/>
      <w:bookmarkStart w:id="665" w:name="_Toc312678015"/>
      <w:r>
        <w:rPr>
          <w:rFonts w:hint="eastAsia" w:ascii="宋体" w:hAnsi="宋体" w:eastAsia="宋体" w:cs="宋体"/>
          <w:color w:val="auto"/>
          <w:highlight w:val="none"/>
        </w:rPr>
        <w:t>.6 不</w:t>
      </w:r>
      <w:bookmarkEnd w:id="660"/>
      <w:bookmarkEnd w:id="661"/>
      <w:bookmarkEnd w:id="662"/>
      <w:bookmarkEnd w:id="663"/>
      <w:bookmarkEnd w:id="664"/>
      <w:bookmarkEnd w:id="665"/>
      <w:r>
        <w:rPr>
          <w:rFonts w:hint="eastAsia" w:ascii="宋体" w:hAnsi="宋体" w:eastAsia="宋体" w:cs="宋体"/>
          <w:color w:val="auto"/>
          <w:highlight w:val="none"/>
        </w:rPr>
        <w:t>利物质条件</w:t>
      </w:r>
      <w:bookmarkEnd w:id="655"/>
      <w:bookmarkEnd w:id="656"/>
      <w:bookmarkEnd w:id="657"/>
      <w:bookmarkEnd w:id="658"/>
      <w:bookmarkEnd w:id="659"/>
    </w:p>
    <w:p w14:paraId="66EAE1D2">
      <w:pPr>
        <w:spacing w:line="360" w:lineRule="auto"/>
        <w:ind w:firstLine="420" w:firstLineChars="200"/>
        <w:jc w:val="left"/>
        <w:rPr>
          <w:rFonts w:hint="eastAsia" w:ascii="宋体" w:hAnsi="宋体" w:eastAsia="宋体" w:cs="宋体"/>
          <w:color w:val="auto"/>
          <w:highlight w:val="none"/>
          <w:u w:val="single"/>
        </w:rPr>
      </w:pPr>
      <w:bookmarkStart w:id="666" w:name="_Toc303539129"/>
      <w:bookmarkStart w:id="667" w:name="_Toc318581172"/>
      <w:bookmarkStart w:id="668" w:name="_Toc300934972"/>
      <w:bookmarkStart w:id="669" w:name="_Toc297123520"/>
      <w:bookmarkStart w:id="670" w:name="_Toc297216179"/>
      <w:bookmarkStart w:id="671" w:name="_Toc304295550"/>
      <w:bookmarkStart w:id="672" w:name="_Toc312678016"/>
      <w:r>
        <w:rPr>
          <w:rFonts w:hint="eastAsia" w:ascii="宋体" w:hAnsi="宋体" w:eastAsia="宋体" w:cs="宋体"/>
          <w:color w:val="auto"/>
          <w:highlight w:val="none"/>
        </w:rPr>
        <w:t>不利物质条件的其他情形和有关约定：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bookmarkEnd w:id="666"/>
    <w:bookmarkEnd w:id="667"/>
    <w:bookmarkEnd w:id="668"/>
    <w:bookmarkEnd w:id="669"/>
    <w:bookmarkEnd w:id="670"/>
    <w:bookmarkEnd w:id="671"/>
    <w:bookmarkEnd w:id="672"/>
    <w:p w14:paraId="66B44BED">
      <w:pPr>
        <w:pStyle w:val="5"/>
        <w:rPr>
          <w:rFonts w:hint="eastAsia" w:ascii="宋体" w:hAnsi="宋体" w:eastAsia="宋体" w:cs="宋体"/>
          <w:color w:val="auto"/>
          <w:highlight w:val="none"/>
        </w:rPr>
      </w:pPr>
      <w:bookmarkStart w:id="673" w:name="_Toc407135231"/>
      <w:bookmarkStart w:id="674" w:name="_Toc373478376"/>
      <w:bookmarkStart w:id="675" w:name="_Toc487632728"/>
      <w:bookmarkStart w:id="676" w:name="_Toc373227729"/>
      <w:bookmarkStart w:id="677" w:name="_Toc389065295"/>
      <w:r>
        <w:rPr>
          <w:rFonts w:hint="eastAsia" w:ascii="宋体" w:hAnsi="宋体" w:eastAsia="宋体" w:cs="宋体"/>
          <w:color w:val="auto"/>
          <w:highlight w:val="none"/>
        </w:rPr>
        <w:t>7</w:t>
      </w:r>
      <w:bookmarkStart w:id="678" w:name="_Toc297216180"/>
      <w:bookmarkStart w:id="679" w:name="_Toc297123521"/>
      <w:bookmarkStart w:id="680" w:name="_Toc312678017"/>
      <w:bookmarkStart w:id="681" w:name="_Toc303539130"/>
      <w:bookmarkStart w:id="682" w:name="_Toc300934973"/>
      <w:bookmarkStart w:id="683" w:name="_Toc304295551"/>
      <w:r>
        <w:rPr>
          <w:rFonts w:hint="eastAsia" w:ascii="宋体" w:hAnsi="宋体" w:eastAsia="宋体" w:cs="宋体"/>
          <w:color w:val="auto"/>
          <w:highlight w:val="none"/>
        </w:rPr>
        <w:t>.7 异常恶劣的气候条件</w:t>
      </w:r>
      <w:bookmarkEnd w:id="673"/>
      <w:bookmarkEnd w:id="674"/>
      <w:bookmarkEnd w:id="675"/>
      <w:bookmarkEnd w:id="676"/>
      <w:bookmarkEnd w:id="677"/>
    </w:p>
    <w:bookmarkEnd w:id="678"/>
    <w:bookmarkEnd w:id="679"/>
    <w:bookmarkEnd w:id="680"/>
    <w:bookmarkEnd w:id="681"/>
    <w:bookmarkEnd w:id="682"/>
    <w:bookmarkEnd w:id="683"/>
    <w:p w14:paraId="0CDAE3F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发包人和承包人同意以下情形视为异常恶劣的气候条件：</w:t>
      </w:r>
    </w:p>
    <w:p w14:paraId="2BBBA15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八级以上台风 （以气象部门鉴定为准）     </w:t>
      </w:r>
      <w:r>
        <w:rPr>
          <w:rFonts w:hint="eastAsia" w:ascii="宋体" w:hAnsi="宋体" w:eastAsia="宋体" w:cs="宋体"/>
          <w:color w:val="auto"/>
          <w:highlight w:val="none"/>
        </w:rPr>
        <w:t>；</w:t>
      </w:r>
    </w:p>
    <w:p w14:paraId="347080A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六级以上地震 （以相关部门鉴定为准）     </w:t>
      </w:r>
      <w:r>
        <w:rPr>
          <w:rFonts w:hint="eastAsia" w:ascii="宋体" w:hAnsi="宋体" w:eastAsia="宋体" w:cs="宋体"/>
          <w:color w:val="auto"/>
          <w:highlight w:val="none"/>
        </w:rPr>
        <w:t>；</w:t>
      </w:r>
    </w:p>
    <w:p w14:paraId="0F9F457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u w:val="single"/>
        </w:rPr>
        <w:t xml:space="preserve">        暴雨及以上级别                     </w:t>
      </w:r>
      <w:r>
        <w:rPr>
          <w:rFonts w:hint="eastAsia" w:ascii="宋体" w:hAnsi="宋体" w:eastAsia="宋体" w:cs="宋体"/>
          <w:color w:val="auto"/>
          <w:highlight w:val="none"/>
        </w:rPr>
        <w:t>。</w:t>
      </w:r>
    </w:p>
    <w:p w14:paraId="5CEF8D77">
      <w:pPr>
        <w:pStyle w:val="5"/>
        <w:rPr>
          <w:rFonts w:hint="eastAsia" w:ascii="宋体" w:hAnsi="宋体" w:eastAsia="宋体" w:cs="宋体"/>
          <w:color w:val="auto"/>
          <w:highlight w:val="none"/>
        </w:rPr>
      </w:pPr>
      <w:bookmarkStart w:id="684" w:name="_Toc487632729"/>
      <w:bookmarkStart w:id="685" w:name="_Toc389065296"/>
      <w:bookmarkStart w:id="686" w:name="_Toc373227730"/>
      <w:bookmarkStart w:id="687" w:name="_Toc407135232"/>
      <w:bookmarkStart w:id="688" w:name="_Toc373478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 xml:space="preserve"> 提前竣工</w:t>
      </w:r>
      <w:bookmarkEnd w:id="684"/>
      <w:bookmarkEnd w:id="685"/>
      <w:bookmarkEnd w:id="686"/>
      <w:bookmarkEnd w:id="687"/>
      <w:bookmarkEnd w:id="688"/>
    </w:p>
    <w:p w14:paraId="6304A3D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7.8.1提前竣工（赶工）增加费的计算方法：</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5DE1E425">
      <w:pPr>
        <w:pStyle w:val="4"/>
        <w:rPr>
          <w:rFonts w:hint="eastAsia" w:ascii="宋体" w:hAnsi="宋体" w:eastAsia="宋体" w:cs="宋体"/>
          <w:color w:val="auto"/>
          <w:highlight w:val="none"/>
        </w:rPr>
      </w:pPr>
      <w:bookmarkStart w:id="689" w:name="_Toc389065297"/>
      <w:bookmarkStart w:id="690" w:name="_Toc487632730"/>
      <w:bookmarkStart w:id="691" w:name="_Toc373478378"/>
      <w:bookmarkStart w:id="692" w:name="_Toc407135233"/>
      <w:bookmarkStart w:id="693" w:name="_Toc351203640"/>
      <w:bookmarkStart w:id="694" w:name="_Toc373227731"/>
      <w:r>
        <w:rPr>
          <w:rFonts w:hint="eastAsia" w:ascii="宋体" w:hAnsi="宋体" w:eastAsia="宋体" w:cs="宋体"/>
          <w:color w:val="auto"/>
          <w:highlight w:val="none"/>
        </w:rPr>
        <w:t>8. 材料与设备</w:t>
      </w:r>
      <w:bookmarkEnd w:id="689"/>
      <w:bookmarkEnd w:id="690"/>
      <w:bookmarkEnd w:id="691"/>
      <w:bookmarkEnd w:id="692"/>
      <w:bookmarkEnd w:id="693"/>
      <w:bookmarkEnd w:id="694"/>
    </w:p>
    <w:bookmarkEnd w:id="559"/>
    <w:bookmarkEnd w:id="560"/>
    <w:bookmarkEnd w:id="561"/>
    <w:bookmarkEnd w:id="562"/>
    <w:bookmarkEnd w:id="563"/>
    <w:bookmarkEnd w:id="564"/>
    <w:bookmarkEnd w:id="565"/>
    <w:bookmarkEnd w:id="566"/>
    <w:bookmarkEnd w:id="567"/>
    <w:bookmarkEnd w:id="568"/>
    <w:p w14:paraId="0E887017">
      <w:pPr>
        <w:pStyle w:val="5"/>
        <w:rPr>
          <w:rFonts w:hint="eastAsia" w:ascii="宋体" w:hAnsi="宋体" w:eastAsia="宋体" w:cs="宋体"/>
          <w:color w:val="auto"/>
          <w:highlight w:val="none"/>
        </w:rPr>
      </w:pPr>
      <w:bookmarkStart w:id="695" w:name="_Toc389065298"/>
      <w:bookmarkStart w:id="696" w:name="_Toc373227732"/>
      <w:bookmarkStart w:id="697" w:name="_Toc487632731"/>
      <w:bookmarkStart w:id="698" w:name="_Toc373478379"/>
      <w:bookmarkStart w:id="699" w:name="_Toc407135234"/>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承包人采购材料与工程设备</w:t>
      </w:r>
      <w:bookmarkEnd w:id="695"/>
      <w:bookmarkEnd w:id="696"/>
      <w:bookmarkEnd w:id="697"/>
      <w:bookmarkEnd w:id="698"/>
      <w:bookmarkEnd w:id="699"/>
    </w:p>
    <w:p w14:paraId="7EC60CC7">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除已标价工程量清单《发包人提供主要材料和工程设备一览表》（表-21）中明确的材料、工程设备外，由承包人负责材料和工程设备的采购、运输和保管。《</w:t>
      </w:r>
      <w:r>
        <w:rPr>
          <w:rFonts w:hint="eastAsia" w:ascii="宋体" w:hAnsi="宋体" w:eastAsia="宋体" w:cs="宋体"/>
          <w:color w:val="auto"/>
          <w:highlight w:val="none"/>
        </w:rPr>
        <w:t>承包人提供主要材料和工程设备一览表》</w:t>
      </w:r>
      <w:r>
        <w:rPr>
          <w:rFonts w:hint="eastAsia" w:ascii="宋体" w:hAnsi="宋体" w:eastAsia="宋体" w:cs="宋体"/>
          <w:color w:val="auto"/>
          <w:kern w:val="0"/>
          <w:highlight w:val="none"/>
        </w:rPr>
        <w:t>（表-22）见已标价工程量清单。</w:t>
      </w:r>
    </w:p>
    <w:p w14:paraId="23CF192E">
      <w:pPr>
        <w:autoSpaceDE w:val="0"/>
        <w:autoSpaceDN w:val="0"/>
        <w:adjustRightInd w:val="0"/>
        <w:spacing w:line="360" w:lineRule="auto"/>
        <w:ind w:firstLine="420" w:firstLineChars="200"/>
        <w:jc w:val="left"/>
        <w:rPr>
          <w:rFonts w:hint="eastAsia" w:ascii="宋体" w:hAnsi="宋体" w:eastAsia="宋体" w:cs="宋体"/>
          <w:color w:val="auto"/>
          <w:highlight w:val="none"/>
        </w:rPr>
      </w:pPr>
      <w:bookmarkStart w:id="700" w:name="_Toc373478380"/>
      <w:bookmarkStart w:id="701" w:name="_Toc373227733"/>
      <w:bookmarkStart w:id="702" w:name="_Toc389065299"/>
      <w:r>
        <w:rPr>
          <w:rFonts w:hint="eastAsia" w:ascii="宋体" w:hAnsi="宋体" w:eastAsia="宋体" w:cs="宋体"/>
          <w:color w:val="auto"/>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1F290B77">
      <w:pPr>
        <w:pStyle w:val="5"/>
        <w:rPr>
          <w:rFonts w:hint="eastAsia" w:ascii="宋体" w:hAnsi="宋体" w:eastAsia="宋体" w:cs="宋体"/>
          <w:color w:val="auto"/>
          <w:highlight w:val="none"/>
        </w:rPr>
      </w:pPr>
      <w:bookmarkStart w:id="703" w:name="_Toc487632732"/>
      <w:bookmarkStart w:id="704" w:name="_Toc407135235"/>
      <w:r>
        <w:rPr>
          <w:rFonts w:hint="eastAsia" w:ascii="宋体" w:hAnsi="宋体" w:eastAsia="宋体" w:cs="宋体"/>
          <w:color w:val="auto"/>
          <w:highlight w:val="none"/>
        </w:rPr>
        <w:t>8</w:t>
      </w:r>
      <w:bookmarkStart w:id="705" w:name="_Toc296890995"/>
      <w:bookmarkStart w:id="706" w:name="_Toc297216186"/>
      <w:bookmarkStart w:id="707" w:name="_Toc296346668"/>
      <w:bookmarkStart w:id="708" w:name="_Toc312677493"/>
      <w:bookmarkStart w:id="709" w:name="_Toc280868654"/>
      <w:bookmarkStart w:id="710" w:name="_Toc296503167"/>
      <w:bookmarkStart w:id="711" w:name="_Toc300934979"/>
      <w:bookmarkStart w:id="712" w:name="_Toc297120467"/>
      <w:bookmarkStart w:id="713" w:name="_Toc304295556"/>
      <w:bookmarkStart w:id="714" w:name="_Toc303539136"/>
      <w:bookmarkStart w:id="715" w:name="_Toc296347166"/>
      <w:bookmarkStart w:id="716" w:name="_Toc292559372"/>
      <w:bookmarkStart w:id="717" w:name="_Toc297048353"/>
      <w:bookmarkStart w:id="718" w:name="_Toc296891207"/>
      <w:bookmarkStart w:id="719" w:name="_Toc297123527"/>
      <w:bookmarkStart w:id="720" w:name="_Toc312678019"/>
      <w:bookmarkStart w:id="721" w:name="_Toc296944506"/>
      <w:bookmarkStart w:id="722" w:name="_Toc292559877"/>
      <w:bookmarkStart w:id="723" w:name="_Toc280868656"/>
      <w:bookmarkStart w:id="724" w:name="_Toc280868655"/>
      <w:bookmarkStart w:id="725" w:name="_Toc267251424"/>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材料与工程设备的保管与使用</w:t>
      </w:r>
      <w:bookmarkEnd w:id="700"/>
      <w:bookmarkEnd w:id="701"/>
      <w:bookmarkEnd w:id="702"/>
      <w:bookmarkEnd w:id="703"/>
      <w:bookmarkEnd w:id="704"/>
    </w:p>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14:paraId="7C53AC6A">
      <w:pPr>
        <w:spacing w:line="360" w:lineRule="auto"/>
        <w:ind w:firstLine="420" w:firstLineChars="200"/>
        <w:jc w:val="left"/>
        <w:rPr>
          <w:rFonts w:hint="eastAsia" w:ascii="宋体" w:hAnsi="宋体" w:eastAsia="宋体" w:cs="宋体"/>
          <w:color w:val="auto"/>
          <w:highlight w:val="none"/>
          <w:u w:val="single"/>
        </w:rPr>
      </w:pPr>
      <w:bookmarkStart w:id="726" w:name="_Toc292559878"/>
      <w:bookmarkStart w:id="727" w:name="_Toc292559373"/>
      <w:bookmarkStart w:id="728" w:name="_Toc312678020"/>
      <w:bookmarkStart w:id="729" w:name="_Toc296890996"/>
      <w:bookmarkStart w:id="730" w:name="_Toc297123528"/>
      <w:bookmarkStart w:id="731" w:name="_Toc297048354"/>
      <w:bookmarkStart w:id="732" w:name="_Toc296347167"/>
      <w:bookmarkStart w:id="733" w:name="_Toc296503168"/>
      <w:bookmarkStart w:id="734" w:name="_Toc312677494"/>
      <w:bookmarkStart w:id="735" w:name="_Toc300934980"/>
      <w:bookmarkStart w:id="736" w:name="_Toc318581173"/>
      <w:bookmarkStart w:id="737" w:name="_Toc297216187"/>
      <w:bookmarkStart w:id="738" w:name="_Toc303539137"/>
      <w:bookmarkStart w:id="739" w:name="_Toc304295557"/>
      <w:bookmarkStart w:id="740" w:name="_Toc296891208"/>
      <w:bookmarkStart w:id="741" w:name="_Toc297120468"/>
      <w:bookmarkStart w:id="742" w:name="_Toc296346669"/>
      <w:bookmarkStart w:id="743" w:name="_Toc296944507"/>
      <w:r>
        <w:rPr>
          <w:rFonts w:hint="eastAsia" w:ascii="宋体" w:hAnsi="宋体" w:eastAsia="宋体" w:cs="宋体"/>
          <w:color w:val="auto"/>
          <w:highlight w:val="none"/>
        </w:rPr>
        <w:t>发包人供应的材料设备的保管费用的承担：</w:t>
      </w:r>
      <w:r>
        <w:rPr>
          <w:rFonts w:hint="eastAsia" w:ascii="宋体" w:hAnsi="宋体" w:eastAsia="宋体" w:cs="宋体"/>
          <w:color w:val="auto"/>
          <w:highlight w:val="none"/>
          <w:u w:val="single"/>
        </w:rPr>
        <w:t xml:space="preserve">  由承包人承担  </w:t>
      </w:r>
      <w:r>
        <w:rPr>
          <w:rFonts w:hint="eastAsia" w:ascii="宋体" w:hAnsi="宋体" w:eastAsia="宋体" w:cs="宋体"/>
          <w:color w:val="auto"/>
          <w:highlight w:val="none"/>
        </w:rPr>
        <w:t>。</w:t>
      </w:r>
    </w:p>
    <w:bookmarkEnd w:id="726"/>
    <w:bookmarkEnd w:id="727"/>
    <w:p w14:paraId="6143FE42">
      <w:pPr>
        <w:pStyle w:val="5"/>
        <w:rPr>
          <w:rFonts w:hint="eastAsia" w:ascii="宋体" w:hAnsi="宋体" w:eastAsia="宋体" w:cs="宋体"/>
          <w:color w:val="auto"/>
          <w:highlight w:val="none"/>
        </w:rPr>
      </w:pPr>
      <w:bookmarkStart w:id="744" w:name="_Toc389065300"/>
      <w:bookmarkStart w:id="745" w:name="_Toc373478381"/>
      <w:bookmarkStart w:id="746" w:name="_Toc373227734"/>
      <w:bookmarkStart w:id="747" w:name="_Toc487632733"/>
      <w:bookmarkStart w:id="748" w:name="_Toc407135236"/>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样品</w:t>
      </w:r>
      <w:bookmarkEnd w:id="744"/>
      <w:bookmarkEnd w:id="745"/>
      <w:bookmarkEnd w:id="746"/>
      <w:bookmarkEnd w:id="747"/>
      <w:bookmarkEnd w:id="748"/>
    </w:p>
    <w:p w14:paraId="4998EA9B">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 样品的报送与封存</w:t>
      </w:r>
    </w:p>
    <w:p w14:paraId="7395FB7B">
      <w:pPr>
        <w:autoSpaceDE w:val="0"/>
        <w:autoSpaceDN w:val="0"/>
        <w:adjustRightInd w:val="0"/>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需要承包人报送样品的材料或工程设备，样品的种类、名称、规格、数量要求：</w:t>
      </w:r>
      <w:r>
        <w:rPr>
          <w:rFonts w:hint="eastAsia" w:ascii="宋体" w:hAnsi="宋体" w:eastAsia="宋体" w:cs="宋体"/>
          <w:color w:val="auto"/>
          <w:highlight w:val="none"/>
          <w:u w:val="single"/>
        </w:rPr>
        <w:t>主要材料涉及品种、款式、颜色等方面内容的，承包人应提交准备合格的材料样品送发包人选定。</w:t>
      </w:r>
    </w:p>
    <w:p w14:paraId="3177F5D8">
      <w:pPr>
        <w:pStyle w:val="5"/>
        <w:rPr>
          <w:rFonts w:hint="eastAsia" w:ascii="宋体" w:hAnsi="宋体" w:eastAsia="宋体" w:cs="宋体"/>
          <w:color w:val="auto"/>
          <w:highlight w:val="none"/>
        </w:rPr>
      </w:pPr>
      <w:bookmarkStart w:id="749" w:name="_Toc389065301"/>
      <w:bookmarkStart w:id="750" w:name="_Toc407135237"/>
      <w:bookmarkStart w:id="751" w:name="_Toc487632734"/>
      <w:bookmarkStart w:id="752" w:name="_Toc373227735"/>
      <w:bookmarkStart w:id="753" w:name="_Toc373478382"/>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施工设备和临时设施</w:t>
      </w:r>
      <w:bookmarkEnd w:id="749"/>
      <w:bookmarkEnd w:id="750"/>
      <w:bookmarkEnd w:id="751"/>
      <w:bookmarkEnd w:id="752"/>
      <w:bookmarkEnd w:id="753"/>
    </w:p>
    <w:p w14:paraId="13C0ECAD">
      <w:pPr>
        <w:autoSpaceDE w:val="0"/>
        <w:autoSpaceDN w:val="0"/>
        <w:adjustRightInd w:val="0"/>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69BC3A94">
      <w:pPr>
        <w:autoSpaceDE w:val="0"/>
        <w:autoSpaceDN w:val="0"/>
        <w:adjustRightInd w:val="0"/>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②承包人负责合同实施期间其合同段内临时交通道路（含场内外连接公共交通道路）和交通设施的修建、维修、养护和交通管理工作，并承担一切费用。</w:t>
      </w:r>
    </w:p>
    <w:p w14:paraId="574B871A">
      <w:pPr>
        <w:autoSpaceDE w:val="0"/>
        <w:autoSpaceDN w:val="0"/>
        <w:adjustRightInd w:val="0"/>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CCF4AEF">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发包人提供的施工设备和临时设施：</w:t>
      </w:r>
      <w:r>
        <w:rPr>
          <w:rFonts w:hint="eastAsia" w:ascii="宋体" w:hAnsi="宋体" w:eastAsia="宋体" w:cs="宋体"/>
          <w:color w:val="auto"/>
          <w:highlight w:val="none"/>
          <w:u w:val="single"/>
        </w:rPr>
        <w:t>发包人不提供任何施工设备和临时设施，临时设施的修建及施工所需的水、电管线的铺设等均由承包人自行解决，发包人予以协助</w:t>
      </w:r>
      <w:r>
        <w:rPr>
          <w:rFonts w:hint="eastAsia" w:ascii="宋体" w:hAnsi="宋体" w:eastAsia="宋体" w:cs="宋体"/>
          <w:color w:val="auto"/>
          <w:highlight w:val="none"/>
        </w:rPr>
        <w:t>。</w:t>
      </w:r>
    </w:p>
    <w:p w14:paraId="6244B8E7">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发包人提供的施工设备和临时设施的运行、维护、拆除、清运费用的承担人：</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14:paraId="58B23EEB">
      <w:pPr>
        <w:pStyle w:val="4"/>
        <w:rPr>
          <w:rFonts w:hint="eastAsia" w:ascii="宋体" w:hAnsi="宋体" w:eastAsia="宋体" w:cs="宋体"/>
          <w:color w:val="auto"/>
          <w:highlight w:val="none"/>
        </w:rPr>
      </w:pPr>
      <w:bookmarkStart w:id="754" w:name="_Toc389065302"/>
      <w:bookmarkStart w:id="755" w:name="_Toc351203641"/>
      <w:bookmarkStart w:id="756" w:name="_Toc407135238"/>
      <w:bookmarkStart w:id="757" w:name="_Toc373227736"/>
      <w:bookmarkStart w:id="758" w:name="_Toc373478383"/>
      <w:bookmarkStart w:id="759" w:name="_Toc487632735"/>
      <w:r>
        <w:rPr>
          <w:rFonts w:hint="eastAsia" w:ascii="宋体" w:hAnsi="宋体" w:eastAsia="宋体" w:cs="宋体"/>
          <w:color w:val="auto"/>
          <w:highlight w:val="none"/>
        </w:rPr>
        <w:t>9</w:t>
      </w:r>
      <w:bookmarkEnd w:id="723"/>
      <w:bookmarkEnd w:id="724"/>
      <w:bookmarkEnd w:id="725"/>
      <w:bookmarkStart w:id="760" w:name="_Toc312678021"/>
      <w:bookmarkStart w:id="761" w:name="_Toc303539139"/>
      <w:bookmarkStart w:id="762" w:name="_Toc304295559"/>
      <w:bookmarkStart w:id="763" w:name="_Toc312677495"/>
      <w:bookmarkStart w:id="764" w:name="_Toc297216192"/>
      <w:bookmarkStart w:id="765" w:name="_Toc297123533"/>
      <w:bookmarkStart w:id="766" w:name="_Toc300934982"/>
      <w:bookmarkStart w:id="767" w:name="_Toc296944512"/>
      <w:bookmarkStart w:id="768" w:name="_Toc292559378"/>
      <w:bookmarkStart w:id="769" w:name="_Toc296891001"/>
      <w:bookmarkStart w:id="770" w:name="_Toc296503173"/>
      <w:bookmarkStart w:id="771" w:name="_Toc296891213"/>
      <w:bookmarkStart w:id="772" w:name="_Toc296346674"/>
      <w:bookmarkStart w:id="773" w:name="_Toc292559883"/>
      <w:bookmarkStart w:id="774" w:name="_Toc297120473"/>
      <w:bookmarkStart w:id="775" w:name="_Toc297048359"/>
      <w:bookmarkStart w:id="776" w:name="_Toc267251427"/>
      <w:bookmarkStart w:id="777" w:name="_Toc296347172"/>
      <w:bookmarkStart w:id="778" w:name="_Toc267251428"/>
      <w:r>
        <w:rPr>
          <w:rFonts w:hint="eastAsia" w:ascii="宋体" w:hAnsi="宋体" w:eastAsia="宋体" w:cs="宋体"/>
          <w:color w:val="auto"/>
          <w:highlight w:val="none"/>
        </w:rPr>
        <w:t>. 试验与检验</w:t>
      </w:r>
      <w:bookmarkEnd w:id="754"/>
      <w:bookmarkEnd w:id="755"/>
      <w:bookmarkEnd w:id="756"/>
      <w:bookmarkEnd w:id="757"/>
      <w:bookmarkEnd w:id="758"/>
      <w:bookmarkEnd w:id="759"/>
    </w:p>
    <w:bookmarkEnd w:id="760"/>
    <w:bookmarkEnd w:id="761"/>
    <w:bookmarkEnd w:id="762"/>
    <w:bookmarkEnd w:id="763"/>
    <w:bookmarkEnd w:id="764"/>
    <w:bookmarkEnd w:id="765"/>
    <w:bookmarkEnd w:id="766"/>
    <w:p w14:paraId="35DF8A9D">
      <w:pPr>
        <w:pStyle w:val="5"/>
        <w:rPr>
          <w:rFonts w:hint="eastAsia" w:ascii="宋体" w:hAnsi="宋体" w:eastAsia="宋体" w:cs="宋体"/>
          <w:color w:val="auto"/>
          <w:highlight w:val="none"/>
        </w:rPr>
      </w:pPr>
      <w:bookmarkStart w:id="779" w:name="_Toc373227737"/>
      <w:bookmarkStart w:id="780" w:name="_Toc373478384"/>
      <w:bookmarkStart w:id="781" w:name="_Toc407135239"/>
      <w:bookmarkStart w:id="782" w:name="_Toc389065303"/>
      <w:bookmarkStart w:id="783" w:name="_Toc487632736"/>
      <w:r>
        <w:rPr>
          <w:rFonts w:hint="eastAsia" w:ascii="宋体" w:hAnsi="宋体" w:eastAsia="宋体" w:cs="宋体"/>
          <w:color w:val="auto"/>
          <w:highlight w:val="none"/>
        </w:rPr>
        <w:t>9</w:t>
      </w:r>
      <w:bookmarkStart w:id="784" w:name="_Toc312678022"/>
      <w:bookmarkStart w:id="785" w:name="_Toc304295560"/>
      <w:bookmarkStart w:id="786" w:name="_Toc297216193"/>
      <w:bookmarkStart w:id="787" w:name="_Toc300934983"/>
      <w:bookmarkStart w:id="788" w:name="_Toc312677496"/>
      <w:bookmarkStart w:id="789" w:name="_Toc303539140"/>
      <w:bookmarkStart w:id="790" w:name="_Toc297123534"/>
      <w:r>
        <w:rPr>
          <w:rFonts w:hint="eastAsia" w:ascii="宋体" w:hAnsi="宋体" w:eastAsia="宋体" w:cs="宋体"/>
          <w:color w:val="auto"/>
          <w:highlight w:val="none"/>
        </w:rPr>
        <w:t>.1 试验设备</w:t>
      </w:r>
      <w:bookmarkEnd w:id="779"/>
      <w:bookmarkEnd w:id="780"/>
      <w:bookmarkEnd w:id="781"/>
      <w:bookmarkEnd w:id="782"/>
      <w:bookmarkEnd w:id="783"/>
    </w:p>
    <w:bookmarkEnd w:id="784"/>
    <w:bookmarkEnd w:id="785"/>
    <w:bookmarkEnd w:id="786"/>
    <w:bookmarkEnd w:id="787"/>
    <w:bookmarkEnd w:id="788"/>
    <w:bookmarkEnd w:id="789"/>
    <w:bookmarkEnd w:id="790"/>
    <w:p w14:paraId="09E886C6">
      <w:pPr>
        <w:spacing w:line="360" w:lineRule="auto"/>
        <w:ind w:firstLine="420" w:firstLineChars="200"/>
        <w:jc w:val="left"/>
        <w:rPr>
          <w:rFonts w:hint="eastAsia" w:ascii="宋体" w:hAnsi="宋体" w:eastAsia="宋体" w:cs="宋体"/>
          <w:color w:val="auto"/>
          <w:highlight w:val="none"/>
          <w:u w:val="single"/>
        </w:rPr>
      </w:pPr>
      <w:bookmarkStart w:id="791" w:name="_Toc487632737"/>
      <w:bookmarkStart w:id="792" w:name="_Toc373227738"/>
      <w:bookmarkStart w:id="793" w:name="_Toc389065304"/>
      <w:bookmarkStart w:id="794" w:name="_Toc373478385"/>
      <w:bookmarkStart w:id="795" w:name="_Toc407135240"/>
      <w:bookmarkStart w:id="796" w:name="_Toc303539142"/>
      <w:bookmarkStart w:id="797" w:name="_Toc312677498"/>
      <w:bookmarkStart w:id="798" w:name="_Toc300934985"/>
      <w:bookmarkStart w:id="799" w:name="_Toc304295562"/>
      <w:bookmarkStart w:id="800" w:name="_Toc318581174"/>
      <w:bookmarkStart w:id="801" w:name="_Toc312678024"/>
      <w:bookmarkStart w:id="802" w:name="_Toc297216195"/>
      <w:bookmarkStart w:id="803" w:name="_Toc297123536"/>
      <w:r>
        <w:rPr>
          <w:rFonts w:hint="eastAsia" w:ascii="宋体" w:hAnsi="宋体" w:eastAsia="宋体" w:cs="宋体"/>
          <w:color w:val="auto"/>
          <w:highlight w:val="none"/>
        </w:rPr>
        <w:t>施工现场需要配置的试验场所：</w:t>
      </w:r>
      <w:r>
        <w:rPr>
          <w:rFonts w:hint="eastAsia" w:ascii="宋体" w:hAnsi="宋体" w:eastAsia="宋体" w:cs="宋体"/>
          <w:color w:val="auto"/>
          <w:highlight w:val="none"/>
          <w:u w:val="single"/>
        </w:rPr>
        <w:t xml:space="preserve">   按有关规定和监理人要求执行      </w:t>
      </w:r>
      <w:r>
        <w:rPr>
          <w:rFonts w:hint="eastAsia" w:ascii="宋体" w:hAnsi="宋体" w:eastAsia="宋体" w:cs="宋体"/>
          <w:color w:val="auto"/>
          <w:highlight w:val="none"/>
        </w:rPr>
        <w:t>。</w:t>
      </w:r>
    </w:p>
    <w:p w14:paraId="7340F725">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施工现场需要配备的试验设备：</w:t>
      </w:r>
      <w:r>
        <w:rPr>
          <w:rFonts w:hint="eastAsia" w:ascii="宋体" w:hAnsi="宋体" w:eastAsia="宋体" w:cs="宋体"/>
          <w:color w:val="auto"/>
          <w:highlight w:val="none"/>
          <w:u w:val="single"/>
        </w:rPr>
        <w:t xml:space="preserve">   按有关规定和监理人要求执行      </w:t>
      </w:r>
      <w:r>
        <w:rPr>
          <w:rFonts w:hint="eastAsia" w:ascii="宋体" w:hAnsi="宋体" w:eastAsia="宋体" w:cs="宋体"/>
          <w:color w:val="auto"/>
          <w:highlight w:val="none"/>
        </w:rPr>
        <w:t>。</w:t>
      </w:r>
    </w:p>
    <w:p w14:paraId="076691F1">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施工现场需要具备的其他试验条件：</w:t>
      </w:r>
      <w:r>
        <w:rPr>
          <w:rFonts w:hint="eastAsia" w:ascii="宋体" w:hAnsi="宋体" w:eastAsia="宋体" w:cs="宋体"/>
          <w:color w:val="auto"/>
          <w:highlight w:val="none"/>
          <w:u w:val="single"/>
        </w:rPr>
        <w:t xml:space="preserve">   按有关规定和监理人要求执行      </w:t>
      </w:r>
      <w:r>
        <w:rPr>
          <w:rFonts w:hint="eastAsia" w:ascii="宋体" w:hAnsi="宋体" w:eastAsia="宋体" w:cs="宋体"/>
          <w:color w:val="auto"/>
          <w:highlight w:val="none"/>
        </w:rPr>
        <w:t>。</w:t>
      </w:r>
    </w:p>
    <w:p w14:paraId="77C9BF13">
      <w:pPr>
        <w:pStyle w:val="5"/>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现场工艺试验</w:t>
      </w:r>
      <w:bookmarkEnd w:id="791"/>
      <w:bookmarkEnd w:id="792"/>
      <w:bookmarkEnd w:id="793"/>
      <w:bookmarkEnd w:id="794"/>
      <w:bookmarkEnd w:id="795"/>
      <w:r>
        <w:rPr>
          <w:rFonts w:hint="eastAsia" w:ascii="宋体" w:hAnsi="宋体" w:eastAsia="宋体" w:cs="宋体"/>
          <w:color w:val="auto"/>
          <w:highlight w:val="none"/>
        </w:rPr>
        <w:t xml:space="preserve"> </w:t>
      </w:r>
    </w:p>
    <w:p w14:paraId="7D2068F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现场工艺试验的有关约定：</w:t>
      </w:r>
      <w:r>
        <w:rPr>
          <w:rFonts w:hint="eastAsia" w:ascii="宋体" w:hAnsi="宋体" w:eastAsia="宋体" w:cs="宋体"/>
          <w:color w:val="auto"/>
          <w:highlight w:val="none"/>
          <w:u w:val="single"/>
        </w:rPr>
        <w:t xml:space="preserve">   按规范要求执行      </w:t>
      </w:r>
      <w:r>
        <w:rPr>
          <w:rFonts w:hint="eastAsia" w:ascii="宋体" w:hAnsi="宋体" w:eastAsia="宋体" w:cs="宋体"/>
          <w:color w:val="auto"/>
          <w:highlight w:val="none"/>
        </w:rPr>
        <w:t>。</w:t>
      </w:r>
    </w:p>
    <w:p w14:paraId="25B3E5EF">
      <w:pPr>
        <w:pStyle w:val="5"/>
        <w:rPr>
          <w:rFonts w:hint="eastAsia" w:ascii="宋体" w:hAnsi="宋体" w:eastAsia="宋体" w:cs="宋体"/>
          <w:color w:val="auto"/>
          <w:highlight w:val="none"/>
        </w:rPr>
      </w:pPr>
      <w:bookmarkStart w:id="804" w:name="_Toc487632738"/>
      <w:bookmarkStart w:id="805" w:name="_Toc407135241"/>
      <w:bookmarkStart w:id="806" w:name="OLE_LINK1"/>
      <w:r>
        <w:rPr>
          <w:rFonts w:hint="eastAsia" w:ascii="宋体" w:hAnsi="宋体" w:eastAsia="宋体" w:cs="宋体"/>
          <w:color w:val="auto"/>
          <w:highlight w:val="none"/>
        </w:rPr>
        <w:t>9.</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检验费用</w:t>
      </w:r>
      <w:bookmarkEnd w:id="804"/>
      <w:bookmarkEnd w:id="805"/>
    </w:p>
    <w:p w14:paraId="50A55F70">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796"/>
    <w:bookmarkEnd w:id="797"/>
    <w:bookmarkEnd w:id="798"/>
    <w:bookmarkEnd w:id="799"/>
    <w:bookmarkEnd w:id="800"/>
    <w:bookmarkEnd w:id="801"/>
    <w:bookmarkEnd w:id="802"/>
    <w:bookmarkEnd w:id="803"/>
    <w:bookmarkEnd w:id="806"/>
    <w:p w14:paraId="09922B60">
      <w:pPr>
        <w:pStyle w:val="4"/>
        <w:rPr>
          <w:rFonts w:hint="eastAsia" w:ascii="宋体" w:hAnsi="宋体" w:eastAsia="宋体" w:cs="宋体"/>
          <w:color w:val="auto"/>
          <w:highlight w:val="none"/>
        </w:rPr>
      </w:pPr>
      <w:bookmarkStart w:id="807" w:name="_Toc487632739"/>
      <w:bookmarkStart w:id="808" w:name="_Toc373478386"/>
      <w:bookmarkStart w:id="809" w:name="_Toc407135242"/>
      <w:bookmarkStart w:id="810" w:name="_Toc373227739"/>
      <w:bookmarkStart w:id="811" w:name="_Toc389065305"/>
      <w:bookmarkStart w:id="812" w:name="_Toc351203642"/>
      <w:r>
        <w:rPr>
          <w:rFonts w:hint="eastAsia" w:ascii="宋体" w:hAnsi="宋体" w:eastAsia="宋体" w:cs="宋体"/>
          <w:color w:val="auto"/>
          <w:highlight w:val="none"/>
        </w:rPr>
        <w:t>1</w:t>
      </w:r>
      <w:bookmarkEnd w:id="767"/>
      <w:bookmarkEnd w:id="768"/>
      <w:bookmarkEnd w:id="769"/>
      <w:bookmarkEnd w:id="770"/>
      <w:bookmarkEnd w:id="771"/>
      <w:bookmarkEnd w:id="772"/>
      <w:bookmarkEnd w:id="773"/>
      <w:bookmarkEnd w:id="774"/>
      <w:bookmarkEnd w:id="775"/>
      <w:bookmarkEnd w:id="776"/>
      <w:bookmarkEnd w:id="777"/>
      <w:bookmarkEnd w:id="778"/>
      <w:bookmarkStart w:id="813" w:name="_Toc296891021"/>
      <w:bookmarkStart w:id="814" w:name="_Toc303539146"/>
      <w:bookmarkStart w:id="815" w:name="_Toc292559398"/>
      <w:bookmarkStart w:id="816" w:name="_Toc300934989"/>
      <w:bookmarkStart w:id="817" w:name="_Toc296503193"/>
      <w:bookmarkStart w:id="818" w:name="_Toc296944532"/>
      <w:bookmarkStart w:id="819" w:name="_Toc297120493"/>
      <w:bookmarkStart w:id="820" w:name="_Toc304295566"/>
      <w:bookmarkStart w:id="821" w:name="_Toc296891233"/>
      <w:bookmarkStart w:id="822" w:name="_Toc296346694"/>
      <w:bookmarkStart w:id="823" w:name="_Toc292559903"/>
      <w:bookmarkStart w:id="824" w:name="_Toc297123540"/>
      <w:bookmarkStart w:id="825" w:name="_Toc297048379"/>
      <w:bookmarkStart w:id="826" w:name="_Toc296347192"/>
      <w:bookmarkStart w:id="827" w:name="_Toc297216199"/>
      <w:bookmarkStart w:id="828" w:name="_Toc312677499"/>
      <w:bookmarkStart w:id="829" w:name="_Toc312678025"/>
      <w:bookmarkStart w:id="830" w:name="_Toc267251435"/>
      <w:bookmarkStart w:id="831" w:name="_Toc267251440"/>
      <w:bookmarkStart w:id="832" w:name="_Toc267251437"/>
      <w:bookmarkStart w:id="833" w:name="_Toc267251439"/>
      <w:bookmarkStart w:id="834" w:name="_Toc267251441"/>
      <w:bookmarkStart w:id="835" w:name="_Toc267251433"/>
      <w:bookmarkStart w:id="836" w:name="_Toc267251442"/>
      <w:r>
        <w:rPr>
          <w:rFonts w:hint="eastAsia" w:ascii="宋体" w:hAnsi="宋体" w:eastAsia="宋体" w:cs="宋体"/>
          <w:color w:val="auto"/>
          <w:highlight w:val="none"/>
        </w:rPr>
        <w:t>0. 变更</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bookmarkEnd w:id="828"/>
    <w:bookmarkEnd w:id="829"/>
    <w:p w14:paraId="60A12725">
      <w:pPr>
        <w:pStyle w:val="5"/>
        <w:rPr>
          <w:rFonts w:hint="eastAsia" w:ascii="宋体" w:hAnsi="宋体" w:eastAsia="宋体" w:cs="宋体"/>
          <w:color w:val="auto"/>
          <w:highlight w:val="none"/>
        </w:rPr>
      </w:pPr>
      <w:bookmarkStart w:id="837" w:name="_Toc389065306"/>
      <w:bookmarkStart w:id="838" w:name="_Toc407135243"/>
      <w:bookmarkStart w:id="839" w:name="_Toc487632740"/>
      <w:bookmarkStart w:id="840" w:name="_Toc373227740"/>
      <w:bookmarkStart w:id="841" w:name="_Toc373478387"/>
      <w:r>
        <w:rPr>
          <w:rFonts w:hint="eastAsia" w:ascii="宋体" w:hAnsi="宋体" w:eastAsia="宋体" w:cs="宋体"/>
          <w:color w:val="auto"/>
          <w:highlight w:val="none"/>
        </w:rPr>
        <w:t>1</w:t>
      </w:r>
      <w:bookmarkStart w:id="842" w:name="_Toc296503194"/>
      <w:bookmarkStart w:id="843" w:name="_Toc296346695"/>
      <w:bookmarkStart w:id="844" w:name="_Toc312677500"/>
      <w:bookmarkStart w:id="845" w:name="_Toc297123541"/>
      <w:bookmarkStart w:id="846" w:name="_Toc296891022"/>
      <w:bookmarkStart w:id="847" w:name="_Toc292559399"/>
      <w:bookmarkStart w:id="848" w:name="_Toc312678026"/>
      <w:bookmarkStart w:id="849" w:name="_Toc292559904"/>
      <w:bookmarkStart w:id="850" w:name="_Toc297216200"/>
      <w:bookmarkStart w:id="851" w:name="_Toc296891234"/>
      <w:bookmarkStart w:id="852" w:name="_Toc297048380"/>
      <w:bookmarkStart w:id="853" w:name="_Toc304295567"/>
      <w:bookmarkStart w:id="854" w:name="_Toc300934990"/>
      <w:bookmarkStart w:id="855" w:name="_Toc297120494"/>
      <w:bookmarkStart w:id="856" w:name="_Toc296347193"/>
      <w:bookmarkStart w:id="857" w:name="_Toc303539147"/>
      <w:bookmarkStart w:id="858" w:name="_Toc296944533"/>
      <w:r>
        <w:rPr>
          <w:rFonts w:hint="eastAsia" w:ascii="宋体" w:hAnsi="宋体" w:eastAsia="宋体" w:cs="宋体"/>
          <w:color w:val="auto"/>
          <w:highlight w:val="none"/>
        </w:rPr>
        <w:t>0.1 变更的范围</w:t>
      </w:r>
      <w:bookmarkEnd w:id="837"/>
      <w:bookmarkEnd w:id="838"/>
      <w:bookmarkEnd w:id="839"/>
      <w:bookmarkEnd w:id="840"/>
      <w:bookmarkEnd w:id="841"/>
    </w:p>
    <w:p w14:paraId="48522F83">
      <w:pPr>
        <w:spacing w:line="360" w:lineRule="auto"/>
        <w:ind w:firstLine="426"/>
        <w:jc w:val="left"/>
        <w:rPr>
          <w:rFonts w:hint="eastAsia" w:ascii="宋体" w:hAnsi="宋体" w:eastAsia="宋体" w:cs="宋体"/>
          <w:color w:val="auto"/>
          <w:highlight w:val="none"/>
        </w:rPr>
      </w:pPr>
      <w:r>
        <w:rPr>
          <w:rFonts w:hint="eastAsia" w:ascii="宋体" w:hAnsi="宋体" w:eastAsia="宋体" w:cs="宋体"/>
          <w:color w:val="auto"/>
          <w:highlight w:val="none"/>
        </w:rPr>
        <w:t>关于变更的范围的约定：</w:t>
      </w:r>
      <w:r>
        <w:rPr>
          <w:rFonts w:hint="eastAsia" w:ascii="宋体" w:hAnsi="宋体" w:eastAsia="宋体" w:cs="宋体"/>
          <w:color w:val="auto"/>
          <w:highlight w:val="none"/>
          <w:u w:val="single"/>
        </w:rPr>
        <w:t xml:space="preserve">     按通用合同条款执行          </w:t>
      </w:r>
      <w:r>
        <w:rPr>
          <w:rFonts w:hint="eastAsia" w:ascii="宋体" w:hAnsi="宋体" w:eastAsia="宋体" w:cs="宋体"/>
          <w:color w:val="auto"/>
          <w:highlight w:val="none"/>
        </w:rPr>
        <w:t>。</w:t>
      </w:r>
    </w:p>
    <w:p w14:paraId="05CAF2C1">
      <w:pPr>
        <w:pStyle w:val="5"/>
        <w:rPr>
          <w:rFonts w:hint="eastAsia" w:ascii="宋体" w:hAnsi="宋体" w:eastAsia="宋体" w:cs="宋体"/>
          <w:color w:val="auto"/>
          <w:highlight w:val="none"/>
        </w:rPr>
      </w:pPr>
      <w:bookmarkStart w:id="859" w:name="_Toc487632741"/>
      <w:bookmarkStart w:id="860" w:name="_Toc389065307"/>
      <w:bookmarkStart w:id="861" w:name="_Toc373227741"/>
      <w:bookmarkStart w:id="862" w:name="_Toc373478388"/>
      <w:bookmarkStart w:id="863" w:name="_Toc407135244"/>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变更程序</w:t>
      </w:r>
      <w:bookmarkEnd w:id="859"/>
      <w:bookmarkEnd w:id="860"/>
      <w:bookmarkEnd w:id="861"/>
      <w:bookmarkEnd w:id="862"/>
      <w:bookmarkEnd w:id="863"/>
    </w:p>
    <w:p w14:paraId="3795922C">
      <w:pPr>
        <w:pStyle w:val="2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.1国有投资项目：</w:t>
      </w:r>
    </w:p>
    <w:p w14:paraId="11655C43">
      <w:pPr>
        <w:pStyle w:val="20"/>
        <w:spacing w:line="360" w:lineRule="auto"/>
        <w:ind w:firstLine="441" w:firstLineChars="210"/>
        <w:rPr>
          <w:rFonts w:hint="eastAsia" w:ascii="宋体" w:hAnsi="宋体" w:eastAsia="宋体" w:cs="宋体"/>
          <w:bCs/>
          <w:color w:val="auto"/>
          <w:highlight w:val="none"/>
        </w:rPr>
      </w:pPr>
      <w:r>
        <w:rPr>
          <w:rFonts w:hint="eastAsia" w:ascii="宋体" w:hAnsi="宋体" w:eastAsia="宋体" w:cs="宋体"/>
          <w:bCs/>
          <w:color w:val="auto"/>
          <w:highlight w:val="none"/>
        </w:rPr>
        <w:t>⑴设计变更和工程签证，按各市政府或相关部门的规定办理。属不可抗力（自然灾害、突发事件等）造成变更的，按特事特办原则予以办理。</w:t>
      </w:r>
    </w:p>
    <w:p w14:paraId="238139BE">
      <w:pPr>
        <w:pStyle w:val="20"/>
        <w:spacing w:line="360" w:lineRule="auto"/>
        <w:ind w:firstLine="441" w:firstLineChars="210"/>
        <w:rPr>
          <w:rFonts w:hint="eastAsia" w:ascii="宋体" w:hAnsi="宋体" w:eastAsia="宋体" w:cs="宋体"/>
          <w:bCs/>
          <w:color w:val="auto"/>
          <w:highlight w:val="none"/>
        </w:rPr>
      </w:pPr>
      <w:r>
        <w:rPr>
          <w:rFonts w:hint="eastAsia" w:ascii="宋体" w:hAnsi="宋体" w:eastAsia="宋体" w:cs="宋体"/>
          <w:bCs/>
          <w:color w:val="auto"/>
          <w:highlight w:val="none"/>
        </w:rPr>
        <w:t>⑵建设单位在实施项目过程中，若发生单价变动，由建设单位、监理单位、施工单位及其他相关单位共同商定并签字确认。</w:t>
      </w:r>
    </w:p>
    <w:p w14:paraId="3AA60C9E">
      <w:pPr>
        <w:pStyle w:val="20"/>
        <w:spacing w:line="360" w:lineRule="auto"/>
        <w:ind w:firstLine="441" w:firstLineChars="210"/>
        <w:rPr>
          <w:rFonts w:hint="eastAsia" w:ascii="宋体" w:hAnsi="宋体" w:eastAsia="宋体" w:cs="宋体"/>
          <w:bCs/>
          <w:color w:val="auto"/>
          <w:highlight w:val="none"/>
        </w:rPr>
      </w:pPr>
      <w:r>
        <w:rPr>
          <w:rFonts w:hint="eastAsia" w:ascii="宋体" w:hAnsi="宋体" w:eastAsia="宋体" w:cs="宋体"/>
          <w:bCs/>
          <w:color w:val="auto"/>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1693B91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10.2.2 非国有投资项目： </w:t>
      </w:r>
    </w:p>
    <w:p w14:paraId="4134315A">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B404E31">
      <w:pPr>
        <w:pStyle w:val="5"/>
        <w:rPr>
          <w:rFonts w:hint="eastAsia" w:ascii="宋体" w:hAnsi="宋体" w:eastAsia="宋体" w:cs="宋体"/>
          <w:color w:val="auto"/>
          <w:highlight w:val="none"/>
        </w:rPr>
      </w:pPr>
      <w:bookmarkStart w:id="864" w:name="_Toc407135245"/>
      <w:bookmarkStart w:id="865" w:name="_Toc373478389"/>
      <w:bookmarkStart w:id="866" w:name="_Toc487632742"/>
      <w:bookmarkStart w:id="867" w:name="_Toc373227742"/>
      <w:bookmarkStart w:id="868" w:name="_Toc389065308"/>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变更估价</w:t>
      </w:r>
      <w:bookmarkEnd w:id="864"/>
      <w:bookmarkEnd w:id="865"/>
      <w:bookmarkEnd w:id="866"/>
      <w:bookmarkEnd w:id="867"/>
      <w:bookmarkEnd w:id="868"/>
    </w:p>
    <w:p w14:paraId="472B7A5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10.3.1 变更估价原则</w:t>
      </w:r>
    </w:p>
    <w:p w14:paraId="2FB434C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关于变更估价的约定: </w:t>
      </w:r>
      <w:bookmarkStart w:id="869" w:name="_Toc251051742"/>
      <w:r>
        <w:rPr>
          <w:rFonts w:hint="eastAsia" w:ascii="宋体" w:hAnsi="宋体" w:eastAsia="宋体" w:cs="宋体"/>
          <w:color w:val="auto"/>
          <w:highlight w:val="none"/>
          <w:u w:val="single"/>
        </w:rPr>
        <w:t xml:space="preserve">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并乘以中标价下浮系数(中标价下浮系数为中标价与控制价的比值)计算，其中材料价格按施工期间的《梧州市建设工程造价信息》相应价格信息进行计算；《梧州市建设工程造价信息》没有相应价格信息的按市场价计算；无定额可套的，根据市场价格协商确定综合价格；对于政府及国有资金投资的项目，新增项目的单价必须经 </w:t>
      </w:r>
      <w:r>
        <w:rPr>
          <w:rFonts w:hint="eastAsia" w:ascii="宋体" w:hAnsi="宋体" w:cs="宋体"/>
          <w:color w:val="auto"/>
          <w:highlight w:val="none"/>
          <w:u w:val="single"/>
          <w:lang w:eastAsia="zh-CN"/>
        </w:rPr>
        <w:t>审计部门</w:t>
      </w:r>
      <w:r>
        <w:rPr>
          <w:rFonts w:hint="eastAsia" w:ascii="宋体" w:hAnsi="宋体" w:eastAsia="宋体" w:cs="宋体"/>
          <w:color w:val="auto"/>
          <w:highlight w:val="none"/>
          <w:u w:val="single"/>
        </w:rPr>
        <w:t xml:space="preserve"> 审定</w:t>
      </w:r>
      <w:bookmarkEnd w:id="869"/>
      <w:r>
        <w:rPr>
          <w:rFonts w:hint="eastAsia" w:ascii="宋体" w:hAnsi="宋体" w:eastAsia="宋体" w:cs="宋体"/>
          <w:color w:val="auto"/>
          <w:highlight w:val="none"/>
        </w:rPr>
        <w:t>。</w:t>
      </w:r>
    </w:p>
    <w:p w14:paraId="3C556B9D">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工程变更导致实际完成的变更工程量与已标价清单或预算书中列明的该项目工程量有偏差时，其综合单价的确定按专用条款“1.13工程量清单错误的修正”执行。</w:t>
      </w:r>
    </w:p>
    <w:p w14:paraId="18FA6D53">
      <w:pPr>
        <w:pStyle w:val="5"/>
        <w:rPr>
          <w:rFonts w:hint="eastAsia" w:ascii="宋体" w:hAnsi="宋体" w:eastAsia="宋体" w:cs="宋体"/>
          <w:color w:val="auto"/>
          <w:highlight w:val="none"/>
        </w:rPr>
      </w:pPr>
      <w:bookmarkStart w:id="870" w:name="_Toc373478390"/>
      <w:bookmarkStart w:id="871" w:name="_Toc389065309"/>
      <w:bookmarkStart w:id="872" w:name="_Toc373227743"/>
      <w:bookmarkStart w:id="873" w:name="_Toc407135246"/>
      <w:bookmarkStart w:id="874" w:name="_Toc487632743"/>
      <w:r>
        <w:rPr>
          <w:rFonts w:hint="eastAsia" w:ascii="宋体" w:hAnsi="宋体" w:eastAsia="宋体" w:cs="宋体"/>
          <w:color w:val="auto"/>
          <w:highlight w:val="none"/>
        </w:rPr>
        <w:t>1</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Start w:id="875" w:name="_Toc296346698"/>
      <w:bookmarkStart w:id="876" w:name="_Toc292559402"/>
      <w:bookmarkStart w:id="877" w:name="_Toc296503197"/>
      <w:bookmarkStart w:id="878" w:name="_Toc297216203"/>
      <w:bookmarkStart w:id="879" w:name="_Toc300934993"/>
      <w:bookmarkStart w:id="880" w:name="_Toc296891025"/>
      <w:bookmarkStart w:id="881" w:name="_Toc296891237"/>
      <w:bookmarkStart w:id="882" w:name="_Toc296944536"/>
      <w:bookmarkStart w:id="883" w:name="_Toc303539150"/>
      <w:bookmarkStart w:id="884" w:name="_Toc297120497"/>
      <w:bookmarkStart w:id="885" w:name="_Toc297048383"/>
      <w:bookmarkStart w:id="886" w:name="_Toc297123544"/>
      <w:bookmarkStart w:id="887" w:name="_Toc296347196"/>
      <w:bookmarkStart w:id="888" w:name="_Toc292559907"/>
      <w:bookmarkStart w:id="889" w:name="_Toc312678029"/>
      <w:bookmarkStart w:id="890" w:name="_Toc312677503"/>
      <w:bookmarkStart w:id="891" w:name="_Toc304295570"/>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承</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Start w:id="892" w:name="_Toc300934994"/>
      <w:bookmarkStart w:id="893" w:name="_Toc296891243"/>
      <w:bookmarkStart w:id="894" w:name="_Toc297048389"/>
      <w:bookmarkStart w:id="895" w:name="_Toc296891031"/>
      <w:bookmarkStart w:id="896" w:name="_Toc296944542"/>
      <w:bookmarkStart w:id="897" w:name="_Toc297123545"/>
      <w:bookmarkStart w:id="898" w:name="_Toc296346704"/>
      <w:bookmarkStart w:id="899" w:name="_Toc303539151"/>
      <w:bookmarkStart w:id="900" w:name="_Toc296347202"/>
      <w:bookmarkStart w:id="901" w:name="_Toc292559913"/>
      <w:bookmarkStart w:id="902" w:name="_Toc292559408"/>
      <w:bookmarkStart w:id="903" w:name="_Toc297120503"/>
      <w:bookmarkStart w:id="904" w:name="_Toc296503203"/>
      <w:bookmarkStart w:id="905" w:name="_Toc297216204"/>
      <w:r>
        <w:rPr>
          <w:rFonts w:hint="eastAsia" w:ascii="宋体" w:hAnsi="宋体" w:eastAsia="宋体" w:cs="宋体"/>
          <w:color w:val="auto"/>
          <w:highlight w:val="none"/>
        </w:rPr>
        <w:t>包人的合理化建议</w:t>
      </w:r>
      <w:bookmarkEnd w:id="870"/>
      <w:bookmarkEnd w:id="871"/>
      <w:bookmarkEnd w:id="872"/>
      <w:bookmarkEnd w:id="873"/>
      <w:bookmarkEnd w:id="874"/>
    </w:p>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14:paraId="5737A09B">
      <w:pPr>
        <w:spacing w:line="360" w:lineRule="auto"/>
        <w:ind w:firstLine="420" w:firstLineChars="200"/>
        <w:jc w:val="left"/>
        <w:rPr>
          <w:rFonts w:hint="eastAsia" w:ascii="宋体" w:hAnsi="宋体" w:eastAsia="宋体" w:cs="宋体"/>
          <w:color w:val="auto"/>
          <w:highlight w:val="none"/>
        </w:rPr>
      </w:pPr>
      <w:bookmarkStart w:id="906" w:name="_Toc389065310"/>
      <w:bookmarkStart w:id="907" w:name="_Toc373227744"/>
      <w:bookmarkStart w:id="908" w:name="_Toc407135247"/>
      <w:bookmarkStart w:id="909" w:name="_Toc487632744"/>
      <w:bookmarkStart w:id="910" w:name="_Toc373478391"/>
      <w:r>
        <w:rPr>
          <w:rFonts w:hint="eastAsia" w:ascii="宋体" w:hAnsi="宋体" w:eastAsia="宋体" w:cs="宋体"/>
          <w:color w:val="auto"/>
          <w:highlight w:val="none"/>
        </w:rPr>
        <w:t>监理人审查承包人合理化建议的期限：</w:t>
      </w:r>
      <w:r>
        <w:rPr>
          <w:rFonts w:hint="eastAsia" w:ascii="宋体" w:hAnsi="宋体" w:eastAsia="宋体" w:cs="宋体"/>
          <w:color w:val="auto"/>
          <w:highlight w:val="none"/>
          <w:u w:val="single"/>
        </w:rPr>
        <w:t xml:space="preserve">     按通用条款执行      </w:t>
      </w:r>
      <w:r>
        <w:rPr>
          <w:rFonts w:hint="eastAsia" w:ascii="宋体" w:hAnsi="宋体" w:eastAsia="宋体" w:cs="宋体"/>
          <w:color w:val="auto"/>
          <w:highlight w:val="none"/>
        </w:rPr>
        <w:t>。</w:t>
      </w:r>
    </w:p>
    <w:p w14:paraId="1BCC810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发包人审批承包人合理化建议的期限：</w:t>
      </w:r>
      <w:r>
        <w:rPr>
          <w:rFonts w:hint="eastAsia" w:ascii="宋体" w:hAnsi="宋体" w:eastAsia="宋体" w:cs="宋体"/>
          <w:color w:val="auto"/>
          <w:highlight w:val="none"/>
          <w:u w:val="single"/>
        </w:rPr>
        <w:t xml:space="preserve">  按通用条款执行     </w:t>
      </w:r>
      <w:r>
        <w:rPr>
          <w:rFonts w:hint="eastAsia" w:ascii="宋体" w:hAnsi="宋体" w:eastAsia="宋体" w:cs="宋体"/>
          <w:color w:val="auto"/>
          <w:highlight w:val="none"/>
        </w:rPr>
        <w:t>。</w:t>
      </w:r>
    </w:p>
    <w:p w14:paraId="7E399999">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承</w:t>
      </w:r>
      <w:bookmarkStart w:id="911" w:name="_Toc297048390"/>
      <w:bookmarkStart w:id="912" w:name="_Toc296891244"/>
      <w:bookmarkStart w:id="913" w:name="_Toc292559914"/>
      <w:bookmarkStart w:id="914" w:name="_Toc296891032"/>
      <w:bookmarkStart w:id="915" w:name="_Toc312678030"/>
      <w:bookmarkStart w:id="916" w:name="_Toc296944543"/>
      <w:bookmarkStart w:id="917" w:name="_Toc296347203"/>
      <w:bookmarkStart w:id="918" w:name="_Toc297123546"/>
      <w:bookmarkStart w:id="919" w:name="_Toc297120504"/>
      <w:bookmarkStart w:id="920" w:name="_Toc300934995"/>
      <w:bookmarkStart w:id="921" w:name="_Toc296503204"/>
      <w:bookmarkStart w:id="922" w:name="_Toc318581175"/>
      <w:bookmarkStart w:id="923" w:name="_Toc303539152"/>
      <w:bookmarkStart w:id="924" w:name="_Toc292559409"/>
      <w:bookmarkStart w:id="925" w:name="_Toc297216205"/>
      <w:bookmarkStart w:id="926" w:name="_Toc296346705"/>
      <w:bookmarkStart w:id="927" w:name="_Toc312677504"/>
      <w:bookmarkStart w:id="928" w:name="_Toc304295571"/>
      <w:r>
        <w:rPr>
          <w:rFonts w:hint="eastAsia" w:ascii="宋体" w:hAnsi="宋体" w:eastAsia="宋体" w:cs="宋体"/>
          <w:color w:val="auto"/>
          <w:highlight w:val="none"/>
        </w:rPr>
        <w:t>包人提出的合理化建议降低了合同价格或者提高了工程经济效益的奖励的方法和金额为：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14:paraId="061DF6B4">
      <w:pPr>
        <w:pStyle w:val="5"/>
        <w:rPr>
          <w:rFonts w:hint="eastAsia" w:ascii="宋体" w:hAnsi="宋体" w:eastAsia="宋体" w:cs="宋体"/>
          <w:color w:val="auto"/>
          <w:highlight w:val="none"/>
        </w:rPr>
      </w:pPr>
      <w:r>
        <w:rPr>
          <w:rFonts w:hint="eastAsia" w:ascii="宋体" w:hAnsi="宋体" w:eastAsia="宋体" w:cs="宋体"/>
          <w:color w:val="auto"/>
          <w:highlight w:val="none"/>
        </w:rPr>
        <w:t>1</w:t>
      </w:r>
      <w:bookmarkStart w:id="929" w:name="_Toc296891027"/>
      <w:bookmarkStart w:id="930" w:name="_Toc292559404"/>
      <w:bookmarkStart w:id="931" w:name="_Toc297123548"/>
      <w:bookmarkStart w:id="932" w:name="_Toc292559909"/>
      <w:bookmarkStart w:id="933" w:name="_Toc296891239"/>
      <w:bookmarkStart w:id="934" w:name="_Toc296503199"/>
      <w:bookmarkStart w:id="935" w:name="_Toc303539154"/>
      <w:bookmarkStart w:id="936" w:name="_Toc297216207"/>
      <w:bookmarkStart w:id="937" w:name="_Toc297120499"/>
      <w:bookmarkStart w:id="938" w:name="_Toc312677507"/>
      <w:bookmarkStart w:id="939" w:name="_Toc296346700"/>
      <w:bookmarkStart w:id="940" w:name="_Toc297048385"/>
      <w:bookmarkStart w:id="941" w:name="_Toc296944538"/>
      <w:bookmarkStart w:id="942" w:name="_Toc296347198"/>
      <w:bookmarkStart w:id="943" w:name="_Toc304295574"/>
      <w:bookmarkStart w:id="944" w:name="_Toc312678033"/>
      <w:bookmarkStart w:id="945" w:name="_Toc300934997"/>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xml:space="preserve"> 暂估价</w:t>
      </w:r>
      <w:bookmarkEnd w:id="906"/>
      <w:bookmarkEnd w:id="907"/>
      <w:bookmarkEnd w:id="908"/>
      <w:bookmarkEnd w:id="909"/>
      <w:bookmarkEnd w:id="910"/>
    </w:p>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14:paraId="31CC3B8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暂</w:t>
      </w:r>
      <w:bookmarkStart w:id="946" w:name="_Toc318581176"/>
      <w:bookmarkStart w:id="947" w:name="_Toc312678034"/>
      <w:bookmarkStart w:id="948" w:name="_Toc312677508"/>
      <w:r>
        <w:rPr>
          <w:rFonts w:hint="eastAsia" w:ascii="宋体" w:hAnsi="宋体" w:eastAsia="宋体" w:cs="宋体"/>
          <w:color w:val="auto"/>
          <w:kern w:val="0"/>
          <w:highlight w:val="none"/>
        </w:rPr>
        <w:t>估价材料和工程设备的明细详见已标价工程量清单《</w:t>
      </w:r>
      <w:r>
        <w:rPr>
          <w:rFonts w:hint="eastAsia" w:ascii="宋体" w:hAnsi="宋体" w:eastAsia="宋体" w:cs="宋体"/>
          <w:color w:val="auto"/>
          <w:highlight w:val="none"/>
        </w:rPr>
        <w:t>材料（工程设备）暂估价格及调整表》</w:t>
      </w:r>
      <w:r>
        <w:rPr>
          <w:rFonts w:hint="eastAsia" w:ascii="宋体" w:hAnsi="宋体" w:eastAsia="宋体" w:cs="宋体"/>
          <w:color w:val="auto"/>
          <w:kern w:val="0"/>
          <w:highlight w:val="none"/>
        </w:rPr>
        <w:t>（表12-2）和《</w:t>
      </w:r>
      <w:r>
        <w:rPr>
          <w:rFonts w:hint="eastAsia" w:ascii="宋体" w:hAnsi="宋体" w:eastAsia="宋体" w:cs="宋体"/>
          <w:color w:val="auto"/>
          <w:highlight w:val="none"/>
        </w:rPr>
        <w:t>专业工程暂估价表》（</w:t>
      </w:r>
      <w:r>
        <w:rPr>
          <w:rFonts w:hint="eastAsia" w:ascii="宋体" w:hAnsi="宋体" w:eastAsia="宋体" w:cs="宋体"/>
          <w:color w:val="auto"/>
          <w:kern w:val="0"/>
          <w:highlight w:val="none"/>
        </w:rPr>
        <w:t>表12-3）。</w:t>
      </w:r>
    </w:p>
    <w:bookmarkEnd w:id="946"/>
    <w:bookmarkEnd w:id="947"/>
    <w:bookmarkEnd w:id="948"/>
    <w:p w14:paraId="5B94494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bookmarkStart w:id="949" w:name="_Toc312678035"/>
      <w:bookmarkStart w:id="950" w:name="_Toc312677509"/>
      <w:bookmarkStart w:id="951" w:name="_Toc318581177"/>
      <w:r>
        <w:rPr>
          <w:rFonts w:hint="eastAsia" w:ascii="宋体" w:hAnsi="宋体" w:eastAsia="宋体" w:cs="宋体"/>
          <w:color w:val="auto"/>
          <w:highlight w:val="none"/>
        </w:rPr>
        <w:t>0.6.1 依法必须招标的暂估价项目</w:t>
      </w:r>
    </w:p>
    <w:bookmarkEnd w:id="949"/>
    <w:bookmarkEnd w:id="950"/>
    <w:bookmarkEnd w:id="951"/>
    <w:p w14:paraId="4011174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对于依法必须招标的暂估价项目的确认和批准采取第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种方式确定。</w:t>
      </w:r>
    </w:p>
    <w:p w14:paraId="4400EF9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10.6.2 不属于依法必须招标的暂估价项目</w:t>
      </w:r>
    </w:p>
    <w:p w14:paraId="6BD581D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对于不属于依法必须招标的暂估价项目的确认和批准采取第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种方式确定。</w:t>
      </w:r>
    </w:p>
    <w:p w14:paraId="4E9D36F3">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highlight w:val="none"/>
        </w:rPr>
        <w:t>第3种方式：</w:t>
      </w:r>
      <w:r>
        <w:rPr>
          <w:rFonts w:hint="eastAsia" w:ascii="宋体" w:hAnsi="宋体" w:eastAsia="宋体" w:cs="宋体"/>
          <w:color w:val="auto"/>
          <w:kern w:val="0"/>
          <w:highlight w:val="none"/>
        </w:rPr>
        <w:t>承包人直接实施的暂估价项目</w:t>
      </w:r>
    </w:p>
    <w:p w14:paraId="05C0774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承包人直接实施的暂估价项目的约定：</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4F569EAF">
      <w:pPr>
        <w:pStyle w:val="5"/>
        <w:rPr>
          <w:rFonts w:hint="eastAsia" w:ascii="宋体" w:hAnsi="宋体" w:eastAsia="宋体" w:cs="宋体"/>
          <w:color w:val="auto"/>
          <w:highlight w:val="none"/>
        </w:rPr>
      </w:pPr>
      <w:bookmarkStart w:id="952" w:name="_Toc389065311"/>
      <w:bookmarkStart w:id="953" w:name="_Toc487632745"/>
      <w:bookmarkStart w:id="954" w:name="_Toc373227745"/>
      <w:bookmarkStart w:id="955" w:name="_Toc373478392"/>
      <w:bookmarkStart w:id="956" w:name="_Toc407135248"/>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 暂列金额</w:t>
      </w:r>
      <w:bookmarkEnd w:id="952"/>
      <w:bookmarkEnd w:id="953"/>
      <w:bookmarkEnd w:id="954"/>
      <w:bookmarkEnd w:id="955"/>
      <w:bookmarkEnd w:id="956"/>
    </w:p>
    <w:p w14:paraId="60BB0EB7">
      <w:pPr>
        <w:autoSpaceDE w:val="0"/>
        <w:autoSpaceDN w:val="0"/>
        <w:adjustRightInd w:val="0"/>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合同当事人关于暂列金额使用的约定：</w:t>
      </w:r>
      <w:r>
        <w:rPr>
          <w:rFonts w:hint="eastAsia" w:ascii="宋体" w:hAnsi="宋体" w:eastAsia="宋体" w:cs="宋体"/>
          <w:color w:val="auto"/>
          <w:highlight w:val="none"/>
          <w:u w:val="single"/>
        </w:rPr>
        <w:t xml:space="preserve">     无            </w:t>
      </w:r>
      <w:r>
        <w:rPr>
          <w:rFonts w:hint="eastAsia" w:ascii="宋体" w:hAnsi="宋体" w:eastAsia="宋体" w:cs="宋体"/>
          <w:color w:val="auto"/>
          <w:kern w:val="0"/>
          <w:highlight w:val="none"/>
        </w:rPr>
        <w:t>。</w:t>
      </w:r>
    </w:p>
    <w:p w14:paraId="7CBBB0BC">
      <w:pPr>
        <w:pStyle w:val="4"/>
        <w:numPr>
          <w:ilvl w:val="0"/>
          <w:numId w:val="4"/>
          <w:numberingChange w:id="0" w:author="微软用户" w:date="2017-09-15T15:53:00Z" w:original="%1:11:0:."/>
        </w:numPr>
        <w:rPr>
          <w:rFonts w:hint="eastAsia" w:ascii="宋体" w:hAnsi="宋体" w:eastAsia="宋体" w:cs="宋体"/>
          <w:color w:val="auto"/>
          <w:highlight w:val="none"/>
        </w:rPr>
      </w:pPr>
      <w:bookmarkStart w:id="957" w:name="_Toc407135249"/>
      <w:bookmarkStart w:id="958" w:name="_Toc373478393"/>
      <w:bookmarkStart w:id="959" w:name="_Toc373227746"/>
      <w:bookmarkStart w:id="960" w:name="_Toc351203643"/>
      <w:bookmarkStart w:id="961" w:name="_Toc487632746"/>
      <w:bookmarkStart w:id="962" w:name="_Toc389065312"/>
      <w:r>
        <w:rPr>
          <w:rFonts w:hint="eastAsia" w:ascii="宋体" w:hAnsi="宋体" w:eastAsia="宋体" w:cs="宋体"/>
          <w:color w:val="auto"/>
          <w:highlight w:val="none"/>
        </w:rPr>
        <w:t>价格调整</w:t>
      </w:r>
      <w:bookmarkEnd w:id="957"/>
      <w:bookmarkEnd w:id="958"/>
      <w:bookmarkEnd w:id="959"/>
      <w:bookmarkEnd w:id="960"/>
      <w:bookmarkEnd w:id="961"/>
      <w:bookmarkEnd w:id="962"/>
    </w:p>
    <w:p w14:paraId="3AFF7871">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①法律变化引起的调整；</w:t>
      </w:r>
    </w:p>
    <w:p w14:paraId="1CFAE09F">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②工程变更、项目特征不符、工程量清单缺项、工程量偏差引起的调整；</w:t>
      </w:r>
    </w:p>
    <w:p w14:paraId="1C61A914">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③计日工引起的调整。</w:t>
      </w:r>
    </w:p>
    <w:p w14:paraId="0B96532B">
      <w:pPr>
        <w:pStyle w:val="5"/>
        <w:outlineLvl w:val="0"/>
        <w:rPr>
          <w:rFonts w:hint="eastAsia" w:ascii="宋体" w:hAnsi="宋体" w:eastAsia="宋体" w:cs="宋体"/>
          <w:color w:val="auto"/>
          <w:highlight w:val="none"/>
        </w:rPr>
      </w:pPr>
      <w:bookmarkStart w:id="963" w:name="_Toc373478394"/>
      <w:bookmarkStart w:id="964" w:name="_Toc487632747"/>
      <w:bookmarkStart w:id="965" w:name="_Toc373227747"/>
      <w:bookmarkStart w:id="966" w:name="_Toc21896"/>
      <w:bookmarkStart w:id="967" w:name="_Toc389065313"/>
      <w:bookmarkStart w:id="968" w:name="_Toc407135250"/>
      <w:bookmarkStart w:id="969" w:name="_Toc304295577"/>
      <w:bookmarkStart w:id="970" w:name="_Toc296346702"/>
      <w:bookmarkStart w:id="971" w:name="_Toc296891241"/>
      <w:bookmarkStart w:id="972" w:name="_Toc296891029"/>
      <w:bookmarkStart w:id="973" w:name="_Toc296944540"/>
      <w:bookmarkStart w:id="974" w:name="_Toc303539157"/>
      <w:bookmarkStart w:id="975" w:name="_Toc292559406"/>
      <w:bookmarkStart w:id="976" w:name="_Toc297120501"/>
      <w:bookmarkStart w:id="977" w:name="_Toc296503201"/>
      <w:bookmarkStart w:id="978" w:name="_Toc300935000"/>
      <w:bookmarkStart w:id="979" w:name="_Toc296347200"/>
      <w:bookmarkStart w:id="980" w:name="_Toc292559911"/>
      <w:bookmarkStart w:id="981" w:name="_Toc297216209"/>
      <w:bookmarkStart w:id="982" w:name="_Toc312678039"/>
      <w:bookmarkStart w:id="983" w:name="_Toc297048387"/>
      <w:bookmarkStart w:id="984" w:name="_Toc297123550"/>
      <w:r>
        <w:rPr>
          <w:rFonts w:hint="eastAsia" w:ascii="宋体" w:hAnsi="宋体" w:eastAsia="宋体" w:cs="宋体"/>
          <w:color w:val="auto"/>
          <w:highlight w:val="none"/>
        </w:rPr>
        <w:t>11.1 市场价格波动引起的调整</w:t>
      </w:r>
      <w:bookmarkEnd w:id="963"/>
      <w:bookmarkEnd w:id="964"/>
      <w:bookmarkEnd w:id="965"/>
      <w:bookmarkEnd w:id="966"/>
      <w:bookmarkEnd w:id="967"/>
      <w:bookmarkEnd w:id="968"/>
    </w:p>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14:paraId="2B52D93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市场价格波动是否调整合同价格的约定：</w:t>
      </w:r>
      <w:r>
        <w:rPr>
          <w:rFonts w:hint="eastAsia" w:ascii="宋体" w:hAnsi="宋体" w:eastAsia="宋体" w:cs="宋体"/>
          <w:color w:val="auto"/>
          <w:highlight w:val="none"/>
          <w:u w:val="single"/>
        </w:rPr>
        <w:t xml:space="preserve">   不作调整     </w:t>
      </w:r>
      <w:r>
        <w:rPr>
          <w:rFonts w:hint="eastAsia" w:ascii="宋体" w:hAnsi="宋体" w:eastAsia="宋体" w:cs="宋体"/>
          <w:color w:val="auto"/>
          <w:highlight w:val="none"/>
        </w:rPr>
        <w:t>。</w:t>
      </w:r>
    </w:p>
    <w:p w14:paraId="604C255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因市场价格波动调整合同价格，采用以下第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种方式对合同价格进行调整：</w:t>
      </w:r>
    </w:p>
    <w:p w14:paraId="585AAB6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第1种方式：采用价格指数进行价格调整。</w:t>
      </w:r>
    </w:p>
    <w:p w14:paraId="4E66D4DF">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关于各可调因子、定值和变值权重，以及基本价格指数及其来源的约定：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700984F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第2种方式：采用造价信息进行价格调整。</w:t>
      </w:r>
    </w:p>
    <w:p w14:paraId="52C2319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（1）允许调整的主要材料和设备、基期价格、风险系数、投标报价：详见《承包人提供主要材料和设备一览表》。</w:t>
      </w:r>
    </w:p>
    <w:p w14:paraId="5EDC478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（2）主要材料和设备确认价：</w:t>
      </w:r>
    </w:p>
    <w:p w14:paraId="0F53213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按施工期间《</w:t>
      </w:r>
      <w:r>
        <w:rPr>
          <w:rFonts w:hint="eastAsia" w:ascii="宋体" w:hAnsi="宋体" w:eastAsia="宋体" w:cs="宋体"/>
          <w:color w:val="auto"/>
          <w:highlight w:val="none"/>
          <w:u w:val="single"/>
        </w:rPr>
        <w:t xml:space="preserve"> 梧州市 </w:t>
      </w:r>
      <w:r>
        <w:rPr>
          <w:rFonts w:hint="eastAsia" w:ascii="宋体" w:hAnsi="宋体" w:eastAsia="宋体" w:cs="宋体"/>
          <w:color w:val="auto"/>
          <w:highlight w:val="none"/>
        </w:rPr>
        <w:t>市建设工程造价信息》加权平均计算，信息价没有的按通用条款规定确定。</w:t>
      </w:r>
    </w:p>
    <w:p w14:paraId="28656FE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（3）价差计算方法：</w:t>
      </w:r>
    </w:p>
    <w:p w14:paraId="0BDA331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0616CD0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30BFC88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③承包人在《承包人提供主要材料和设备一览表》中载明的材料和设备单价等于基准单价的：合同履行期间材料和设备单价涨跌幅以基准单价为基础超过约定的风险范围时，其超过部分据实调整。</w:t>
      </w:r>
    </w:p>
    <w:p w14:paraId="2A212328">
      <w:pPr>
        <w:spacing w:line="360" w:lineRule="auto"/>
        <w:ind w:firstLine="645"/>
        <w:jc w:val="left"/>
        <w:rPr>
          <w:rFonts w:hint="eastAsia" w:ascii="宋体" w:hAnsi="宋体" w:eastAsia="宋体" w:cs="宋体"/>
          <w:color w:val="auto"/>
          <w:highlight w:val="none"/>
        </w:rPr>
      </w:pPr>
      <w:r>
        <w:rPr>
          <w:rFonts w:hint="eastAsia" w:ascii="宋体" w:hAnsi="宋体" w:eastAsia="宋体" w:cs="宋体"/>
          <w:color w:val="auto"/>
          <w:highlight w:val="none"/>
        </w:rPr>
        <w:t>第3种方式：</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bookmarkEnd w:id="830"/>
    <w:bookmarkEnd w:id="831"/>
    <w:bookmarkEnd w:id="832"/>
    <w:bookmarkEnd w:id="833"/>
    <w:bookmarkEnd w:id="834"/>
    <w:bookmarkEnd w:id="835"/>
    <w:p w14:paraId="065E8B19">
      <w:pPr>
        <w:pStyle w:val="4"/>
        <w:rPr>
          <w:rFonts w:hint="eastAsia" w:ascii="宋体" w:hAnsi="宋体" w:eastAsia="宋体" w:cs="宋体"/>
          <w:color w:val="auto"/>
          <w:highlight w:val="none"/>
        </w:rPr>
      </w:pPr>
      <w:bookmarkStart w:id="985" w:name="_Toc296503205"/>
      <w:bookmarkStart w:id="986" w:name="_Toc296346706"/>
      <w:bookmarkStart w:id="987" w:name="_Toc297048391"/>
      <w:bookmarkStart w:id="988" w:name="_Toc297120505"/>
      <w:bookmarkStart w:id="989" w:name="_Toc292559915"/>
      <w:bookmarkStart w:id="990" w:name="_Toc296891033"/>
      <w:bookmarkStart w:id="991" w:name="_Toc296944544"/>
      <w:bookmarkStart w:id="992" w:name="_Toc292559410"/>
      <w:bookmarkStart w:id="993" w:name="_Toc296347204"/>
      <w:bookmarkStart w:id="994" w:name="_Toc296891245"/>
      <w:bookmarkStart w:id="995" w:name="_Toc407135251"/>
      <w:bookmarkStart w:id="996" w:name="_Toc487632748"/>
      <w:bookmarkStart w:id="997" w:name="_Toc373478395"/>
      <w:bookmarkStart w:id="998" w:name="_Toc373227748"/>
      <w:bookmarkStart w:id="999" w:name="_Toc351203644"/>
      <w:bookmarkStart w:id="1000" w:name="_Toc312678040"/>
      <w:bookmarkStart w:id="1001" w:name="_Toc297216211"/>
      <w:bookmarkStart w:id="1002" w:name="_Toc303539159"/>
      <w:bookmarkStart w:id="1003" w:name="_Toc304295579"/>
      <w:bookmarkStart w:id="1004" w:name="_Toc297123552"/>
      <w:bookmarkStart w:id="1005" w:name="_Toc300935002"/>
      <w:r>
        <w:rPr>
          <w:rFonts w:hint="eastAsia" w:ascii="宋体" w:hAnsi="宋体" w:eastAsia="宋体" w:cs="宋体"/>
          <w:color w:val="auto"/>
          <w:highlight w:val="none"/>
        </w:rPr>
        <w:t xml:space="preserve">12. </w:t>
      </w:r>
      <w:bookmarkEnd w:id="985"/>
      <w:bookmarkEnd w:id="986"/>
      <w:bookmarkEnd w:id="987"/>
      <w:bookmarkEnd w:id="988"/>
      <w:bookmarkEnd w:id="989"/>
      <w:bookmarkEnd w:id="990"/>
      <w:bookmarkEnd w:id="991"/>
      <w:bookmarkEnd w:id="992"/>
      <w:bookmarkEnd w:id="993"/>
      <w:bookmarkEnd w:id="994"/>
      <w:r>
        <w:rPr>
          <w:rFonts w:hint="eastAsia" w:ascii="宋体" w:hAnsi="宋体" w:eastAsia="宋体" w:cs="宋体"/>
          <w:color w:val="auto"/>
          <w:highlight w:val="none"/>
        </w:rPr>
        <w:t>合同价格、计量与支付</w:t>
      </w:r>
      <w:bookmarkEnd w:id="995"/>
      <w:bookmarkEnd w:id="996"/>
      <w:bookmarkEnd w:id="997"/>
      <w:bookmarkEnd w:id="998"/>
      <w:bookmarkEnd w:id="999"/>
    </w:p>
    <w:bookmarkEnd w:id="1000"/>
    <w:bookmarkEnd w:id="1001"/>
    <w:bookmarkEnd w:id="1002"/>
    <w:bookmarkEnd w:id="1003"/>
    <w:bookmarkEnd w:id="1004"/>
    <w:bookmarkEnd w:id="1005"/>
    <w:p w14:paraId="18434533">
      <w:pPr>
        <w:pStyle w:val="5"/>
        <w:rPr>
          <w:rFonts w:hint="eastAsia" w:ascii="宋体" w:hAnsi="宋体" w:eastAsia="宋体" w:cs="宋体"/>
          <w:color w:val="auto"/>
          <w:highlight w:val="none"/>
        </w:rPr>
      </w:pPr>
      <w:bookmarkStart w:id="1006" w:name="_Toc292559916"/>
      <w:bookmarkStart w:id="1007" w:name="_Toc267251461"/>
      <w:bookmarkStart w:id="1008" w:name="_Toc292559411"/>
      <w:bookmarkStart w:id="1009" w:name="_Toc296503206"/>
      <w:bookmarkStart w:id="1010" w:name="_Toc297048392"/>
      <w:bookmarkStart w:id="1011" w:name="_Toc296891246"/>
      <w:bookmarkStart w:id="1012" w:name="_Toc296347205"/>
      <w:bookmarkStart w:id="1013" w:name="_Toc296944545"/>
      <w:bookmarkStart w:id="1014" w:name="_Toc296891034"/>
      <w:bookmarkStart w:id="1015" w:name="_Toc297120506"/>
      <w:bookmarkStart w:id="1016" w:name="_Toc296346707"/>
      <w:bookmarkStart w:id="1017" w:name="_Toc407135252"/>
      <w:bookmarkStart w:id="1018" w:name="_Toc389065314"/>
      <w:bookmarkStart w:id="1019" w:name="_Toc373478396"/>
      <w:bookmarkStart w:id="1020" w:name="_Toc373227749"/>
      <w:bookmarkStart w:id="1021" w:name="_Toc487632749"/>
      <w:bookmarkStart w:id="1022" w:name="_Toc297123553"/>
      <w:bookmarkStart w:id="1023" w:name="_Toc297216212"/>
      <w:bookmarkStart w:id="1024" w:name="_Toc312678041"/>
      <w:bookmarkStart w:id="1025" w:name="_Toc300935003"/>
      <w:bookmarkStart w:id="1026" w:name="_Toc303539160"/>
      <w:bookmarkStart w:id="1027" w:name="_Toc304295580"/>
      <w:r>
        <w:rPr>
          <w:rFonts w:hint="eastAsia" w:ascii="宋体" w:hAnsi="宋体" w:eastAsia="宋体" w:cs="宋体"/>
          <w:color w:val="auto"/>
          <w:highlight w:val="none"/>
        </w:rPr>
        <w:t>12.1 合</w:t>
      </w:r>
      <w:bookmarkEnd w:id="1006"/>
      <w:bookmarkEnd w:id="1007"/>
      <w:bookmarkEnd w:id="1008"/>
      <w:r>
        <w:rPr>
          <w:rFonts w:hint="eastAsia" w:ascii="宋体" w:hAnsi="宋体" w:eastAsia="宋体" w:cs="宋体"/>
          <w:color w:val="auto"/>
          <w:highlight w:val="none"/>
        </w:rPr>
        <w:t>同价</w:t>
      </w:r>
      <w:bookmarkEnd w:id="1009"/>
      <w:bookmarkEnd w:id="1010"/>
      <w:bookmarkEnd w:id="1011"/>
      <w:bookmarkEnd w:id="1012"/>
      <w:bookmarkEnd w:id="1013"/>
      <w:bookmarkEnd w:id="1014"/>
      <w:bookmarkEnd w:id="1015"/>
      <w:bookmarkEnd w:id="1016"/>
      <w:r>
        <w:rPr>
          <w:rFonts w:hint="eastAsia" w:ascii="宋体" w:hAnsi="宋体" w:eastAsia="宋体" w:cs="宋体"/>
          <w:color w:val="auto"/>
          <w:highlight w:val="none"/>
        </w:rPr>
        <w:t>格形式</w:t>
      </w:r>
      <w:bookmarkEnd w:id="1017"/>
      <w:bookmarkEnd w:id="1018"/>
      <w:bookmarkEnd w:id="1019"/>
      <w:bookmarkEnd w:id="1020"/>
      <w:bookmarkEnd w:id="1021"/>
    </w:p>
    <w:bookmarkEnd w:id="1022"/>
    <w:bookmarkEnd w:id="1023"/>
    <w:bookmarkEnd w:id="1024"/>
    <w:bookmarkEnd w:id="1025"/>
    <w:bookmarkEnd w:id="1026"/>
    <w:bookmarkEnd w:id="1027"/>
    <w:p w14:paraId="24EE01FB">
      <w:pPr>
        <w:spacing w:line="360" w:lineRule="auto"/>
        <w:ind w:firstLine="420" w:firstLineChars="200"/>
        <w:jc w:val="left"/>
        <w:rPr>
          <w:rFonts w:hint="eastAsia" w:ascii="宋体" w:hAnsi="宋体" w:eastAsia="宋体" w:cs="宋体"/>
          <w:color w:val="auto"/>
          <w:highlight w:val="none"/>
        </w:rPr>
      </w:pPr>
      <w:bookmarkStart w:id="1028" w:name="_Toc373227750"/>
      <w:bookmarkStart w:id="1029" w:name="_Toc389065315"/>
      <w:bookmarkStart w:id="1030" w:name="_Toc373478397"/>
      <w:bookmarkStart w:id="1031" w:name="_Toc300935004"/>
      <w:bookmarkStart w:id="1032" w:name="_Toc312678042"/>
      <w:bookmarkStart w:id="1033" w:name="_Toc304295581"/>
      <w:bookmarkStart w:id="1034" w:name="_Toc303539161"/>
      <w:bookmarkStart w:id="1035" w:name="_Toc297216213"/>
      <w:bookmarkStart w:id="1036" w:name="_Toc297123554"/>
      <w:bookmarkStart w:id="1037" w:name="_Toc292559917"/>
      <w:bookmarkStart w:id="1038" w:name="_Toc296346708"/>
      <w:bookmarkStart w:id="1039" w:name="_Toc296944546"/>
      <w:bookmarkStart w:id="1040" w:name="_Toc292559412"/>
      <w:bookmarkStart w:id="1041" w:name="_Toc296891035"/>
      <w:bookmarkStart w:id="1042" w:name="_Toc296347206"/>
      <w:bookmarkStart w:id="1043" w:name="_Toc297120507"/>
      <w:bookmarkStart w:id="1044" w:name="_Toc297048393"/>
      <w:bookmarkStart w:id="1045" w:name="_Toc296503207"/>
      <w:bookmarkStart w:id="1046" w:name="_Toc296891247"/>
      <w:r>
        <w:rPr>
          <w:rFonts w:hint="eastAsia" w:ascii="宋体" w:hAnsi="宋体" w:eastAsia="宋体" w:cs="宋体"/>
          <w:color w:val="auto"/>
          <w:highlight w:val="none"/>
        </w:rPr>
        <w:t>本工程采用</w:t>
      </w:r>
      <w:r>
        <w:rPr>
          <w:rFonts w:hint="eastAsia" w:ascii="宋体" w:hAnsi="宋体" w:eastAsia="宋体" w:cs="宋体"/>
          <w:color w:val="auto"/>
          <w:highlight w:val="none"/>
          <w:u w:val="single"/>
        </w:rPr>
        <w:t xml:space="preserve">  综合单价固定 </w:t>
      </w:r>
      <w:r>
        <w:rPr>
          <w:rFonts w:hint="eastAsia" w:ascii="宋体" w:hAnsi="宋体" w:eastAsia="宋体" w:cs="宋体"/>
          <w:color w:val="auto"/>
          <w:highlight w:val="none"/>
        </w:rPr>
        <w:t>合同价格形式。</w:t>
      </w:r>
    </w:p>
    <w:p w14:paraId="77A5D62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（1）单价合同。</w:t>
      </w:r>
    </w:p>
    <w:p w14:paraId="6048F9F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本合同价款采用固定综合单价方式确定，工程量按实际结算。</w:t>
      </w:r>
    </w:p>
    <w:p w14:paraId="4E6B5C7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综合单价包含的风险范围：</w:t>
      </w:r>
      <w:r>
        <w:rPr>
          <w:rFonts w:hint="eastAsia" w:ascii="宋体" w:hAnsi="宋体" w:eastAsia="宋体" w:cs="宋体"/>
          <w:color w:val="auto"/>
          <w:highlight w:val="none"/>
          <w:u w:val="single"/>
        </w:rPr>
        <w:t>除工程变更、项目特征不符、工程量清单缺项、工程量偏差、政策性调整、本工程《承包人提供主要材料和设备一览表》中约定的材料和设备价格变动风险以外的其他风险因素。</w:t>
      </w:r>
    </w:p>
    <w:p w14:paraId="1C3D38B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风险范围以外合同价格的调整方法：</w:t>
      </w:r>
    </w:p>
    <w:p w14:paraId="5834210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①工程变更：按10.4.1变更估价原则的约定调整。</w:t>
      </w:r>
    </w:p>
    <w:p w14:paraId="493C25B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②政策性调整：按自治区住房城乡建设行政主管部门颁布的文件执行。</w:t>
      </w:r>
    </w:p>
    <w:p w14:paraId="6946AF9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③材料价格风险：按11.1的约定调整。</w:t>
      </w:r>
    </w:p>
    <w:p w14:paraId="408A038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④其它：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B01436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（2）总价合同。</w:t>
      </w:r>
    </w:p>
    <w:p w14:paraId="43AD3E2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总价包含的风险范围：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357435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风险范围以外合同价格的调整方法：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E740BB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（3）其他价格方式：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23F2988">
      <w:pPr>
        <w:pStyle w:val="5"/>
        <w:rPr>
          <w:rFonts w:hint="eastAsia" w:ascii="宋体" w:hAnsi="宋体" w:eastAsia="宋体" w:cs="宋体"/>
          <w:color w:val="auto"/>
          <w:highlight w:val="none"/>
        </w:rPr>
      </w:pPr>
      <w:bookmarkStart w:id="1047" w:name="_Toc487632750"/>
      <w:bookmarkStart w:id="1048" w:name="_Toc407135253"/>
      <w:r>
        <w:rPr>
          <w:rFonts w:hint="eastAsia" w:ascii="宋体" w:hAnsi="宋体" w:eastAsia="宋体" w:cs="宋体"/>
          <w:color w:val="auto"/>
          <w:highlight w:val="none"/>
        </w:rPr>
        <w:t>12.2 预付款</w:t>
      </w:r>
      <w:bookmarkEnd w:id="1028"/>
      <w:bookmarkEnd w:id="1029"/>
      <w:bookmarkEnd w:id="1030"/>
      <w:bookmarkEnd w:id="1047"/>
      <w:bookmarkEnd w:id="1048"/>
    </w:p>
    <w:bookmarkEnd w:id="1031"/>
    <w:bookmarkEnd w:id="1032"/>
    <w:bookmarkEnd w:id="1033"/>
    <w:bookmarkEnd w:id="1034"/>
    <w:bookmarkEnd w:id="1035"/>
    <w:bookmarkEnd w:id="1036"/>
    <w:p w14:paraId="3F8DC99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12.2.1 预付款的支付</w:t>
      </w:r>
    </w:p>
    <w:p w14:paraId="2F82E9E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预付款支付比例或金额：</w:t>
      </w:r>
      <w:r>
        <w:rPr>
          <w:rFonts w:hint="eastAsia" w:ascii="宋体" w:hAnsi="宋体" w:eastAsia="宋体" w:cs="宋体"/>
          <w:color w:val="auto"/>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3B405D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预付款支付期限：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83D5CC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预付款扣回的方式：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94D4D6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12.2.2 预付款担保</w:t>
      </w:r>
    </w:p>
    <w:p w14:paraId="5C8BBD4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承包人提交预付款担保的期限：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0AADF5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预付款担保的形式为：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018EA4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预付款担保格式见合同附件7。</w:t>
      </w:r>
    </w:p>
    <w:bookmarkEnd w:id="1037"/>
    <w:bookmarkEnd w:id="1038"/>
    <w:bookmarkEnd w:id="1039"/>
    <w:bookmarkEnd w:id="1040"/>
    <w:bookmarkEnd w:id="1041"/>
    <w:bookmarkEnd w:id="1042"/>
    <w:bookmarkEnd w:id="1043"/>
    <w:bookmarkEnd w:id="1044"/>
    <w:bookmarkEnd w:id="1045"/>
    <w:bookmarkEnd w:id="1046"/>
    <w:p w14:paraId="0B9B9DDE">
      <w:pPr>
        <w:pStyle w:val="5"/>
        <w:rPr>
          <w:rFonts w:hint="eastAsia" w:ascii="宋体" w:hAnsi="宋体" w:eastAsia="宋体" w:cs="宋体"/>
          <w:color w:val="auto"/>
          <w:highlight w:val="none"/>
        </w:rPr>
      </w:pPr>
      <w:bookmarkStart w:id="1049" w:name="_Toc389065316"/>
      <w:bookmarkStart w:id="1050" w:name="_Toc373478398"/>
      <w:bookmarkStart w:id="1051" w:name="_Toc373227751"/>
      <w:bookmarkStart w:id="1052" w:name="_Toc407135254"/>
      <w:bookmarkStart w:id="1053" w:name="_Toc487632751"/>
      <w:r>
        <w:rPr>
          <w:rFonts w:hint="eastAsia" w:ascii="宋体" w:hAnsi="宋体" w:eastAsia="宋体" w:cs="宋体"/>
          <w:color w:val="auto"/>
          <w:highlight w:val="none"/>
        </w:rPr>
        <w:t>12.3 计量</w:t>
      </w:r>
      <w:bookmarkEnd w:id="1049"/>
      <w:bookmarkEnd w:id="1050"/>
      <w:bookmarkEnd w:id="1051"/>
      <w:bookmarkEnd w:id="1052"/>
      <w:bookmarkEnd w:id="1053"/>
    </w:p>
    <w:p w14:paraId="1B4112A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12.3.1 计量原则</w:t>
      </w:r>
    </w:p>
    <w:p w14:paraId="2BD6528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工程量计算规则：</w:t>
      </w:r>
      <w:r>
        <w:rPr>
          <w:rFonts w:hint="eastAsia" w:ascii="宋体" w:hAnsi="宋体" w:eastAsia="宋体" w:cs="宋体"/>
          <w:color w:val="auto"/>
          <w:highlight w:val="none"/>
          <w:u w:val="single"/>
        </w:rPr>
        <w:t>工程的计量均以《建设工程工程量清单计价规范》（GB50500－2013）和及其广西壮族自治区实施细则、《建设工程工程量清单计算规范》（GB50854~50862－2013）及其广西实施细则、</w:t>
      </w:r>
      <w:r>
        <w:rPr>
          <w:rFonts w:hint="eastAsia" w:ascii="宋体" w:hAnsi="宋体" w:cs="宋体"/>
          <w:color w:val="auto"/>
          <w:highlight w:val="none"/>
          <w:u w:val="single"/>
          <w:lang w:eastAsia="zh-CN"/>
        </w:rPr>
        <w:t>以及涉及到</w:t>
      </w:r>
      <w:r>
        <w:rPr>
          <w:rFonts w:hint="eastAsia" w:ascii="宋体" w:hAnsi="宋体" w:eastAsia="宋体" w:cs="宋体"/>
          <w:color w:val="auto"/>
          <w:highlight w:val="none"/>
          <w:u w:val="single"/>
        </w:rPr>
        <w:t>本工程补充项目清单为准。</w:t>
      </w:r>
    </w:p>
    <w:p w14:paraId="4765D68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12.3.2 计量周期</w:t>
      </w:r>
    </w:p>
    <w:p w14:paraId="21AD561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关于计量周期的约定：</w:t>
      </w:r>
      <w:r>
        <w:rPr>
          <w:rFonts w:hint="eastAsia" w:ascii="宋体" w:hAnsi="宋体" w:eastAsia="宋体" w:cs="宋体"/>
          <w:color w:val="auto"/>
          <w:highlight w:val="none"/>
          <w:u w:val="single"/>
        </w:rPr>
        <w:t>每月25日前</w:t>
      </w:r>
      <w:r>
        <w:rPr>
          <w:rFonts w:hint="eastAsia" w:ascii="宋体" w:hAnsi="宋体" w:eastAsia="宋体" w:cs="宋体"/>
          <w:color w:val="auto"/>
          <w:highlight w:val="none"/>
        </w:rPr>
        <w:t>。</w:t>
      </w:r>
    </w:p>
    <w:p w14:paraId="2441A869">
      <w:pPr>
        <w:spacing w:line="360" w:lineRule="auto"/>
        <w:ind w:firstLine="420" w:firstLineChars="200"/>
        <w:jc w:val="left"/>
        <w:outlineLvl w:val="0"/>
        <w:rPr>
          <w:rFonts w:hint="eastAsia" w:ascii="宋体" w:hAnsi="宋体" w:eastAsia="宋体" w:cs="宋体"/>
          <w:color w:val="auto"/>
          <w:highlight w:val="none"/>
        </w:rPr>
      </w:pPr>
      <w:bookmarkStart w:id="1054" w:name="_Toc28882"/>
      <w:r>
        <w:rPr>
          <w:rFonts w:hint="eastAsia" w:ascii="宋体" w:hAnsi="宋体" w:eastAsia="宋体" w:cs="宋体"/>
          <w:color w:val="auto"/>
          <w:highlight w:val="none"/>
        </w:rPr>
        <w:t>12.3.3 单价合同的计量</w:t>
      </w:r>
      <w:bookmarkEnd w:id="1054"/>
    </w:p>
    <w:p w14:paraId="62220CA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关于单价合同计量的约定：</w:t>
      </w:r>
    </w:p>
    <w:p w14:paraId="20D23080">
      <w:pPr>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(1) 工程量清单所列的工程量，不能作为承包人按合同履行其责任依据，实际施工中发生的工程量增加或减少并不影响承包人履行合同的责任，工程结算以完成的实际工程量为准。</w:t>
      </w:r>
    </w:p>
    <w:p w14:paraId="3DBA8AD6">
      <w:pPr>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703BE5E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12.3.4 总价合同的计量</w:t>
      </w:r>
    </w:p>
    <w:p w14:paraId="4C050E7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关于总价合同计量的约定：除工程变更外，原图纸范围内的工程量不得按实计量。进度款按支付分解表支付，按通用条款第</w:t>
      </w:r>
      <w:r>
        <w:rPr>
          <w:rFonts w:hint="eastAsia" w:ascii="宋体" w:hAnsi="宋体" w:eastAsia="宋体" w:cs="宋体"/>
          <w:color w:val="auto"/>
          <w:kern w:val="0"/>
          <w:highlight w:val="none"/>
        </w:rPr>
        <w:t>12.3.4</w:t>
      </w:r>
      <w:r>
        <w:rPr>
          <w:rFonts w:hint="eastAsia" w:ascii="宋体" w:hAnsi="宋体" w:eastAsia="宋体" w:cs="宋体"/>
          <w:color w:val="auto"/>
          <w:highlight w:val="none"/>
        </w:rPr>
        <w:t>项</w:t>
      </w:r>
      <w:r>
        <w:rPr>
          <w:rFonts w:hint="eastAsia" w:ascii="宋体" w:hAnsi="宋体" w:eastAsia="宋体" w:cs="宋体"/>
          <w:color w:val="auto"/>
          <w:kern w:val="0"/>
          <w:highlight w:val="none"/>
        </w:rPr>
        <w:t>〔总价合同的计量〕</w:t>
      </w:r>
      <w:r>
        <w:rPr>
          <w:rFonts w:hint="eastAsia" w:ascii="宋体" w:hAnsi="宋体" w:eastAsia="宋体" w:cs="宋体"/>
          <w:color w:val="auto"/>
          <w:highlight w:val="none"/>
        </w:rPr>
        <w:t>约定进行计量，但</w:t>
      </w:r>
      <w:r>
        <w:rPr>
          <w:rFonts w:hint="eastAsia" w:ascii="宋体" w:hAnsi="宋体" w:eastAsia="宋体" w:cs="宋体"/>
          <w:color w:val="auto"/>
          <w:kern w:val="0"/>
          <w:highlight w:val="none"/>
        </w:rPr>
        <w:t>合同价款按照支付分解表进行支付。</w:t>
      </w:r>
    </w:p>
    <w:p w14:paraId="2E27EB6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12.3.5 其他价格形式合同的计量</w:t>
      </w:r>
    </w:p>
    <w:p w14:paraId="0D4154C3">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其他价格形式的计量方式和程序：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F2566C2">
      <w:pPr>
        <w:pStyle w:val="5"/>
        <w:rPr>
          <w:rFonts w:hint="eastAsia" w:ascii="宋体" w:hAnsi="宋体" w:eastAsia="宋体" w:cs="宋体"/>
          <w:color w:val="auto"/>
          <w:highlight w:val="none"/>
        </w:rPr>
      </w:pPr>
      <w:bookmarkStart w:id="1055" w:name="_Toc389065317"/>
      <w:bookmarkStart w:id="1056" w:name="_Toc373478399"/>
      <w:bookmarkStart w:id="1057" w:name="_Toc373227752"/>
      <w:bookmarkStart w:id="1058" w:name="_Toc407135255"/>
      <w:bookmarkStart w:id="1059" w:name="_Toc487632752"/>
      <w:r>
        <w:rPr>
          <w:rFonts w:hint="eastAsia" w:ascii="宋体" w:hAnsi="宋体" w:eastAsia="宋体" w:cs="宋体"/>
          <w:color w:val="auto"/>
          <w:highlight w:val="none"/>
        </w:rPr>
        <w:t>12.4 工程进度款支付</w:t>
      </w:r>
      <w:bookmarkEnd w:id="1055"/>
      <w:bookmarkEnd w:id="1056"/>
      <w:bookmarkEnd w:id="1057"/>
      <w:bookmarkEnd w:id="1058"/>
      <w:bookmarkEnd w:id="1059"/>
    </w:p>
    <w:p w14:paraId="6D337E4F">
      <w:pPr>
        <w:spacing w:line="360" w:lineRule="auto"/>
        <w:ind w:firstLine="420" w:firstLineChars="200"/>
        <w:jc w:val="left"/>
        <w:rPr>
          <w:rFonts w:hint="eastAsia" w:ascii="宋体" w:hAnsi="宋体" w:eastAsia="宋体" w:cs="宋体"/>
          <w:color w:val="auto"/>
          <w:highlight w:val="none"/>
        </w:rPr>
      </w:pPr>
      <w:bookmarkStart w:id="1060" w:name="_Toc296503211"/>
      <w:bookmarkStart w:id="1061" w:name="_Toc296891251"/>
      <w:bookmarkStart w:id="1062" w:name="_Toc292559416"/>
      <w:bookmarkStart w:id="1063" w:name="_Toc296944550"/>
      <w:bookmarkStart w:id="1064" w:name="_Toc297216215"/>
      <w:bookmarkStart w:id="1065" w:name="_Toc297123556"/>
      <w:bookmarkStart w:id="1066" w:name="_Toc297120511"/>
      <w:bookmarkStart w:id="1067" w:name="_Toc296891039"/>
      <w:bookmarkStart w:id="1068" w:name="_Toc296347210"/>
      <w:bookmarkStart w:id="1069" w:name="_Toc296346712"/>
      <w:bookmarkStart w:id="1070" w:name="_Toc292559921"/>
      <w:bookmarkStart w:id="1071" w:name="_Toc300935006"/>
      <w:bookmarkStart w:id="1072" w:name="_Toc297048397"/>
      <w:bookmarkStart w:id="1073" w:name="_Toc303539163"/>
      <w:r>
        <w:rPr>
          <w:rFonts w:hint="eastAsia" w:ascii="宋体" w:hAnsi="宋体" w:eastAsia="宋体" w:cs="宋体"/>
          <w:color w:val="auto"/>
          <w:highlight w:val="none"/>
        </w:rPr>
        <w:t>12.4.1 付款周期</w:t>
      </w:r>
    </w:p>
    <w:p w14:paraId="2622A5DC">
      <w:pPr>
        <w:numPr>
          <w:ilvl w:val="0"/>
          <w:numId w:val="0"/>
        </w:numPr>
        <w:spacing w:line="360" w:lineRule="auto"/>
        <w:ind w:firstLine="420" w:firstLineChars="200"/>
        <w:rPr>
          <w:rFonts w:hint="eastAsia" w:ascii="宋体" w:hAnsi="宋体" w:eastAsia="宋体" w:cs="宋体"/>
          <w:b w:val="0"/>
          <w:bCs w:val="0"/>
          <w:color w:val="auto"/>
          <w:sz w:val="22"/>
          <w:szCs w:val="28"/>
          <w:highlight w:val="none"/>
          <w:lang w:eastAsia="zh-CN"/>
        </w:rPr>
      </w:pPr>
      <w:r>
        <w:rPr>
          <w:rFonts w:hint="eastAsia" w:ascii="宋体" w:hAnsi="宋体" w:eastAsia="宋体" w:cs="宋体"/>
          <w:color w:val="auto"/>
          <w:highlight w:val="none"/>
        </w:rPr>
        <w:t>关于付款周期的约定：</w:t>
      </w:r>
      <w:r>
        <w:rPr>
          <w:rFonts w:hint="eastAsia" w:ascii="宋体" w:hAnsi="宋体" w:eastAsia="宋体" w:cs="宋体"/>
          <w:b w:val="0"/>
          <w:bCs w:val="0"/>
          <w:color w:val="auto"/>
          <w:sz w:val="22"/>
          <w:szCs w:val="28"/>
          <w:highlight w:val="none"/>
          <w:lang w:eastAsia="zh-CN"/>
        </w:rPr>
        <w:t xml:space="preserve"> </w:t>
      </w:r>
      <w:r>
        <w:rPr>
          <w:rFonts w:hint="eastAsia" w:ascii="宋体" w:hAnsi="宋体" w:eastAsia="宋体" w:cs="宋体"/>
          <w:b w:val="0"/>
          <w:bCs w:val="0"/>
          <w:color w:val="auto"/>
          <w:sz w:val="22"/>
          <w:szCs w:val="28"/>
          <w:highlight w:val="none"/>
          <w:lang w:val="en-US" w:eastAsia="zh-CN"/>
        </w:rPr>
        <w:t>按实际验收合格完成量申请进度工程款，进度款申请限额为签约合同价的80%，</w:t>
      </w:r>
      <w:r>
        <w:rPr>
          <w:rFonts w:hint="eastAsia" w:ascii="宋体" w:hAnsi="宋体" w:cs="宋体"/>
          <w:b w:val="0"/>
          <w:bCs w:val="0"/>
          <w:color w:val="auto"/>
          <w:sz w:val="22"/>
          <w:szCs w:val="28"/>
          <w:highlight w:val="none"/>
          <w:lang w:val="en-US" w:eastAsia="zh-CN"/>
        </w:rPr>
        <w:t>付款时间为苍梧县人民医院审批并拨付资金到位后7天内</w:t>
      </w:r>
      <w:r>
        <w:rPr>
          <w:rFonts w:hint="eastAsia" w:ascii="宋体" w:hAnsi="宋体" w:eastAsia="宋体" w:cs="宋体"/>
          <w:b w:val="0"/>
          <w:bCs w:val="0"/>
          <w:color w:val="auto"/>
          <w:sz w:val="22"/>
          <w:szCs w:val="28"/>
          <w:highlight w:val="none"/>
          <w:lang w:val="en-US" w:eastAsia="zh-CN"/>
        </w:rPr>
        <w:t>。工程竣工验收合格后按规定送审结算，最终按实际工程量签证结算（工程量签证单必须有现场施工照片或视频，一份正式签证单对应一份照片，施工、监理、业主三方共同在签证单、施工照片上签字确认，结算时缺少签证单和施工图片均视为该单项结算无效），但不可超合同价，结算经财政库内第三方公司结算及政府审批同时工程竣工备案结束后，向</w:t>
      </w:r>
      <w:r>
        <w:rPr>
          <w:rFonts w:hint="eastAsia" w:ascii="宋体" w:hAnsi="宋体" w:cs="宋体"/>
          <w:b w:val="0"/>
          <w:bCs w:val="0"/>
          <w:color w:val="auto"/>
          <w:sz w:val="22"/>
          <w:szCs w:val="28"/>
          <w:highlight w:val="none"/>
          <w:lang w:val="en-US" w:eastAsia="zh-CN"/>
        </w:rPr>
        <w:t>苍梧县人民医院申请工程结算总价</w:t>
      </w:r>
      <w:r>
        <w:rPr>
          <w:rFonts w:hint="eastAsia" w:ascii="宋体" w:hAnsi="宋体" w:eastAsia="宋体" w:cs="宋体"/>
          <w:b w:val="0"/>
          <w:bCs w:val="0"/>
          <w:color w:val="auto"/>
          <w:sz w:val="22"/>
          <w:szCs w:val="28"/>
          <w:highlight w:val="none"/>
          <w:lang w:val="en-US" w:eastAsia="zh-CN"/>
        </w:rPr>
        <w:t>的97%，预留结算价款的3%作为质量缺陷保证金，工程质量缺陷责任期为12个月（从竣工验收合格之日计起），期满后1个月内退回（无息）。质量缺陷责任期内，如工程出现质量问题，致使发包人受损的，发包人无须退还工程质量保修金并有权要求承包人无条件承担赔偿责任。</w:t>
      </w:r>
    </w:p>
    <w:bookmarkEnd w:id="836"/>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14:paraId="498D8159">
      <w:pPr>
        <w:spacing w:line="360" w:lineRule="auto"/>
        <w:ind w:firstLine="420" w:firstLineChars="200"/>
        <w:jc w:val="left"/>
        <w:rPr>
          <w:rFonts w:hint="eastAsia" w:ascii="宋体" w:hAnsi="宋体" w:eastAsia="宋体" w:cs="宋体"/>
          <w:color w:val="auto"/>
          <w:highlight w:val="none"/>
        </w:rPr>
      </w:pPr>
      <w:bookmarkStart w:id="1074" w:name="_Toc373227753"/>
      <w:bookmarkStart w:id="1075" w:name="_Toc373478400"/>
      <w:bookmarkStart w:id="1076" w:name="_Toc407135256"/>
      <w:bookmarkStart w:id="1077" w:name="_Toc389065318"/>
      <w:bookmarkStart w:id="1078" w:name="_Toc351203645"/>
      <w:bookmarkStart w:id="1079" w:name="_Toc487632753"/>
      <w:bookmarkStart w:id="1080" w:name="_Toc292559424"/>
      <w:bookmarkStart w:id="1081" w:name="_Toc297048405"/>
      <w:bookmarkStart w:id="1082" w:name="_Toc297123564"/>
      <w:bookmarkStart w:id="1083" w:name="_Toc296891047"/>
      <w:bookmarkStart w:id="1084" w:name="_Toc297216223"/>
      <w:bookmarkStart w:id="1085" w:name="_Toc296891259"/>
      <w:bookmarkStart w:id="1086" w:name="_Toc296503219"/>
      <w:bookmarkStart w:id="1087" w:name="_Toc296347218"/>
      <w:bookmarkStart w:id="1088" w:name="_Toc304295593"/>
      <w:bookmarkStart w:id="1089" w:name="_Toc297120519"/>
      <w:bookmarkStart w:id="1090" w:name="_Toc296944558"/>
      <w:bookmarkStart w:id="1091" w:name="_Toc300935015"/>
      <w:bookmarkStart w:id="1092" w:name="_Toc303539172"/>
      <w:bookmarkStart w:id="1093" w:name="_Toc312678053"/>
      <w:bookmarkStart w:id="1094" w:name="_Toc292559929"/>
      <w:bookmarkStart w:id="1095" w:name="_Toc296346720"/>
      <w:r>
        <w:rPr>
          <w:rFonts w:hint="eastAsia" w:ascii="宋体" w:hAnsi="宋体" w:eastAsia="宋体" w:cs="宋体"/>
          <w:color w:val="auto"/>
          <w:highlight w:val="none"/>
        </w:rPr>
        <w:t>12.4.2 进度付款申请单的编制</w:t>
      </w:r>
    </w:p>
    <w:p w14:paraId="5E13EA31">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关于进度付款申请单编制的约定：</w:t>
      </w:r>
      <w:r>
        <w:rPr>
          <w:rFonts w:hint="eastAsia" w:ascii="宋体" w:hAnsi="宋体" w:eastAsia="宋体" w:cs="宋体"/>
          <w:color w:val="auto"/>
          <w:highlight w:val="none"/>
          <w:u w:val="single"/>
        </w:rPr>
        <w:t xml:space="preserve">    按通用条款执行        </w:t>
      </w:r>
      <w:r>
        <w:rPr>
          <w:rFonts w:hint="eastAsia" w:ascii="宋体" w:hAnsi="宋体" w:eastAsia="宋体" w:cs="宋体"/>
          <w:color w:val="auto"/>
          <w:highlight w:val="none"/>
        </w:rPr>
        <w:t>。</w:t>
      </w:r>
    </w:p>
    <w:p w14:paraId="03A20C2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12.4.3 进度付款申请单的提交</w:t>
      </w:r>
    </w:p>
    <w:p w14:paraId="13088C8A">
      <w:pPr>
        <w:spacing w:line="360" w:lineRule="auto"/>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highlight w:val="none"/>
        </w:rPr>
        <w:t>（1）单价合同进度付款申请单提交的约定：</w:t>
      </w:r>
      <w:r>
        <w:rPr>
          <w:rFonts w:hint="eastAsia" w:ascii="宋体" w:hAnsi="宋体" w:eastAsia="宋体" w:cs="宋体"/>
          <w:color w:val="auto"/>
          <w:highlight w:val="none"/>
          <w:u w:val="single"/>
        </w:rPr>
        <w:t xml:space="preserve">按通用条款执行  </w:t>
      </w:r>
      <w:r>
        <w:rPr>
          <w:rFonts w:hint="eastAsia" w:ascii="宋体" w:hAnsi="宋体" w:eastAsia="宋体" w:cs="宋体"/>
          <w:color w:val="auto"/>
          <w:highlight w:val="none"/>
        </w:rPr>
        <w:t>。</w:t>
      </w:r>
    </w:p>
    <w:p w14:paraId="43D7400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（2）总价合同进度付款申请单提交的约定：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1C550D8">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（3）其他价格形式合同进度付款申请单提交的约定：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152423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12.4.4 进度款审核和支付</w:t>
      </w:r>
    </w:p>
    <w:p w14:paraId="300563B6">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（1）监理人审查并报送发包人的期限：</w:t>
      </w:r>
      <w:r>
        <w:rPr>
          <w:rFonts w:hint="eastAsia" w:ascii="宋体" w:hAnsi="宋体" w:eastAsia="宋体" w:cs="宋体"/>
          <w:color w:val="auto"/>
          <w:highlight w:val="none"/>
          <w:u w:val="single"/>
        </w:rPr>
        <w:t xml:space="preserve">  收到申请单后7天内</w:t>
      </w:r>
      <w:r>
        <w:rPr>
          <w:rFonts w:hint="eastAsia" w:ascii="宋体" w:hAnsi="宋体" w:eastAsia="宋体" w:cs="宋体"/>
          <w:color w:val="auto"/>
          <w:highlight w:val="none"/>
        </w:rPr>
        <w:t>。</w:t>
      </w:r>
    </w:p>
    <w:p w14:paraId="611BE5A7">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发包人完成审批并签发进度款支付证书的期限：</w:t>
      </w:r>
      <w:r>
        <w:rPr>
          <w:rFonts w:hint="eastAsia" w:ascii="宋体" w:hAnsi="宋体" w:eastAsia="宋体" w:cs="宋体"/>
          <w:color w:val="auto"/>
          <w:highlight w:val="none"/>
          <w:u w:val="single"/>
        </w:rPr>
        <w:t xml:space="preserve">收到监理人的审核单后10天内审批完毕呈职能部门审定。收到部门的审定意见书后10天内签发进度款支付证书  </w:t>
      </w:r>
      <w:r>
        <w:rPr>
          <w:rFonts w:hint="eastAsia" w:ascii="宋体" w:hAnsi="宋体" w:eastAsia="宋体" w:cs="宋体"/>
          <w:color w:val="auto"/>
          <w:highlight w:val="none"/>
        </w:rPr>
        <w:t>。</w:t>
      </w:r>
    </w:p>
    <w:p w14:paraId="5E99033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（2）发包人支付进度款的期限：</w:t>
      </w:r>
      <w:r>
        <w:rPr>
          <w:rFonts w:hint="eastAsia" w:ascii="宋体" w:hAnsi="宋体" w:eastAsia="宋体" w:cs="宋体"/>
          <w:color w:val="auto"/>
          <w:highlight w:val="none"/>
          <w:u w:val="single"/>
        </w:rPr>
        <w:t xml:space="preserve">承包人提交发票后7天内   </w:t>
      </w:r>
      <w:r>
        <w:rPr>
          <w:rFonts w:hint="eastAsia" w:ascii="宋体" w:hAnsi="宋体" w:eastAsia="宋体" w:cs="宋体"/>
          <w:color w:val="auto"/>
          <w:highlight w:val="none"/>
        </w:rPr>
        <w:t>。</w:t>
      </w:r>
    </w:p>
    <w:p w14:paraId="34385894">
      <w:pPr>
        <w:spacing w:line="360" w:lineRule="auto"/>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发包人逾期支付进度款的违约金的计算方式：</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4A792100">
      <w:pPr>
        <w:spacing w:line="360" w:lineRule="auto"/>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进度款支付方式：</w:t>
      </w:r>
      <w:r>
        <w:rPr>
          <w:rFonts w:hint="eastAsia" w:ascii="宋体" w:hAnsi="宋体" w:eastAsia="宋体" w:cs="宋体"/>
          <w:color w:val="auto"/>
          <w:highlight w:val="none"/>
          <w:u w:val="single"/>
        </w:rPr>
        <w:t>银行转账</w:t>
      </w:r>
      <w:r>
        <w:rPr>
          <w:rFonts w:hint="eastAsia" w:ascii="宋体" w:hAnsi="宋体" w:eastAsia="宋体" w:cs="宋体"/>
          <w:color w:val="auto"/>
          <w:highlight w:val="none"/>
        </w:rPr>
        <w:t>。</w:t>
      </w:r>
    </w:p>
    <w:p w14:paraId="1545A546">
      <w:pPr>
        <w:spacing w:line="360" w:lineRule="auto"/>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12.4.5 支付分解表的编制</w:t>
      </w:r>
    </w:p>
    <w:p w14:paraId="10FB92BE">
      <w:pPr>
        <w:spacing w:line="360" w:lineRule="auto"/>
        <w:ind w:firstLine="525" w:firstLineChars="250"/>
        <w:jc w:val="left"/>
        <w:rPr>
          <w:rFonts w:hint="eastAsia" w:ascii="宋体" w:hAnsi="宋体" w:eastAsia="宋体" w:cs="宋体"/>
          <w:color w:val="auto"/>
          <w:highlight w:val="none"/>
          <w:u w:val="single"/>
        </w:rPr>
      </w:pPr>
      <w:r>
        <w:rPr>
          <w:rFonts w:hint="eastAsia" w:ascii="宋体" w:hAnsi="宋体" w:eastAsia="宋体" w:cs="宋体"/>
          <w:color w:val="auto"/>
          <w:highlight w:val="none"/>
        </w:rPr>
        <w:t>1. 总价合同支付分解表的编制与审批：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8A882EF">
      <w:pPr>
        <w:spacing w:line="360" w:lineRule="auto"/>
        <w:ind w:firstLine="525" w:firstLineChars="250"/>
        <w:jc w:val="left"/>
        <w:rPr>
          <w:rFonts w:hint="eastAsia" w:ascii="宋体" w:hAnsi="宋体" w:eastAsia="宋体" w:cs="宋体"/>
          <w:color w:val="auto"/>
          <w:highlight w:val="none"/>
          <w:u w:val="single"/>
        </w:rPr>
      </w:pPr>
      <w:r>
        <w:rPr>
          <w:rFonts w:hint="eastAsia" w:ascii="宋体" w:hAnsi="宋体" w:eastAsia="宋体" w:cs="宋体"/>
          <w:color w:val="auto"/>
          <w:highlight w:val="none"/>
        </w:rPr>
        <w:t>2. 单价合同的总价项目支付分解表的编制与审批：总价项目不采用支付分解表的方式计算，而按《建设工程工程量清单计价规范（GB50500-2013）广西壮族自治区实施细则》的规定执行。</w:t>
      </w:r>
    </w:p>
    <w:p w14:paraId="48A47442">
      <w:pPr>
        <w:pStyle w:val="4"/>
        <w:rPr>
          <w:rFonts w:hint="eastAsia" w:ascii="宋体" w:hAnsi="宋体" w:eastAsia="宋体" w:cs="宋体"/>
          <w:color w:val="auto"/>
          <w:highlight w:val="none"/>
        </w:rPr>
      </w:pPr>
      <w:r>
        <w:rPr>
          <w:rFonts w:hint="eastAsia" w:ascii="宋体" w:hAnsi="宋体" w:eastAsia="宋体" w:cs="宋体"/>
          <w:color w:val="auto"/>
          <w:highlight w:val="none"/>
        </w:rPr>
        <w:t>13. 验收和工程试车</w:t>
      </w:r>
      <w:bookmarkEnd w:id="1074"/>
      <w:bookmarkEnd w:id="1075"/>
      <w:bookmarkEnd w:id="1076"/>
      <w:bookmarkEnd w:id="1077"/>
      <w:bookmarkEnd w:id="1078"/>
      <w:bookmarkEnd w:id="1079"/>
    </w:p>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14:paraId="34F2F7EF">
      <w:pPr>
        <w:pStyle w:val="5"/>
        <w:rPr>
          <w:rFonts w:hint="eastAsia" w:ascii="宋体" w:hAnsi="宋体" w:eastAsia="宋体" w:cs="宋体"/>
          <w:color w:val="auto"/>
          <w:highlight w:val="none"/>
        </w:rPr>
      </w:pPr>
      <w:bookmarkStart w:id="1096" w:name="_Toc389065319"/>
      <w:bookmarkStart w:id="1097" w:name="_Toc373227754"/>
      <w:bookmarkStart w:id="1098" w:name="_Toc487632754"/>
      <w:bookmarkStart w:id="1099" w:name="_Toc373478401"/>
      <w:bookmarkStart w:id="1100" w:name="_Toc407135257"/>
      <w:r>
        <w:rPr>
          <w:rFonts w:hint="eastAsia" w:ascii="宋体" w:hAnsi="宋体" w:eastAsia="宋体" w:cs="宋体"/>
          <w:color w:val="auto"/>
          <w:highlight w:val="none"/>
        </w:rPr>
        <w:t>13.1 分部分项工程验收</w:t>
      </w:r>
      <w:bookmarkEnd w:id="1096"/>
      <w:bookmarkEnd w:id="1097"/>
      <w:bookmarkEnd w:id="1098"/>
      <w:bookmarkEnd w:id="1099"/>
      <w:bookmarkEnd w:id="1100"/>
    </w:p>
    <w:p w14:paraId="072F90B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13.1.1监理人不能按时进行验收时，应提前</w:t>
      </w:r>
      <w:r>
        <w:rPr>
          <w:rFonts w:hint="eastAsia" w:ascii="宋体" w:hAnsi="宋体" w:eastAsia="宋体" w:cs="宋体"/>
          <w:color w:val="auto"/>
          <w:highlight w:val="none"/>
          <w:u w:val="single"/>
        </w:rPr>
        <w:t xml:space="preserve">  48   </w:t>
      </w:r>
      <w:r>
        <w:rPr>
          <w:rFonts w:hint="eastAsia" w:ascii="宋体" w:hAnsi="宋体" w:eastAsia="宋体" w:cs="宋体"/>
          <w:color w:val="auto"/>
          <w:highlight w:val="none"/>
        </w:rPr>
        <w:t>小时提交书面延期要求。</w:t>
      </w:r>
    </w:p>
    <w:p w14:paraId="4BAAB6E5">
      <w:pPr>
        <w:spacing w:line="360" w:lineRule="auto"/>
        <w:ind w:firstLine="420" w:firstLineChars="200"/>
        <w:jc w:val="left"/>
        <w:rPr>
          <w:rFonts w:hint="eastAsia" w:ascii="宋体" w:hAnsi="宋体" w:eastAsia="宋体" w:cs="宋体"/>
          <w:b/>
          <w:bCs/>
          <w:color w:val="auto"/>
          <w:highlight w:val="none"/>
        </w:rPr>
      </w:pPr>
      <w:r>
        <w:rPr>
          <w:rFonts w:hint="eastAsia" w:ascii="宋体" w:hAnsi="宋体" w:eastAsia="宋体" w:cs="宋体"/>
          <w:color w:val="auto"/>
          <w:highlight w:val="none"/>
        </w:rPr>
        <w:t>关于延期最长不得超过：</w:t>
      </w:r>
      <w:r>
        <w:rPr>
          <w:rFonts w:hint="eastAsia" w:ascii="宋体" w:hAnsi="宋体" w:eastAsia="宋体" w:cs="宋体"/>
          <w:color w:val="auto"/>
          <w:highlight w:val="none"/>
          <w:u w:val="single"/>
        </w:rPr>
        <w:t xml:space="preserve">   48   </w:t>
      </w:r>
      <w:r>
        <w:rPr>
          <w:rFonts w:hint="eastAsia" w:ascii="宋体" w:hAnsi="宋体" w:eastAsia="宋体" w:cs="宋体"/>
          <w:color w:val="auto"/>
          <w:highlight w:val="none"/>
        </w:rPr>
        <w:t>小时。</w:t>
      </w:r>
    </w:p>
    <w:p w14:paraId="123A5667">
      <w:pPr>
        <w:pStyle w:val="5"/>
        <w:rPr>
          <w:rFonts w:hint="eastAsia" w:ascii="宋体" w:hAnsi="宋体" w:eastAsia="宋体" w:cs="宋体"/>
          <w:color w:val="auto"/>
          <w:highlight w:val="none"/>
        </w:rPr>
      </w:pPr>
      <w:bookmarkStart w:id="1101" w:name="_Toc373227755"/>
      <w:bookmarkStart w:id="1102" w:name="_Toc373478402"/>
      <w:bookmarkStart w:id="1103" w:name="_Toc487632755"/>
      <w:bookmarkStart w:id="1104" w:name="_Toc389065320"/>
      <w:bookmarkStart w:id="1105" w:name="_Toc407135258"/>
      <w:bookmarkStart w:id="1106" w:name="_Toc296347222"/>
      <w:bookmarkStart w:id="1107" w:name="_Toc296346724"/>
      <w:bookmarkStart w:id="1108" w:name="_Toc300935016"/>
      <w:bookmarkStart w:id="1109" w:name="_Toc297123565"/>
      <w:bookmarkStart w:id="1110" w:name="_Toc303539173"/>
      <w:bookmarkStart w:id="1111" w:name="_Toc292559428"/>
      <w:bookmarkStart w:id="1112" w:name="_Toc296944562"/>
      <w:bookmarkStart w:id="1113" w:name="_Toc296503223"/>
      <w:bookmarkStart w:id="1114" w:name="_Toc296891051"/>
      <w:bookmarkStart w:id="1115" w:name="_Toc312678056"/>
      <w:bookmarkStart w:id="1116" w:name="_Toc304295596"/>
      <w:bookmarkStart w:id="1117" w:name="_Toc297216224"/>
      <w:bookmarkStart w:id="1118" w:name="_Toc292559933"/>
      <w:bookmarkStart w:id="1119" w:name="_Toc297048409"/>
      <w:bookmarkStart w:id="1120" w:name="_Toc297120523"/>
      <w:bookmarkStart w:id="1121" w:name="_Toc296891263"/>
      <w:bookmarkStart w:id="1122" w:name="_Toc267251475"/>
      <w:bookmarkStart w:id="1123" w:name="_Toc267251472"/>
      <w:bookmarkStart w:id="1124" w:name="_Toc267251473"/>
      <w:bookmarkStart w:id="1125" w:name="_Toc267251471"/>
      <w:bookmarkStart w:id="1126" w:name="_Toc267251470"/>
      <w:bookmarkStart w:id="1127" w:name="_Toc267251476"/>
      <w:bookmarkStart w:id="1128" w:name="_Toc267251474"/>
      <w:r>
        <w:rPr>
          <w:rFonts w:hint="eastAsia" w:ascii="宋体" w:hAnsi="宋体" w:eastAsia="宋体" w:cs="宋体"/>
          <w:color w:val="auto"/>
          <w:highlight w:val="none"/>
        </w:rPr>
        <w:t>13.2 竣工验收</w:t>
      </w:r>
      <w:bookmarkEnd w:id="1101"/>
      <w:bookmarkEnd w:id="1102"/>
      <w:bookmarkEnd w:id="1103"/>
      <w:bookmarkEnd w:id="1104"/>
      <w:bookmarkEnd w:id="1105"/>
    </w:p>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14:paraId="16F35670">
      <w:pPr>
        <w:spacing w:line="360" w:lineRule="auto"/>
        <w:ind w:firstLine="420" w:firstLineChars="200"/>
        <w:jc w:val="left"/>
        <w:rPr>
          <w:rFonts w:hint="eastAsia" w:ascii="宋体" w:hAnsi="宋体" w:eastAsia="宋体" w:cs="宋体"/>
          <w:color w:val="auto"/>
          <w:highlight w:val="none"/>
        </w:rPr>
      </w:pPr>
      <w:bookmarkStart w:id="1129" w:name="_Toc280868704"/>
      <w:bookmarkStart w:id="1130" w:name="_Toc280868705"/>
      <w:bookmarkStart w:id="1131" w:name="_Toc280868706"/>
      <w:bookmarkStart w:id="1132" w:name="_Toc280868707"/>
      <w:bookmarkStart w:id="1133" w:name="_Toc280868708"/>
      <w:bookmarkStart w:id="1134" w:name="_Toc280868709"/>
      <w:r>
        <w:rPr>
          <w:rFonts w:hint="eastAsia" w:ascii="宋体" w:hAnsi="宋体" w:eastAsia="宋体" w:cs="宋体"/>
          <w:color w:val="auto"/>
          <w:highlight w:val="none"/>
        </w:rPr>
        <w:t>13.2.1竣工验收条件</w:t>
      </w:r>
    </w:p>
    <w:p w14:paraId="5351F78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highlight w:val="none"/>
          <w:u w:val="single"/>
        </w:rPr>
        <w:t xml:space="preserve">    按规定      </w:t>
      </w:r>
      <w:r>
        <w:rPr>
          <w:rFonts w:hint="eastAsia" w:ascii="宋体" w:hAnsi="宋体" w:eastAsia="宋体" w:cs="宋体"/>
          <w:color w:val="auto"/>
          <w:highlight w:val="none"/>
        </w:rPr>
        <w:t>。</w:t>
      </w:r>
    </w:p>
    <w:p w14:paraId="2B10FC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竣工验收资料的份数：</w:t>
      </w:r>
      <w:r>
        <w:rPr>
          <w:rFonts w:hint="eastAsia" w:ascii="宋体" w:hAnsi="宋体" w:eastAsia="宋体" w:cs="宋体"/>
          <w:color w:val="auto"/>
          <w:highlight w:val="none"/>
          <w:u w:val="single"/>
        </w:rPr>
        <w:t xml:space="preserve">    伍份     </w:t>
      </w:r>
      <w:r>
        <w:rPr>
          <w:rFonts w:hint="eastAsia" w:ascii="宋体" w:hAnsi="宋体" w:eastAsia="宋体" w:cs="宋体"/>
          <w:color w:val="auto"/>
          <w:highlight w:val="none"/>
        </w:rPr>
        <w:t>。</w:t>
      </w:r>
    </w:p>
    <w:p w14:paraId="27882FD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承包人提供竣工图的约定：</w:t>
      </w:r>
      <w:r>
        <w:rPr>
          <w:rFonts w:hint="eastAsia" w:ascii="宋体" w:hAnsi="宋体" w:eastAsia="宋体" w:cs="宋体"/>
          <w:color w:val="auto"/>
          <w:highlight w:val="none"/>
          <w:u w:val="single"/>
        </w:rPr>
        <w:t>竣工验收正式通过后5天（工程造价在500万元以下含500万元）、10天（工程造价在500万元至1000万元之间含1000万元）、15天（工程造价在1000万元以上），提供竣工图的数量分别为2套、4套、6套。</w:t>
      </w:r>
    </w:p>
    <w:p w14:paraId="21DF6E5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13.2.2竣工验收程序</w:t>
      </w:r>
    </w:p>
    <w:bookmarkEnd w:id="1129"/>
    <w:p w14:paraId="683AEB60">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关于竣工验收程序的约定：</w:t>
      </w:r>
      <w:r>
        <w:rPr>
          <w:rFonts w:hint="eastAsia" w:ascii="宋体" w:hAnsi="宋体" w:eastAsia="宋体" w:cs="宋体"/>
          <w:color w:val="auto"/>
          <w:highlight w:val="none"/>
          <w:u w:val="single"/>
        </w:rPr>
        <w:t xml:space="preserve">   承包人准备的竣工验收资料齐全，并编制了竣工图（附电子文档）后向监理人提出预验收申请，预验收合格监理人签署同意验收后发包人在30天内组织有关部门竣工验收         </w:t>
      </w:r>
      <w:r>
        <w:rPr>
          <w:rFonts w:hint="eastAsia" w:ascii="宋体" w:hAnsi="宋体" w:eastAsia="宋体" w:cs="宋体"/>
          <w:color w:val="auto"/>
          <w:highlight w:val="none"/>
        </w:rPr>
        <w:t>。</w:t>
      </w:r>
    </w:p>
    <w:p w14:paraId="191CEFDA">
      <w:pPr>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highlight w:val="none"/>
        </w:rPr>
        <w:t>发包人不按照本项约定组织竣工验收、颁发工程接收证书的违约金的计算方法：</w:t>
      </w:r>
      <w:r>
        <w:rPr>
          <w:rFonts w:hint="eastAsia" w:ascii="宋体" w:hAnsi="宋体" w:eastAsia="宋体" w:cs="宋体"/>
          <w:color w:val="auto"/>
          <w:highlight w:val="none"/>
          <w:u w:val="single"/>
        </w:rPr>
        <w:t xml:space="preserve">按通用条款执行       </w:t>
      </w:r>
      <w:r>
        <w:rPr>
          <w:rFonts w:hint="eastAsia" w:ascii="宋体" w:hAnsi="宋体" w:eastAsia="宋体" w:cs="宋体"/>
          <w:color w:val="auto"/>
          <w:highlight w:val="none"/>
        </w:rPr>
        <w:t>。</w:t>
      </w:r>
    </w:p>
    <w:bookmarkEnd w:id="1130"/>
    <w:p w14:paraId="1503F06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13.2.3移交、接收全部与部分工程</w:t>
      </w:r>
    </w:p>
    <w:bookmarkEnd w:id="1131"/>
    <w:p w14:paraId="2577583C">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承包人向发包人移交工程的期限：</w:t>
      </w:r>
      <w:r>
        <w:rPr>
          <w:rFonts w:hint="eastAsia" w:ascii="宋体" w:hAnsi="宋体" w:eastAsia="宋体" w:cs="宋体"/>
          <w:color w:val="auto"/>
          <w:highlight w:val="none"/>
          <w:u w:val="single"/>
        </w:rPr>
        <w:t xml:space="preserve">      竣工验收合格后10天内（指全部工程）     </w:t>
      </w:r>
      <w:r>
        <w:rPr>
          <w:rFonts w:hint="eastAsia" w:ascii="宋体" w:hAnsi="宋体" w:eastAsia="宋体" w:cs="宋体"/>
          <w:color w:val="auto"/>
          <w:highlight w:val="none"/>
        </w:rPr>
        <w:t>。</w:t>
      </w:r>
    </w:p>
    <w:p w14:paraId="0DA96C09">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发包人未按本合同约定接收全部或部分工程的，违约金的计算方法为：</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bookmarkEnd w:id="1132"/>
    <w:p w14:paraId="39721500">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承包人未按时移交工程的，违约金的计算方法为：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A5376E5">
      <w:pPr>
        <w:pStyle w:val="5"/>
        <w:rPr>
          <w:rFonts w:hint="eastAsia" w:ascii="宋体" w:hAnsi="宋体" w:eastAsia="宋体" w:cs="宋体"/>
          <w:color w:val="auto"/>
          <w:highlight w:val="none"/>
        </w:rPr>
      </w:pPr>
      <w:bookmarkStart w:id="1135" w:name="_Toc373478403"/>
      <w:bookmarkStart w:id="1136" w:name="_Toc389065321"/>
      <w:bookmarkStart w:id="1137" w:name="_Toc373227756"/>
      <w:bookmarkStart w:id="1138" w:name="_Toc407135259"/>
      <w:bookmarkStart w:id="1139" w:name="_Toc487632756"/>
      <w:r>
        <w:rPr>
          <w:rFonts w:hint="eastAsia" w:ascii="宋体" w:hAnsi="宋体" w:eastAsia="宋体" w:cs="宋体"/>
          <w:color w:val="auto"/>
          <w:highlight w:val="none"/>
        </w:rPr>
        <w:t>13.3 工程试车</w:t>
      </w:r>
      <w:bookmarkEnd w:id="1135"/>
      <w:bookmarkEnd w:id="1136"/>
      <w:bookmarkEnd w:id="1137"/>
      <w:bookmarkEnd w:id="1138"/>
      <w:bookmarkEnd w:id="1139"/>
    </w:p>
    <w:bookmarkEnd w:id="1133"/>
    <w:p w14:paraId="7DF3369E">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13.3.1 试车程序</w:t>
      </w:r>
    </w:p>
    <w:p w14:paraId="1C0E25D7">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工程试车内容：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C69A4AC">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（1）单机无负荷试车费用由</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承担；</w:t>
      </w:r>
    </w:p>
    <w:p w14:paraId="36443CAA">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（2）无负荷联动试车费用由</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承担。</w:t>
      </w:r>
    </w:p>
    <w:p w14:paraId="0949C0D4">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13.3.2 投料试车</w:t>
      </w:r>
    </w:p>
    <w:p w14:paraId="23BC78ED">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关于投料试车相关事项的约定：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63A151E">
      <w:pPr>
        <w:pStyle w:val="5"/>
        <w:rPr>
          <w:rFonts w:hint="eastAsia" w:ascii="宋体" w:hAnsi="宋体" w:eastAsia="宋体" w:cs="宋体"/>
          <w:color w:val="auto"/>
          <w:highlight w:val="none"/>
        </w:rPr>
      </w:pPr>
      <w:bookmarkStart w:id="1140" w:name="_Toc373227757"/>
      <w:bookmarkStart w:id="1141" w:name="_Toc487632757"/>
      <w:bookmarkStart w:id="1142" w:name="_Toc389065322"/>
      <w:bookmarkStart w:id="1143" w:name="_Toc373478404"/>
      <w:bookmarkStart w:id="1144" w:name="_Toc407135260"/>
      <w:r>
        <w:rPr>
          <w:rFonts w:hint="eastAsia" w:ascii="宋体" w:hAnsi="宋体" w:eastAsia="宋体" w:cs="宋体"/>
          <w:color w:val="auto"/>
          <w:highlight w:val="none"/>
        </w:rPr>
        <w:t>13.</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竣工退场</w:t>
      </w:r>
      <w:bookmarkEnd w:id="1140"/>
      <w:bookmarkEnd w:id="1141"/>
      <w:bookmarkEnd w:id="1142"/>
      <w:bookmarkEnd w:id="1143"/>
      <w:bookmarkEnd w:id="1144"/>
    </w:p>
    <w:p w14:paraId="2AC3FC61">
      <w:pPr>
        <w:spacing w:line="360" w:lineRule="auto"/>
        <w:ind w:firstLine="420" w:firstLineChars="200"/>
        <w:jc w:val="left"/>
        <w:outlineLvl w:val="0"/>
        <w:rPr>
          <w:rFonts w:hint="eastAsia" w:ascii="宋体" w:hAnsi="宋体" w:eastAsia="宋体" w:cs="宋体"/>
          <w:color w:val="auto"/>
          <w:kern w:val="0"/>
          <w:highlight w:val="none"/>
        </w:rPr>
      </w:pPr>
      <w:bookmarkStart w:id="1145" w:name="_Toc2835"/>
      <w:r>
        <w:rPr>
          <w:rFonts w:hint="eastAsia" w:ascii="宋体" w:hAnsi="宋体" w:eastAsia="宋体" w:cs="宋体"/>
          <w:color w:val="auto"/>
          <w:kern w:val="0"/>
          <w:highlight w:val="none"/>
        </w:rPr>
        <w:t>13.5.1 竣工退场</w:t>
      </w:r>
      <w:bookmarkEnd w:id="1145"/>
    </w:p>
    <w:p w14:paraId="11528D28">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承包人完成竣工退场的期限：</w:t>
      </w:r>
      <w:r>
        <w:rPr>
          <w:rFonts w:hint="eastAsia" w:ascii="宋体" w:hAnsi="宋体" w:eastAsia="宋体" w:cs="宋体"/>
          <w:color w:val="auto"/>
          <w:highlight w:val="none"/>
          <w:u w:val="single"/>
        </w:rPr>
        <w:t xml:space="preserve"> 竣工验收合格后30天内（但必须保留足够的后续管理人员进行保修期内管理）   </w:t>
      </w:r>
      <w:r>
        <w:rPr>
          <w:rFonts w:hint="eastAsia" w:ascii="宋体" w:hAnsi="宋体" w:eastAsia="宋体" w:cs="宋体"/>
          <w:color w:val="auto"/>
          <w:kern w:val="0"/>
          <w:highlight w:val="none"/>
        </w:rPr>
        <w:t>。</w:t>
      </w:r>
    </w:p>
    <w:p w14:paraId="2D296977">
      <w:pPr>
        <w:pStyle w:val="4"/>
        <w:rPr>
          <w:rFonts w:hint="eastAsia" w:ascii="宋体" w:hAnsi="宋体" w:eastAsia="宋体" w:cs="宋体"/>
          <w:color w:val="auto"/>
          <w:highlight w:val="none"/>
        </w:rPr>
      </w:pPr>
      <w:bookmarkStart w:id="1146" w:name="_Toc389065323"/>
      <w:bookmarkStart w:id="1147" w:name="_Toc373478405"/>
      <w:bookmarkStart w:id="1148" w:name="_Toc407135261"/>
      <w:bookmarkStart w:id="1149" w:name="_Toc351203646"/>
      <w:bookmarkStart w:id="1150" w:name="_Toc487632758"/>
      <w:bookmarkStart w:id="1151" w:name="_Toc373227758"/>
      <w:r>
        <w:rPr>
          <w:rFonts w:hint="eastAsia" w:ascii="宋体" w:hAnsi="宋体" w:eastAsia="宋体" w:cs="宋体"/>
          <w:color w:val="auto"/>
          <w:highlight w:val="none"/>
        </w:rPr>
        <w:t>14. 竣工结算</w:t>
      </w:r>
      <w:bookmarkEnd w:id="1146"/>
      <w:bookmarkEnd w:id="1147"/>
      <w:bookmarkEnd w:id="1148"/>
      <w:bookmarkEnd w:id="1149"/>
      <w:bookmarkEnd w:id="1150"/>
      <w:bookmarkEnd w:id="1151"/>
    </w:p>
    <w:p w14:paraId="1F45C458">
      <w:pPr>
        <w:pStyle w:val="5"/>
        <w:rPr>
          <w:rFonts w:hint="eastAsia" w:ascii="宋体" w:hAnsi="宋体" w:eastAsia="宋体" w:cs="宋体"/>
          <w:color w:val="auto"/>
          <w:highlight w:val="none"/>
        </w:rPr>
      </w:pPr>
      <w:bookmarkStart w:id="1152" w:name="_Toc389065324"/>
      <w:bookmarkStart w:id="1153" w:name="_Toc407135262"/>
      <w:bookmarkStart w:id="1154" w:name="_Toc487632759"/>
      <w:bookmarkStart w:id="1155" w:name="_Toc373478406"/>
      <w:bookmarkStart w:id="1156" w:name="_Toc373227759"/>
      <w:r>
        <w:rPr>
          <w:rFonts w:hint="eastAsia" w:ascii="宋体" w:hAnsi="宋体" w:eastAsia="宋体" w:cs="宋体"/>
          <w:color w:val="auto"/>
          <w:highlight w:val="none"/>
        </w:rPr>
        <w:t>14.1 竣工付款申请</w:t>
      </w:r>
      <w:bookmarkEnd w:id="1152"/>
      <w:bookmarkEnd w:id="1153"/>
      <w:bookmarkEnd w:id="1154"/>
      <w:bookmarkEnd w:id="1155"/>
      <w:bookmarkEnd w:id="1156"/>
    </w:p>
    <w:p w14:paraId="53FA5836">
      <w:pPr>
        <w:spacing w:line="360" w:lineRule="auto"/>
        <w:ind w:firstLine="420" w:firstLineChars="200"/>
        <w:jc w:val="left"/>
        <w:rPr>
          <w:rFonts w:hint="eastAsia" w:ascii="宋体" w:hAnsi="宋体" w:eastAsia="宋体" w:cs="宋体"/>
          <w:color w:val="auto"/>
          <w:highlight w:val="none"/>
        </w:rPr>
      </w:pPr>
      <w:bookmarkStart w:id="1157" w:name="_Toc389065325"/>
      <w:bookmarkStart w:id="1158" w:name="_Toc373478407"/>
      <w:bookmarkStart w:id="1159" w:name="_Toc373227760"/>
      <w:bookmarkStart w:id="1160" w:name="_Toc407135263"/>
      <w:bookmarkStart w:id="1161" w:name="_Toc487632760"/>
      <w:r>
        <w:rPr>
          <w:rFonts w:hint="eastAsia" w:ascii="宋体" w:hAnsi="宋体" w:eastAsia="宋体" w:cs="宋体"/>
          <w:color w:val="auto"/>
          <w:highlight w:val="none"/>
        </w:rPr>
        <w:t>承包人提交竣工付款申请单的期限：</w:t>
      </w:r>
      <w:r>
        <w:rPr>
          <w:rFonts w:hint="eastAsia" w:ascii="宋体" w:hAnsi="宋体" w:eastAsia="宋体" w:cs="宋体"/>
          <w:color w:val="auto"/>
          <w:highlight w:val="none"/>
          <w:u w:val="single"/>
        </w:rPr>
        <w:t xml:space="preserve">  承包人应在工程竣工验收合格后20天内向发包人和监理人提交竣工结算申请单，并提交完整的结算资料。竣工结算申请单及结算资料提交份数一式五份，其中纸质4份，电子文档1份  </w:t>
      </w:r>
      <w:r>
        <w:rPr>
          <w:rFonts w:hint="eastAsia" w:ascii="宋体" w:hAnsi="宋体" w:eastAsia="宋体" w:cs="宋体"/>
          <w:color w:val="auto"/>
          <w:highlight w:val="none"/>
        </w:rPr>
        <w:t>。</w:t>
      </w:r>
    </w:p>
    <w:p w14:paraId="1BB62A3C">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竣工付款申请单应包括的内容：</w:t>
      </w:r>
      <w:r>
        <w:rPr>
          <w:rFonts w:hint="eastAsia" w:ascii="宋体" w:hAnsi="宋体" w:eastAsia="宋体" w:cs="宋体"/>
          <w:color w:val="auto"/>
          <w:highlight w:val="none"/>
          <w:u w:val="single"/>
        </w:rPr>
        <w:t xml:space="preserve">  结算书、签证资料、竣工图、会议纪要、施工组织设计、多项施工方案、</w:t>
      </w:r>
      <w:r>
        <w:rPr>
          <w:rFonts w:hint="eastAsia" w:ascii="宋体" w:hAnsi="宋体" w:eastAsia="宋体" w:cs="宋体"/>
          <w:color w:val="auto"/>
          <w:highlight w:val="none"/>
          <w:u w:val="single"/>
          <w:lang w:eastAsia="zh-CN"/>
        </w:rPr>
        <w:t>竞争性磋商文件</w:t>
      </w:r>
      <w:r>
        <w:rPr>
          <w:rFonts w:hint="eastAsia" w:ascii="宋体" w:hAnsi="宋体" w:eastAsia="宋体" w:cs="宋体"/>
          <w:color w:val="auto"/>
          <w:highlight w:val="none"/>
          <w:u w:val="single"/>
        </w:rPr>
        <w:t xml:space="preserve">、投标文件、施工合同、施工日记等，并应符合有关部门的要求  </w:t>
      </w:r>
      <w:r>
        <w:rPr>
          <w:rFonts w:hint="eastAsia" w:ascii="宋体" w:hAnsi="宋体" w:eastAsia="宋体" w:cs="宋体"/>
          <w:color w:val="auto"/>
          <w:highlight w:val="none"/>
        </w:rPr>
        <w:t>。</w:t>
      </w:r>
    </w:p>
    <w:p w14:paraId="5D8A655D">
      <w:pPr>
        <w:pStyle w:val="5"/>
        <w:rPr>
          <w:rFonts w:hint="eastAsia" w:ascii="宋体" w:hAnsi="宋体" w:eastAsia="宋体" w:cs="宋体"/>
          <w:color w:val="auto"/>
          <w:highlight w:val="none"/>
        </w:rPr>
      </w:pPr>
      <w:r>
        <w:rPr>
          <w:rFonts w:hint="eastAsia" w:ascii="宋体" w:hAnsi="宋体" w:eastAsia="宋体" w:cs="宋体"/>
          <w:color w:val="auto"/>
          <w:highlight w:val="none"/>
        </w:rPr>
        <w:t>14.2 竣工结算审核</w:t>
      </w:r>
      <w:bookmarkEnd w:id="1157"/>
      <w:bookmarkEnd w:id="1158"/>
      <w:bookmarkEnd w:id="1159"/>
      <w:bookmarkEnd w:id="1160"/>
      <w:bookmarkEnd w:id="1161"/>
    </w:p>
    <w:p w14:paraId="7ABC7B0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发包人审批竣工付款申请单的期限：</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09FF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5368771">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p>
        </w:tc>
        <w:tc>
          <w:tcPr>
            <w:tcW w:w="2466" w:type="dxa"/>
            <w:noWrap w:val="0"/>
            <w:vAlign w:val="center"/>
          </w:tcPr>
          <w:p w14:paraId="0CB77F02">
            <w:pPr>
              <w:keepNext w:val="0"/>
              <w:keepLines w:val="0"/>
              <w:suppressLineNumbers w:val="0"/>
              <w:spacing w:before="0" w:beforeAutospacing="0" w:after="0" w:afterAutospacing="0" w:line="360" w:lineRule="auto"/>
              <w:ind w:left="0" w:right="0" w:firstLine="27" w:firstLineChars="13"/>
              <w:jc w:val="center"/>
              <w:rPr>
                <w:rFonts w:hint="eastAsia" w:ascii="宋体" w:hAnsi="宋体" w:eastAsia="宋体" w:cs="宋体"/>
                <w:color w:val="auto"/>
                <w:highlight w:val="none"/>
              </w:rPr>
            </w:pPr>
            <w:r>
              <w:rPr>
                <w:rFonts w:hint="eastAsia" w:ascii="宋体" w:hAnsi="宋体" w:eastAsia="宋体" w:cs="宋体"/>
                <w:color w:val="auto"/>
                <w:highlight w:val="none"/>
              </w:rPr>
              <w:t>工程竣工结算报告金额</w:t>
            </w:r>
          </w:p>
        </w:tc>
        <w:tc>
          <w:tcPr>
            <w:tcW w:w="5967" w:type="dxa"/>
            <w:noWrap w:val="0"/>
            <w:vAlign w:val="center"/>
          </w:tcPr>
          <w:p w14:paraId="79DCCE53">
            <w:pPr>
              <w:keepNext w:val="0"/>
              <w:keepLines w:val="0"/>
              <w:suppressLineNumbers w:val="0"/>
              <w:spacing w:before="0" w:beforeAutospacing="0" w:after="0" w:afterAutospacing="0" w:line="360" w:lineRule="auto"/>
              <w:ind w:left="0" w:right="0" w:firstLine="441" w:firstLineChars="210"/>
              <w:jc w:val="center"/>
              <w:rPr>
                <w:rFonts w:hint="eastAsia" w:ascii="宋体" w:hAnsi="宋体" w:eastAsia="宋体" w:cs="宋体"/>
                <w:color w:val="auto"/>
                <w:highlight w:val="none"/>
              </w:rPr>
            </w:pPr>
            <w:r>
              <w:rPr>
                <w:rFonts w:hint="eastAsia" w:ascii="宋体" w:hAnsi="宋体" w:eastAsia="宋体" w:cs="宋体"/>
                <w:color w:val="auto"/>
                <w:highlight w:val="none"/>
              </w:rPr>
              <w:t>发包人审查时间</w:t>
            </w:r>
          </w:p>
        </w:tc>
      </w:tr>
      <w:tr w14:paraId="3FA2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3AFA0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66" w:type="dxa"/>
            <w:noWrap w:val="0"/>
            <w:vAlign w:val="center"/>
          </w:tcPr>
          <w:p w14:paraId="2DC9750E">
            <w:pPr>
              <w:keepNext w:val="0"/>
              <w:keepLines w:val="0"/>
              <w:suppressLineNumbers w:val="0"/>
              <w:spacing w:before="0" w:beforeAutospacing="0" w:after="0" w:afterAutospacing="0" w:line="360" w:lineRule="auto"/>
              <w:ind w:left="0" w:right="0" w:firstLine="27" w:firstLineChars="13"/>
              <w:jc w:val="center"/>
              <w:rPr>
                <w:rFonts w:hint="eastAsia" w:ascii="宋体" w:hAnsi="宋体" w:eastAsia="宋体" w:cs="宋体"/>
                <w:color w:val="auto"/>
                <w:highlight w:val="none"/>
              </w:rPr>
            </w:pPr>
            <w:r>
              <w:rPr>
                <w:rFonts w:hint="eastAsia" w:ascii="宋体" w:hAnsi="宋体" w:eastAsia="宋体" w:cs="宋体"/>
                <w:color w:val="auto"/>
                <w:highlight w:val="none"/>
              </w:rPr>
              <w:t>500万元以下</w:t>
            </w:r>
          </w:p>
        </w:tc>
        <w:tc>
          <w:tcPr>
            <w:tcW w:w="5967" w:type="dxa"/>
            <w:noWrap w:val="0"/>
            <w:vAlign w:val="center"/>
          </w:tcPr>
          <w:p w14:paraId="2DDA401D">
            <w:pPr>
              <w:keepNext w:val="0"/>
              <w:keepLines w:val="0"/>
              <w:suppressLineNumbers w:val="0"/>
              <w:spacing w:before="0" w:beforeAutospacing="0" w:after="0" w:afterAutospacing="0" w:line="360" w:lineRule="auto"/>
              <w:ind w:left="0" w:right="0" w:firstLine="441" w:firstLineChars="210"/>
              <w:jc w:val="center"/>
              <w:rPr>
                <w:rFonts w:hint="eastAsia" w:ascii="宋体" w:hAnsi="宋体" w:eastAsia="宋体" w:cs="宋体"/>
                <w:color w:val="auto"/>
                <w:highlight w:val="none"/>
              </w:rPr>
            </w:pPr>
            <w:r>
              <w:rPr>
                <w:rFonts w:hint="eastAsia" w:ascii="宋体" w:hAnsi="宋体" w:eastAsia="宋体" w:cs="宋体"/>
                <w:color w:val="auto"/>
                <w:highlight w:val="none"/>
              </w:rPr>
              <w:t>从接到竣工结算报告和完整的竣工结算资料之日起20天</w:t>
            </w:r>
          </w:p>
        </w:tc>
      </w:tr>
      <w:tr w14:paraId="73BE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C8182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466" w:type="dxa"/>
            <w:noWrap w:val="0"/>
            <w:vAlign w:val="center"/>
          </w:tcPr>
          <w:p w14:paraId="2D54B768">
            <w:pPr>
              <w:keepNext w:val="0"/>
              <w:keepLines w:val="0"/>
              <w:suppressLineNumbers w:val="0"/>
              <w:spacing w:before="0" w:beforeAutospacing="0" w:after="0" w:afterAutospacing="0" w:line="360" w:lineRule="auto"/>
              <w:ind w:left="0" w:right="0" w:firstLine="27" w:firstLineChars="13"/>
              <w:jc w:val="center"/>
              <w:rPr>
                <w:rFonts w:hint="eastAsia" w:ascii="宋体" w:hAnsi="宋体" w:eastAsia="宋体" w:cs="宋体"/>
                <w:color w:val="auto"/>
                <w:highlight w:val="none"/>
              </w:rPr>
            </w:pPr>
            <w:r>
              <w:rPr>
                <w:rFonts w:hint="eastAsia" w:ascii="宋体" w:hAnsi="宋体" w:eastAsia="宋体" w:cs="宋体"/>
                <w:color w:val="auto"/>
                <w:highlight w:val="none"/>
              </w:rPr>
              <w:t>500万元-2000万元</w:t>
            </w:r>
          </w:p>
        </w:tc>
        <w:tc>
          <w:tcPr>
            <w:tcW w:w="5967" w:type="dxa"/>
            <w:noWrap w:val="0"/>
            <w:vAlign w:val="center"/>
          </w:tcPr>
          <w:p w14:paraId="0977BDE7">
            <w:pPr>
              <w:keepNext w:val="0"/>
              <w:keepLines w:val="0"/>
              <w:suppressLineNumbers w:val="0"/>
              <w:spacing w:before="0" w:beforeAutospacing="0" w:after="0" w:afterAutospacing="0" w:line="360" w:lineRule="auto"/>
              <w:ind w:left="0" w:right="0" w:firstLine="441" w:firstLineChars="210"/>
              <w:jc w:val="center"/>
              <w:rPr>
                <w:rFonts w:hint="eastAsia" w:ascii="宋体" w:hAnsi="宋体" w:eastAsia="宋体" w:cs="宋体"/>
                <w:color w:val="auto"/>
                <w:highlight w:val="none"/>
              </w:rPr>
            </w:pPr>
            <w:r>
              <w:rPr>
                <w:rFonts w:hint="eastAsia" w:ascii="宋体" w:hAnsi="宋体" w:eastAsia="宋体" w:cs="宋体"/>
                <w:color w:val="auto"/>
                <w:highlight w:val="none"/>
              </w:rPr>
              <w:t>从接到竣工结算报告和完整的竣工结算资料之日起30天</w:t>
            </w:r>
          </w:p>
        </w:tc>
      </w:tr>
      <w:tr w14:paraId="5118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9D605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466" w:type="dxa"/>
            <w:noWrap w:val="0"/>
            <w:vAlign w:val="center"/>
          </w:tcPr>
          <w:p w14:paraId="497621CC">
            <w:pPr>
              <w:keepNext w:val="0"/>
              <w:keepLines w:val="0"/>
              <w:suppressLineNumbers w:val="0"/>
              <w:spacing w:before="0" w:beforeAutospacing="0" w:after="0" w:afterAutospacing="0" w:line="360" w:lineRule="auto"/>
              <w:ind w:left="0" w:right="0" w:firstLine="27" w:firstLineChars="13"/>
              <w:jc w:val="center"/>
              <w:rPr>
                <w:rFonts w:hint="eastAsia" w:ascii="宋体" w:hAnsi="宋体" w:eastAsia="宋体" w:cs="宋体"/>
                <w:color w:val="auto"/>
                <w:highlight w:val="none"/>
              </w:rPr>
            </w:pPr>
            <w:r>
              <w:rPr>
                <w:rFonts w:hint="eastAsia" w:ascii="宋体" w:hAnsi="宋体" w:eastAsia="宋体" w:cs="宋体"/>
                <w:color w:val="auto"/>
                <w:highlight w:val="none"/>
              </w:rPr>
              <w:t>2000万元-5000万元</w:t>
            </w:r>
          </w:p>
        </w:tc>
        <w:tc>
          <w:tcPr>
            <w:tcW w:w="5967" w:type="dxa"/>
            <w:noWrap w:val="0"/>
            <w:vAlign w:val="center"/>
          </w:tcPr>
          <w:p w14:paraId="08464071">
            <w:pPr>
              <w:keepNext w:val="0"/>
              <w:keepLines w:val="0"/>
              <w:suppressLineNumbers w:val="0"/>
              <w:spacing w:before="0" w:beforeAutospacing="0" w:after="0" w:afterAutospacing="0" w:line="360" w:lineRule="auto"/>
              <w:ind w:left="0" w:right="0" w:firstLine="441" w:firstLineChars="210"/>
              <w:jc w:val="center"/>
              <w:rPr>
                <w:rFonts w:hint="eastAsia" w:ascii="宋体" w:hAnsi="宋体" w:eastAsia="宋体" w:cs="宋体"/>
                <w:color w:val="auto"/>
                <w:highlight w:val="none"/>
              </w:rPr>
            </w:pPr>
            <w:r>
              <w:rPr>
                <w:rFonts w:hint="eastAsia" w:ascii="宋体" w:hAnsi="宋体" w:eastAsia="宋体" w:cs="宋体"/>
                <w:color w:val="auto"/>
                <w:highlight w:val="none"/>
              </w:rPr>
              <w:t>从接到竣工结算报告和完整的竣工结算资料之日起45天</w:t>
            </w:r>
          </w:p>
        </w:tc>
      </w:tr>
      <w:tr w14:paraId="4CDB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5B7A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466" w:type="dxa"/>
            <w:noWrap w:val="0"/>
            <w:vAlign w:val="center"/>
          </w:tcPr>
          <w:p w14:paraId="6BCAEB70">
            <w:pPr>
              <w:keepNext w:val="0"/>
              <w:keepLines w:val="0"/>
              <w:suppressLineNumbers w:val="0"/>
              <w:spacing w:before="0" w:beforeAutospacing="0" w:after="0" w:afterAutospacing="0" w:line="360" w:lineRule="auto"/>
              <w:ind w:left="0" w:right="0" w:firstLine="27" w:firstLineChars="13"/>
              <w:jc w:val="center"/>
              <w:rPr>
                <w:rFonts w:hint="eastAsia" w:ascii="宋体" w:hAnsi="宋体" w:eastAsia="宋体" w:cs="宋体"/>
                <w:color w:val="auto"/>
                <w:highlight w:val="none"/>
              </w:rPr>
            </w:pPr>
            <w:r>
              <w:rPr>
                <w:rFonts w:hint="eastAsia" w:ascii="宋体" w:hAnsi="宋体" w:eastAsia="宋体" w:cs="宋体"/>
                <w:color w:val="auto"/>
                <w:highlight w:val="none"/>
              </w:rPr>
              <w:t>5000万元以上</w:t>
            </w:r>
          </w:p>
        </w:tc>
        <w:tc>
          <w:tcPr>
            <w:tcW w:w="5967" w:type="dxa"/>
            <w:noWrap w:val="0"/>
            <w:vAlign w:val="center"/>
          </w:tcPr>
          <w:p w14:paraId="49F6C701">
            <w:pPr>
              <w:keepNext w:val="0"/>
              <w:keepLines w:val="0"/>
              <w:suppressLineNumbers w:val="0"/>
              <w:spacing w:before="0" w:beforeAutospacing="0" w:after="0" w:afterAutospacing="0" w:line="360" w:lineRule="auto"/>
              <w:ind w:left="0" w:right="0" w:firstLine="441" w:firstLineChars="210"/>
              <w:jc w:val="center"/>
              <w:rPr>
                <w:rFonts w:hint="eastAsia" w:ascii="宋体" w:hAnsi="宋体" w:eastAsia="宋体" w:cs="宋体"/>
                <w:color w:val="auto"/>
                <w:highlight w:val="none"/>
              </w:rPr>
            </w:pPr>
            <w:r>
              <w:rPr>
                <w:rFonts w:hint="eastAsia" w:ascii="宋体" w:hAnsi="宋体" w:eastAsia="宋体" w:cs="宋体"/>
                <w:color w:val="auto"/>
                <w:highlight w:val="none"/>
              </w:rPr>
              <w:t>从接到竣工结算报告和完整的竣工结算资料之日起60天</w:t>
            </w:r>
          </w:p>
        </w:tc>
      </w:tr>
    </w:tbl>
    <w:p w14:paraId="188F895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因承包人提供的结算资料不完整而需要补充或承包人不按时对账耽误时间时，审查时间应相应顺延。</w:t>
      </w:r>
    </w:p>
    <w:p w14:paraId="618E0BDE">
      <w:pPr>
        <w:spacing w:line="40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结算审核约定：</w:t>
      </w:r>
    </w:p>
    <w:p w14:paraId="1AC4B7CA">
      <w:pPr>
        <w:spacing w:line="400" w:lineRule="exact"/>
        <w:ind w:firstLine="411" w:firstLineChars="196"/>
        <w:rPr>
          <w:rFonts w:hint="eastAsia" w:ascii="宋体" w:hAnsi="宋体" w:eastAsia="宋体" w:cs="宋体"/>
          <w:color w:val="auto"/>
          <w:highlight w:val="none"/>
          <w:u w:val="single"/>
        </w:rPr>
      </w:pPr>
      <w:r>
        <w:rPr>
          <w:rFonts w:hint="eastAsia" w:ascii="宋体" w:hAnsi="宋体" w:eastAsia="宋体" w:cs="宋体"/>
          <w:color w:val="auto"/>
          <w:highlight w:val="none"/>
        </w:rPr>
        <w:t>非国有投资项目：</w:t>
      </w:r>
      <w:r>
        <w:rPr>
          <w:rFonts w:hint="eastAsia" w:ascii="宋体" w:hAnsi="宋体" w:eastAsia="宋体" w:cs="宋体"/>
          <w:color w:val="auto"/>
          <w:highlight w:val="none"/>
          <w:u w:val="single"/>
        </w:rPr>
        <w:t>1、工程竣工验收报告经发包人认可后   天内，承包人向发包人递交竣工验收合格资料及完整的结算资料和报告，双方按照协议书约定的合同价款及专用条款约定的合同价调整内容，进行工程竣工结算。2、发包人收到承包人递交的竣工结算报告及结算资料之日起   天内进行审核，给予确认或者提出初审意见。发包人逾期不予审定结算的视为发包人已同意上述竣工结算报告及结算资料，并以此作为最终结算的依据。发包人初审竣工结算完毕之日起  天内，按审定后的结算价款，通知经办银行向承包人支付工程竣工结算价款。承包人应根据发包人的需要随时将竣工工程交付发包人。</w:t>
      </w:r>
    </w:p>
    <w:p w14:paraId="6485E5F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国有投资项目：（双方结合各地有关部门出台的管理规定进行约定）              </w:t>
      </w:r>
    </w:p>
    <w:p w14:paraId="57ABBE8C">
      <w:pPr>
        <w:spacing w:line="360" w:lineRule="auto"/>
        <w:ind w:firstLine="420" w:firstLineChars="200"/>
        <w:jc w:val="left"/>
        <w:rPr>
          <w:rFonts w:hint="eastAsia" w:ascii="宋体" w:hAnsi="宋体" w:eastAsia="宋体" w:cs="宋体"/>
          <w:color w:val="auto"/>
          <w:highlight w:val="none"/>
        </w:rPr>
      </w:pPr>
      <w:bookmarkStart w:id="1162" w:name="_Toc373227761"/>
      <w:bookmarkStart w:id="1163" w:name="_Toc407135264"/>
      <w:bookmarkStart w:id="1164" w:name="_Toc373478408"/>
      <w:bookmarkStart w:id="1165" w:name="_Toc487632761"/>
      <w:bookmarkStart w:id="1166" w:name="_Toc389065326"/>
      <w:r>
        <w:rPr>
          <w:rFonts w:hint="eastAsia" w:ascii="宋体" w:hAnsi="宋体" w:eastAsia="宋体" w:cs="宋体"/>
          <w:color w:val="auto"/>
          <w:highlight w:val="none"/>
        </w:rPr>
        <w:t>发包人完成竣工付款的期限：</w:t>
      </w:r>
      <w:r>
        <w:rPr>
          <w:rFonts w:hint="eastAsia" w:ascii="宋体" w:hAnsi="宋体" w:cs="宋体"/>
          <w:color w:val="auto"/>
          <w:highlight w:val="none"/>
          <w:u w:val="single"/>
          <w:lang w:eastAsia="zh-CN"/>
        </w:rPr>
        <w:t>审计部门</w:t>
      </w:r>
      <w:r>
        <w:rPr>
          <w:rFonts w:hint="eastAsia" w:ascii="宋体" w:hAnsi="宋体" w:eastAsia="宋体" w:cs="宋体"/>
          <w:color w:val="auto"/>
          <w:highlight w:val="none"/>
          <w:u w:val="single"/>
        </w:rPr>
        <w:t xml:space="preserve">审定出具审计结论及收到财政结算确认通知之日  </w:t>
      </w:r>
      <w:r>
        <w:rPr>
          <w:rFonts w:hint="eastAsia" w:ascii="宋体" w:hAnsi="宋体" w:eastAsia="宋体" w:cs="宋体"/>
          <w:color w:val="auto"/>
          <w:highlight w:val="none"/>
        </w:rPr>
        <w:t>。</w:t>
      </w:r>
    </w:p>
    <w:p w14:paraId="030B93C5">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关于竣工付款证书异议部分复核的方式和程序：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0EBD886">
      <w:pPr>
        <w:pStyle w:val="5"/>
        <w:rPr>
          <w:rFonts w:hint="eastAsia" w:ascii="宋体" w:hAnsi="宋体" w:eastAsia="宋体" w:cs="宋体"/>
          <w:color w:val="auto"/>
          <w:highlight w:val="none"/>
        </w:rPr>
      </w:pPr>
      <w:r>
        <w:rPr>
          <w:rFonts w:hint="eastAsia" w:ascii="宋体" w:hAnsi="宋体" w:eastAsia="宋体" w:cs="宋体"/>
          <w:color w:val="auto"/>
          <w:highlight w:val="none"/>
        </w:rPr>
        <w:t>14.</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最终结清</w:t>
      </w:r>
      <w:bookmarkEnd w:id="1162"/>
      <w:bookmarkEnd w:id="1163"/>
      <w:bookmarkEnd w:id="1164"/>
      <w:bookmarkEnd w:id="1165"/>
      <w:bookmarkEnd w:id="1166"/>
    </w:p>
    <w:p w14:paraId="4E96F3D3">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14.3.1 最终结清申请单</w:t>
      </w:r>
    </w:p>
    <w:p w14:paraId="5E77232C">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承包人提交最终结清申请单的份数：</w:t>
      </w:r>
      <w:r>
        <w:rPr>
          <w:rFonts w:hint="eastAsia" w:ascii="宋体" w:hAnsi="宋体" w:eastAsia="宋体" w:cs="宋体"/>
          <w:color w:val="auto"/>
          <w:highlight w:val="none"/>
          <w:u w:val="single"/>
        </w:rPr>
        <w:t xml:space="preserve">  一式肆份  </w:t>
      </w:r>
      <w:r>
        <w:rPr>
          <w:rFonts w:hint="eastAsia" w:ascii="宋体" w:hAnsi="宋体" w:eastAsia="宋体" w:cs="宋体"/>
          <w:color w:val="auto"/>
          <w:highlight w:val="none"/>
        </w:rPr>
        <w:t>。</w:t>
      </w:r>
    </w:p>
    <w:p w14:paraId="6AF6E4F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承包人提交最终结算申请单的期限：</w:t>
      </w:r>
      <w:r>
        <w:rPr>
          <w:rFonts w:hint="eastAsia" w:ascii="宋体" w:hAnsi="宋体" w:eastAsia="宋体" w:cs="宋体"/>
          <w:color w:val="auto"/>
          <w:highlight w:val="none"/>
          <w:u w:val="single"/>
        </w:rPr>
        <w:t xml:space="preserve">审计确认结算价款且保修期满并签发终止保修书后  </w:t>
      </w:r>
      <w:r>
        <w:rPr>
          <w:rFonts w:hint="eastAsia" w:ascii="宋体" w:hAnsi="宋体" w:eastAsia="宋体" w:cs="宋体"/>
          <w:color w:val="auto"/>
          <w:highlight w:val="none"/>
        </w:rPr>
        <w:t xml:space="preserve">。 </w:t>
      </w:r>
    </w:p>
    <w:p w14:paraId="1CE0703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14.3.2 最终结清证书和支付</w:t>
      </w:r>
    </w:p>
    <w:p w14:paraId="7CDB570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（1）发包人完成最终结清申请单的审批并颁发最终结清证书的期限：</w:t>
      </w:r>
      <w:r>
        <w:rPr>
          <w:rFonts w:hint="eastAsia" w:ascii="宋体" w:hAnsi="宋体" w:eastAsia="宋体" w:cs="宋体"/>
          <w:color w:val="auto"/>
          <w:highlight w:val="none"/>
          <w:u w:val="single"/>
        </w:rPr>
        <w:t>应在收到承包人提交的最终结清申请单后14天内</w:t>
      </w:r>
      <w:r>
        <w:rPr>
          <w:rFonts w:hint="eastAsia" w:ascii="宋体" w:hAnsi="宋体" w:eastAsia="宋体" w:cs="宋体"/>
          <w:color w:val="auto"/>
          <w:highlight w:val="none"/>
        </w:rPr>
        <w:t>。</w:t>
      </w:r>
    </w:p>
    <w:p w14:paraId="2FC2C3E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（2）发包人完成支付的期限：</w:t>
      </w:r>
      <w:r>
        <w:rPr>
          <w:rFonts w:hint="eastAsia" w:ascii="宋体" w:hAnsi="宋体" w:eastAsia="宋体" w:cs="宋体"/>
          <w:color w:val="auto"/>
          <w:highlight w:val="none"/>
          <w:u w:val="single"/>
        </w:rPr>
        <w:t>应在颁发最终结清证书后14天内</w:t>
      </w:r>
      <w:r>
        <w:rPr>
          <w:rFonts w:hint="eastAsia" w:ascii="宋体" w:hAnsi="宋体" w:eastAsia="宋体" w:cs="宋体"/>
          <w:color w:val="auto"/>
          <w:highlight w:val="none"/>
        </w:rPr>
        <w:t>。</w:t>
      </w:r>
    </w:p>
    <w:bookmarkEnd w:id="1122"/>
    <w:bookmarkEnd w:id="1123"/>
    <w:bookmarkEnd w:id="1124"/>
    <w:bookmarkEnd w:id="1125"/>
    <w:bookmarkEnd w:id="1126"/>
    <w:bookmarkEnd w:id="1127"/>
    <w:bookmarkEnd w:id="1128"/>
    <w:bookmarkEnd w:id="1134"/>
    <w:p w14:paraId="659C5662">
      <w:pPr>
        <w:pStyle w:val="4"/>
        <w:rPr>
          <w:rFonts w:hint="eastAsia" w:ascii="宋体" w:hAnsi="宋体" w:eastAsia="宋体" w:cs="宋体"/>
          <w:color w:val="auto"/>
          <w:highlight w:val="none"/>
        </w:rPr>
      </w:pPr>
      <w:bookmarkStart w:id="1167" w:name="_Toc351203647"/>
      <w:bookmarkStart w:id="1168" w:name="_Toc373478409"/>
      <w:bookmarkStart w:id="1169" w:name="_Toc487632762"/>
      <w:bookmarkStart w:id="1170" w:name="_Toc373227762"/>
      <w:bookmarkStart w:id="1171" w:name="_Toc407135265"/>
      <w:bookmarkStart w:id="1172" w:name="_Toc389065327"/>
      <w:bookmarkStart w:id="1173" w:name="_Toc267251483"/>
      <w:bookmarkStart w:id="1174" w:name="_Toc267251482"/>
      <w:bookmarkStart w:id="1175" w:name="_Toc267251484"/>
      <w:bookmarkStart w:id="1176" w:name="_Toc267251485"/>
      <w:bookmarkStart w:id="1177" w:name="_Toc267251488"/>
      <w:bookmarkStart w:id="1178" w:name="_Toc267251490"/>
      <w:bookmarkStart w:id="1179" w:name="_Toc267251489"/>
      <w:bookmarkStart w:id="1180" w:name="_Toc267251486"/>
      <w:bookmarkStart w:id="1181" w:name="_Toc267251493"/>
      <w:bookmarkStart w:id="1182" w:name="_Toc267251491"/>
      <w:bookmarkStart w:id="1183" w:name="_Toc267251502"/>
      <w:bookmarkStart w:id="1184" w:name="_Toc267251495"/>
      <w:bookmarkStart w:id="1185" w:name="_Toc267251503"/>
      <w:bookmarkStart w:id="1186" w:name="_Toc267251501"/>
      <w:bookmarkStart w:id="1187" w:name="_Toc267251496"/>
      <w:bookmarkStart w:id="1188" w:name="_Toc267251497"/>
      <w:bookmarkStart w:id="1189" w:name="_Toc267251492"/>
      <w:bookmarkStart w:id="1190" w:name="_Toc267251499"/>
      <w:bookmarkStart w:id="1191" w:name="_Toc267251494"/>
      <w:bookmarkStart w:id="1192" w:name="_Toc267251498"/>
      <w:bookmarkStart w:id="1193" w:name="_Toc267251506"/>
      <w:bookmarkStart w:id="1194" w:name="_Toc267251504"/>
      <w:bookmarkStart w:id="1195" w:name="_Toc267251507"/>
      <w:bookmarkStart w:id="1196" w:name="_Toc267251508"/>
      <w:bookmarkStart w:id="1197" w:name="_Toc267251514"/>
      <w:bookmarkStart w:id="1198" w:name="_Toc267251513"/>
      <w:bookmarkStart w:id="1199" w:name="_Toc267251510"/>
      <w:bookmarkStart w:id="1200" w:name="_Toc267251515"/>
      <w:bookmarkStart w:id="1201" w:name="_Toc267251509"/>
      <w:bookmarkStart w:id="1202" w:name="_Toc267251511"/>
      <w:r>
        <w:rPr>
          <w:rFonts w:hint="eastAsia" w:ascii="宋体" w:hAnsi="宋体" w:eastAsia="宋体" w:cs="宋体"/>
          <w:color w:val="auto"/>
          <w:highlight w:val="none"/>
        </w:rPr>
        <w:t>15. 缺陷责任期与保修</w:t>
      </w:r>
      <w:bookmarkEnd w:id="1167"/>
      <w:bookmarkEnd w:id="1168"/>
      <w:bookmarkEnd w:id="1169"/>
      <w:bookmarkEnd w:id="1170"/>
      <w:bookmarkEnd w:id="1171"/>
      <w:bookmarkEnd w:id="1172"/>
    </w:p>
    <w:p w14:paraId="0194CE0C">
      <w:pPr>
        <w:pStyle w:val="5"/>
        <w:rPr>
          <w:rFonts w:hint="eastAsia" w:ascii="宋体" w:hAnsi="宋体" w:eastAsia="宋体" w:cs="宋体"/>
          <w:color w:val="auto"/>
          <w:highlight w:val="none"/>
        </w:rPr>
      </w:pPr>
      <w:bookmarkStart w:id="1203" w:name="_Toc389065328"/>
      <w:bookmarkStart w:id="1204" w:name="_Toc407135266"/>
      <w:bookmarkStart w:id="1205" w:name="_Toc373227763"/>
      <w:bookmarkStart w:id="1206" w:name="_Toc487632763"/>
      <w:bookmarkStart w:id="1207" w:name="_Toc373478410"/>
      <w:r>
        <w:rPr>
          <w:rFonts w:hint="eastAsia" w:ascii="宋体" w:hAnsi="宋体" w:eastAsia="宋体" w:cs="宋体"/>
          <w:color w:val="auto"/>
          <w:highlight w:val="none"/>
        </w:rPr>
        <w:t>15.</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缺陷责任期</w:t>
      </w:r>
      <w:bookmarkEnd w:id="1173"/>
      <w:bookmarkEnd w:id="1203"/>
      <w:bookmarkEnd w:id="1204"/>
      <w:bookmarkEnd w:id="1205"/>
      <w:bookmarkEnd w:id="1206"/>
      <w:bookmarkEnd w:id="1207"/>
    </w:p>
    <w:p w14:paraId="7F0F75A5">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缺陷责任期的具体期限：</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12</w:t>
      </w:r>
      <w:r>
        <w:rPr>
          <w:rFonts w:hint="eastAsia" w:ascii="宋体" w:hAnsi="宋体" w:eastAsia="宋体" w:cs="宋体"/>
          <w:color w:val="auto"/>
          <w:highlight w:val="none"/>
          <w:u w:val="single"/>
        </w:rPr>
        <w:t xml:space="preserve">个月    </w:t>
      </w:r>
      <w:r>
        <w:rPr>
          <w:rFonts w:hint="eastAsia" w:ascii="宋体" w:hAnsi="宋体" w:eastAsia="宋体" w:cs="宋体"/>
          <w:color w:val="auto"/>
          <w:highlight w:val="none"/>
        </w:rPr>
        <w:t>。</w:t>
      </w:r>
    </w:p>
    <w:p w14:paraId="159F575C">
      <w:pPr>
        <w:pStyle w:val="5"/>
        <w:rPr>
          <w:rFonts w:hint="eastAsia" w:ascii="宋体" w:hAnsi="宋体" w:eastAsia="宋体" w:cs="宋体"/>
          <w:color w:val="auto"/>
          <w:highlight w:val="none"/>
        </w:rPr>
      </w:pPr>
      <w:bookmarkStart w:id="1208" w:name="_Toc373227764"/>
      <w:bookmarkStart w:id="1209" w:name="_Toc389065329"/>
      <w:bookmarkStart w:id="1210" w:name="_Toc373478411"/>
      <w:bookmarkStart w:id="1211" w:name="_Toc487632764"/>
      <w:bookmarkStart w:id="1212" w:name="_Toc407135267"/>
      <w:r>
        <w:rPr>
          <w:rFonts w:hint="eastAsia" w:ascii="宋体" w:hAnsi="宋体" w:eastAsia="宋体" w:cs="宋体"/>
          <w:color w:val="auto"/>
          <w:highlight w:val="none"/>
        </w:rPr>
        <w:t>15.</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质量保证金</w:t>
      </w:r>
      <w:bookmarkEnd w:id="1208"/>
      <w:bookmarkEnd w:id="1209"/>
      <w:bookmarkEnd w:id="1210"/>
      <w:bookmarkEnd w:id="1211"/>
      <w:bookmarkEnd w:id="1212"/>
    </w:p>
    <w:p w14:paraId="5C3352E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关于是否扣留质量保证金的约定：</w:t>
      </w:r>
      <w:r>
        <w:rPr>
          <w:rFonts w:hint="eastAsia" w:ascii="宋体" w:hAnsi="宋体" w:eastAsia="宋体" w:cs="宋体"/>
          <w:color w:val="auto"/>
          <w:highlight w:val="none"/>
          <w:u w:val="single"/>
        </w:rPr>
        <w:t xml:space="preserve">    按照竣工结算价格的3%比例预留   </w:t>
      </w:r>
      <w:r>
        <w:rPr>
          <w:rFonts w:hint="eastAsia" w:ascii="宋体" w:hAnsi="宋体" w:eastAsia="宋体" w:cs="宋体"/>
          <w:color w:val="auto"/>
          <w:highlight w:val="none"/>
        </w:rPr>
        <w:t>。</w:t>
      </w:r>
    </w:p>
    <w:p w14:paraId="1EFA6E06">
      <w:pPr>
        <w:spacing w:line="360" w:lineRule="auto"/>
        <w:ind w:firstLine="420" w:firstLineChars="200"/>
        <w:jc w:val="left"/>
        <w:outlineLvl w:val="0"/>
        <w:rPr>
          <w:rFonts w:hint="eastAsia" w:ascii="宋体" w:hAnsi="宋体" w:eastAsia="宋体" w:cs="宋体"/>
          <w:color w:val="auto"/>
          <w:highlight w:val="none"/>
        </w:rPr>
      </w:pPr>
      <w:bookmarkStart w:id="1213" w:name="_Toc5924"/>
      <w:r>
        <w:rPr>
          <w:rFonts w:hint="eastAsia" w:ascii="宋体" w:hAnsi="宋体" w:eastAsia="宋体" w:cs="宋体"/>
          <w:color w:val="auto"/>
          <w:highlight w:val="none"/>
        </w:rPr>
        <w:t>15.2.1 承包人提供质量保证金的方式</w:t>
      </w:r>
      <w:bookmarkEnd w:id="1213"/>
    </w:p>
    <w:p w14:paraId="62B9E31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质量保证金采用以下第</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种方式：</w:t>
      </w:r>
    </w:p>
    <w:p w14:paraId="17702BCB">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（1）质量保证金保函，保证金额为：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42FF3A0E">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rPr>
        <w:t>发包人按工程价款结算总额的</w:t>
      </w:r>
      <w:r>
        <w:rPr>
          <w:rFonts w:hint="eastAsia" w:ascii="宋体" w:hAnsi="宋体" w:eastAsia="宋体" w:cs="宋体"/>
          <w:color w:val="auto"/>
          <w:highlight w:val="none"/>
          <w:u w:val="single"/>
        </w:rPr>
        <w:t xml:space="preserve">  3 </w:t>
      </w:r>
      <w:r>
        <w:rPr>
          <w:rFonts w:hint="eastAsia" w:ascii="宋体" w:hAnsi="宋体" w:eastAsia="宋体" w:cs="宋体"/>
          <w:color w:val="auto"/>
          <w:highlight w:val="none"/>
        </w:rPr>
        <w:t>%（不得超过3%）预留工程质量保修金，待缺陷责任期满后返还，是否付息及利息计算方式为：</w:t>
      </w:r>
      <w:r>
        <w:rPr>
          <w:rFonts w:hint="eastAsia" w:ascii="宋体" w:hAnsi="宋体" w:eastAsia="宋体" w:cs="宋体"/>
          <w:color w:val="auto"/>
          <w:highlight w:val="none"/>
          <w:u w:val="single"/>
        </w:rPr>
        <w:t xml:space="preserve">      无                                   </w:t>
      </w:r>
      <w:r>
        <w:rPr>
          <w:rFonts w:hint="eastAsia" w:ascii="宋体" w:hAnsi="宋体" w:eastAsia="宋体" w:cs="宋体"/>
          <w:color w:val="auto"/>
          <w:kern w:val="0"/>
          <w:highlight w:val="none"/>
        </w:rPr>
        <w:t>；</w:t>
      </w:r>
    </w:p>
    <w:p w14:paraId="3DEFDB69">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（3）其他方式：</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08E39E1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15.2.2 质量保证金的扣留</w:t>
      </w:r>
    </w:p>
    <w:p w14:paraId="0E957B1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质量保证金的扣留采取以下第</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种方式：</w:t>
      </w:r>
    </w:p>
    <w:p w14:paraId="6857A71C">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（1）在支付工程进度款时逐次扣留，在此情形下，质量保证金的计算基数不包括预付款的支付、扣回以及价格调整的金额；</w:t>
      </w:r>
    </w:p>
    <w:p w14:paraId="0334D16F">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（2）工程竣工结算时一次性扣留质量保证金；</w:t>
      </w:r>
    </w:p>
    <w:p w14:paraId="163438A9">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（3）其他扣留方式:</w:t>
      </w:r>
      <w:r>
        <w:rPr>
          <w:rFonts w:hint="eastAsia" w:ascii="宋体" w:hAnsi="宋体" w:eastAsia="宋体" w:cs="宋体"/>
          <w:color w:val="auto"/>
          <w:kern w:val="0"/>
          <w:highlight w:val="none"/>
          <w:u w:val="single"/>
        </w:rPr>
        <w:t xml:space="preserve">     无                                </w:t>
      </w:r>
      <w:r>
        <w:rPr>
          <w:rFonts w:hint="eastAsia" w:ascii="宋体" w:hAnsi="宋体" w:eastAsia="宋体" w:cs="宋体"/>
          <w:color w:val="auto"/>
          <w:kern w:val="0"/>
          <w:highlight w:val="none"/>
        </w:rPr>
        <w:t>。</w:t>
      </w:r>
    </w:p>
    <w:p w14:paraId="21119680">
      <w:pPr>
        <w:spacing w:line="360" w:lineRule="auto"/>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highlight w:val="none"/>
        </w:rPr>
        <w:t>关于质量保证金的补充约定：</w:t>
      </w:r>
      <w:r>
        <w:rPr>
          <w:rFonts w:hint="eastAsia" w:ascii="宋体" w:hAnsi="宋体" w:eastAsia="宋体" w:cs="宋体"/>
          <w:color w:val="auto"/>
          <w:kern w:val="0"/>
          <w:highlight w:val="none"/>
          <w:u w:val="single"/>
        </w:rPr>
        <w:t xml:space="preserve">     无                     </w:t>
      </w:r>
      <w:r>
        <w:rPr>
          <w:rFonts w:hint="eastAsia" w:ascii="宋体" w:hAnsi="宋体" w:eastAsia="宋体" w:cs="宋体"/>
          <w:color w:val="auto"/>
          <w:kern w:val="0"/>
          <w:highlight w:val="none"/>
        </w:rPr>
        <w:t>。</w:t>
      </w:r>
    </w:p>
    <w:bookmarkEnd w:id="1174"/>
    <w:bookmarkEnd w:id="1175"/>
    <w:p w14:paraId="04ECC226">
      <w:pPr>
        <w:pStyle w:val="5"/>
        <w:rPr>
          <w:rFonts w:hint="eastAsia" w:ascii="宋体" w:hAnsi="宋体" w:eastAsia="宋体" w:cs="宋体"/>
          <w:color w:val="auto"/>
          <w:highlight w:val="none"/>
        </w:rPr>
      </w:pPr>
      <w:bookmarkStart w:id="1214" w:name="_Toc407135268"/>
      <w:bookmarkStart w:id="1215" w:name="_Toc487632765"/>
      <w:bookmarkStart w:id="1216" w:name="_Toc373227765"/>
      <w:bookmarkStart w:id="1217" w:name="_Toc389065330"/>
      <w:bookmarkStart w:id="1218" w:name="_Toc373478412"/>
      <w:r>
        <w:rPr>
          <w:rFonts w:hint="eastAsia" w:ascii="宋体" w:hAnsi="宋体" w:eastAsia="宋体" w:cs="宋体"/>
          <w:color w:val="auto"/>
          <w:highlight w:val="none"/>
        </w:rPr>
        <w:t>15.</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保修</w:t>
      </w:r>
      <w:bookmarkEnd w:id="1214"/>
      <w:bookmarkEnd w:id="1215"/>
      <w:bookmarkEnd w:id="1216"/>
      <w:bookmarkEnd w:id="1217"/>
      <w:bookmarkEnd w:id="1218"/>
    </w:p>
    <w:bookmarkEnd w:id="1176"/>
    <w:p w14:paraId="462CEDCC">
      <w:pPr>
        <w:spacing w:line="360" w:lineRule="auto"/>
        <w:ind w:firstLine="409" w:firstLineChars="195"/>
        <w:jc w:val="left"/>
        <w:outlineLvl w:val="0"/>
        <w:rPr>
          <w:rFonts w:hint="eastAsia" w:ascii="宋体" w:hAnsi="宋体" w:eastAsia="宋体" w:cs="宋体"/>
          <w:color w:val="auto"/>
          <w:highlight w:val="none"/>
        </w:rPr>
      </w:pPr>
      <w:bookmarkStart w:id="1219" w:name="_Toc17632"/>
      <w:r>
        <w:rPr>
          <w:rFonts w:hint="eastAsia" w:ascii="宋体" w:hAnsi="宋体" w:eastAsia="宋体" w:cs="宋体"/>
          <w:color w:val="auto"/>
          <w:highlight w:val="none"/>
        </w:rPr>
        <w:t>15.3.1 保修责任</w:t>
      </w:r>
      <w:bookmarkEnd w:id="1219"/>
    </w:p>
    <w:bookmarkEnd w:id="1177"/>
    <w:bookmarkEnd w:id="1178"/>
    <w:bookmarkEnd w:id="1179"/>
    <w:bookmarkEnd w:id="1180"/>
    <w:p w14:paraId="73E37095">
      <w:pPr>
        <w:spacing w:line="360" w:lineRule="auto"/>
        <w:ind w:firstLine="409" w:firstLineChars="195"/>
        <w:jc w:val="left"/>
        <w:rPr>
          <w:rFonts w:hint="eastAsia" w:ascii="宋体" w:hAnsi="宋体" w:eastAsia="宋体" w:cs="宋体"/>
          <w:color w:val="auto"/>
          <w:kern w:val="0"/>
          <w:highlight w:val="none"/>
        </w:rPr>
      </w:pPr>
      <w:bookmarkStart w:id="1220" w:name="_Toc373478413"/>
      <w:bookmarkStart w:id="1221" w:name="_Toc351203648"/>
      <w:bookmarkStart w:id="1222" w:name="_Toc373227766"/>
      <w:bookmarkStart w:id="1223" w:name="_Toc389065331"/>
      <w:bookmarkStart w:id="1224" w:name="_Toc407135269"/>
      <w:bookmarkStart w:id="1225" w:name="_Toc487632766"/>
      <w:bookmarkStart w:id="1226" w:name="_Toc280868717"/>
      <w:bookmarkStart w:id="1227" w:name="_Toc280868718"/>
      <w:r>
        <w:rPr>
          <w:rFonts w:hint="eastAsia" w:ascii="宋体" w:hAnsi="宋体" w:eastAsia="宋体" w:cs="宋体"/>
          <w:color w:val="auto"/>
          <w:highlight w:val="none"/>
        </w:rPr>
        <w:t>工程保修期为：</w:t>
      </w:r>
      <w:r>
        <w:rPr>
          <w:rFonts w:hint="eastAsia" w:ascii="宋体" w:hAnsi="宋体" w:eastAsia="宋体" w:cs="宋体"/>
          <w:color w:val="auto"/>
          <w:kern w:val="0"/>
          <w:highlight w:val="none"/>
          <w:u w:val="single"/>
        </w:rPr>
        <w:t xml:space="preserve">   执行《建设工程质量管理条例》规定     </w:t>
      </w:r>
      <w:r>
        <w:rPr>
          <w:rFonts w:hint="eastAsia" w:ascii="宋体" w:hAnsi="宋体" w:eastAsia="宋体" w:cs="宋体"/>
          <w:color w:val="auto"/>
          <w:kern w:val="0"/>
          <w:highlight w:val="none"/>
        </w:rPr>
        <w:t>。</w:t>
      </w:r>
    </w:p>
    <w:p w14:paraId="3B97CF17">
      <w:pPr>
        <w:spacing w:line="360" w:lineRule="auto"/>
        <w:ind w:firstLine="409" w:firstLineChars="195"/>
        <w:jc w:val="left"/>
        <w:rPr>
          <w:rFonts w:hint="eastAsia" w:ascii="宋体" w:hAnsi="宋体" w:eastAsia="宋体" w:cs="宋体"/>
          <w:color w:val="auto"/>
          <w:kern w:val="0"/>
          <w:highlight w:val="none"/>
          <w:u w:val="single"/>
        </w:rPr>
      </w:pPr>
      <w:r>
        <w:rPr>
          <w:rFonts w:hint="eastAsia" w:ascii="宋体" w:hAnsi="宋体" w:eastAsia="宋体" w:cs="宋体"/>
          <w:color w:val="auto"/>
          <w:highlight w:val="none"/>
        </w:rPr>
        <w:t>工程保修书具体内容见合同附件8。</w:t>
      </w:r>
    </w:p>
    <w:p w14:paraId="664AE164">
      <w:pPr>
        <w:spacing w:line="360" w:lineRule="auto"/>
        <w:ind w:firstLine="409" w:firstLineChars="195"/>
        <w:jc w:val="left"/>
        <w:rPr>
          <w:rFonts w:hint="eastAsia" w:ascii="宋体" w:hAnsi="宋体" w:eastAsia="宋体" w:cs="宋体"/>
          <w:color w:val="auto"/>
          <w:highlight w:val="none"/>
        </w:rPr>
      </w:pPr>
      <w:r>
        <w:rPr>
          <w:rFonts w:hint="eastAsia" w:ascii="宋体" w:hAnsi="宋体" w:eastAsia="宋体" w:cs="宋体"/>
          <w:color w:val="auto"/>
          <w:highlight w:val="none"/>
        </w:rPr>
        <w:t>15.3.2 修复通知</w:t>
      </w:r>
    </w:p>
    <w:p w14:paraId="5A28B63F">
      <w:pPr>
        <w:spacing w:line="360" w:lineRule="auto"/>
        <w:ind w:firstLine="409" w:firstLineChars="195"/>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承包人收到保修通知并到达工程现场的合理时间：</w:t>
      </w:r>
      <w:r>
        <w:rPr>
          <w:rFonts w:hint="eastAsia" w:ascii="宋体" w:hAnsi="宋体" w:eastAsia="宋体" w:cs="宋体"/>
          <w:color w:val="auto"/>
          <w:kern w:val="0"/>
          <w:highlight w:val="none"/>
          <w:u w:val="single"/>
        </w:rPr>
        <w:t xml:space="preserve">   3天内  </w:t>
      </w:r>
      <w:r>
        <w:rPr>
          <w:rFonts w:hint="eastAsia" w:ascii="宋体" w:hAnsi="宋体" w:eastAsia="宋体" w:cs="宋体"/>
          <w:color w:val="auto"/>
          <w:kern w:val="0"/>
          <w:highlight w:val="none"/>
        </w:rPr>
        <w:t>。</w:t>
      </w:r>
    </w:p>
    <w:p w14:paraId="7D65B5D7">
      <w:pPr>
        <w:pStyle w:val="4"/>
        <w:rPr>
          <w:rFonts w:hint="eastAsia" w:ascii="宋体" w:hAnsi="宋体" w:eastAsia="宋体" w:cs="宋体"/>
          <w:color w:val="auto"/>
          <w:highlight w:val="none"/>
        </w:rPr>
      </w:pPr>
      <w:r>
        <w:rPr>
          <w:rFonts w:hint="eastAsia" w:ascii="宋体" w:hAnsi="宋体" w:eastAsia="宋体" w:cs="宋体"/>
          <w:color w:val="auto"/>
          <w:highlight w:val="none"/>
        </w:rPr>
        <w:t>16. 违约</w:t>
      </w:r>
      <w:bookmarkEnd w:id="1220"/>
      <w:bookmarkEnd w:id="1221"/>
      <w:bookmarkEnd w:id="1222"/>
      <w:bookmarkEnd w:id="1223"/>
      <w:bookmarkEnd w:id="1224"/>
      <w:bookmarkEnd w:id="1225"/>
    </w:p>
    <w:p w14:paraId="5CFDAF69">
      <w:pPr>
        <w:pStyle w:val="5"/>
        <w:rPr>
          <w:rFonts w:hint="eastAsia" w:ascii="宋体" w:hAnsi="宋体" w:eastAsia="宋体" w:cs="宋体"/>
          <w:color w:val="auto"/>
          <w:highlight w:val="none"/>
        </w:rPr>
      </w:pPr>
      <w:bookmarkStart w:id="1228" w:name="_Toc373478414"/>
      <w:bookmarkStart w:id="1229" w:name="_Toc407135270"/>
      <w:bookmarkStart w:id="1230" w:name="_Toc487632767"/>
      <w:bookmarkStart w:id="1231" w:name="_Toc373227767"/>
      <w:bookmarkStart w:id="1232" w:name="_Toc389065332"/>
      <w:r>
        <w:rPr>
          <w:rFonts w:hint="eastAsia" w:ascii="宋体" w:hAnsi="宋体" w:eastAsia="宋体" w:cs="宋体"/>
          <w:color w:val="auto"/>
          <w:highlight w:val="none"/>
        </w:rPr>
        <w:t>16.1 发包人违约</w:t>
      </w:r>
      <w:bookmarkEnd w:id="1228"/>
      <w:bookmarkEnd w:id="1229"/>
      <w:bookmarkEnd w:id="1230"/>
      <w:bookmarkEnd w:id="1231"/>
      <w:bookmarkEnd w:id="1232"/>
    </w:p>
    <w:p w14:paraId="7B8BF5B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16.1.1发包人违约的情形</w:t>
      </w:r>
    </w:p>
    <w:p w14:paraId="7896EB2A">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发包人违约的其他情形：</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按通用条款执行</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483A9BAA">
      <w:pPr>
        <w:spacing w:line="360" w:lineRule="auto"/>
        <w:ind w:firstLine="420" w:firstLineChars="200"/>
        <w:jc w:val="left"/>
        <w:outlineLvl w:val="0"/>
        <w:rPr>
          <w:rFonts w:hint="eastAsia" w:ascii="宋体" w:hAnsi="宋体" w:eastAsia="宋体" w:cs="宋体"/>
          <w:color w:val="auto"/>
          <w:kern w:val="0"/>
          <w:highlight w:val="none"/>
        </w:rPr>
      </w:pPr>
      <w:bookmarkStart w:id="1233" w:name="_Toc24210"/>
      <w:r>
        <w:rPr>
          <w:rFonts w:hint="eastAsia" w:ascii="宋体" w:hAnsi="宋体" w:eastAsia="宋体" w:cs="宋体"/>
          <w:color w:val="auto"/>
          <w:kern w:val="0"/>
          <w:highlight w:val="none"/>
        </w:rPr>
        <w:t>16.1.2 发包人违约的责任</w:t>
      </w:r>
      <w:bookmarkEnd w:id="1233"/>
    </w:p>
    <w:p w14:paraId="3C087CE7">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发包人违约责任的承担方式和计算方法：</w:t>
      </w:r>
    </w:p>
    <w:p w14:paraId="6EBC616F">
      <w:pPr>
        <w:spacing w:line="360" w:lineRule="auto"/>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（1）因发包人原因未能在计划开工日期前7天内下达开工通知的违约责任：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3D021DB1">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（2）因发包人原因未能按合同约定支付合同价款的违约责任：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33F2CA3D">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（3）发包人违反第10.1款〔变更的范围〕第（2）项约定，自行实施被取消的工作或转由他人实施的违约责任：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276DA9F0">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7A26D5FF">
      <w:pPr>
        <w:spacing w:line="360" w:lineRule="auto"/>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（5）因发包人违反合同约定造成暂停施工的违约责任：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08434946">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（6）发包人无正当理由没有在约定期限内发出复工指示，导致承包人无法复工的违约责任：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2BF14BC2">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（7）其他：</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4E54E71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16.1.3 因发包人违约解除合同</w:t>
      </w:r>
    </w:p>
    <w:p w14:paraId="24852808">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承包人按16.1.1项〔发包人违约的情形〕约定暂停施工满</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天后发包人仍不纠正其违约行为并致使合同目的不能实现的，承包人有权解除合同。</w:t>
      </w:r>
    </w:p>
    <w:p w14:paraId="283EE419">
      <w:pPr>
        <w:pStyle w:val="5"/>
        <w:rPr>
          <w:rFonts w:hint="eastAsia" w:ascii="宋体" w:hAnsi="宋体" w:eastAsia="宋体" w:cs="宋体"/>
          <w:color w:val="auto"/>
          <w:highlight w:val="none"/>
        </w:rPr>
      </w:pPr>
      <w:bookmarkStart w:id="1234" w:name="_Toc389065333"/>
      <w:bookmarkStart w:id="1235" w:name="_Toc373478415"/>
      <w:bookmarkStart w:id="1236" w:name="_Toc373227768"/>
      <w:bookmarkStart w:id="1237" w:name="_Toc487632768"/>
      <w:bookmarkStart w:id="1238" w:name="_Toc407135271"/>
      <w:r>
        <w:rPr>
          <w:rFonts w:hint="eastAsia" w:ascii="宋体" w:hAnsi="宋体" w:eastAsia="宋体" w:cs="宋体"/>
          <w:color w:val="auto"/>
          <w:highlight w:val="none"/>
        </w:rPr>
        <w:t>16.2 承包人违约</w:t>
      </w:r>
      <w:bookmarkEnd w:id="1234"/>
      <w:bookmarkEnd w:id="1235"/>
      <w:bookmarkEnd w:id="1236"/>
      <w:bookmarkEnd w:id="1237"/>
      <w:bookmarkEnd w:id="1238"/>
    </w:p>
    <w:p w14:paraId="61425FC7">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16.2.1 承包人违约的情形</w:t>
      </w:r>
    </w:p>
    <w:p w14:paraId="0A9382DE">
      <w:pPr>
        <w:spacing w:line="360" w:lineRule="auto"/>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承包人违约的其他情形：</w:t>
      </w:r>
      <w:r>
        <w:rPr>
          <w:rFonts w:hint="eastAsia" w:ascii="宋体" w:hAnsi="宋体" w:eastAsia="宋体" w:cs="宋体"/>
          <w:color w:val="auto"/>
          <w:kern w:val="0"/>
          <w:highlight w:val="none"/>
          <w:u w:val="single"/>
        </w:rPr>
        <w:t xml:space="preserve">   非承包人原因发生的工程事故，承包人不积极采取措施，导致经济损失扩大  </w:t>
      </w:r>
      <w:r>
        <w:rPr>
          <w:rFonts w:hint="eastAsia" w:ascii="宋体" w:hAnsi="宋体" w:eastAsia="宋体" w:cs="宋体"/>
          <w:color w:val="auto"/>
          <w:kern w:val="0"/>
          <w:highlight w:val="none"/>
        </w:rPr>
        <w:t>。</w:t>
      </w:r>
    </w:p>
    <w:p w14:paraId="257CDF13">
      <w:pPr>
        <w:spacing w:line="360" w:lineRule="auto"/>
        <w:ind w:firstLine="420" w:firstLineChars="200"/>
        <w:jc w:val="left"/>
        <w:outlineLvl w:val="0"/>
        <w:rPr>
          <w:rFonts w:hint="eastAsia" w:ascii="宋体" w:hAnsi="宋体" w:eastAsia="宋体" w:cs="宋体"/>
          <w:color w:val="auto"/>
          <w:kern w:val="0"/>
          <w:highlight w:val="none"/>
        </w:rPr>
      </w:pPr>
      <w:bookmarkStart w:id="1239" w:name="_Toc7870"/>
      <w:r>
        <w:rPr>
          <w:rFonts w:hint="eastAsia" w:ascii="宋体" w:hAnsi="宋体" w:eastAsia="宋体" w:cs="宋体"/>
          <w:color w:val="auto"/>
          <w:kern w:val="0"/>
          <w:highlight w:val="none"/>
        </w:rPr>
        <w:t>16.2.2承包人违约的责任</w:t>
      </w:r>
      <w:bookmarkEnd w:id="1239"/>
    </w:p>
    <w:p w14:paraId="2257D0D2">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承包人违约责任的承担方式和计算方法：</w:t>
      </w:r>
    </w:p>
    <w:p w14:paraId="3A0F1C42">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5036D9C8">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（2）承包人有本合同通用条款第16.2.1（6）条情形的，或经监理人检验认为修复质量不合格而承包人拒绝再进行修补的，发包人将扣除承包人全部质量保修金。</w:t>
      </w:r>
    </w:p>
    <w:p w14:paraId="2AF94952">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07C9E0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16.2.3 因承包人违约解除合同</w:t>
      </w:r>
    </w:p>
    <w:p w14:paraId="471E4056">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关于承包人违约解除合同的特别约定：</w:t>
      </w:r>
      <w:r>
        <w:rPr>
          <w:rFonts w:hint="eastAsia" w:ascii="宋体" w:hAnsi="宋体" w:eastAsia="宋体" w:cs="宋体"/>
          <w:color w:val="auto"/>
          <w:kern w:val="0"/>
          <w:highlight w:val="none"/>
          <w:u w:val="single"/>
        </w:rPr>
        <w:t>承包人有违反以下情况之一的，发包人有权解除合同，并没收其全部履约保证金</w:t>
      </w:r>
      <w:r>
        <w:rPr>
          <w:rFonts w:hint="eastAsia" w:ascii="宋体" w:hAnsi="宋体" w:eastAsia="宋体" w:cs="宋体"/>
          <w:color w:val="auto"/>
          <w:kern w:val="0"/>
          <w:highlight w:val="none"/>
        </w:rPr>
        <w:t>。</w:t>
      </w:r>
    </w:p>
    <w:p w14:paraId="61AC873B">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(1)承包人无正当理由不按开工通知的要求及时进场组织施工和不按签订协议书时商定的进度计划有效地开展施工准备，造成工期延误的；</w:t>
      </w:r>
    </w:p>
    <w:p w14:paraId="22C26E0F">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(2)承包人违反本合同通用条款第3.5条规定私自将合同或合同的任何部分或任何权利转让给其他人，或私自将工程或工程的一部分分包出去的；</w:t>
      </w:r>
    </w:p>
    <w:p w14:paraId="48387CDE">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(3)未经监理人批准，承包人私自将已按投标文件承诺进入工地的工程设备、施工设备、临时工程或材料撤离工地的；</w:t>
      </w:r>
    </w:p>
    <w:p w14:paraId="0A053366">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(4)由于承包人原因拒绝按合同进度计划及时完成合同规定的工程，而又未采取有效措施赶上进度，造成工期严重延误的；</w:t>
      </w:r>
    </w:p>
    <w:p w14:paraId="2371FDD5">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(5)承包人否认合同有效或拒绝履行合同规定的承包人义务，或由于法律、财务等原因导致承包人无法继续履行或实质上已停止履行合同的义务的；</w:t>
      </w:r>
    </w:p>
    <w:p w14:paraId="2DBF876E">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(6)合同签订之日起十五日内，承包人无法按合同规定及投标文件的承诺进场经监理工程师认可的全部人员和机械的。</w:t>
      </w:r>
    </w:p>
    <w:p w14:paraId="355ECC33">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highlight w:val="none"/>
          <w:u w:val="single"/>
        </w:rPr>
        <w:t xml:space="preserve">      费用另行约定，由发包人承担        </w:t>
      </w:r>
      <w:r>
        <w:rPr>
          <w:rFonts w:hint="eastAsia" w:ascii="宋体" w:hAnsi="宋体" w:eastAsia="宋体" w:cs="宋体"/>
          <w:color w:val="auto"/>
          <w:kern w:val="0"/>
          <w:highlight w:val="none"/>
        </w:rPr>
        <w:t>。</w:t>
      </w:r>
    </w:p>
    <w:p w14:paraId="5A5DCB7C">
      <w:pPr>
        <w:pStyle w:val="4"/>
        <w:rPr>
          <w:rFonts w:hint="eastAsia" w:ascii="宋体" w:hAnsi="宋体" w:eastAsia="宋体" w:cs="宋体"/>
          <w:color w:val="auto"/>
          <w:highlight w:val="none"/>
        </w:rPr>
      </w:pPr>
      <w:bookmarkStart w:id="1240" w:name="_Toc389065334"/>
      <w:bookmarkStart w:id="1241" w:name="_Toc351203649"/>
      <w:bookmarkStart w:id="1242" w:name="_Toc373478416"/>
      <w:bookmarkStart w:id="1243" w:name="_Toc407135272"/>
      <w:bookmarkStart w:id="1244" w:name="_Toc487632769"/>
      <w:bookmarkStart w:id="1245" w:name="_Toc373227769"/>
      <w:r>
        <w:rPr>
          <w:rFonts w:hint="eastAsia" w:ascii="宋体" w:hAnsi="宋体" w:eastAsia="宋体" w:cs="宋体"/>
          <w:color w:val="auto"/>
          <w:highlight w:val="none"/>
        </w:rPr>
        <w:t>17. 不可抗力</w:t>
      </w:r>
      <w:bookmarkEnd w:id="1240"/>
      <w:bookmarkEnd w:id="1241"/>
      <w:bookmarkEnd w:id="1242"/>
      <w:bookmarkEnd w:id="1243"/>
      <w:bookmarkEnd w:id="1244"/>
      <w:bookmarkEnd w:id="1245"/>
      <w:r>
        <w:rPr>
          <w:rFonts w:hint="eastAsia" w:ascii="宋体" w:hAnsi="宋体" w:eastAsia="宋体" w:cs="宋体"/>
          <w:color w:val="auto"/>
          <w:highlight w:val="none"/>
        </w:rPr>
        <w:t xml:space="preserve"> </w:t>
      </w:r>
      <w:bookmarkEnd w:id="1226"/>
    </w:p>
    <w:p w14:paraId="4B30EF80">
      <w:pPr>
        <w:pStyle w:val="5"/>
        <w:rPr>
          <w:rFonts w:hint="eastAsia" w:ascii="宋体" w:hAnsi="宋体" w:eastAsia="宋体" w:cs="宋体"/>
          <w:color w:val="auto"/>
          <w:highlight w:val="none"/>
        </w:rPr>
      </w:pPr>
      <w:bookmarkStart w:id="1246" w:name="_Toc389065335"/>
      <w:bookmarkStart w:id="1247" w:name="_Toc373227770"/>
      <w:bookmarkStart w:id="1248" w:name="_Toc407135273"/>
      <w:bookmarkStart w:id="1249" w:name="_Toc373478417"/>
      <w:bookmarkStart w:id="1250" w:name="_Toc487632770"/>
      <w:r>
        <w:rPr>
          <w:rFonts w:hint="eastAsia" w:ascii="宋体" w:hAnsi="宋体" w:eastAsia="宋体" w:cs="宋体"/>
          <w:color w:val="auto"/>
          <w:highlight w:val="none"/>
        </w:rPr>
        <w:t>17.1 不可抗力的确认</w:t>
      </w:r>
      <w:bookmarkEnd w:id="1246"/>
      <w:bookmarkEnd w:id="1247"/>
      <w:bookmarkEnd w:id="1248"/>
      <w:bookmarkEnd w:id="1249"/>
      <w:bookmarkEnd w:id="1250"/>
    </w:p>
    <w:p w14:paraId="2F43A410">
      <w:pPr>
        <w:spacing w:line="360" w:lineRule="auto"/>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highlight w:val="none"/>
        </w:rPr>
        <w:t>除通用合同条款约定的不可抗力事件之外，视为不可抗力的其他情形：</w:t>
      </w:r>
      <w:r>
        <w:rPr>
          <w:rFonts w:hint="eastAsia" w:ascii="宋体" w:hAnsi="宋体" w:eastAsia="宋体" w:cs="宋体"/>
          <w:color w:val="auto"/>
          <w:kern w:val="0"/>
          <w:highlight w:val="none"/>
          <w:u w:val="single"/>
        </w:rPr>
        <w:t xml:space="preserve">   无        </w:t>
      </w:r>
      <w:r>
        <w:rPr>
          <w:rFonts w:hint="eastAsia" w:ascii="宋体" w:hAnsi="宋体" w:eastAsia="宋体" w:cs="宋体"/>
          <w:color w:val="auto"/>
          <w:kern w:val="0"/>
          <w:highlight w:val="none"/>
        </w:rPr>
        <w:t>。</w:t>
      </w:r>
    </w:p>
    <w:p w14:paraId="2A5AA164">
      <w:pPr>
        <w:pStyle w:val="5"/>
        <w:rPr>
          <w:rFonts w:hint="eastAsia" w:ascii="宋体" w:hAnsi="宋体" w:eastAsia="宋体" w:cs="宋体"/>
          <w:color w:val="auto"/>
          <w:highlight w:val="none"/>
        </w:rPr>
      </w:pPr>
      <w:bookmarkStart w:id="1251" w:name="_Toc389065336"/>
      <w:bookmarkStart w:id="1252" w:name="_Toc407135274"/>
      <w:bookmarkStart w:id="1253" w:name="_Toc373227771"/>
      <w:bookmarkStart w:id="1254" w:name="_Toc373478418"/>
      <w:bookmarkStart w:id="1255" w:name="_Toc487632771"/>
      <w:r>
        <w:rPr>
          <w:rFonts w:hint="eastAsia" w:ascii="宋体" w:hAnsi="宋体" w:eastAsia="宋体" w:cs="宋体"/>
          <w:color w:val="auto"/>
          <w:highlight w:val="none"/>
        </w:rPr>
        <w:t>17.</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因不可抗力解除合同</w:t>
      </w:r>
      <w:bookmarkEnd w:id="1251"/>
      <w:bookmarkEnd w:id="1252"/>
      <w:bookmarkEnd w:id="1253"/>
      <w:bookmarkEnd w:id="1254"/>
      <w:bookmarkEnd w:id="1255"/>
    </w:p>
    <w:p w14:paraId="7F1DFEB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合同解除后，发包人应在商定或确定发包人应支付款项后</w:t>
      </w:r>
      <w:r>
        <w:rPr>
          <w:rFonts w:hint="eastAsia" w:ascii="宋体" w:hAnsi="宋体" w:eastAsia="宋体" w:cs="宋体"/>
          <w:color w:val="auto"/>
          <w:highlight w:val="none"/>
          <w:u w:val="single"/>
        </w:rPr>
        <w:t xml:space="preserve">  15  </w:t>
      </w:r>
      <w:r>
        <w:rPr>
          <w:rFonts w:hint="eastAsia" w:ascii="宋体" w:hAnsi="宋体" w:eastAsia="宋体" w:cs="宋体"/>
          <w:color w:val="auto"/>
          <w:highlight w:val="none"/>
        </w:rPr>
        <w:t>天内完成款项的支付。</w:t>
      </w:r>
    </w:p>
    <w:p w14:paraId="40814414">
      <w:pPr>
        <w:pStyle w:val="4"/>
        <w:rPr>
          <w:rFonts w:hint="eastAsia" w:ascii="宋体" w:hAnsi="宋体" w:eastAsia="宋体" w:cs="宋体"/>
          <w:color w:val="auto"/>
          <w:highlight w:val="none"/>
        </w:rPr>
      </w:pPr>
      <w:bookmarkStart w:id="1256" w:name="_Toc373227772"/>
      <w:bookmarkStart w:id="1257" w:name="_Toc389065337"/>
      <w:bookmarkStart w:id="1258" w:name="_Toc351203650"/>
      <w:bookmarkStart w:id="1259" w:name="_Toc373478419"/>
      <w:bookmarkStart w:id="1260" w:name="_Toc407135275"/>
      <w:bookmarkStart w:id="1261" w:name="_Toc487632772"/>
      <w:r>
        <w:rPr>
          <w:rFonts w:hint="eastAsia" w:ascii="宋体" w:hAnsi="宋体" w:eastAsia="宋体" w:cs="宋体"/>
          <w:color w:val="auto"/>
          <w:highlight w:val="none"/>
        </w:rPr>
        <w:t>18. 保险</w:t>
      </w:r>
      <w:bookmarkEnd w:id="1256"/>
      <w:bookmarkEnd w:id="1257"/>
      <w:bookmarkEnd w:id="1258"/>
      <w:bookmarkEnd w:id="1259"/>
      <w:bookmarkEnd w:id="1260"/>
      <w:bookmarkEnd w:id="1261"/>
    </w:p>
    <w:bookmarkEnd w:id="1227"/>
    <w:p w14:paraId="620D2A4B">
      <w:pPr>
        <w:pStyle w:val="5"/>
        <w:rPr>
          <w:rFonts w:hint="eastAsia" w:ascii="宋体" w:hAnsi="宋体" w:eastAsia="宋体" w:cs="宋体"/>
          <w:color w:val="auto"/>
          <w:highlight w:val="none"/>
        </w:rPr>
      </w:pPr>
      <w:bookmarkStart w:id="1262" w:name="_Toc373227773"/>
      <w:bookmarkStart w:id="1263" w:name="_Toc373478420"/>
      <w:bookmarkStart w:id="1264" w:name="_Toc389065338"/>
      <w:bookmarkStart w:id="1265" w:name="_Toc407135276"/>
      <w:bookmarkStart w:id="1266" w:name="_Toc487632773"/>
      <w:r>
        <w:rPr>
          <w:rFonts w:hint="eastAsia" w:ascii="宋体" w:hAnsi="宋体" w:eastAsia="宋体" w:cs="宋体"/>
          <w:color w:val="auto"/>
          <w:highlight w:val="none"/>
        </w:rPr>
        <w:t>18.1 工程保险</w:t>
      </w:r>
      <w:bookmarkEnd w:id="1262"/>
      <w:bookmarkEnd w:id="1263"/>
      <w:bookmarkEnd w:id="1264"/>
      <w:bookmarkEnd w:id="1265"/>
      <w:bookmarkEnd w:id="1266"/>
    </w:p>
    <w:p w14:paraId="3262855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关于工程保险的特别约定：</w:t>
      </w:r>
      <w:r>
        <w:rPr>
          <w:rFonts w:hint="eastAsia" w:ascii="宋体" w:hAnsi="宋体" w:eastAsia="宋体" w:cs="宋体"/>
          <w:color w:val="auto"/>
          <w:kern w:val="0"/>
          <w:highlight w:val="none"/>
          <w:u w:val="single"/>
        </w:rPr>
        <w:t xml:space="preserve">    由承包人负责并承担费用    </w:t>
      </w:r>
      <w:r>
        <w:rPr>
          <w:rFonts w:hint="eastAsia" w:ascii="宋体" w:hAnsi="宋体" w:eastAsia="宋体" w:cs="宋体"/>
          <w:color w:val="auto"/>
          <w:kern w:val="0"/>
          <w:highlight w:val="none"/>
        </w:rPr>
        <w:t>。</w:t>
      </w:r>
    </w:p>
    <w:p w14:paraId="03E0ECDB">
      <w:pPr>
        <w:pStyle w:val="5"/>
        <w:rPr>
          <w:rFonts w:hint="eastAsia" w:ascii="宋体" w:hAnsi="宋体" w:eastAsia="宋体" w:cs="宋体"/>
          <w:color w:val="auto"/>
          <w:highlight w:val="none"/>
        </w:rPr>
      </w:pPr>
      <w:bookmarkStart w:id="1267" w:name="_Toc487632774"/>
      <w:bookmarkStart w:id="1268" w:name="_Toc373478421"/>
      <w:bookmarkStart w:id="1269" w:name="_Toc389065339"/>
      <w:bookmarkStart w:id="1270" w:name="_Toc373227774"/>
      <w:bookmarkStart w:id="1271" w:name="_Toc407135277"/>
      <w:r>
        <w:rPr>
          <w:rFonts w:hint="eastAsia" w:ascii="宋体" w:hAnsi="宋体" w:eastAsia="宋体" w:cs="宋体"/>
          <w:color w:val="auto"/>
          <w:highlight w:val="none"/>
        </w:rPr>
        <w:t>18.</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其他保险</w:t>
      </w:r>
      <w:bookmarkEnd w:id="1267"/>
      <w:bookmarkEnd w:id="1268"/>
      <w:bookmarkEnd w:id="1269"/>
      <w:bookmarkEnd w:id="1270"/>
      <w:bookmarkEnd w:id="1271"/>
    </w:p>
    <w:p w14:paraId="28DB3DB8">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highlight w:val="none"/>
        </w:rPr>
        <w:t>关于其他保险的约定：</w:t>
      </w:r>
      <w:r>
        <w:rPr>
          <w:rFonts w:hint="eastAsia" w:ascii="宋体" w:hAnsi="宋体" w:eastAsia="宋体" w:cs="宋体"/>
          <w:color w:val="auto"/>
          <w:highlight w:val="none"/>
          <w:u w:val="single"/>
        </w:rPr>
        <w:t xml:space="preserve">       由承包人考虑并承担费用         </w:t>
      </w:r>
      <w:r>
        <w:rPr>
          <w:rFonts w:hint="eastAsia" w:ascii="宋体" w:hAnsi="宋体" w:eastAsia="宋体" w:cs="宋体"/>
          <w:color w:val="auto"/>
          <w:highlight w:val="none"/>
        </w:rPr>
        <w:t>。</w:t>
      </w:r>
    </w:p>
    <w:p w14:paraId="3B716BA4">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承包人是否应为其施工设备等办理财产保险：</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0EA5EDC">
      <w:pPr>
        <w:pStyle w:val="5"/>
        <w:rPr>
          <w:rFonts w:hint="eastAsia" w:ascii="宋体" w:hAnsi="宋体" w:eastAsia="宋体" w:cs="宋体"/>
          <w:color w:val="auto"/>
          <w:highlight w:val="none"/>
        </w:rPr>
      </w:pPr>
      <w:bookmarkStart w:id="1272" w:name="_Toc373478422"/>
      <w:bookmarkStart w:id="1273" w:name="_Toc373227775"/>
      <w:bookmarkStart w:id="1274" w:name="_Toc487632775"/>
      <w:bookmarkStart w:id="1275" w:name="_Toc389065340"/>
      <w:bookmarkStart w:id="1276" w:name="_Toc407135278"/>
      <w:r>
        <w:rPr>
          <w:rFonts w:hint="eastAsia" w:ascii="宋体" w:hAnsi="宋体" w:eastAsia="宋体" w:cs="宋体"/>
          <w:color w:val="auto"/>
          <w:highlight w:val="none"/>
        </w:rPr>
        <w:t>18.</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通知义务</w:t>
      </w:r>
      <w:bookmarkEnd w:id="1272"/>
      <w:bookmarkEnd w:id="1273"/>
      <w:bookmarkEnd w:id="1274"/>
      <w:bookmarkEnd w:id="1275"/>
      <w:bookmarkEnd w:id="1276"/>
    </w:p>
    <w:p w14:paraId="3CE1E4DD">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关于变更保险合同时的通知义务的约定：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bookmarkEnd w:id="1181"/>
    <w:bookmarkEnd w:id="1182"/>
    <w:bookmarkEnd w:id="1183"/>
    <w:bookmarkEnd w:id="1184"/>
    <w:bookmarkEnd w:id="1185"/>
    <w:bookmarkEnd w:id="1186"/>
    <w:bookmarkEnd w:id="1187"/>
    <w:bookmarkEnd w:id="1188"/>
    <w:bookmarkEnd w:id="1189"/>
    <w:bookmarkEnd w:id="1190"/>
    <w:bookmarkEnd w:id="1191"/>
    <w:bookmarkEnd w:id="1192"/>
    <w:p w14:paraId="3B9424AE">
      <w:pPr>
        <w:pStyle w:val="4"/>
        <w:rPr>
          <w:rFonts w:hint="eastAsia" w:ascii="宋体" w:hAnsi="宋体" w:eastAsia="宋体" w:cs="宋体"/>
          <w:color w:val="auto"/>
          <w:highlight w:val="none"/>
        </w:rPr>
      </w:pPr>
      <w:bookmarkStart w:id="1277" w:name="_Toc389065341"/>
      <w:bookmarkStart w:id="1278" w:name="_Toc373478423"/>
      <w:bookmarkStart w:id="1279" w:name="_Toc407135279"/>
      <w:bookmarkStart w:id="1280" w:name="_Toc351203651"/>
      <w:bookmarkStart w:id="1281" w:name="_Toc373227776"/>
      <w:bookmarkStart w:id="1282" w:name="_Toc487632776"/>
      <w:r>
        <w:rPr>
          <w:rFonts w:hint="eastAsia" w:ascii="宋体" w:hAnsi="宋体" w:eastAsia="宋体" w:cs="宋体"/>
          <w:color w:val="auto"/>
          <w:highlight w:val="none"/>
        </w:rPr>
        <w:t>20. 争议解决</w:t>
      </w:r>
      <w:bookmarkEnd w:id="1277"/>
      <w:bookmarkEnd w:id="1278"/>
      <w:bookmarkEnd w:id="1279"/>
      <w:bookmarkEnd w:id="1280"/>
      <w:bookmarkEnd w:id="1281"/>
      <w:bookmarkEnd w:id="1282"/>
    </w:p>
    <w:bookmarkEnd w:id="1193"/>
    <w:bookmarkEnd w:id="1194"/>
    <w:p w14:paraId="3DCFF298">
      <w:pPr>
        <w:pStyle w:val="5"/>
        <w:rPr>
          <w:rFonts w:hint="eastAsia" w:ascii="宋体" w:hAnsi="宋体" w:eastAsia="宋体" w:cs="宋体"/>
          <w:color w:val="auto"/>
          <w:highlight w:val="none"/>
        </w:rPr>
      </w:pPr>
      <w:bookmarkStart w:id="1283" w:name="_Toc407135280"/>
      <w:bookmarkStart w:id="1284" w:name="_Toc373478424"/>
      <w:bookmarkStart w:id="1285" w:name="_Toc487632777"/>
      <w:bookmarkStart w:id="1286" w:name="_Toc389065342"/>
      <w:bookmarkStart w:id="1287" w:name="_Toc373227777"/>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争</w:t>
      </w:r>
      <w:bookmarkEnd w:id="1195"/>
      <w:r>
        <w:rPr>
          <w:rFonts w:hint="eastAsia" w:ascii="宋体" w:hAnsi="宋体" w:eastAsia="宋体" w:cs="宋体"/>
          <w:color w:val="auto"/>
          <w:highlight w:val="none"/>
        </w:rPr>
        <w:t>议评审</w:t>
      </w:r>
      <w:bookmarkEnd w:id="1283"/>
      <w:bookmarkEnd w:id="1284"/>
      <w:bookmarkEnd w:id="1285"/>
      <w:bookmarkEnd w:id="1286"/>
      <w:bookmarkEnd w:id="1287"/>
    </w:p>
    <w:p w14:paraId="5A6BE733">
      <w:pPr>
        <w:spacing w:line="360" w:lineRule="auto"/>
        <w:ind w:left="149" w:leftChars="71" w:firstLine="315" w:firstLineChars="15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合同当事人是否同意将工程争议提交争议评审小组决定：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7587444">
      <w:pPr>
        <w:spacing w:line="360" w:lineRule="auto"/>
        <w:ind w:firstLine="420" w:firstLineChars="200"/>
        <w:jc w:val="left"/>
        <w:outlineLvl w:val="0"/>
        <w:rPr>
          <w:rFonts w:hint="eastAsia" w:ascii="宋体" w:hAnsi="宋体" w:eastAsia="宋体" w:cs="宋体"/>
          <w:color w:val="auto"/>
          <w:highlight w:val="none"/>
        </w:rPr>
      </w:pPr>
      <w:bookmarkStart w:id="1288" w:name="_Toc5284"/>
      <w:r>
        <w:rPr>
          <w:rFonts w:hint="eastAsia" w:ascii="宋体" w:hAnsi="宋体" w:eastAsia="宋体" w:cs="宋体"/>
          <w:color w:val="auto"/>
          <w:highlight w:val="none"/>
        </w:rPr>
        <w:t>20.1.1 争议评审小组的确定</w:t>
      </w:r>
      <w:bookmarkEnd w:id="1288"/>
    </w:p>
    <w:p w14:paraId="58E0D409">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争议评审小组成员的确定：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A5AA9D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选定争议评审员的期限：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714183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争议评审小组成员的报酬承担方式：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7AC331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其他事项的约定：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6349DB8">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20.1.2 争议评审小组的决定</w:t>
      </w:r>
    </w:p>
    <w:p w14:paraId="767CB46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合同当事人关于本项的约定：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75A39FD">
      <w:pPr>
        <w:pStyle w:val="5"/>
        <w:rPr>
          <w:rFonts w:hint="eastAsia" w:ascii="宋体" w:hAnsi="宋体" w:eastAsia="宋体" w:cs="宋体"/>
          <w:color w:val="auto"/>
          <w:highlight w:val="none"/>
        </w:rPr>
      </w:pPr>
      <w:bookmarkStart w:id="1289" w:name="_Toc373478425"/>
      <w:bookmarkStart w:id="1290" w:name="_Toc389065343"/>
      <w:bookmarkStart w:id="1291" w:name="_Toc373227778"/>
      <w:bookmarkStart w:id="1292" w:name="_Toc407135281"/>
      <w:bookmarkStart w:id="1293" w:name="_Toc487632778"/>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仲裁或诉讼</w:t>
      </w:r>
      <w:bookmarkEnd w:id="1196"/>
      <w:bookmarkEnd w:id="1289"/>
      <w:bookmarkEnd w:id="1290"/>
      <w:bookmarkEnd w:id="1291"/>
      <w:bookmarkEnd w:id="1292"/>
      <w:bookmarkEnd w:id="1293"/>
    </w:p>
    <w:p w14:paraId="63A169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因合同及合同有关事项发生的争议，按下列第</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种方式解决：</w:t>
      </w:r>
    </w:p>
    <w:p w14:paraId="268F62D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（1）提请</w:t>
      </w:r>
      <w:r>
        <w:rPr>
          <w:rFonts w:hint="eastAsia" w:ascii="宋体" w:hAnsi="宋体" w:eastAsia="宋体" w:cs="宋体"/>
          <w:color w:val="auto"/>
          <w:highlight w:val="none"/>
          <w:u w:val="single"/>
        </w:rPr>
        <w:t xml:space="preserve">  梧州市   </w:t>
      </w:r>
      <w:r>
        <w:rPr>
          <w:rFonts w:hint="eastAsia" w:ascii="宋体" w:hAnsi="宋体" w:eastAsia="宋体" w:cs="宋体"/>
          <w:color w:val="auto"/>
          <w:highlight w:val="none"/>
        </w:rPr>
        <w:t>仲裁委员会按照该会仲裁规则进行仲裁，仲裁裁决是终局的，对合同双方均有约束力。</w:t>
      </w:r>
    </w:p>
    <w:p w14:paraId="627B105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（2）向</w:t>
      </w:r>
      <w:r>
        <w:rPr>
          <w:rFonts w:hint="eastAsia" w:ascii="宋体" w:hAnsi="宋体" w:eastAsia="宋体" w:cs="宋体"/>
          <w:color w:val="auto"/>
          <w:highlight w:val="none"/>
          <w:u w:val="single"/>
        </w:rPr>
        <w:t xml:space="preserve">    工程所在地  </w:t>
      </w:r>
      <w:r>
        <w:rPr>
          <w:rFonts w:hint="eastAsia" w:ascii="宋体" w:hAnsi="宋体" w:eastAsia="宋体" w:cs="宋体"/>
          <w:color w:val="auto"/>
          <w:highlight w:val="none"/>
        </w:rPr>
        <w:t>人民法院起诉。</w:t>
      </w:r>
      <w:bookmarkEnd w:id="1197"/>
      <w:bookmarkEnd w:id="1198"/>
      <w:bookmarkEnd w:id="1199"/>
      <w:bookmarkEnd w:id="1200"/>
      <w:bookmarkEnd w:id="1201"/>
      <w:bookmarkEnd w:id="1202"/>
    </w:p>
    <w:p w14:paraId="0440B7FA">
      <w:pPr>
        <w:pStyle w:val="4"/>
        <w:rPr>
          <w:rFonts w:hint="eastAsia" w:ascii="宋体" w:hAnsi="宋体" w:eastAsia="宋体" w:cs="宋体"/>
          <w:color w:val="auto"/>
          <w:highlight w:val="none"/>
        </w:rPr>
      </w:pPr>
      <w:bookmarkStart w:id="1294" w:name="_Toc487632779"/>
      <w:bookmarkStart w:id="1295" w:name="_Toc407135282"/>
      <w:bookmarkStart w:id="1296" w:name="_Toc373478426"/>
      <w:bookmarkStart w:id="1297" w:name="_Toc389065344"/>
      <w:bookmarkStart w:id="1298" w:name="_Toc373227779"/>
      <w:r>
        <w:rPr>
          <w:rFonts w:hint="eastAsia" w:ascii="宋体" w:hAnsi="宋体" w:eastAsia="宋体" w:cs="宋体"/>
          <w:color w:val="auto"/>
          <w:highlight w:val="none"/>
        </w:rPr>
        <w:t>21. 补充条款</w:t>
      </w:r>
      <w:bookmarkEnd w:id="1294"/>
      <w:bookmarkEnd w:id="1295"/>
      <w:bookmarkEnd w:id="1296"/>
      <w:bookmarkEnd w:id="1297"/>
      <w:bookmarkEnd w:id="1298"/>
    </w:p>
    <w:p w14:paraId="5F4192D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21.1 凡进入本工程工作的妇女应持有计生证、否则不准安排工作，禁止使用童工。</w:t>
      </w:r>
    </w:p>
    <w:p w14:paraId="5856CA9C">
      <w:pPr>
        <w:pStyle w:val="20"/>
        <w:spacing w:line="400" w:lineRule="exact"/>
        <w:rPr>
          <w:rFonts w:hint="eastAsia" w:ascii="宋体" w:hAnsi="宋体" w:eastAsia="宋体" w:cs="宋体"/>
          <w:color w:val="auto"/>
          <w:highlight w:val="none"/>
        </w:rPr>
      </w:pPr>
    </w:p>
    <w:p w14:paraId="1DCC2858">
      <w:pPr>
        <w:widowControl/>
        <w:autoSpaceDE/>
        <w:autoSpaceDN/>
        <w:snapToGrid/>
        <w:spacing w:before="0" w:after="0" w:line="480" w:lineRule="exact"/>
        <w:jc w:val="left"/>
        <w:rPr>
          <w:rFonts w:hint="eastAsia" w:ascii="宋体" w:hAnsi="宋体" w:eastAsia="宋体" w:cs="宋体"/>
          <w:b/>
          <w:color w:val="auto"/>
          <w:w w:val="100"/>
          <w:sz w:val="22"/>
          <w:szCs w:val="22"/>
          <w:highlight w:val="none"/>
        </w:rPr>
      </w:pPr>
      <w:r>
        <w:rPr>
          <w:rFonts w:hint="eastAsia" w:ascii="宋体" w:hAnsi="宋体" w:eastAsia="宋体" w:cs="宋体"/>
          <w:color w:val="auto"/>
          <w:highlight w:val="none"/>
        </w:rPr>
        <w:br w:type="page"/>
      </w:r>
      <w:r>
        <w:rPr>
          <w:rFonts w:hint="eastAsia" w:ascii="宋体" w:hAnsi="宋体" w:eastAsia="宋体" w:cs="宋体"/>
          <w:b/>
          <w:color w:val="auto"/>
          <w:w w:val="100"/>
          <w:sz w:val="22"/>
          <w:szCs w:val="22"/>
          <w:highlight w:val="none"/>
        </w:rPr>
        <w:t>对应合同编号：</w:t>
      </w:r>
    </w:p>
    <w:p w14:paraId="48E4936C">
      <w:pPr>
        <w:widowControl/>
        <w:autoSpaceDE/>
        <w:autoSpaceDN/>
        <w:snapToGrid/>
        <w:spacing w:before="0" w:after="0" w:line="360" w:lineRule="auto"/>
        <w:ind w:left="0" w:firstLine="480"/>
        <w:jc w:val="left"/>
        <w:rPr>
          <w:rFonts w:hint="eastAsia" w:ascii="宋体" w:hAnsi="宋体" w:eastAsia="宋体" w:cs="宋体"/>
          <w:b w:val="0"/>
          <w:color w:val="auto"/>
          <w:w w:val="100"/>
          <w:sz w:val="22"/>
          <w:szCs w:val="22"/>
          <w:highlight w:val="none"/>
        </w:rPr>
      </w:pPr>
    </w:p>
    <w:p w14:paraId="44B53360">
      <w:pPr>
        <w:widowControl/>
        <w:autoSpaceDE/>
        <w:autoSpaceDN/>
        <w:snapToGrid/>
        <w:spacing w:before="0" w:after="0" w:line="240" w:lineRule="auto"/>
        <w:ind w:left="0" w:firstLine="480"/>
        <w:jc w:val="center"/>
        <w:rPr>
          <w:rFonts w:hint="eastAsia" w:ascii="宋体" w:hAnsi="宋体" w:eastAsia="宋体" w:cs="宋体"/>
          <w:b/>
          <w:color w:val="auto"/>
          <w:w w:val="100"/>
          <w:sz w:val="28"/>
          <w:szCs w:val="21"/>
          <w:highlight w:val="none"/>
        </w:rPr>
      </w:pPr>
      <w:r>
        <w:rPr>
          <w:rFonts w:hint="eastAsia" w:ascii="宋体" w:hAnsi="宋体" w:eastAsia="宋体" w:cs="宋体"/>
          <w:b/>
          <w:color w:val="auto"/>
          <w:w w:val="100"/>
          <w:sz w:val="28"/>
          <w:szCs w:val="21"/>
          <w:highlight w:val="none"/>
        </w:rPr>
        <w:t>廉洁协议书（范本）</w:t>
      </w:r>
    </w:p>
    <w:p w14:paraId="41060360">
      <w:pPr>
        <w:widowControl/>
        <w:autoSpaceDE/>
        <w:autoSpaceDN/>
        <w:snapToGrid/>
        <w:spacing w:before="0" w:after="0" w:line="440" w:lineRule="exact"/>
        <w:ind w:left="0" w:firstLine="480"/>
        <w:jc w:val="left"/>
        <w:rPr>
          <w:rFonts w:hint="eastAsia" w:ascii="宋体" w:hAnsi="宋体" w:eastAsia="宋体" w:cs="宋体"/>
          <w:b w:val="0"/>
          <w:color w:val="auto"/>
          <w:w w:val="100"/>
          <w:sz w:val="18"/>
          <w:szCs w:val="22"/>
          <w:highlight w:val="none"/>
        </w:rPr>
      </w:pPr>
    </w:p>
    <w:p w14:paraId="79178497">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1968D16D">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p>
    <w:p w14:paraId="18208E21">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第一条 甲、乙双方的共同责任</w:t>
      </w:r>
    </w:p>
    <w:p w14:paraId="4078476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（一）严格遵守国家关于市场准入、招标投标、工程建设、物资采购等市场经济活动的法律法规、政策以及廉洁建设规定。</w:t>
      </w:r>
    </w:p>
    <w:p w14:paraId="513C9FF3">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（二）严格履行合同约定，自觉承担合同义务。</w:t>
      </w:r>
    </w:p>
    <w:p w14:paraId="213C294D">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（三）业务活动必须坚持公平、公正、公开和诚实守信的原则（除法律法规另有规定者外），不得为获取不正当利益，损害国家、集体和对方利益，不违反招标投标、工程建设管理、物资采购等方面的规章制度。</w:t>
      </w:r>
    </w:p>
    <w:p w14:paraId="588A82B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（四）建立健全自我制约制度，开展廉洁教育，公布举报电话，监督并认真查处违法违纪行为。</w:t>
      </w:r>
    </w:p>
    <w:p w14:paraId="1C2005A1">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（五）发现对方在业务活动中有违规、违纪、违法行为的，应及时提醒对方，情节严重的，应向有关纪检监察部门举报。</w:t>
      </w:r>
    </w:p>
    <w:p w14:paraId="11542A21">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p>
    <w:p w14:paraId="4E53D2EC">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color w:val="auto"/>
          <w:w w:val="100"/>
          <w:sz w:val="21"/>
          <w:szCs w:val="21"/>
          <w:highlight w:val="none"/>
        </w:rPr>
        <w:t>第二条  甲方的责任</w:t>
      </w:r>
      <w:r>
        <w:rPr>
          <w:rFonts w:hint="eastAsia" w:ascii="宋体" w:hAnsi="宋体" w:eastAsia="宋体" w:cs="宋体"/>
          <w:b w:val="0"/>
          <w:color w:val="auto"/>
          <w:w w:val="100"/>
          <w:sz w:val="21"/>
          <w:szCs w:val="21"/>
          <w:highlight w:val="none"/>
        </w:rPr>
        <w:t>：</w:t>
      </w:r>
    </w:p>
    <w:p w14:paraId="6EDE0BE0">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甲方相关工作人员，在业务活动的事前、事中、事后，应遵守以下规定：</w:t>
      </w:r>
    </w:p>
    <w:p w14:paraId="2747C1B1">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（一）贯彻落实</w:t>
      </w:r>
      <w:r>
        <w:rPr>
          <w:rFonts w:hint="eastAsia" w:ascii="宋体" w:hAnsi="宋体" w:cs="宋体"/>
          <w:b w:val="0"/>
          <w:color w:val="auto"/>
          <w:w w:val="100"/>
          <w:sz w:val="21"/>
          <w:szCs w:val="21"/>
          <w:highlight w:val="none"/>
          <w:lang w:eastAsia="zh-CN"/>
        </w:rPr>
        <w:t>苍梧县人民医院</w:t>
      </w:r>
      <w:r>
        <w:rPr>
          <w:rFonts w:hint="eastAsia" w:ascii="宋体" w:hAnsi="宋体" w:eastAsia="宋体" w:cs="宋体"/>
          <w:b w:val="0"/>
          <w:color w:val="auto"/>
          <w:w w:val="100"/>
          <w:sz w:val="21"/>
          <w:szCs w:val="21"/>
          <w:highlight w:val="none"/>
          <w:lang w:eastAsia="zh-CN"/>
        </w:rPr>
        <w:t xml:space="preserve"> </w:t>
      </w:r>
      <w:r>
        <w:rPr>
          <w:rFonts w:hint="eastAsia" w:ascii="宋体" w:hAnsi="宋体" w:eastAsia="宋体" w:cs="宋体"/>
          <w:b w:val="0"/>
          <w:color w:val="auto"/>
          <w:w w:val="100"/>
          <w:sz w:val="21"/>
          <w:szCs w:val="21"/>
          <w:highlight w:val="none"/>
        </w:rPr>
        <w:t xml:space="preserve">有关党风廉政建设责任制及廉洁从业的规定，建立企业诚信档案； </w:t>
      </w:r>
    </w:p>
    <w:p w14:paraId="47BBF55B">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（二）按照公平、公正、公开和诚实守信的原则开展各项业务活动，为乙方提供公平的竞争环境与平台； </w:t>
      </w:r>
    </w:p>
    <w:p w14:paraId="4DABEA54">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（三）不准向乙方泄漏涉及有关业务活动的秘密； </w:t>
      </w:r>
    </w:p>
    <w:p w14:paraId="6A6AD838">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（四）不准向乙方和相关单位索要或接受回扣、红包、礼金、购物卡、有价证券、贵重物品和好处费、感谢费等； </w:t>
      </w:r>
    </w:p>
    <w:p w14:paraId="7C046A45">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（五）不准在乙方和相关单位报销任何应由甲方或个人支付的费用；</w:t>
      </w:r>
    </w:p>
    <w:p w14:paraId="369E99CF">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（六）不准要求、暗示或接受乙方和相关单位为个人装修住房、婚丧嫁娶、配偶子女的工作安排以及境内外旅游等提供方便；</w:t>
      </w:r>
    </w:p>
    <w:p w14:paraId="645A7B2C">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（七）不准向乙方介绍配偶、子女、亲属参与与甲方有关的经济活动，不得以任何理由向乙方和相关单位推荐第三方单位；</w:t>
      </w:r>
    </w:p>
    <w:p w14:paraId="11F9A664">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（八）不准参与影响相关工作正常和公正开展的其他活动；</w:t>
      </w:r>
    </w:p>
    <w:p w14:paraId="1BDF42C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（九）不准违反《中共中央纪委关于严格禁止利用职务上的便利谋取不正当利益的若干规定》的内容。</w:t>
      </w:r>
    </w:p>
    <w:p w14:paraId="553CDBBE">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p>
    <w:p w14:paraId="76E20E77">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第三条  乙方的责任：</w:t>
      </w:r>
    </w:p>
    <w:p w14:paraId="0AF2170D">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在与甲方业务交往过程中，按照有关法律法规和程序开展工作，严格执行国家的有关方针、政策，并遵守以下规定：</w:t>
      </w:r>
    </w:p>
    <w:p w14:paraId="46CBCA7E">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（一）不准以任何理由为甲方和相关单位报销应由对方或个人支付的费用；</w:t>
      </w:r>
    </w:p>
    <w:p w14:paraId="2A01F95D">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（二）不准以任何理由向甲方负责人及其工作人员赠送回扣、红包、礼金、购物卡、有价证券、贵重物品和好处费、感谢费等；</w:t>
      </w:r>
    </w:p>
    <w:p w14:paraId="6D15EDD4">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（三）不准以任何理由为甲方、与甲方相关的单位或个人提供高消费宴请及娱乐活动；</w:t>
      </w:r>
    </w:p>
    <w:p w14:paraId="78879A90">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（四）不准以任何理由为甲方、与甲方相关的单位或个人购置或提供通讯工具、交通工具和高档办公用品；</w:t>
      </w:r>
    </w:p>
    <w:p w14:paraId="668513DD">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（五）不准接受或暗示为甲方、与甲方相关的单位或个人装修住房、婚丧嫁取、配偶子女的工作安排以及境内外旅游等提供方便；</w:t>
      </w:r>
    </w:p>
    <w:p w14:paraId="531EDCD3">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（六）不准以谋取非正当利益为目的，擅自与甲方工作人员就业务问题进行私下商谈或者达成利益默契；</w:t>
      </w:r>
    </w:p>
    <w:p w14:paraId="020DD747">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（七）发现甲方工作人员有违反本廉洁协议书规定的，应向甲方单位举报。</w:t>
      </w:r>
    </w:p>
    <w:p w14:paraId="03BF7F14">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p>
    <w:p w14:paraId="5021DB66">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第四条  相关责任</w:t>
      </w:r>
    </w:p>
    <w:p w14:paraId="4FCD2760">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11F3E7EA">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（二）乙方违反本廉洁协议书第一、三条规定的，根据国家和</w:t>
      </w:r>
      <w:r>
        <w:rPr>
          <w:rFonts w:hint="eastAsia" w:ascii="宋体" w:hAnsi="宋体" w:cs="宋体"/>
          <w:b w:val="0"/>
          <w:color w:val="auto"/>
          <w:w w:val="100"/>
          <w:sz w:val="21"/>
          <w:szCs w:val="21"/>
          <w:highlight w:val="none"/>
          <w:lang w:eastAsia="zh-CN"/>
        </w:rPr>
        <w:t>苍梧县人民医院</w:t>
      </w:r>
      <w:r>
        <w:rPr>
          <w:rFonts w:hint="eastAsia" w:ascii="宋体" w:hAnsi="宋体" w:eastAsia="宋体" w:cs="宋体"/>
          <w:b w:val="0"/>
          <w:color w:val="auto"/>
          <w:w w:val="100"/>
          <w:sz w:val="21"/>
          <w:szCs w:val="21"/>
          <w:highlight w:val="none"/>
        </w:rPr>
        <w:t>招投标等有关规定，对乙方进行处理。涉嫌犯罪的，移送司法机关依法追究刑事责任；给甲方单位造成经济损失的，应依法予以赔偿。</w:t>
      </w:r>
    </w:p>
    <w:p w14:paraId="31BB0A37">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（三）乙方违反本廉洁协议书第一、三条规定，发生行贿行为，经政府有关执纪执法部门或甲方纪检监察机构查证属实，甲方根据</w:t>
      </w:r>
      <w:r>
        <w:rPr>
          <w:rFonts w:hint="eastAsia" w:ascii="宋体" w:hAnsi="宋体" w:cs="宋体"/>
          <w:b w:val="0"/>
          <w:color w:val="auto"/>
          <w:w w:val="100"/>
          <w:sz w:val="21"/>
          <w:szCs w:val="21"/>
          <w:highlight w:val="none"/>
          <w:lang w:eastAsia="zh-CN"/>
        </w:rPr>
        <w:t>苍梧县人民医院</w:t>
      </w:r>
      <w:r>
        <w:rPr>
          <w:rFonts w:hint="eastAsia" w:ascii="宋体" w:hAnsi="宋体" w:eastAsia="宋体" w:cs="宋体"/>
          <w:b w:val="0"/>
          <w:color w:val="auto"/>
          <w:w w:val="100"/>
          <w:sz w:val="21"/>
          <w:szCs w:val="21"/>
          <w:highlight w:val="none"/>
          <w:lang w:eastAsia="zh-CN"/>
        </w:rPr>
        <w:t xml:space="preserve"> </w:t>
      </w:r>
      <w:r>
        <w:rPr>
          <w:rFonts w:hint="eastAsia" w:ascii="宋体" w:hAnsi="宋体" w:eastAsia="宋体" w:cs="宋体"/>
          <w:b w:val="0"/>
          <w:color w:val="auto"/>
          <w:w w:val="100"/>
          <w:sz w:val="21"/>
          <w:szCs w:val="21"/>
          <w:highlight w:val="none"/>
        </w:rPr>
        <w:t>有关规定，视情节轻重对乙方实施一定期限的市场禁入。</w:t>
      </w:r>
    </w:p>
    <w:p w14:paraId="04D0C8C4">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p>
    <w:p w14:paraId="53082856">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第五条  协议书生效及法律效力</w:t>
      </w:r>
    </w:p>
    <w:p w14:paraId="04E2AC55">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（一）本廉洁协议书作为合同的附件，与合同具有同等法律效力，经双方签字盖章后立即生效。</w:t>
      </w:r>
    </w:p>
    <w:p w14:paraId="741A2CA8">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（二）除非甲乙双方另行签订新的廉洁协议书，否则本廉洁协议书在甲方与乙方存在业务关系期间均对双方产生约束力。</w:t>
      </w:r>
    </w:p>
    <w:p w14:paraId="04216F03">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甲乙双方确认在签订本廉洁协议书前已仔细阅读条款内容，甲乙双方对本廉洁协议书所产生的法律责任已清楚知悉并承诺遵守。</w:t>
      </w:r>
    </w:p>
    <w:p w14:paraId="2A20878C">
      <w:pPr>
        <w:widowControl/>
        <w:autoSpaceDE/>
        <w:autoSpaceDN/>
        <w:snapToGrid/>
        <w:spacing w:before="0" w:after="0" w:line="500" w:lineRule="exact"/>
        <w:ind w:left="0" w:firstLine="0"/>
        <w:jc w:val="left"/>
        <w:rPr>
          <w:rFonts w:hint="eastAsia" w:ascii="宋体" w:hAnsi="宋体" w:eastAsia="宋体" w:cs="宋体"/>
          <w:b w:val="0"/>
          <w:color w:val="auto"/>
          <w:w w:val="100"/>
          <w:sz w:val="21"/>
          <w:szCs w:val="21"/>
          <w:highlight w:val="none"/>
        </w:rPr>
      </w:pPr>
    </w:p>
    <w:p w14:paraId="3619A508">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第六条  其他</w:t>
      </w:r>
    </w:p>
    <w:p w14:paraId="0AAD2C86">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（一）在履行本合同过程中发生纠纷时，双方应及时协商解决，协商未果，由上级主管部门调解。</w:t>
      </w:r>
    </w:p>
    <w:p w14:paraId="6F353CD0">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（二）本合同一式</w:t>
      </w:r>
      <w:r>
        <w:rPr>
          <w:rFonts w:hint="eastAsia" w:ascii="宋体" w:hAnsi="宋体" w:eastAsia="宋体" w:cs="宋体"/>
          <w:b w:val="0"/>
          <w:color w:val="auto"/>
          <w:w w:val="100"/>
          <w:sz w:val="21"/>
          <w:szCs w:val="21"/>
          <w:highlight w:val="none"/>
          <w:u w:val="single"/>
        </w:rPr>
        <w:t xml:space="preserve">      </w:t>
      </w:r>
      <w:r>
        <w:rPr>
          <w:rFonts w:hint="eastAsia" w:ascii="宋体" w:hAnsi="宋体" w:eastAsia="宋体" w:cs="宋体"/>
          <w:b w:val="0"/>
          <w:color w:val="auto"/>
          <w:w w:val="100"/>
          <w:sz w:val="21"/>
          <w:szCs w:val="21"/>
          <w:highlight w:val="none"/>
        </w:rPr>
        <w:t>份，甲乙双方各执</w:t>
      </w:r>
      <w:r>
        <w:rPr>
          <w:rFonts w:hint="eastAsia" w:ascii="宋体" w:hAnsi="宋体" w:eastAsia="宋体" w:cs="宋体"/>
          <w:b w:val="0"/>
          <w:color w:val="auto"/>
          <w:w w:val="100"/>
          <w:sz w:val="21"/>
          <w:szCs w:val="21"/>
          <w:highlight w:val="none"/>
          <w:u w:val="single"/>
        </w:rPr>
        <w:t xml:space="preserve">     </w:t>
      </w:r>
      <w:r>
        <w:rPr>
          <w:rFonts w:hint="eastAsia" w:ascii="宋体" w:hAnsi="宋体" w:eastAsia="宋体" w:cs="宋体"/>
          <w:b w:val="0"/>
          <w:color w:val="auto"/>
          <w:w w:val="100"/>
          <w:sz w:val="21"/>
          <w:szCs w:val="21"/>
          <w:highlight w:val="none"/>
        </w:rPr>
        <w:t>份，采购代理机构执一份。</w:t>
      </w:r>
    </w:p>
    <w:p w14:paraId="40A0D17D">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（三）本合同自签章之日起生效。双方履行完合同规定的条款后，本合同即行终止。</w:t>
      </w:r>
    </w:p>
    <w:p w14:paraId="42C13186">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（四）本合同未尽事宜，双方可签订补充协议，有关协议及双方认可的来往电报、传真、会议纪要等，均为本合同组成部分，与本合同具有同等法律效力。</w:t>
      </w:r>
    </w:p>
    <w:p w14:paraId="11A78F65">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（五）其它约定事项：</w:t>
      </w:r>
    </w:p>
    <w:tbl>
      <w:tblPr>
        <w:tblStyle w:val="36"/>
        <w:tblW w:w="0" w:type="auto"/>
        <w:jc w:val="center"/>
        <w:tblLayout w:type="fixed"/>
        <w:tblCellMar>
          <w:top w:w="0" w:type="dxa"/>
          <w:left w:w="0" w:type="dxa"/>
          <w:bottom w:w="0" w:type="dxa"/>
          <w:right w:w="0" w:type="dxa"/>
        </w:tblCellMar>
      </w:tblPr>
      <w:tblGrid>
        <w:gridCol w:w="4589"/>
        <w:gridCol w:w="4476"/>
      </w:tblGrid>
      <w:tr w14:paraId="04979689">
        <w:tblPrEx>
          <w:tblCellMar>
            <w:top w:w="0" w:type="dxa"/>
            <w:left w:w="0" w:type="dxa"/>
            <w:bottom w:w="0" w:type="dxa"/>
            <w:right w:w="0" w:type="dxa"/>
          </w:tblCellMar>
        </w:tblPrEx>
        <w:trPr>
          <w:trHeight w:val="545"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49D37CC">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甲方单位名称：（盖章）</w:t>
            </w:r>
          </w:p>
          <w:p w14:paraId="0DB13FE8">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lang w:eastAsia="zh-CN"/>
              </w:rPr>
            </w:pPr>
            <w:r>
              <w:rPr>
                <w:rFonts w:hint="eastAsia" w:ascii="宋体" w:hAnsi="宋体" w:cs="宋体"/>
                <w:b w:val="0"/>
                <w:color w:val="auto"/>
                <w:w w:val="100"/>
                <w:sz w:val="21"/>
                <w:szCs w:val="21"/>
                <w:highlight w:val="none"/>
                <w:lang w:eastAsia="zh-CN"/>
              </w:rPr>
              <w:t>苍梧县人民医院</w:t>
            </w:r>
            <w:r>
              <w:rPr>
                <w:rFonts w:hint="eastAsia" w:ascii="宋体" w:hAnsi="宋体" w:eastAsia="宋体" w:cs="宋体"/>
                <w:b w:val="0"/>
                <w:color w:val="auto"/>
                <w:w w:val="100"/>
                <w:sz w:val="21"/>
                <w:szCs w:val="21"/>
                <w:highlight w:val="none"/>
                <w:lang w:eastAsia="zh-CN"/>
              </w:rPr>
              <w:t xml:space="preserve"> </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3E32DF">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乙方单位名称：（盖章）</w:t>
            </w:r>
          </w:p>
          <w:p w14:paraId="536AA905">
            <w:pPr>
              <w:keepNext w:val="0"/>
              <w:keepLines w:val="0"/>
              <w:widowControl/>
              <w:suppressLineNumbers w:val="0"/>
              <w:autoSpaceDE/>
              <w:autoSpaceDN/>
              <w:snapToGrid/>
              <w:spacing w:before="0" w:beforeAutospacing="0" w:after="0" w:afterAutospacing="0" w:line="440" w:lineRule="exact"/>
              <w:ind w:left="0" w:right="0" w:firstLine="480"/>
              <w:jc w:val="left"/>
              <w:rPr>
                <w:rFonts w:hint="eastAsia" w:ascii="宋体" w:hAnsi="宋体" w:eastAsia="宋体" w:cs="宋体"/>
                <w:b w:val="0"/>
                <w:color w:val="auto"/>
                <w:w w:val="100"/>
                <w:sz w:val="21"/>
                <w:szCs w:val="21"/>
                <w:highlight w:val="none"/>
              </w:rPr>
            </w:pPr>
          </w:p>
          <w:p w14:paraId="76C41805">
            <w:pPr>
              <w:keepNext w:val="0"/>
              <w:keepLines w:val="0"/>
              <w:widowControl/>
              <w:suppressLineNumbers w:val="0"/>
              <w:autoSpaceDE/>
              <w:autoSpaceDN/>
              <w:snapToGrid/>
              <w:spacing w:before="0" w:beforeAutospacing="0" w:after="0" w:afterAutospacing="0" w:line="440" w:lineRule="exact"/>
              <w:ind w:left="0" w:right="0" w:firstLine="480"/>
              <w:jc w:val="left"/>
              <w:rPr>
                <w:rFonts w:hint="eastAsia" w:ascii="宋体" w:hAnsi="宋体" w:eastAsia="宋体" w:cs="宋体"/>
                <w:b w:val="0"/>
                <w:color w:val="auto"/>
                <w:w w:val="100"/>
                <w:sz w:val="21"/>
                <w:szCs w:val="21"/>
                <w:highlight w:val="none"/>
              </w:rPr>
            </w:pPr>
          </w:p>
          <w:p w14:paraId="0A9DAF41">
            <w:pPr>
              <w:keepNext w:val="0"/>
              <w:keepLines w:val="0"/>
              <w:widowControl/>
              <w:suppressLineNumbers w:val="0"/>
              <w:autoSpaceDE/>
              <w:autoSpaceDN/>
              <w:snapToGrid/>
              <w:spacing w:before="0" w:beforeAutospacing="0" w:after="0" w:afterAutospacing="0" w:line="440" w:lineRule="exact"/>
              <w:ind w:left="0" w:right="0" w:firstLine="480"/>
              <w:jc w:val="left"/>
              <w:rPr>
                <w:rFonts w:hint="eastAsia" w:ascii="宋体" w:hAnsi="宋体" w:eastAsia="宋体" w:cs="宋体"/>
                <w:b w:val="0"/>
                <w:color w:val="auto"/>
                <w:w w:val="100"/>
                <w:sz w:val="21"/>
                <w:szCs w:val="21"/>
                <w:highlight w:val="none"/>
              </w:rPr>
            </w:pPr>
          </w:p>
        </w:tc>
      </w:tr>
      <w:tr w14:paraId="7302B7AB">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547FB59">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cs="Times New Roman"/>
                <w:color w:val="auto"/>
                <w:szCs w:val="21"/>
                <w:highlight w:val="none"/>
                <w:lang w:eastAsia="zh-CN"/>
              </w:rPr>
              <w:t>社会代码：</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279E62C">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cs="Times New Roman"/>
                <w:color w:val="auto"/>
                <w:szCs w:val="21"/>
                <w:highlight w:val="none"/>
                <w:lang w:eastAsia="zh-CN"/>
              </w:rPr>
              <w:t>社会代码：</w:t>
            </w:r>
          </w:p>
        </w:tc>
      </w:tr>
      <w:tr w14:paraId="1B3A6F3E">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6AA519">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法定代表人：</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5192859">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法定代表人：</w:t>
            </w:r>
          </w:p>
        </w:tc>
      </w:tr>
      <w:tr w14:paraId="4C5D9DE1">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97DBC4">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单位地址：</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DF5B346">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单位地址：</w:t>
            </w:r>
          </w:p>
        </w:tc>
      </w:tr>
      <w:tr w14:paraId="56FC125A">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50C611">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电   话：</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0EEA5F">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电   话：</w:t>
            </w:r>
          </w:p>
        </w:tc>
      </w:tr>
      <w:tr w14:paraId="3662BFFC">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315A13">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开户银行：</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CC64DE9">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开户银行：</w:t>
            </w:r>
          </w:p>
        </w:tc>
      </w:tr>
      <w:tr w14:paraId="217DAFA7">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325DA8">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银行账号：</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FD821B">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银行账号：</w:t>
            </w:r>
          </w:p>
        </w:tc>
      </w:tr>
      <w:tr w14:paraId="13A82261">
        <w:tblPrEx>
          <w:tblCellMar>
            <w:top w:w="0" w:type="dxa"/>
            <w:left w:w="0" w:type="dxa"/>
            <w:bottom w:w="0" w:type="dxa"/>
            <w:right w:w="0" w:type="dxa"/>
          </w:tblCellMar>
        </w:tblPrEx>
        <w:trPr>
          <w:trHeight w:val="1271"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FF80E2">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签订合同代表（签字）：</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65B35A">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签订合同代表（签字）：</w:t>
            </w:r>
          </w:p>
        </w:tc>
      </w:tr>
      <w:tr w14:paraId="57846C8C">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E0C848">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日 期：    年    月    日</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528FFD">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日 期：   年    月    日</w:t>
            </w:r>
          </w:p>
        </w:tc>
      </w:tr>
    </w:tbl>
    <w:p w14:paraId="31033A37">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5C3741DC">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6739BE28">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签约地点： </w:t>
      </w:r>
    </w:p>
    <w:p w14:paraId="13E938F3">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065804FC">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签约日期：　　 年    月    日</w:t>
      </w:r>
    </w:p>
    <w:p w14:paraId="30FC3A29">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7D8AA44E">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采购代理机构审核（公章）：</w:t>
      </w:r>
    </w:p>
    <w:p w14:paraId="2E36C98B">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15C086EA">
      <w:pPr>
        <w:widowControl/>
        <w:autoSpaceDE/>
        <w:autoSpaceDN/>
        <w:snapToGrid/>
        <w:spacing w:before="0" w:after="0" w:line="44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val="0"/>
          <w:color w:val="auto"/>
          <w:w w:val="100"/>
          <w:sz w:val="21"/>
          <w:szCs w:val="21"/>
          <w:highlight w:val="none"/>
        </w:rPr>
        <w:t>审核人：</w:t>
      </w:r>
    </w:p>
    <w:p w14:paraId="2F51C8AE">
      <w:pPr>
        <w:pStyle w:val="2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795A6AB">
      <w:pPr>
        <w:pStyle w:val="3"/>
        <w:bidi w:val="0"/>
        <w:rPr>
          <w:rFonts w:hint="eastAsia"/>
          <w:b/>
          <w:bCs w:val="0"/>
          <w:color w:val="auto"/>
        </w:rPr>
      </w:pPr>
      <w:bookmarkStart w:id="1299" w:name="_Toc156106971"/>
      <w:bookmarkStart w:id="1300" w:name="_Toc147248436"/>
      <w:bookmarkStart w:id="1301" w:name="_Toc13601"/>
      <w:bookmarkStart w:id="1302" w:name="_Toc239839917"/>
      <w:bookmarkStart w:id="1303" w:name="_Toc185703010"/>
      <w:bookmarkStart w:id="1304" w:name="_Toc185702588"/>
      <w:bookmarkStart w:id="1305" w:name="_Toc486923010"/>
      <w:bookmarkStart w:id="1306" w:name="_Toc687_WPSOffice_Level1"/>
      <w:r>
        <w:rPr>
          <w:rFonts w:hint="eastAsia"/>
          <w:b/>
          <w:bCs w:val="0"/>
          <w:color w:val="auto"/>
        </w:rPr>
        <w:t>第五章   评标</w:t>
      </w:r>
      <w:bookmarkEnd w:id="1299"/>
      <w:bookmarkEnd w:id="1300"/>
      <w:r>
        <w:rPr>
          <w:rFonts w:hint="eastAsia"/>
          <w:b/>
          <w:bCs w:val="0"/>
          <w:color w:val="auto"/>
        </w:rPr>
        <w:t>办法</w:t>
      </w:r>
      <w:bookmarkEnd w:id="1301"/>
      <w:bookmarkEnd w:id="1302"/>
      <w:bookmarkEnd w:id="1303"/>
      <w:bookmarkEnd w:id="1304"/>
      <w:bookmarkEnd w:id="1305"/>
      <w:bookmarkEnd w:id="1306"/>
    </w:p>
    <w:p w14:paraId="27A5E15B">
      <w:pPr>
        <w:pStyle w:val="20"/>
        <w:spacing w:line="200" w:lineRule="exact"/>
        <w:ind w:firstLine="431"/>
        <w:rPr>
          <w:rFonts w:hint="eastAsia" w:ascii="宋体" w:hAnsi="宋体" w:eastAsia="宋体" w:cs="宋体"/>
          <w:bCs/>
          <w:color w:val="auto"/>
          <w:highlight w:val="none"/>
        </w:rPr>
      </w:pPr>
    </w:p>
    <w:p w14:paraId="7DD15D32">
      <w:pPr>
        <w:pStyle w:val="20"/>
        <w:spacing w:line="400" w:lineRule="exact"/>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评标办法和成交标准</w:t>
      </w:r>
    </w:p>
    <w:p w14:paraId="2AE2F6B5">
      <w:pPr>
        <w:spacing w:before="120" w:beforeLines="50" w:line="48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一、评标原则</w:t>
      </w:r>
    </w:p>
    <w:p w14:paraId="059777E5">
      <w:pPr>
        <w:spacing w:line="48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（一）磋商（评标）小组构成：</w:t>
      </w:r>
      <w:r>
        <w:rPr>
          <w:rFonts w:hint="eastAsia" w:ascii="宋体" w:hAnsi="宋体" w:eastAsia="宋体" w:cs="宋体"/>
          <w:color w:val="auto"/>
          <w:highlight w:val="none"/>
        </w:rPr>
        <w:t>磋商小组成员由采购人代表和在</w:t>
      </w:r>
      <w:r>
        <w:rPr>
          <w:rFonts w:hint="eastAsia" w:ascii="宋体" w:hAnsi="宋体" w:eastAsia="宋体" w:cs="宋体"/>
          <w:bCs/>
          <w:color w:val="auto"/>
          <w:highlight w:val="none"/>
        </w:rPr>
        <w:t>政府采购专家库中随机抽取</w:t>
      </w:r>
      <w:r>
        <w:rPr>
          <w:rFonts w:hint="eastAsia" w:ascii="宋体" w:hAnsi="宋体" w:eastAsia="宋体" w:cs="宋体"/>
          <w:color w:val="auto"/>
          <w:highlight w:val="none"/>
        </w:rPr>
        <w:t>的有关技术、经济等方面专家组成，成员人数为三人以上（含三人）单数组成，其中技术、经济等方面专家不少于成员总数的三分之二。</w:t>
      </w:r>
    </w:p>
    <w:p w14:paraId="513C7D62">
      <w:pPr>
        <w:spacing w:line="48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（二）评标依据：以竞争性磋商文件和响应文件为评审依据。</w:t>
      </w:r>
    </w:p>
    <w:p w14:paraId="53338557">
      <w:pPr>
        <w:spacing w:line="48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（三）评标方法：经磋商确定最终方案和提交最后报价的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后，由磋商小组采用综合评分法对提交最后报价的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的响应文件和最后报价进行综合评分。</w:t>
      </w:r>
    </w:p>
    <w:p w14:paraId="272FD79B">
      <w:pPr>
        <w:spacing w:line="480" w:lineRule="auto"/>
        <w:ind w:left="630" w:leftChars="250" w:hanging="105" w:hanging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评委对各</w:t>
      </w:r>
      <w:r>
        <w:rPr>
          <w:rFonts w:hint="eastAsia" w:ascii="宋体" w:hAnsi="宋体" w:cs="宋体"/>
          <w:color w:val="auto"/>
          <w:highlight w:val="none"/>
          <w:lang w:eastAsia="zh-CN"/>
        </w:rPr>
        <w:t>供应商</w:t>
      </w:r>
      <w:r>
        <w:rPr>
          <w:rFonts w:hint="eastAsia" w:ascii="宋体" w:hAnsi="宋体" w:eastAsia="宋体" w:cs="宋体"/>
          <w:color w:val="auto"/>
          <w:highlight w:val="none"/>
        </w:rPr>
        <w:t>进行独立打分，</w:t>
      </w:r>
      <w:r>
        <w:rPr>
          <w:rFonts w:hint="eastAsia" w:ascii="宋体" w:hAnsi="宋体" w:cs="宋体"/>
          <w:color w:val="auto"/>
          <w:highlight w:val="none"/>
          <w:lang w:eastAsia="zh-CN"/>
        </w:rPr>
        <w:t>供应商</w:t>
      </w:r>
      <w:r>
        <w:rPr>
          <w:rFonts w:hint="eastAsia" w:ascii="宋体" w:hAnsi="宋体" w:eastAsia="宋体" w:cs="宋体"/>
          <w:color w:val="auto"/>
          <w:highlight w:val="none"/>
        </w:rPr>
        <w:t>的最终得分为各磋商小组成员的加权平均分。</w:t>
      </w:r>
    </w:p>
    <w:p w14:paraId="48A521F6">
      <w:pPr>
        <w:spacing w:before="120" w:beforeLines="50" w:line="48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二、评审因素和标准</w:t>
      </w:r>
    </w:p>
    <w:p w14:paraId="11C42881">
      <w:pPr>
        <w:pStyle w:val="20"/>
        <w:numPr>
          <w:ilvl w:val="0"/>
          <w:numId w:val="0"/>
        </w:numPr>
        <w:ind w:leftChars="200"/>
        <w:rPr>
          <w:rFonts w:hint="eastAsia" w:ascii="宋体" w:hAnsi="宋体" w:eastAsia="宋体" w:cs="宋体"/>
          <w:bCs/>
          <w:color w:val="auto"/>
          <w:highlight w:val="none"/>
        </w:rPr>
      </w:pPr>
      <w:r>
        <w:rPr>
          <w:rFonts w:hint="eastAsia" w:hAnsi="宋体" w:cs="宋体"/>
          <w:b/>
          <w:bCs/>
          <w:color w:val="auto"/>
          <w:highlight w:val="none"/>
          <w:lang w:val="en-US" w:eastAsia="zh-CN"/>
        </w:rPr>
        <w:t>1、</w:t>
      </w:r>
      <w:r>
        <w:rPr>
          <w:rFonts w:hint="eastAsia" w:ascii="宋体" w:hAnsi="宋体" w:eastAsia="宋体" w:cs="宋体"/>
          <w:b/>
          <w:bCs/>
          <w:color w:val="auto"/>
          <w:highlight w:val="none"/>
        </w:rPr>
        <w:t>价格分</w:t>
      </w:r>
      <w:r>
        <w:rPr>
          <w:rFonts w:hint="eastAsia" w:ascii="宋体" w:hAnsi="宋体" w:eastAsia="宋体" w:cs="宋体"/>
          <w:bCs/>
          <w:color w:val="auto"/>
          <w:highlight w:val="none"/>
        </w:rPr>
        <w:t>……………………………………………………………………………………30分</w:t>
      </w:r>
    </w:p>
    <w:p w14:paraId="76717F68">
      <w:pPr>
        <w:pStyle w:val="64"/>
        <w:rPr>
          <w:rFonts w:hint="eastAsia" w:ascii="宋体" w:hAnsi="宋体" w:cs="宋体"/>
          <w:b/>
          <w:bCs/>
          <w:color w:val="auto"/>
          <w:szCs w:val="21"/>
        </w:rPr>
      </w:pPr>
    </w:p>
    <w:p w14:paraId="4BCF904B">
      <w:pPr>
        <w:pStyle w:val="64"/>
        <w:rPr>
          <w:rFonts w:hint="eastAsia" w:ascii="宋体" w:hAnsi="宋体" w:cs="宋体"/>
          <w:b/>
          <w:bCs/>
          <w:color w:val="auto"/>
          <w:szCs w:val="21"/>
          <w:lang w:eastAsia="zh-CN"/>
        </w:rPr>
      </w:pPr>
      <w:r>
        <w:rPr>
          <w:rFonts w:hint="eastAsia" w:ascii="宋体" w:hAnsi="宋体" w:cs="宋体"/>
          <w:b/>
          <w:bCs/>
          <w:color w:val="auto"/>
          <w:szCs w:val="21"/>
        </w:rPr>
        <w:t>本项目由于属于专门面向中小企业采购，</w:t>
      </w:r>
      <w:r>
        <w:rPr>
          <w:rFonts w:ascii="宋体" w:hAnsi="宋体" w:cs="宋体"/>
          <w:b/>
          <w:bCs/>
          <w:color w:val="auto"/>
          <w:szCs w:val="21"/>
        </w:rPr>
        <w:t>按照《政府采购促进中小企业发展管理办法》（财库〔2020〕46号）规定，不再执行价格评审优惠的扶持政策</w:t>
      </w:r>
      <w:r>
        <w:rPr>
          <w:rFonts w:hint="eastAsia" w:ascii="宋体" w:hAnsi="宋体" w:cs="宋体"/>
          <w:b/>
          <w:bCs/>
          <w:color w:val="auto"/>
          <w:szCs w:val="21"/>
          <w:lang w:eastAsia="zh-CN"/>
        </w:rPr>
        <w:t>。</w:t>
      </w:r>
    </w:p>
    <w:p w14:paraId="0FEC0E20">
      <w:pPr>
        <w:pStyle w:val="18"/>
        <w:rPr>
          <w:rFonts w:hint="eastAsia"/>
          <w:color w:val="auto"/>
          <w:highlight w:val="none"/>
        </w:rPr>
      </w:pPr>
    </w:p>
    <w:p w14:paraId="48ED475B">
      <w:pPr>
        <w:spacing w:line="400" w:lineRule="exact"/>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）以进入详评的且最后报价最低的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的价格为磋商基准价，其价格分为30分。</w:t>
      </w:r>
    </w:p>
    <w:p w14:paraId="11B28ECD">
      <w:pPr>
        <w:spacing w:line="400" w:lineRule="exact"/>
        <w:ind w:left="630" w:leftChars="5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价格分计算公式：</w:t>
      </w:r>
    </w:p>
    <w:p w14:paraId="77FA9570">
      <w:pPr>
        <w:pStyle w:val="20"/>
        <w:spacing w:line="500" w:lineRule="exact"/>
        <w:ind w:firstLine="3150" w:firstLineChars="1500"/>
        <w:rPr>
          <w:rFonts w:hint="eastAsia" w:ascii="宋体" w:hAnsi="宋体" w:eastAsia="宋体" w:cs="宋体"/>
          <w:bCs/>
          <w:color w:val="auto"/>
          <w:highlight w:val="none"/>
        </w:rPr>
      </w:pPr>
      <w:r>
        <w:rPr>
          <w:rFonts w:hint="eastAsia" w:ascii="宋体" w:hAnsi="宋体" w:eastAsia="宋体" w:cs="宋体"/>
          <w:color w:val="auto"/>
          <w:highlight w:val="none"/>
        </w:rPr>
        <w:t>响应</w:t>
      </w:r>
      <w:r>
        <w:rPr>
          <w:rFonts w:hint="eastAsia" w:hAnsi="宋体" w:cs="宋体"/>
          <w:color w:val="auto"/>
          <w:highlight w:val="none"/>
          <w:lang w:eastAsia="zh-CN"/>
        </w:rPr>
        <w:t>供应商</w:t>
      </w:r>
      <w:r>
        <w:rPr>
          <w:rFonts w:hint="eastAsia" w:ascii="宋体" w:hAnsi="宋体" w:eastAsia="宋体" w:cs="宋体"/>
          <w:bCs/>
          <w:color w:val="auto"/>
          <w:highlight w:val="none"/>
        </w:rPr>
        <w:t>最低评标报价金额（元）</w:t>
      </w:r>
    </w:p>
    <w:p w14:paraId="716216C2">
      <w:pPr>
        <w:pStyle w:val="20"/>
        <w:spacing w:line="500" w:lineRule="exact"/>
        <w:ind w:firstLine="315" w:firstLineChars="150"/>
        <w:rPr>
          <w:rFonts w:hint="eastAsia" w:ascii="宋体" w:hAnsi="宋体" w:eastAsia="宋体" w:cs="宋体"/>
          <w:bCs/>
          <w:color w:val="auto"/>
          <w:highlight w:val="none"/>
        </w:rPr>
      </w:pPr>
      <w:r>
        <w:rPr>
          <w:rFonts w:hint="eastAsia" w:ascii="宋体" w:hAnsi="宋体" w:eastAsia="宋体" w:cs="宋体"/>
          <w:bCs/>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1962150</wp:posOffset>
                </wp:positionH>
                <wp:positionV relativeFrom="paragraph">
                  <wp:posOffset>175260</wp:posOffset>
                </wp:positionV>
                <wp:extent cx="2222500" cy="0"/>
                <wp:effectExtent l="0" t="4445" r="0" b="5080"/>
                <wp:wrapNone/>
                <wp:docPr id="1" name="直线 5"/>
                <wp:cNvGraphicFramePr/>
                <a:graphic xmlns:a="http://schemas.openxmlformats.org/drawingml/2006/main">
                  <a:graphicData uri="http://schemas.microsoft.com/office/word/2010/wordprocessingShape">
                    <wps:wsp>
                      <wps:cNvCnPr/>
                      <wps:spPr>
                        <a:xfrm>
                          <a:off x="0" y="0"/>
                          <a:ext cx="2222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54.5pt;margin-top:13.8pt;height:0pt;width:175pt;z-index:251659264;mso-width-relative:page;mso-height-relative:page;" filled="f" stroked="t" coordsize="21600,21600" o:gfxdata="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zZK1rWAAAA&#10;CQEAAA8AAAAAAAAAAQAgAAAAIgAAAGRycy9kb3ducmV2LnhtbFBLAQIUABQAAAAIAIdO4kBbxqYg&#10;5gEAANsDAAAOAAAAAAAAAAEAIAAAACUBAABkcnMvZTJvRG9jLnhtbFBLBQYAAAAABgAGAFkBAAB9&#10;BQAAAAA=&#10;">
                <v:fill on="f" focussize="0,0"/>
                <v:stroke color="#000000" joinstyle="round"/>
                <v:imagedata o:title=""/>
                <o:lock v:ext="edit" aspectratio="f"/>
              </v:line>
            </w:pict>
          </mc:Fallback>
        </mc:AlternateContent>
      </w:r>
      <w:r>
        <w:rPr>
          <w:rFonts w:hint="eastAsia" w:ascii="宋体" w:hAnsi="宋体" w:eastAsia="宋体" w:cs="宋体"/>
          <w:bCs/>
          <w:color w:val="auto"/>
          <w:highlight w:val="none"/>
        </w:rPr>
        <w:t>(</w:t>
      </w:r>
      <w:r>
        <w:rPr>
          <w:rFonts w:hint="eastAsia" w:hAnsi="宋体" w:cs="宋体"/>
          <w:bCs/>
          <w:color w:val="auto"/>
          <w:highlight w:val="none"/>
          <w:lang w:val="en-US" w:eastAsia="zh-CN"/>
        </w:rPr>
        <w:t>2</w:t>
      </w:r>
      <w:r>
        <w:rPr>
          <w:rFonts w:hint="eastAsia" w:ascii="宋体" w:hAnsi="宋体" w:eastAsia="宋体" w:cs="宋体"/>
          <w:bCs/>
          <w:color w:val="auto"/>
          <w:highlight w:val="none"/>
        </w:rPr>
        <w:t>)某</w:t>
      </w:r>
      <w:r>
        <w:rPr>
          <w:rFonts w:hint="eastAsia" w:ascii="宋体" w:hAnsi="宋体" w:eastAsia="宋体" w:cs="宋体"/>
          <w:color w:val="auto"/>
          <w:highlight w:val="none"/>
        </w:rPr>
        <w:t>响应</w:t>
      </w:r>
      <w:r>
        <w:rPr>
          <w:rFonts w:hint="eastAsia" w:hAnsi="宋体" w:cs="宋体"/>
          <w:color w:val="auto"/>
          <w:highlight w:val="none"/>
          <w:lang w:eastAsia="zh-CN"/>
        </w:rPr>
        <w:t>供应商</w:t>
      </w:r>
      <w:r>
        <w:rPr>
          <w:rFonts w:hint="eastAsia" w:ascii="宋体" w:hAnsi="宋体" w:eastAsia="宋体" w:cs="宋体"/>
          <w:bCs/>
          <w:color w:val="auto"/>
          <w:highlight w:val="none"/>
        </w:rPr>
        <w:t xml:space="preserve">价格分 =                  </w:t>
      </w:r>
      <w:r>
        <w:rPr>
          <w:rFonts w:hint="eastAsia" w:hAnsi="宋体" w:cs="宋体"/>
          <w:bCs/>
          <w:color w:val="auto"/>
          <w:highlight w:val="none"/>
          <w:lang w:val="en-US" w:eastAsia="zh-CN"/>
        </w:rPr>
        <w:t xml:space="preserve">   </w:t>
      </w: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 xml:space="preserve">    </w:t>
      </w:r>
      <w:r>
        <w:rPr>
          <w:rFonts w:hint="eastAsia" w:ascii="宋体" w:hAnsi="宋体" w:eastAsia="宋体" w:cs="宋体"/>
          <w:bCs/>
          <w:color w:val="auto"/>
          <w:highlight w:val="none"/>
        </w:rPr>
        <w:t xml:space="preserve">     </w:t>
      </w:r>
      <w:r>
        <w:rPr>
          <w:rFonts w:hint="eastAsia" w:hAnsi="宋体" w:cs="宋体"/>
          <w:bCs/>
          <w:color w:val="auto"/>
          <w:highlight w:val="none"/>
          <w:lang w:val="en-US" w:eastAsia="zh-CN"/>
        </w:rPr>
        <w:t xml:space="preserve">     </w:t>
      </w:r>
      <w:r>
        <w:rPr>
          <w:rFonts w:hint="eastAsia" w:ascii="宋体" w:hAnsi="宋体" w:eastAsia="宋体" w:cs="宋体"/>
          <w:bCs/>
          <w:color w:val="auto"/>
          <w:highlight w:val="none"/>
        </w:rPr>
        <w:t xml:space="preserve">       ×30分</w:t>
      </w:r>
    </w:p>
    <w:p w14:paraId="4E6052F6">
      <w:pPr>
        <w:tabs>
          <w:tab w:val="left" w:pos="5760"/>
        </w:tabs>
        <w:spacing w:line="500" w:lineRule="exact"/>
        <w:ind w:left="411" w:leftChars="98" w:hanging="205" w:hangingChars="98"/>
        <w:rPr>
          <w:rFonts w:hint="eastAsia" w:ascii="宋体" w:hAnsi="宋体" w:eastAsia="宋体" w:cs="宋体"/>
          <w:bCs/>
          <w:color w:val="auto"/>
          <w:szCs w:val="20"/>
          <w:highlight w:val="none"/>
        </w:rPr>
      </w:pPr>
      <w:r>
        <w:rPr>
          <w:rFonts w:hint="eastAsia" w:ascii="宋体" w:hAnsi="宋体" w:eastAsia="宋体" w:cs="宋体"/>
          <w:bCs/>
          <w:color w:val="auto"/>
          <w:szCs w:val="20"/>
          <w:highlight w:val="none"/>
        </w:rPr>
        <w:t xml:space="preserve">                             某</w:t>
      </w:r>
      <w:r>
        <w:rPr>
          <w:rFonts w:hint="eastAsia" w:ascii="宋体" w:hAnsi="宋体" w:eastAsia="宋体" w:cs="宋体"/>
          <w:color w:val="auto"/>
          <w:szCs w:val="21"/>
          <w:highlight w:val="none"/>
        </w:rPr>
        <w:t>响应</w:t>
      </w:r>
      <w:r>
        <w:rPr>
          <w:rFonts w:hint="eastAsia" w:ascii="宋体" w:hAnsi="宋体" w:cs="宋体"/>
          <w:color w:val="auto"/>
          <w:szCs w:val="21"/>
          <w:highlight w:val="none"/>
          <w:lang w:eastAsia="zh-CN"/>
        </w:rPr>
        <w:t>供应商</w:t>
      </w:r>
      <w:r>
        <w:rPr>
          <w:rFonts w:hint="eastAsia" w:ascii="宋体" w:hAnsi="宋体" w:eastAsia="宋体" w:cs="宋体"/>
          <w:bCs/>
          <w:color w:val="auto"/>
          <w:szCs w:val="20"/>
          <w:highlight w:val="none"/>
        </w:rPr>
        <w:t>评标报价金额（元）</w:t>
      </w:r>
    </w:p>
    <w:p w14:paraId="12632B2D">
      <w:pPr>
        <w:spacing w:line="440" w:lineRule="exact"/>
        <w:ind w:firstLine="422" w:firstLineChars="200"/>
        <w:rPr>
          <w:rFonts w:hint="eastAsia" w:ascii="宋体" w:hAnsi="宋体" w:eastAsia="宋体" w:cs="宋体"/>
          <w:b/>
          <w:color w:val="auto"/>
          <w:szCs w:val="21"/>
          <w:highlight w:val="none"/>
        </w:rPr>
      </w:pPr>
    </w:p>
    <w:p w14:paraId="4A6EB4E7">
      <w:pPr>
        <w:spacing w:line="440" w:lineRule="exact"/>
        <w:ind w:left="-315" w:leftChars="-150" w:firstLine="620" w:firstLineChars="294"/>
        <w:rPr>
          <w:rFonts w:hint="eastAsia" w:ascii="宋体" w:hAnsi="宋体"/>
          <w:b/>
          <w:bCs/>
          <w:color w:val="auto"/>
          <w:sz w:val="24"/>
        </w:rPr>
      </w:pPr>
      <w:r>
        <w:rPr>
          <w:rFonts w:hint="eastAsia" w:ascii="宋体" w:hAnsi="宋体" w:eastAsia="宋体" w:cs="宋体"/>
          <w:b/>
          <w:color w:val="auto"/>
          <w:szCs w:val="21"/>
          <w:highlight w:val="none"/>
        </w:rPr>
        <w:br w:type="page"/>
      </w:r>
      <w:r>
        <w:rPr>
          <w:rFonts w:hint="eastAsia" w:ascii="宋体" w:hAnsi="宋体"/>
          <w:b/>
          <w:color w:val="auto"/>
          <w:sz w:val="24"/>
        </w:rPr>
        <w:t>2.</w:t>
      </w:r>
      <w:r>
        <w:rPr>
          <w:rFonts w:hint="eastAsia" w:ascii="宋体" w:hAnsi="宋体"/>
          <w:b/>
          <w:bCs/>
          <w:color w:val="auto"/>
          <w:sz w:val="24"/>
        </w:rPr>
        <w:t>人员配置分…………………………………………………………………………</w:t>
      </w:r>
      <w:r>
        <w:rPr>
          <w:rFonts w:hint="eastAsia" w:ascii="宋体" w:hAnsi="宋体"/>
          <w:b/>
          <w:bCs/>
          <w:color w:val="auto"/>
          <w:sz w:val="24"/>
          <w:lang w:val="en-US" w:eastAsia="zh-CN"/>
        </w:rPr>
        <w:t>6</w:t>
      </w:r>
      <w:r>
        <w:rPr>
          <w:rFonts w:hint="eastAsia" w:ascii="宋体" w:hAnsi="宋体"/>
          <w:b/>
          <w:bCs/>
          <w:color w:val="auto"/>
          <w:sz w:val="24"/>
        </w:rPr>
        <w:t>分</w:t>
      </w:r>
    </w:p>
    <w:p w14:paraId="79907DA6">
      <w:pPr>
        <w:spacing w:line="440" w:lineRule="exact"/>
        <w:ind w:firstLine="720" w:firstLineChars="300"/>
        <w:rPr>
          <w:rFonts w:hint="eastAsia" w:ascii="宋体" w:hAnsi="宋体" w:eastAsia="宋体" w:cs="宋体"/>
          <w:bCs/>
          <w:color w:val="auto"/>
          <w:sz w:val="21"/>
          <w:szCs w:val="21"/>
          <w:highlight w:val="none"/>
        </w:rPr>
      </w:pP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1"/>
          <w:szCs w:val="21"/>
          <w:highlight w:val="none"/>
        </w:rPr>
        <w:t>1）供应商拟投入的项目经理具有</w:t>
      </w:r>
      <w:r>
        <w:rPr>
          <w:rFonts w:hint="eastAsia" w:ascii="宋体" w:hAnsi="宋体" w:eastAsia="宋体" w:cs="宋体"/>
          <w:bCs/>
          <w:color w:val="auto"/>
          <w:sz w:val="21"/>
          <w:szCs w:val="21"/>
          <w:highlight w:val="none"/>
          <w:lang w:eastAsia="zh-CN"/>
        </w:rPr>
        <w:t>中</w:t>
      </w:r>
      <w:r>
        <w:rPr>
          <w:rFonts w:hint="eastAsia" w:ascii="宋体" w:hAnsi="宋体" w:eastAsia="宋体" w:cs="宋体"/>
          <w:bCs/>
          <w:color w:val="auto"/>
          <w:sz w:val="21"/>
          <w:szCs w:val="21"/>
          <w:highlight w:val="none"/>
        </w:rPr>
        <w:t>级</w:t>
      </w:r>
      <w:r>
        <w:rPr>
          <w:rFonts w:hint="eastAsia" w:ascii="宋体" w:hAnsi="宋体" w:eastAsia="宋体" w:cs="宋体"/>
          <w:bCs/>
          <w:color w:val="auto"/>
          <w:sz w:val="21"/>
          <w:szCs w:val="21"/>
          <w:highlight w:val="none"/>
          <w:lang w:eastAsia="zh-CN"/>
        </w:rPr>
        <w:t>职称的得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初</w:t>
      </w:r>
      <w:r>
        <w:rPr>
          <w:rFonts w:hint="eastAsia" w:ascii="宋体" w:hAnsi="宋体" w:eastAsia="宋体" w:cs="宋体"/>
          <w:bCs/>
          <w:color w:val="auto"/>
          <w:sz w:val="21"/>
          <w:szCs w:val="21"/>
          <w:highlight w:val="none"/>
        </w:rPr>
        <w:t>级工程师职称的得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0601AB53">
      <w:pPr>
        <w:spacing w:line="440" w:lineRule="exact"/>
        <w:ind w:firstLine="630" w:firstLine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（2）供应商拟投入的技术负责人</w:t>
      </w:r>
      <w:r>
        <w:rPr>
          <w:rFonts w:hint="eastAsia" w:ascii="宋体" w:hAnsi="宋体" w:eastAsia="宋体" w:cs="宋体"/>
          <w:bCs/>
          <w:color w:val="auto"/>
          <w:sz w:val="21"/>
          <w:szCs w:val="21"/>
          <w:highlight w:val="none"/>
          <w:lang w:eastAsia="zh-CN"/>
        </w:rPr>
        <w:t>具</w:t>
      </w:r>
      <w:r>
        <w:rPr>
          <w:rFonts w:hint="eastAsia" w:ascii="宋体" w:hAnsi="宋体" w:eastAsia="宋体" w:cs="宋体"/>
          <w:bCs/>
          <w:color w:val="auto"/>
          <w:sz w:val="21"/>
          <w:szCs w:val="21"/>
          <w:highlight w:val="none"/>
        </w:rPr>
        <w:t>有</w:t>
      </w:r>
      <w:r>
        <w:rPr>
          <w:rFonts w:hint="eastAsia" w:ascii="宋体" w:hAnsi="宋体" w:eastAsia="宋体" w:cs="宋体"/>
          <w:bCs/>
          <w:color w:val="auto"/>
          <w:sz w:val="21"/>
          <w:szCs w:val="21"/>
          <w:highlight w:val="none"/>
          <w:lang w:eastAsia="zh-CN"/>
        </w:rPr>
        <w:t>中</w:t>
      </w:r>
      <w:r>
        <w:rPr>
          <w:rFonts w:hint="eastAsia" w:ascii="宋体" w:hAnsi="宋体" w:eastAsia="宋体" w:cs="宋体"/>
          <w:bCs/>
          <w:color w:val="auto"/>
          <w:sz w:val="21"/>
          <w:szCs w:val="21"/>
          <w:highlight w:val="none"/>
        </w:rPr>
        <w:t>级</w:t>
      </w:r>
      <w:r>
        <w:rPr>
          <w:rFonts w:hint="eastAsia" w:ascii="宋体" w:hAnsi="宋体" w:eastAsia="宋体" w:cs="宋体"/>
          <w:bCs/>
          <w:color w:val="auto"/>
          <w:sz w:val="21"/>
          <w:szCs w:val="21"/>
          <w:highlight w:val="none"/>
          <w:lang w:eastAsia="zh-CN"/>
        </w:rPr>
        <w:t>职称的得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初</w:t>
      </w:r>
      <w:r>
        <w:rPr>
          <w:rFonts w:hint="eastAsia" w:ascii="宋体" w:hAnsi="宋体" w:eastAsia="宋体" w:cs="宋体"/>
          <w:bCs/>
          <w:color w:val="auto"/>
          <w:sz w:val="21"/>
          <w:szCs w:val="21"/>
          <w:highlight w:val="none"/>
        </w:rPr>
        <w:t>级工程师职称的得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70DE722B">
      <w:pPr>
        <w:spacing w:line="440" w:lineRule="exact"/>
        <w:ind w:left="-315" w:leftChars="-150" w:firstLine="620" w:firstLineChars="294"/>
        <w:rPr>
          <w:rFonts w:ascii="宋体" w:hAnsi="宋体"/>
          <w:b/>
          <w:bCs/>
          <w:color w:val="auto"/>
          <w:sz w:val="21"/>
          <w:szCs w:val="21"/>
        </w:rPr>
      </w:pPr>
      <w:r>
        <w:rPr>
          <w:rFonts w:hint="eastAsia" w:ascii="宋体" w:hAnsi="宋体"/>
          <w:b/>
          <w:bCs/>
          <w:color w:val="auto"/>
          <w:sz w:val="21"/>
          <w:szCs w:val="21"/>
        </w:rPr>
        <w:t>（以上须提供相关证明复印件加盖供应商公章，否则不得分）</w:t>
      </w:r>
    </w:p>
    <w:p w14:paraId="5DAE2169">
      <w:pPr>
        <w:spacing w:line="440" w:lineRule="exact"/>
        <w:ind w:left="-315" w:leftChars="-150" w:firstLine="708" w:firstLineChars="294"/>
        <w:rPr>
          <w:rFonts w:hint="eastAsia" w:ascii="宋体" w:hAnsi="宋体"/>
          <w:b/>
          <w:bCs/>
          <w:color w:val="auto"/>
          <w:sz w:val="24"/>
        </w:rPr>
      </w:pPr>
      <w:r>
        <w:rPr>
          <w:rFonts w:hint="eastAsia" w:ascii="宋体" w:hAnsi="宋体"/>
          <w:b/>
          <w:bCs/>
          <w:color w:val="auto"/>
          <w:sz w:val="24"/>
        </w:rPr>
        <w:t>3、施工组织设计分……………………………………………………………………</w:t>
      </w:r>
      <w:r>
        <w:rPr>
          <w:rFonts w:hint="eastAsia" w:ascii="宋体" w:hAnsi="宋体"/>
          <w:b/>
          <w:bCs/>
          <w:color w:val="auto"/>
          <w:sz w:val="24"/>
          <w:lang w:val="en-US" w:eastAsia="zh-CN"/>
        </w:rPr>
        <w:t>58</w:t>
      </w:r>
      <w:r>
        <w:rPr>
          <w:rFonts w:hint="eastAsia" w:ascii="宋体" w:hAnsi="宋体"/>
          <w:b/>
          <w:bCs/>
          <w:color w:val="auto"/>
          <w:sz w:val="24"/>
        </w:rPr>
        <w:t>分</w:t>
      </w:r>
    </w:p>
    <w:tbl>
      <w:tblPr>
        <w:tblStyle w:val="36"/>
        <w:tblW w:w="9647" w:type="dxa"/>
        <w:tblInd w:w="67"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42"/>
        <w:gridCol w:w="1701"/>
        <w:gridCol w:w="6804"/>
      </w:tblGrid>
      <w:tr w14:paraId="2B4815C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restart"/>
            <w:tcBorders>
              <w:top w:val="outset" w:color="auto" w:sz="6" w:space="0"/>
              <w:left w:val="outset" w:color="auto" w:sz="6" w:space="0"/>
              <w:bottom w:val="outset" w:color="auto" w:sz="6" w:space="0"/>
              <w:right w:val="outset" w:color="auto" w:sz="6" w:space="0"/>
            </w:tcBorders>
            <w:noWrap w:val="0"/>
            <w:tcMar>
              <w:left w:w="75" w:type="dxa"/>
            </w:tcMar>
            <w:vAlign w:val="center"/>
          </w:tcPr>
          <w:p w14:paraId="12852C24">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施工组织设计（满分</w:t>
            </w:r>
            <w:r>
              <w:rPr>
                <w:rFonts w:hint="eastAsia" w:ascii="宋体" w:hAnsi="宋体" w:cs="宋体"/>
                <w:color w:val="auto"/>
                <w:sz w:val="21"/>
                <w:szCs w:val="21"/>
                <w:lang w:val="en-US" w:eastAsia="zh-CN"/>
              </w:rPr>
              <w:t>58</w:t>
            </w:r>
            <w:r>
              <w:rPr>
                <w:rFonts w:hint="eastAsia" w:ascii="宋体" w:hAnsi="宋体" w:eastAsia="宋体" w:cs="宋体"/>
                <w:color w:val="auto"/>
                <w:sz w:val="21"/>
                <w:szCs w:val="21"/>
              </w:rPr>
              <w:t>分）</w:t>
            </w: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3A7BB31">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主要施工方法（</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334365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分）：各主要分部施工方法符合项目实际，有详尽的施工技术方案，工艺先进、方 法科学合理、可行，完全能指导具体施工并确 保安全。</w:t>
            </w:r>
          </w:p>
          <w:p w14:paraId="0364E47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分）：各主要分部施工方法符合项目实际，施工技术方案详细，工艺良好、方法较科学合理、可行，能指导具体施工并确保安全。 </w:t>
            </w:r>
          </w:p>
          <w:p w14:paraId="0E0E741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分）：各主要分部施工方法基本符合项目实际，施工技术方案一般，工艺一般、方法科学，基本合理、可行，基本能指导具体施工并确保安全</w:t>
            </w:r>
          </w:p>
          <w:p w14:paraId="18286B2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差（0分）：各主要分部施工方法不符合项目实际，没有详 尽的施工技术方案，工艺先进、方法不科学合理、可行，不能指导具体施工并确保安全。</w:t>
            </w:r>
          </w:p>
        </w:tc>
      </w:tr>
      <w:tr w14:paraId="5A05FC3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52FBFF2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2201DC2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拟投入的主要物资计划（</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eastAsia="zh-CN"/>
              </w:rPr>
              <w:t>分</w:t>
            </w:r>
            <w:r>
              <w:rPr>
                <w:rFonts w:hint="eastAsia" w:ascii="宋体" w:hAnsi="宋体" w:eastAsia="宋体" w:cs="宋体"/>
                <w:color w:val="auto"/>
                <w:sz w:val="21"/>
                <w:szCs w:val="21"/>
              </w:rPr>
              <w:t>）</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185D69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分） ：投入的施工材料有详细的组织计划且计划细致周密，数量、选型配置、进场时间 安排合理， 完全满足施工需要，采用优质材料。 </w:t>
            </w:r>
          </w:p>
          <w:p w14:paraId="41E152D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良 （3分） ： 投入的施工材料有较详细的组织计划且计划完善，数量、选型配置、进场时间安排合 理，能满足施工需要。 </w:t>
            </w:r>
          </w:p>
          <w:p w14:paraId="057CC0D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中 （1分） ： 投入的施工材料有的组织计划且计划合理，数量、选型配置、进场时间安排合理，能基本满足施工需要。</w:t>
            </w:r>
          </w:p>
          <w:p w14:paraId="7989348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差（0分） ：投入的 施工材料没有详细的组织计划且计划不周密， 数量、选型配置、进场时间安排不合理，不能 满足施工需要。</w:t>
            </w:r>
          </w:p>
        </w:tc>
      </w:tr>
      <w:tr w14:paraId="2809212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78C0E2B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0BC2B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拟投入的主要施工机械、设备计划（</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40C8AC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分） ：投入的施工机械、设备、机具有详细的组织计划且计划细周密，设备数量、选型配置、进场时间安排合理，采购用目前较先进的机械设备，完全满足施工需要。 </w:t>
            </w:r>
          </w:p>
          <w:p w14:paraId="291FC69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良（3分） ：投入的施工机械、设备、 机具有较详细的组织计划且计划完善，设备数量、选型配置、进场时间安排合理，满足施工需要。 </w:t>
            </w:r>
          </w:p>
          <w:p w14:paraId="47B5A3F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中（1分） ：投入的施工机械、设备、 机具有组织计划且计划合理，设备数 量、选型配置、进场时间安排合理，基本满足施工需要。 </w:t>
            </w:r>
          </w:p>
          <w:p w14:paraId="35F63A6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差（0分） ：投入的施工机械、设备、 机具没有详细的组织计划且计划不周密，设备数量、选型配置、进场时间安排不合理，不能满足施工需要</w:t>
            </w:r>
            <w:r>
              <w:rPr>
                <w:rFonts w:hint="eastAsia" w:ascii="宋体" w:hAnsi="宋体" w:eastAsia="宋体" w:cs="宋体"/>
                <w:color w:val="auto"/>
                <w:sz w:val="21"/>
                <w:szCs w:val="21"/>
                <w:lang w:eastAsia="zh-CN"/>
              </w:rPr>
              <w:t>。</w:t>
            </w:r>
          </w:p>
        </w:tc>
      </w:tr>
      <w:tr w14:paraId="07D21F1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1DC61B9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8041F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劳动力安排计划（</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89A379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分）：各主要施工工序有详细周密的劳动力安排计划，有各工种劳动力安排计划，劳动力投入合理，完全满足施工需要。 </w:t>
            </w:r>
          </w:p>
          <w:p w14:paraId="698FC2C4">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良（3分）：各主要施工工序有较周密的劳动力安排计划，有各工种劳动力安排计划，劳动力投入合理， 满足施工需要。 </w:t>
            </w:r>
          </w:p>
          <w:p w14:paraId="38A385E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中（1分）：各主要施工工序有劳动力安排计划，有各工种劳动力安排计划，劳动力投入基本合理， 基本满足施工需要。</w:t>
            </w:r>
          </w:p>
          <w:p w14:paraId="4CAD612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差（0分）：各主要施工工序没有详细的劳动力安排计划， 没有各工种劳动力安排计划，劳动力投入不合理，不能满足施工要求</w:t>
            </w:r>
            <w:r>
              <w:rPr>
                <w:rFonts w:hint="eastAsia" w:ascii="宋体" w:hAnsi="宋体" w:eastAsia="宋体" w:cs="宋体"/>
                <w:color w:val="auto"/>
                <w:sz w:val="21"/>
                <w:szCs w:val="21"/>
                <w:lang w:eastAsia="zh-CN"/>
              </w:rPr>
              <w:t>。</w:t>
            </w:r>
          </w:p>
        </w:tc>
      </w:tr>
      <w:tr w14:paraId="1A70B1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5107EF7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074D9F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确保工程质量的技术组织措施（</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C6DDFC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分）：有专门的质量技术管理班子和制度，且人员配备合理，制度健全。主要工序有质量技术保证措施和手段，自控体系完整，能有效保证技术质量，达到承诺的质量标准。</w:t>
            </w:r>
          </w:p>
          <w:p w14:paraId="7654613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良（3分）：有专门的质量技术管理班子和制度，且人员配备较合理，制度较健全。主要工序有质量技术保证措施和手段，自控体系较完整，能有效保证技术质量，达到承诺的质量标准。</w:t>
            </w:r>
          </w:p>
          <w:p w14:paraId="6DD780F4">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中（1分）：有专门的质量技术管理班子和制度。主要工序有质量技术保证措施和手段，基本能保证技术质量，达到承诺的质量标准。</w:t>
            </w:r>
          </w:p>
          <w:p w14:paraId="3D99DB1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差（0分）：没有质量技术管理班子和制度，不能保证技术质量，不能达到承诺的质量标准。</w:t>
            </w:r>
          </w:p>
        </w:tc>
      </w:tr>
      <w:tr w14:paraId="74247B8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418B0154">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2850AF0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确保安全生产的技术组织措施（</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8DB5E4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分）：有专门的安全管理人员和制度，且人员配备合理，制度健全，各道工序安全技术措施针对性强，确保工程质量的技术组织措施符合实际且满足有关安全技术标准要求。现场防火、应急救援、社会治安安全措施得力。 </w:t>
            </w:r>
          </w:p>
          <w:p w14:paraId="3116142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良(3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14:paraId="74F84CC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中（1分）：有专门的质量技术管理班子和制度。主要工序有质量技术保证措施和手段，基本能保证技术质量，达到承诺的质量标准。</w:t>
            </w:r>
          </w:p>
          <w:p w14:paraId="38811F8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差(0分)：有专门的安全管理人员和制度，人员配备不合理，制度不健全，各道工序安全技术措施针无对性，不满足有关安全技术标准要求。现场防火、应急救援、社会治安安全措施不得力。</w:t>
            </w:r>
          </w:p>
        </w:tc>
      </w:tr>
      <w:tr w14:paraId="3C3B220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0AA096B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BFA69C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确保工期的技术组织措施（</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C3558F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 xml:space="preserve">分）：在施工工艺、施工方法、材料选用、劳动力安排、技术等方面有保证工期的具体措施且措施得当。有控制工期的施工进度计划。有施工总进度表或施工网络图，各项计划图表编制完善，安排科学合理，符合本项目施工实际要求。 </w:t>
            </w:r>
          </w:p>
          <w:p w14:paraId="0260495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 xml:space="preserve">分)：在施工工艺、施工方法、材料选用、劳动力安排、技术等方面有保证工期的措施但措施一般。有控制工期的施工进度计划。有施工总进度表或施工网络图，各项计划图表编制一般，安排合理，基本符合本项目施工实际要求。 </w:t>
            </w:r>
          </w:p>
          <w:p w14:paraId="0A14930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差(0分)：在施工工艺、施工方法、材料选用、劳动力安排、技术等方面有保证工期的措施但措施一般。无控制工期的施工进度计划。无施工总进度表或施工网络图，不符合本项目施工实际要求。</w:t>
            </w:r>
          </w:p>
        </w:tc>
      </w:tr>
      <w:tr w14:paraId="5B73E9E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18F02EE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ED08F4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确保文明施工的技术组织措施（</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E1C0F7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分）：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 </w:t>
            </w:r>
          </w:p>
          <w:p w14:paraId="769CBDD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分）针对本工程项目特点，有现场文明施工、环境保护措施，且措施内容基本应达到 《建筑施工安全生产检查标准》 （JGJ59-2011） 合格标准并基本符合《广西壮族自治区建筑工 程文明施工导则》要求。有各项措施。有具体实现现场文明施工目标的承诺。</w:t>
            </w:r>
          </w:p>
          <w:p w14:paraId="68EC346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0分）：未能达到达到《建筑施工安全生产检查标准》（JGJ59-2011）合格标准并符合《广西壮族自治区建筑工程文明施工导则》要求。各项措施不周全、不具体、不有效。没有具体实现现场文明施工目标的承诺。</w:t>
            </w:r>
          </w:p>
        </w:tc>
      </w:tr>
      <w:tr w14:paraId="1F886CF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770F7B7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BED1E3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工程施工的重点和难点及保证措施（</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A61286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分）：针对本工程的特点，阐述本工程的重点和难点，解决重点和难点问题的方法科学合理。 </w:t>
            </w:r>
          </w:p>
          <w:p w14:paraId="2F6933C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 xml:space="preserve">分)：针对本工程的特点，阐述本工程的重点和难点，解决重点和难点问题的方法基本合理。 </w:t>
            </w:r>
          </w:p>
          <w:p w14:paraId="1F27537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)：针对本工程的特点，阐述本工程的重点和难点，解决重点和难点问题的方法不合理。</w:t>
            </w:r>
          </w:p>
        </w:tc>
      </w:tr>
      <w:tr w14:paraId="35A746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386E507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41E26A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施工总平面布置图（</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1D2EDA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可行（</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分）：总体布置合理，能满足施工需要，基本符合安全、文明生产要求。</w:t>
            </w:r>
          </w:p>
          <w:p w14:paraId="09467F9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不可行（</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分）：总体布置不合理，</w:t>
            </w:r>
            <w:r>
              <w:rPr>
                <w:rFonts w:hint="eastAsia" w:ascii="宋体" w:hAnsi="宋体" w:eastAsia="宋体" w:cs="宋体"/>
                <w:color w:val="auto"/>
                <w:sz w:val="21"/>
                <w:szCs w:val="21"/>
                <w:lang w:val="en-US" w:eastAsia="zh-CN"/>
              </w:rPr>
              <w:t>不能满足施工需要，</w:t>
            </w:r>
            <w:r>
              <w:rPr>
                <w:rFonts w:hint="eastAsia" w:ascii="宋体" w:hAnsi="宋体" w:eastAsia="宋体" w:cs="宋体"/>
                <w:color w:val="auto"/>
                <w:sz w:val="21"/>
                <w:szCs w:val="21"/>
              </w:rPr>
              <w:t>不符合安全、文明生产要求。</w:t>
            </w:r>
          </w:p>
        </w:tc>
      </w:tr>
    </w:tbl>
    <w:p w14:paraId="5460B162">
      <w:pPr>
        <w:spacing w:line="440" w:lineRule="exact"/>
        <w:ind w:left="-315" w:leftChars="-150" w:firstLine="482" w:firstLineChars="200"/>
        <w:rPr>
          <w:rFonts w:hint="eastAsia" w:ascii="宋体" w:hAnsi="宋体"/>
          <w:b/>
          <w:bCs/>
          <w:color w:val="auto"/>
          <w:sz w:val="24"/>
          <w:lang w:val="en-US" w:eastAsia="zh-CN"/>
        </w:rPr>
      </w:pPr>
    </w:p>
    <w:p w14:paraId="01A11233">
      <w:pPr>
        <w:spacing w:line="440" w:lineRule="exact"/>
        <w:ind w:left="-315" w:leftChars="-150" w:firstLine="482" w:firstLineChars="200"/>
        <w:rPr>
          <w:rFonts w:ascii="宋体" w:hAnsi="宋体"/>
          <w:b/>
          <w:bCs/>
          <w:color w:val="auto"/>
          <w:sz w:val="24"/>
        </w:rPr>
      </w:pPr>
      <w:r>
        <w:rPr>
          <w:rFonts w:hint="eastAsia" w:ascii="宋体" w:hAnsi="宋体"/>
          <w:b/>
          <w:bCs/>
          <w:color w:val="auto"/>
          <w:sz w:val="24"/>
          <w:lang w:val="en-US" w:eastAsia="zh-CN"/>
        </w:rPr>
        <w:t>4.</w:t>
      </w:r>
      <w:r>
        <w:rPr>
          <w:rFonts w:hint="eastAsia"/>
          <w:color w:val="auto"/>
          <w:sz w:val="24"/>
        </w:rPr>
        <w:t xml:space="preserve"> </w:t>
      </w:r>
      <w:r>
        <w:rPr>
          <w:rFonts w:hint="eastAsia" w:ascii="宋体" w:hAnsi="宋体"/>
          <w:b/>
          <w:bCs/>
          <w:color w:val="auto"/>
          <w:sz w:val="24"/>
        </w:rPr>
        <w:t>企业信誉实力</w:t>
      </w:r>
      <w:r>
        <w:rPr>
          <w:rFonts w:hint="eastAsia" w:ascii="宋体" w:hAnsi="宋体"/>
          <w:b/>
          <w:bCs/>
          <w:color w:val="auto"/>
          <w:sz w:val="24"/>
          <w:lang w:eastAsia="zh-CN"/>
        </w:rPr>
        <w:t>分</w:t>
      </w:r>
      <w:r>
        <w:rPr>
          <w:rFonts w:ascii="宋体" w:hAnsi="宋体"/>
          <w:b/>
          <w:bCs/>
          <w:color w:val="auto"/>
          <w:sz w:val="24"/>
        </w:rPr>
        <w:t>………………………………………………………………………</w:t>
      </w:r>
      <w:r>
        <w:rPr>
          <w:rFonts w:hint="eastAsia" w:ascii="宋体" w:hAnsi="宋体"/>
          <w:b/>
          <w:bCs/>
          <w:color w:val="auto"/>
          <w:sz w:val="24"/>
          <w:lang w:val="en-US" w:eastAsia="zh-CN"/>
        </w:rPr>
        <w:t>6</w:t>
      </w:r>
      <w:r>
        <w:rPr>
          <w:rFonts w:hint="eastAsia" w:ascii="宋体" w:hAnsi="宋体"/>
          <w:b/>
          <w:bCs/>
          <w:color w:val="auto"/>
          <w:sz w:val="24"/>
        </w:rPr>
        <w:t>分</w:t>
      </w:r>
    </w:p>
    <w:tbl>
      <w:tblPr>
        <w:tblStyle w:val="36"/>
        <w:tblW w:w="9630"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8498"/>
      </w:tblGrid>
      <w:tr w14:paraId="01B1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1132" w:type="dxa"/>
            <w:noWrap w:val="0"/>
            <w:vAlign w:val="center"/>
          </w:tcPr>
          <w:p w14:paraId="74AFDF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企业信誉实力（满分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8498" w:type="dxa"/>
            <w:noWrap w:val="0"/>
            <w:vAlign w:val="center"/>
          </w:tcPr>
          <w:p w14:paraId="7C627C62">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（一）项目业绩：满分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A4A93CC">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年1月1日以来承接并完成过类似项目业绩的，每项得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分。（以</w:t>
            </w:r>
            <w:r>
              <w:rPr>
                <w:rFonts w:hint="eastAsia" w:ascii="宋体" w:hAnsi="宋体" w:eastAsia="宋体" w:cs="宋体"/>
                <w:color w:val="auto"/>
                <w:sz w:val="21"/>
                <w:szCs w:val="21"/>
                <w:highlight w:val="none"/>
                <w:lang w:eastAsia="zh-CN"/>
              </w:rPr>
              <w:t>合同或</w:t>
            </w:r>
            <w:r>
              <w:rPr>
                <w:rFonts w:hint="eastAsia" w:ascii="宋体" w:hAnsi="宋体" w:eastAsia="宋体" w:cs="宋体"/>
                <w:color w:val="auto"/>
                <w:sz w:val="21"/>
                <w:szCs w:val="21"/>
                <w:highlight w:val="none"/>
              </w:rPr>
              <w:t>竣工验收报告复印件</w:t>
            </w:r>
            <w:r>
              <w:rPr>
                <w:rFonts w:hint="eastAsia" w:ascii="宋体" w:hAnsi="宋体" w:eastAsia="宋体" w:cs="宋体"/>
                <w:bCs/>
                <w:color w:val="auto"/>
                <w:sz w:val="21"/>
                <w:szCs w:val="21"/>
                <w:highlight w:val="none"/>
              </w:rPr>
              <w:t>并加盖供应商公章为准，否则不得分）</w:t>
            </w:r>
          </w:p>
        </w:tc>
      </w:tr>
    </w:tbl>
    <w:p w14:paraId="2815B463">
      <w:pPr>
        <w:spacing w:line="440" w:lineRule="exact"/>
        <w:ind w:firstLine="480" w:firstLineChars="200"/>
        <w:outlineLvl w:val="0"/>
        <w:rPr>
          <w:rFonts w:hint="eastAsia" w:ascii="宋体" w:hAnsi="宋体" w:eastAsia="宋体" w:cs="宋体"/>
          <w:b/>
          <w:color w:val="auto"/>
          <w:szCs w:val="21"/>
          <w:highlight w:val="none"/>
        </w:rPr>
      </w:pPr>
      <w:bookmarkStart w:id="1307" w:name="_Toc7371"/>
      <w:r>
        <w:rPr>
          <w:rFonts w:ascii="宋体" w:hAnsi="宋体"/>
          <w:color w:val="auto"/>
          <w:sz w:val="24"/>
        </w:rPr>
        <w:t>（三）综合得分 =</w:t>
      </w:r>
      <w:r>
        <w:rPr>
          <w:rFonts w:ascii="宋体" w:hAnsi="宋体"/>
          <w:b/>
          <w:bCs/>
          <w:color w:val="auto"/>
          <w:sz w:val="24"/>
        </w:rPr>
        <w:t xml:space="preserve"> 1＋2+</w:t>
      </w:r>
      <w:r>
        <w:rPr>
          <w:rFonts w:hint="eastAsia" w:ascii="宋体" w:hAnsi="宋体"/>
          <w:b/>
          <w:bCs/>
          <w:color w:val="auto"/>
          <w:sz w:val="24"/>
          <w:lang w:val="en-US" w:eastAsia="zh-CN"/>
        </w:rPr>
        <w:t>3+4</w:t>
      </w:r>
      <w:bookmarkEnd w:id="1307"/>
    </w:p>
    <w:p w14:paraId="0E1088F4">
      <w:pPr>
        <w:spacing w:before="120" w:beforeLines="50" w:line="400" w:lineRule="exact"/>
        <w:ind w:left="0" w:leftChars="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三、推荐成交候选人</w:t>
      </w:r>
    </w:p>
    <w:p w14:paraId="032E88DA">
      <w:pPr>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磋商小组应当从通过资格性审查和符合性审查、质量和服务均能满足竞争性磋商文件全部实质性响应要求的</w:t>
      </w:r>
      <w:r>
        <w:rPr>
          <w:rFonts w:hint="eastAsia" w:ascii="宋体" w:hAnsi="宋体" w:cs="宋体"/>
          <w:color w:val="auto"/>
          <w:szCs w:val="21"/>
          <w:highlight w:val="none"/>
          <w:lang w:eastAsia="zh-CN" w:bidi="ar"/>
        </w:rPr>
        <w:t>供应商</w:t>
      </w:r>
      <w:r>
        <w:rPr>
          <w:rFonts w:hint="eastAsia" w:ascii="宋体" w:hAnsi="宋体" w:eastAsia="宋体" w:cs="宋体"/>
          <w:color w:val="auto"/>
          <w:szCs w:val="21"/>
          <w:highlight w:val="none"/>
          <w:lang w:bidi="ar"/>
        </w:rPr>
        <w:t>中。</w:t>
      </w:r>
    </w:p>
    <w:p w14:paraId="2BA04DCC">
      <w:pPr>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磋商小组根据评审结果按评审后得分由高到低顺序排列推荐3名成交候选人。总得分相同的，依次按最终技术分高优先、信誉分高优先、报价低优先、提交服务成果时间短优先的顺序排列。成交候选人并列的，由采购人采取随机抽取的方式确定成交人。</w:t>
      </w:r>
    </w:p>
    <w:p w14:paraId="4343834C">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rPr>
        <w:t>采购人应当确定磋商小组推荐排名第一的成交候选人为成交人。排名第一的成交候选人放弃成交、因不可抗力提出不能履行合同，或者</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规定应当提交履约保证金而在规定的期限内未能提交的，采购人可以确定排名第二的成交候选人为成交人。排名第二的成交候选人因前款规定的同样原因不能签订合同的，采购人可以确定排名第三的成交候选人为成交人。</w:t>
      </w:r>
    </w:p>
    <w:p w14:paraId="2E767F9B">
      <w:pPr>
        <w:rPr>
          <w:rFonts w:hint="eastAsia" w:ascii="宋体" w:hAnsi="宋体" w:eastAsia="宋体" w:cs="宋体"/>
          <w:color w:val="auto"/>
          <w:highlight w:val="none"/>
        </w:rPr>
      </w:pPr>
      <w:bookmarkStart w:id="1308" w:name="_Toc239839919"/>
      <w:bookmarkStart w:id="1309" w:name="_Toc156106972"/>
      <w:bookmarkStart w:id="1310" w:name="_Toc185703035"/>
      <w:bookmarkStart w:id="1311" w:name="_Toc486923011"/>
      <w:bookmarkStart w:id="1312" w:name="_Toc147248437"/>
      <w:bookmarkStart w:id="1313" w:name="_Toc185702613"/>
      <w:r>
        <w:rPr>
          <w:rFonts w:hint="eastAsia"/>
          <w:color w:val="auto"/>
          <w:highlight w:val="none"/>
        </w:rPr>
        <w:br w:type="page"/>
      </w:r>
    </w:p>
    <w:p w14:paraId="0A77A066">
      <w:pPr>
        <w:pStyle w:val="3"/>
        <w:bidi w:val="0"/>
        <w:rPr>
          <w:rFonts w:hint="eastAsia"/>
          <w:color w:val="auto"/>
        </w:rPr>
      </w:pPr>
      <w:bookmarkStart w:id="1314" w:name="_Toc763_WPSOffice_Level1"/>
      <w:bookmarkStart w:id="1315" w:name="_Toc23390"/>
      <w:r>
        <w:rPr>
          <w:rFonts w:hint="eastAsia"/>
          <w:color w:val="auto"/>
        </w:rPr>
        <w:t xml:space="preserve">第六章   </w:t>
      </w:r>
      <w:bookmarkEnd w:id="1308"/>
      <w:bookmarkEnd w:id="1309"/>
      <w:bookmarkEnd w:id="1310"/>
      <w:bookmarkEnd w:id="1311"/>
      <w:bookmarkEnd w:id="1312"/>
      <w:bookmarkEnd w:id="1313"/>
      <w:bookmarkEnd w:id="1314"/>
      <w:r>
        <w:rPr>
          <w:color w:val="auto"/>
        </w:rPr>
        <w:t>磋商响应文件格式</w:t>
      </w:r>
      <w:bookmarkEnd w:id="1315"/>
    </w:p>
    <w:p w14:paraId="3A26E702">
      <w:pPr>
        <w:spacing w:line="400" w:lineRule="exact"/>
        <w:rPr>
          <w:rFonts w:hint="eastAsia" w:ascii="宋体" w:hAnsi="宋体" w:eastAsia="宋体" w:cs="宋体"/>
          <w:color w:val="auto"/>
          <w:highlight w:val="none"/>
        </w:rPr>
      </w:pPr>
    </w:p>
    <w:p w14:paraId="3A0F70F9">
      <w:pPr>
        <w:pStyle w:val="20"/>
        <w:jc w:val="center"/>
        <w:rPr>
          <w:rFonts w:hint="eastAsia" w:hAnsi="宋体"/>
          <w:color w:val="auto"/>
          <w:sz w:val="72"/>
          <w:szCs w:val="72"/>
        </w:rPr>
      </w:pPr>
    </w:p>
    <w:p w14:paraId="3CCC7CCA">
      <w:pPr>
        <w:pStyle w:val="20"/>
        <w:jc w:val="center"/>
        <w:rPr>
          <w:rFonts w:hint="eastAsia" w:hAnsi="宋体"/>
          <w:color w:val="auto"/>
          <w:sz w:val="72"/>
          <w:szCs w:val="72"/>
        </w:rPr>
      </w:pPr>
    </w:p>
    <w:p w14:paraId="7EF0E62A">
      <w:pPr>
        <w:pStyle w:val="20"/>
        <w:jc w:val="center"/>
        <w:rPr>
          <w:rFonts w:hint="eastAsia" w:hAnsi="宋体"/>
          <w:color w:val="auto"/>
          <w:sz w:val="72"/>
          <w:szCs w:val="72"/>
        </w:rPr>
      </w:pPr>
    </w:p>
    <w:p w14:paraId="5E41182E">
      <w:pPr>
        <w:pStyle w:val="20"/>
        <w:jc w:val="center"/>
        <w:rPr>
          <w:rFonts w:hint="eastAsia" w:hAnsi="宋体"/>
          <w:color w:val="auto"/>
          <w:sz w:val="72"/>
          <w:szCs w:val="72"/>
        </w:rPr>
      </w:pPr>
    </w:p>
    <w:p w14:paraId="2E869DCE">
      <w:pPr>
        <w:pStyle w:val="20"/>
        <w:jc w:val="center"/>
        <w:rPr>
          <w:rFonts w:hint="eastAsia" w:hAnsi="宋体"/>
          <w:color w:val="auto"/>
          <w:sz w:val="36"/>
          <w:szCs w:val="36"/>
        </w:rPr>
      </w:pPr>
    </w:p>
    <w:p w14:paraId="7E308314">
      <w:pPr>
        <w:pStyle w:val="20"/>
        <w:jc w:val="center"/>
        <w:rPr>
          <w:rFonts w:hint="eastAsia" w:hAnsi="宋体"/>
          <w:color w:val="auto"/>
          <w:sz w:val="36"/>
          <w:szCs w:val="36"/>
        </w:rPr>
      </w:pPr>
    </w:p>
    <w:p w14:paraId="0EF0683F">
      <w:pPr>
        <w:pStyle w:val="20"/>
        <w:jc w:val="center"/>
        <w:rPr>
          <w:rFonts w:hAnsi="宋体"/>
          <w:color w:val="auto"/>
          <w:sz w:val="36"/>
          <w:szCs w:val="36"/>
        </w:rPr>
      </w:pPr>
      <w:r>
        <w:rPr>
          <w:rFonts w:hint="eastAsia" w:hAnsi="宋体"/>
          <w:color w:val="auto"/>
          <w:sz w:val="36"/>
          <w:szCs w:val="36"/>
        </w:rPr>
        <w:t>竞争性磋商响应文件</w:t>
      </w:r>
    </w:p>
    <w:p w14:paraId="4A907352">
      <w:pPr>
        <w:pStyle w:val="20"/>
        <w:jc w:val="center"/>
        <w:rPr>
          <w:rFonts w:hAnsi="宋体"/>
          <w:color w:val="auto"/>
          <w:sz w:val="36"/>
          <w:szCs w:val="36"/>
        </w:rPr>
      </w:pPr>
    </w:p>
    <w:p w14:paraId="47B74E84">
      <w:pPr>
        <w:pStyle w:val="20"/>
        <w:spacing w:line="600" w:lineRule="auto"/>
        <w:ind w:firstLine="2368" w:firstLineChars="740"/>
        <w:rPr>
          <w:rFonts w:hint="eastAsia" w:hAnsi="宋体"/>
          <w:color w:val="auto"/>
          <w:sz w:val="32"/>
          <w:szCs w:val="32"/>
        </w:rPr>
      </w:pPr>
    </w:p>
    <w:p w14:paraId="4E36526E">
      <w:pPr>
        <w:pStyle w:val="20"/>
        <w:spacing w:line="600" w:lineRule="auto"/>
        <w:ind w:firstLine="2368" w:firstLineChars="740"/>
        <w:rPr>
          <w:rFonts w:hint="eastAsia" w:hAnsi="宋体"/>
          <w:color w:val="auto"/>
          <w:sz w:val="32"/>
          <w:szCs w:val="32"/>
        </w:rPr>
      </w:pPr>
    </w:p>
    <w:p w14:paraId="73250355">
      <w:pPr>
        <w:pStyle w:val="20"/>
        <w:spacing w:line="600" w:lineRule="auto"/>
        <w:ind w:firstLine="2368" w:firstLineChars="740"/>
        <w:rPr>
          <w:rFonts w:hAnsi="宋体"/>
          <w:color w:val="auto"/>
          <w:sz w:val="32"/>
          <w:szCs w:val="32"/>
          <w:u w:val="single"/>
        </w:rPr>
      </w:pPr>
      <w:r>
        <w:rPr>
          <w:rFonts w:hint="eastAsia" w:hAnsi="宋体"/>
          <w:color w:val="auto"/>
          <w:sz w:val="32"/>
          <w:szCs w:val="32"/>
        </w:rPr>
        <w:t>项目名称：</w:t>
      </w:r>
      <w:r>
        <w:rPr>
          <w:rFonts w:hint="eastAsia" w:hAnsi="宋体"/>
          <w:color w:val="auto"/>
          <w:sz w:val="32"/>
          <w:szCs w:val="32"/>
          <w:u w:val="single"/>
        </w:rPr>
        <w:t xml:space="preserve">                  </w:t>
      </w:r>
    </w:p>
    <w:p w14:paraId="049CEFE9">
      <w:pPr>
        <w:pStyle w:val="20"/>
        <w:spacing w:line="600" w:lineRule="auto"/>
        <w:ind w:firstLine="2368" w:firstLineChars="740"/>
        <w:rPr>
          <w:rFonts w:hAnsi="宋体"/>
          <w:color w:val="auto"/>
          <w:sz w:val="32"/>
          <w:szCs w:val="32"/>
          <w:u w:val="single"/>
        </w:rPr>
      </w:pPr>
      <w:r>
        <w:rPr>
          <w:rFonts w:hint="eastAsia" w:hAnsi="宋体"/>
          <w:color w:val="auto"/>
          <w:sz w:val="32"/>
          <w:szCs w:val="32"/>
        </w:rPr>
        <w:t>项目编号：</w:t>
      </w:r>
      <w:r>
        <w:rPr>
          <w:rFonts w:hint="eastAsia" w:hAnsi="宋体"/>
          <w:color w:val="auto"/>
          <w:sz w:val="32"/>
          <w:szCs w:val="32"/>
          <w:u w:val="single"/>
        </w:rPr>
        <w:t xml:space="preserve">                  </w:t>
      </w:r>
    </w:p>
    <w:p w14:paraId="3228220F">
      <w:pPr>
        <w:pStyle w:val="20"/>
        <w:ind w:firstLine="2570" w:firstLineChars="800"/>
        <w:rPr>
          <w:rFonts w:hint="eastAsia" w:ascii="宋体" w:hAnsi="宋体" w:eastAsia="宋体" w:cs="宋体"/>
          <w:b/>
          <w:color w:val="auto"/>
          <w:sz w:val="32"/>
          <w:szCs w:val="32"/>
          <w:highlight w:val="none"/>
          <w:u w:val="single"/>
        </w:rPr>
      </w:pPr>
    </w:p>
    <w:p w14:paraId="21F76244">
      <w:pPr>
        <w:pStyle w:val="20"/>
        <w:ind w:firstLine="2570" w:firstLineChars="800"/>
        <w:rPr>
          <w:rFonts w:hint="eastAsia" w:ascii="宋体" w:hAnsi="宋体" w:eastAsia="宋体" w:cs="宋体"/>
          <w:b/>
          <w:color w:val="auto"/>
          <w:sz w:val="32"/>
          <w:szCs w:val="32"/>
          <w:highlight w:val="none"/>
          <w:u w:val="single"/>
        </w:rPr>
      </w:pPr>
    </w:p>
    <w:p w14:paraId="7FEB9D88">
      <w:pPr>
        <w:pStyle w:val="20"/>
        <w:ind w:firstLine="2570" w:firstLineChars="800"/>
        <w:rPr>
          <w:rFonts w:hint="eastAsia" w:ascii="宋体" w:hAnsi="宋体" w:eastAsia="宋体" w:cs="宋体"/>
          <w:b/>
          <w:color w:val="auto"/>
          <w:sz w:val="32"/>
          <w:szCs w:val="32"/>
          <w:highlight w:val="none"/>
          <w:u w:val="single"/>
        </w:rPr>
      </w:pPr>
    </w:p>
    <w:p w14:paraId="53121F76">
      <w:pPr>
        <w:pStyle w:val="20"/>
        <w:spacing w:line="1000" w:lineRule="exact"/>
        <w:ind w:firstLine="537" w:firstLineChars="168"/>
        <w:rPr>
          <w:rFonts w:hint="eastAsia" w:ascii="宋体" w:hAnsi="宋体" w:eastAsia="宋体" w:cs="宋体"/>
          <w:b w:val="0"/>
          <w:bCs/>
          <w:color w:val="auto"/>
          <w:sz w:val="32"/>
          <w:szCs w:val="32"/>
          <w:highlight w:val="none"/>
          <w:u w:val="single"/>
        </w:rPr>
      </w:pPr>
      <w:r>
        <w:rPr>
          <w:rFonts w:hint="eastAsia" w:hAnsi="宋体" w:cs="宋体"/>
          <w:b w:val="0"/>
          <w:bCs/>
          <w:color w:val="auto"/>
          <w:sz w:val="32"/>
          <w:szCs w:val="32"/>
          <w:highlight w:val="none"/>
          <w:lang w:eastAsia="zh-CN"/>
        </w:rPr>
        <w:t>供应商</w:t>
      </w:r>
      <w:r>
        <w:rPr>
          <w:rFonts w:hint="eastAsia" w:ascii="宋体" w:hAnsi="宋体" w:eastAsia="宋体" w:cs="宋体"/>
          <w:b w:val="0"/>
          <w:bCs/>
          <w:color w:val="auto"/>
          <w:sz w:val="32"/>
          <w:szCs w:val="32"/>
          <w:highlight w:val="none"/>
        </w:rPr>
        <w:t>：</w:t>
      </w:r>
      <w:r>
        <w:rPr>
          <w:rFonts w:hint="eastAsia" w:ascii="宋体" w:hAnsi="宋体" w:eastAsia="宋体" w:cs="宋体"/>
          <w:b w:val="0"/>
          <w:bCs/>
          <w:color w:val="auto"/>
          <w:sz w:val="32"/>
          <w:szCs w:val="32"/>
          <w:highlight w:val="none"/>
          <w:u w:val="single"/>
        </w:rPr>
        <w:t xml:space="preserve">                         （电子签章）</w:t>
      </w:r>
    </w:p>
    <w:p w14:paraId="54D8712E">
      <w:pPr>
        <w:pStyle w:val="20"/>
        <w:spacing w:line="1000" w:lineRule="exact"/>
        <w:ind w:firstLine="537" w:firstLineChars="168"/>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法定代表人或其委托代理人：</w:t>
      </w:r>
      <w:r>
        <w:rPr>
          <w:rFonts w:hint="eastAsia" w:ascii="宋体" w:hAnsi="宋体" w:eastAsia="宋体" w:cs="宋体"/>
          <w:b w:val="0"/>
          <w:bCs/>
          <w:color w:val="auto"/>
          <w:sz w:val="32"/>
          <w:szCs w:val="32"/>
          <w:highlight w:val="none"/>
          <w:u w:val="single"/>
        </w:rPr>
        <w:t xml:space="preserve">          （</w:t>
      </w:r>
      <w:r>
        <w:rPr>
          <w:rFonts w:hint="eastAsia" w:hAnsi="宋体" w:cs="宋体"/>
          <w:b w:val="0"/>
          <w:bCs/>
          <w:color w:val="auto"/>
          <w:sz w:val="32"/>
          <w:szCs w:val="32"/>
          <w:highlight w:val="none"/>
          <w:u w:val="single"/>
          <w:lang w:eastAsia="zh-CN"/>
        </w:rPr>
        <w:t>签字或者电子签名</w:t>
      </w:r>
      <w:r>
        <w:rPr>
          <w:rFonts w:hint="eastAsia" w:ascii="宋体" w:hAnsi="宋体" w:eastAsia="宋体" w:cs="宋体"/>
          <w:b w:val="0"/>
          <w:bCs/>
          <w:color w:val="auto"/>
          <w:sz w:val="32"/>
          <w:szCs w:val="32"/>
          <w:highlight w:val="none"/>
          <w:u w:val="single"/>
        </w:rPr>
        <w:t>）</w:t>
      </w:r>
    </w:p>
    <w:p w14:paraId="2659AAE3">
      <w:pPr>
        <w:pStyle w:val="20"/>
        <w:ind w:firstLine="480" w:firstLineChars="150"/>
        <w:rPr>
          <w:rFonts w:hint="eastAsia" w:ascii="宋体" w:hAnsi="宋体" w:eastAsia="宋体" w:cs="宋体"/>
          <w:b w:val="0"/>
          <w:bCs/>
          <w:color w:val="auto"/>
          <w:sz w:val="32"/>
          <w:szCs w:val="32"/>
          <w:highlight w:val="none"/>
        </w:rPr>
      </w:pPr>
    </w:p>
    <w:p w14:paraId="4F3DDFFA">
      <w:pPr>
        <w:pStyle w:val="20"/>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磋商日期：</w:t>
      </w:r>
      <w:r>
        <w:rPr>
          <w:rFonts w:hint="eastAsia" w:ascii="宋体" w:hAnsi="宋体" w:eastAsia="宋体" w:cs="宋体"/>
          <w:b w:val="0"/>
          <w:bCs/>
          <w:color w:val="auto"/>
          <w:sz w:val="32"/>
          <w:szCs w:val="32"/>
          <w:highlight w:val="none"/>
          <w:u w:val="single"/>
        </w:rPr>
        <w:t xml:space="preserve">         </w:t>
      </w:r>
      <w:r>
        <w:rPr>
          <w:rFonts w:hint="eastAsia" w:ascii="宋体" w:hAnsi="宋体" w:eastAsia="宋体" w:cs="宋体"/>
          <w:b w:val="0"/>
          <w:bCs/>
          <w:color w:val="auto"/>
          <w:sz w:val="32"/>
          <w:szCs w:val="32"/>
          <w:highlight w:val="none"/>
        </w:rPr>
        <w:t>年</w:t>
      </w:r>
      <w:r>
        <w:rPr>
          <w:rFonts w:hint="eastAsia" w:ascii="宋体" w:hAnsi="宋体" w:eastAsia="宋体" w:cs="宋体"/>
          <w:b w:val="0"/>
          <w:bCs/>
          <w:color w:val="auto"/>
          <w:sz w:val="32"/>
          <w:szCs w:val="32"/>
          <w:highlight w:val="none"/>
          <w:u w:val="single"/>
        </w:rPr>
        <w:t xml:space="preserve">     </w:t>
      </w:r>
      <w:r>
        <w:rPr>
          <w:rFonts w:hint="eastAsia" w:ascii="宋体" w:hAnsi="宋体" w:eastAsia="宋体" w:cs="宋体"/>
          <w:b w:val="0"/>
          <w:bCs/>
          <w:color w:val="auto"/>
          <w:sz w:val="32"/>
          <w:szCs w:val="32"/>
          <w:highlight w:val="none"/>
        </w:rPr>
        <w:t>月</w:t>
      </w:r>
      <w:r>
        <w:rPr>
          <w:rFonts w:hint="eastAsia" w:ascii="宋体" w:hAnsi="宋体" w:eastAsia="宋体" w:cs="宋体"/>
          <w:b w:val="0"/>
          <w:bCs/>
          <w:color w:val="auto"/>
          <w:sz w:val="32"/>
          <w:szCs w:val="32"/>
          <w:highlight w:val="none"/>
          <w:u w:val="single"/>
        </w:rPr>
        <w:t xml:space="preserve">     </w:t>
      </w:r>
      <w:r>
        <w:rPr>
          <w:rFonts w:hint="eastAsia" w:ascii="宋体" w:hAnsi="宋体" w:eastAsia="宋体" w:cs="宋体"/>
          <w:b w:val="0"/>
          <w:bCs/>
          <w:color w:val="auto"/>
          <w:sz w:val="32"/>
          <w:szCs w:val="32"/>
          <w:highlight w:val="none"/>
        </w:rPr>
        <w:t>日</w:t>
      </w:r>
    </w:p>
    <w:p w14:paraId="22F6EB84">
      <w:pPr>
        <w:pStyle w:val="20"/>
        <w:spacing w:line="500" w:lineRule="exact"/>
        <w:ind w:firstLine="643" w:firstLineChars="20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p>
    <w:p w14:paraId="6C4E4612">
      <w:pPr>
        <w:pStyle w:val="20"/>
        <w:spacing w:line="500" w:lineRule="exact"/>
        <w:ind w:firstLine="643" w:firstLineChars="200"/>
        <w:jc w:val="center"/>
        <w:rPr>
          <w:rFonts w:hint="eastAsia" w:ascii="宋体" w:hAnsi="宋体" w:eastAsia="宋体" w:cs="宋体"/>
          <w:color w:val="auto"/>
          <w:sz w:val="32"/>
          <w:szCs w:val="32"/>
          <w:highlight w:val="none"/>
        </w:rPr>
      </w:pPr>
      <w:r>
        <w:rPr>
          <w:rFonts w:hint="eastAsia" w:hAnsi="宋体" w:cs="宋体"/>
          <w:b/>
          <w:bCs/>
          <w:color w:val="auto"/>
          <w:sz w:val="32"/>
          <w:szCs w:val="32"/>
          <w:highlight w:val="none"/>
          <w:lang w:eastAsia="zh-CN"/>
        </w:rPr>
        <w:t>一、</w:t>
      </w:r>
      <w:r>
        <w:rPr>
          <w:rFonts w:hint="eastAsia" w:ascii="宋体" w:hAnsi="宋体" w:eastAsia="宋体" w:cs="宋体"/>
          <w:b/>
          <w:bCs/>
          <w:color w:val="auto"/>
          <w:sz w:val="32"/>
          <w:szCs w:val="32"/>
          <w:highlight w:val="none"/>
        </w:rPr>
        <w:t>报价文件格式</w:t>
      </w:r>
    </w:p>
    <w:p w14:paraId="78ECA9DF">
      <w:pPr>
        <w:pStyle w:val="6"/>
        <w:spacing w:line="381" w:lineRule="exact"/>
        <w:ind w:left="0" w:leftChars="0" w:firstLine="0" w:firstLineChars="0"/>
        <w:jc w:val="left"/>
        <w:rPr>
          <w:rFonts w:hint="eastAsia" w:ascii="宋体" w:hAnsi="宋体" w:eastAsia="宋体" w:cs="宋体"/>
          <w:b w:val="0"/>
          <w:bCs w:val="0"/>
          <w:color w:val="auto"/>
        </w:rPr>
      </w:pPr>
      <w:r>
        <w:rPr>
          <w:rFonts w:hint="eastAsia" w:ascii="宋体" w:hAnsi="宋体" w:eastAsia="宋体" w:cs="宋体"/>
          <w:b w:val="0"/>
          <w:bCs w:val="0"/>
          <w:color w:val="auto"/>
          <w:spacing w:val="-1"/>
          <w:lang w:val="en-US" w:eastAsia="zh-CN"/>
        </w:rPr>
        <w:t>1、</w:t>
      </w:r>
      <w:r>
        <w:rPr>
          <w:rFonts w:hint="eastAsia" w:ascii="宋体" w:hAnsi="宋体" w:eastAsia="宋体" w:cs="宋体"/>
          <w:b w:val="0"/>
          <w:bCs w:val="0"/>
          <w:color w:val="auto"/>
          <w:spacing w:val="-1"/>
        </w:rPr>
        <w:t>报价文件封面</w:t>
      </w:r>
      <w:r>
        <w:rPr>
          <w:rFonts w:hint="eastAsia" w:ascii="宋体" w:hAnsi="宋体" w:eastAsia="宋体" w:cs="宋体"/>
          <w:b w:val="0"/>
          <w:bCs w:val="0"/>
          <w:color w:val="auto"/>
          <w:spacing w:val="2"/>
        </w:rPr>
        <w:t>格</w:t>
      </w:r>
      <w:r>
        <w:rPr>
          <w:rFonts w:hint="eastAsia" w:ascii="宋体" w:hAnsi="宋体" w:eastAsia="宋体" w:cs="宋体"/>
          <w:b w:val="0"/>
          <w:bCs w:val="0"/>
          <w:color w:val="auto"/>
        </w:rPr>
        <w:t>式</w:t>
      </w:r>
    </w:p>
    <w:p w14:paraId="76899D03">
      <w:pPr>
        <w:spacing w:before="9" w:line="130" w:lineRule="exact"/>
        <w:rPr>
          <w:color w:val="auto"/>
          <w:sz w:val="13"/>
          <w:szCs w:val="13"/>
        </w:rPr>
      </w:pPr>
    </w:p>
    <w:p w14:paraId="2172C0A4">
      <w:pPr>
        <w:spacing w:line="200" w:lineRule="exact"/>
        <w:rPr>
          <w:color w:val="auto"/>
          <w:sz w:val="20"/>
          <w:szCs w:val="20"/>
        </w:rPr>
      </w:pPr>
    </w:p>
    <w:p w14:paraId="1020903B">
      <w:pPr>
        <w:spacing w:line="200" w:lineRule="exact"/>
        <w:rPr>
          <w:color w:val="auto"/>
          <w:sz w:val="20"/>
          <w:szCs w:val="20"/>
        </w:rPr>
      </w:pPr>
    </w:p>
    <w:p w14:paraId="1C549CEB">
      <w:pPr>
        <w:spacing w:line="200" w:lineRule="exact"/>
        <w:rPr>
          <w:color w:val="auto"/>
          <w:sz w:val="20"/>
          <w:szCs w:val="20"/>
        </w:rPr>
      </w:pPr>
    </w:p>
    <w:p w14:paraId="24239D18">
      <w:pPr>
        <w:pStyle w:val="16"/>
        <w:spacing w:line="309" w:lineRule="exact"/>
        <w:ind w:right="548"/>
        <w:jc w:val="right"/>
        <w:rPr>
          <w:color w:val="auto"/>
        </w:rPr>
      </w:pPr>
      <w:r>
        <w:rPr>
          <w:color w:val="auto"/>
          <w:spacing w:val="-1"/>
          <w:w w:val="95"/>
        </w:rPr>
        <w:t>电</w:t>
      </w:r>
      <w:r>
        <w:rPr>
          <w:color w:val="auto"/>
          <w:spacing w:val="1"/>
          <w:w w:val="95"/>
        </w:rPr>
        <w:t>子</w:t>
      </w:r>
      <w:r>
        <w:rPr>
          <w:color w:val="auto"/>
          <w:spacing w:val="-1"/>
          <w:w w:val="95"/>
        </w:rPr>
        <w:t>响</w:t>
      </w:r>
      <w:r>
        <w:rPr>
          <w:color w:val="auto"/>
          <w:spacing w:val="1"/>
          <w:w w:val="95"/>
        </w:rPr>
        <w:t>应</w:t>
      </w:r>
      <w:r>
        <w:rPr>
          <w:color w:val="auto"/>
          <w:spacing w:val="-1"/>
          <w:w w:val="95"/>
        </w:rPr>
        <w:t>文</w:t>
      </w:r>
      <w:r>
        <w:rPr>
          <w:color w:val="auto"/>
          <w:w w:val="95"/>
        </w:rPr>
        <w:t>件</w:t>
      </w:r>
    </w:p>
    <w:p w14:paraId="22D08205">
      <w:pPr>
        <w:spacing w:line="200" w:lineRule="exact"/>
        <w:rPr>
          <w:color w:val="auto"/>
          <w:sz w:val="20"/>
          <w:szCs w:val="20"/>
        </w:rPr>
      </w:pPr>
    </w:p>
    <w:p w14:paraId="5B6B2865">
      <w:pPr>
        <w:spacing w:line="200" w:lineRule="exact"/>
        <w:rPr>
          <w:color w:val="auto"/>
          <w:sz w:val="20"/>
          <w:szCs w:val="20"/>
        </w:rPr>
      </w:pPr>
    </w:p>
    <w:p w14:paraId="2209600F">
      <w:pPr>
        <w:spacing w:line="200" w:lineRule="exact"/>
        <w:rPr>
          <w:color w:val="auto"/>
          <w:sz w:val="20"/>
          <w:szCs w:val="20"/>
        </w:rPr>
      </w:pPr>
    </w:p>
    <w:p w14:paraId="0114BDE5">
      <w:pPr>
        <w:spacing w:line="200" w:lineRule="exact"/>
        <w:rPr>
          <w:color w:val="auto"/>
          <w:sz w:val="20"/>
          <w:szCs w:val="20"/>
        </w:rPr>
      </w:pPr>
    </w:p>
    <w:p w14:paraId="1E4DE987">
      <w:pPr>
        <w:spacing w:line="200" w:lineRule="exact"/>
        <w:rPr>
          <w:color w:val="auto"/>
          <w:sz w:val="20"/>
          <w:szCs w:val="20"/>
        </w:rPr>
      </w:pPr>
    </w:p>
    <w:p w14:paraId="3B9E8C0D">
      <w:pPr>
        <w:spacing w:line="200" w:lineRule="exact"/>
        <w:rPr>
          <w:color w:val="auto"/>
          <w:sz w:val="20"/>
          <w:szCs w:val="20"/>
        </w:rPr>
      </w:pPr>
    </w:p>
    <w:p w14:paraId="3C96DF8A">
      <w:pPr>
        <w:spacing w:line="200" w:lineRule="exact"/>
        <w:rPr>
          <w:color w:val="auto"/>
          <w:sz w:val="20"/>
          <w:szCs w:val="20"/>
        </w:rPr>
      </w:pPr>
    </w:p>
    <w:p w14:paraId="01EBDAE5">
      <w:pPr>
        <w:spacing w:line="200" w:lineRule="exact"/>
        <w:rPr>
          <w:color w:val="auto"/>
          <w:sz w:val="20"/>
          <w:szCs w:val="20"/>
        </w:rPr>
      </w:pPr>
    </w:p>
    <w:p w14:paraId="495FAB7A">
      <w:pPr>
        <w:spacing w:before="14" w:line="260" w:lineRule="exact"/>
        <w:rPr>
          <w:color w:val="auto"/>
          <w:sz w:val="26"/>
          <w:szCs w:val="26"/>
        </w:rPr>
      </w:pPr>
    </w:p>
    <w:p w14:paraId="2332287F">
      <w:pPr>
        <w:pStyle w:val="3"/>
        <w:spacing w:line="539" w:lineRule="exact"/>
        <w:jc w:val="center"/>
        <w:rPr>
          <w:color w:val="auto"/>
        </w:rPr>
      </w:pPr>
      <w:bookmarkStart w:id="1316" w:name="_Toc3470"/>
      <w:bookmarkStart w:id="1317" w:name="_Toc3105"/>
      <w:r>
        <w:rPr>
          <w:color w:val="auto"/>
        </w:rPr>
        <w:t>报</w:t>
      </w:r>
      <w:r>
        <w:rPr>
          <w:color w:val="auto"/>
          <w:spacing w:val="-3"/>
        </w:rPr>
        <w:t xml:space="preserve"> </w:t>
      </w:r>
      <w:r>
        <w:rPr>
          <w:color w:val="auto"/>
        </w:rPr>
        <w:t>价</w:t>
      </w:r>
      <w:r>
        <w:rPr>
          <w:color w:val="auto"/>
          <w:spacing w:val="-3"/>
        </w:rPr>
        <w:t xml:space="preserve"> </w:t>
      </w:r>
      <w:r>
        <w:rPr>
          <w:color w:val="auto"/>
        </w:rPr>
        <w:t>文</w:t>
      </w:r>
      <w:r>
        <w:rPr>
          <w:color w:val="auto"/>
          <w:spacing w:val="-3"/>
        </w:rPr>
        <w:t xml:space="preserve"> </w:t>
      </w:r>
      <w:r>
        <w:rPr>
          <w:color w:val="auto"/>
        </w:rPr>
        <w:t>件</w:t>
      </w:r>
      <w:bookmarkEnd w:id="1316"/>
      <w:bookmarkEnd w:id="1317"/>
    </w:p>
    <w:p w14:paraId="27965F5C">
      <w:pPr>
        <w:spacing w:line="200" w:lineRule="exact"/>
        <w:rPr>
          <w:color w:val="auto"/>
          <w:sz w:val="20"/>
          <w:szCs w:val="20"/>
        </w:rPr>
      </w:pPr>
    </w:p>
    <w:p w14:paraId="085F7DE7">
      <w:pPr>
        <w:spacing w:line="200" w:lineRule="exact"/>
        <w:rPr>
          <w:color w:val="auto"/>
          <w:sz w:val="20"/>
          <w:szCs w:val="20"/>
        </w:rPr>
      </w:pPr>
    </w:p>
    <w:p w14:paraId="57077601">
      <w:pPr>
        <w:spacing w:line="200" w:lineRule="exact"/>
        <w:rPr>
          <w:color w:val="auto"/>
          <w:sz w:val="20"/>
          <w:szCs w:val="20"/>
        </w:rPr>
      </w:pPr>
    </w:p>
    <w:p w14:paraId="78EAD5D9">
      <w:pPr>
        <w:spacing w:line="200" w:lineRule="exact"/>
        <w:rPr>
          <w:color w:val="auto"/>
          <w:sz w:val="20"/>
          <w:szCs w:val="20"/>
        </w:rPr>
      </w:pPr>
    </w:p>
    <w:p w14:paraId="7C101901">
      <w:pPr>
        <w:spacing w:line="200" w:lineRule="exact"/>
        <w:rPr>
          <w:color w:val="auto"/>
          <w:sz w:val="20"/>
          <w:szCs w:val="20"/>
        </w:rPr>
      </w:pPr>
    </w:p>
    <w:p w14:paraId="19F081DB">
      <w:pPr>
        <w:spacing w:line="200" w:lineRule="exact"/>
        <w:rPr>
          <w:color w:val="auto"/>
          <w:sz w:val="20"/>
          <w:szCs w:val="20"/>
        </w:rPr>
      </w:pPr>
    </w:p>
    <w:p w14:paraId="4DD86F66">
      <w:pPr>
        <w:spacing w:line="200" w:lineRule="exact"/>
        <w:rPr>
          <w:color w:val="auto"/>
          <w:sz w:val="20"/>
          <w:szCs w:val="20"/>
        </w:rPr>
      </w:pPr>
    </w:p>
    <w:p w14:paraId="2305ECF2">
      <w:pPr>
        <w:spacing w:line="200" w:lineRule="exact"/>
        <w:rPr>
          <w:color w:val="auto"/>
          <w:sz w:val="20"/>
          <w:szCs w:val="20"/>
        </w:rPr>
      </w:pPr>
    </w:p>
    <w:p w14:paraId="56ECD483">
      <w:pPr>
        <w:spacing w:line="200" w:lineRule="exact"/>
        <w:rPr>
          <w:color w:val="auto"/>
          <w:sz w:val="20"/>
          <w:szCs w:val="20"/>
        </w:rPr>
      </w:pPr>
    </w:p>
    <w:p w14:paraId="1FF7FF5F">
      <w:pPr>
        <w:spacing w:line="200" w:lineRule="exact"/>
        <w:rPr>
          <w:color w:val="auto"/>
          <w:sz w:val="20"/>
          <w:szCs w:val="20"/>
        </w:rPr>
      </w:pPr>
    </w:p>
    <w:p w14:paraId="1FC924BF">
      <w:pPr>
        <w:spacing w:before="13" w:line="280" w:lineRule="exact"/>
        <w:rPr>
          <w:color w:val="auto"/>
          <w:sz w:val="28"/>
          <w:szCs w:val="28"/>
        </w:rPr>
      </w:pPr>
    </w:p>
    <w:p w14:paraId="47B03AAE">
      <w:pPr>
        <w:pStyle w:val="4"/>
        <w:spacing w:line="419" w:lineRule="exact"/>
        <w:ind w:left="760"/>
        <w:jc w:val="left"/>
        <w:rPr>
          <w:color w:val="auto"/>
        </w:rPr>
      </w:pPr>
      <w:r>
        <w:rPr>
          <w:color w:val="auto"/>
        </w:rPr>
        <w:t>项</w:t>
      </w:r>
      <w:r>
        <w:rPr>
          <w:color w:val="auto"/>
          <w:spacing w:val="2"/>
        </w:rPr>
        <w:t>目</w:t>
      </w:r>
      <w:r>
        <w:rPr>
          <w:color w:val="auto"/>
        </w:rPr>
        <w:t>名称：</w:t>
      </w:r>
    </w:p>
    <w:p w14:paraId="410C8E25">
      <w:pPr>
        <w:spacing w:before="8" w:line="190" w:lineRule="exact"/>
        <w:rPr>
          <w:color w:val="auto"/>
          <w:sz w:val="19"/>
          <w:szCs w:val="19"/>
        </w:rPr>
      </w:pPr>
    </w:p>
    <w:p w14:paraId="55A29BEE">
      <w:pPr>
        <w:spacing w:line="200" w:lineRule="exact"/>
        <w:rPr>
          <w:color w:val="auto"/>
          <w:sz w:val="20"/>
          <w:szCs w:val="20"/>
        </w:rPr>
      </w:pPr>
    </w:p>
    <w:p w14:paraId="079E9C7B">
      <w:pPr>
        <w:spacing w:line="200" w:lineRule="exact"/>
        <w:rPr>
          <w:color w:val="auto"/>
          <w:sz w:val="20"/>
          <w:szCs w:val="20"/>
        </w:rPr>
      </w:pPr>
    </w:p>
    <w:p w14:paraId="4E3722A3">
      <w:pPr>
        <w:spacing w:line="507" w:lineRule="auto"/>
        <w:ind w:left="760" w:right="5438"/>
        <w:jc w:val="left"/>
        <w:rPr>
          <w:rFonts w:ascii="宋体" w:hAnsi="宋体" w:cs="宋体"/>
          <w:color w:val="auto"/>
          <w:w w:val="99"/>
          <w:sz w:val="32"/>
          <w:szCs w:val="32"/>
        </w:rPr>
      </w:pPr>
      <w:r>
        <w:rPr>
          <w:rFonts w:ascii="宋体" w:hAnsi="宋体" w:cs="宋体"/>
          <w:color w:val="auto"/>
          <w:sz w:val="32"/>
          <w:szCs w:val="32"/>
        </w:rPr>
        <w:t>项</w:t>
      </w:r>
      <w:r>
        <w:rPr>
          <w:rFonts w:ascii="宋体" w:hAnsi="宋体" w:cs="宋体"/>
          <w:color w:val="auto"/>
          <w:spacing w:val="2"/>
          <w:sz w:val="32"/>
          <w:szCs w:val="32"/>
        </w:rPr>
        <w:t>目</w:t>
      </w:r>
      <w:r>
        <w:rPr>
          <w:rFonts w:ascii="宋体" w:hAnsi="宋体" w:cs="宋体"/>
          <w:color w:val="auto"/>
          <w:sz w:val="32"/>
          <w:szCs w:val="32"/>
        </w:rPr>
        <w:t>编号：</w:t>
      </w:r>
      <w:r>
        <w:rPr>
          <w:rFonts w:ascii="宋体" w:hAnsi="宋体" w:cs="宋体"/>
          <w:color w:val="auto"/>
          <w:w w:val="99"/>
          <w:sz w:val="32"/>
          <w:szCs w:val="32"/>
        </w:rPr>
        <w:t xml:space="preserve"> </w:t>
      </w:r>
    </w:p>
    <w:p w14:paraId="4D37F23E">
      <w:pPr>
        <w:spacing w:line="507" w:lineRule="auto"/>
        <w:ind w:left="760" w:right="5438"/>
        <w:jc w:val="left"/>
        <w:rPr>
          <w:rFonts w:ascii="宋体" w:hAnsi="宋体" w:cs="宋体"/>
          <w:color w:val="auto"/>
          <w:sz w:val="32"/>
          <w:szCs w:val="32"/>
        </w:rPr>
      </w:pPr>
      <w:r>
        <w:rPr>
          <w:rFonts w:ascii="宋体" w:hAnsi="宋体" w:cs="宋体"/>
          <w:color w:val="auto"/>
          <w:w w:val="95"/>
          <w:sz w:val="32"/>
          <w:szCs w:val="32"/>
        </w:rPr>
        <w:t>供</w:t>
      </w:r>
      <w:r>
        <w:rPr>
          <w:rFonts w:ascii="宋体" w:hAnsi="宋体" w:cs="宋体"/>
          <w:color w:val="auto"/>
          <w:spacing w:val="1"/>
          <w:w w:val="95"/>
          <w:sz w:val="32"/>
          <w:szCs w:val="32"/>
        </w:rPr>
        <w:t>应</w:t>
      </w:r>
      <w:r>
        <w:rPr>
          <w:rFonts w:ascii="宋体" w:hAnsi="宋体" w:cs="宋体"/>
          <w:color w:val="auto"/>
          <w:w w:val="95"/>
          <w:sz w:val="32"/>
          <w:szCs w:val="32"/>
        </w:rPr>
        <w:t>商名</w:t>
      </w:r>
      <w:r>
        <w:rPr>
          <w:rFonts w:ascii="宋体" w:hAnsi="宋体" w:cs="宋体"/>
          <w:color w:val="auto"/>
          <w:spacing w:val="1"/>
          <w:w w:val="95"/>
          <w:sz w:val="32"/>
          <w:szCs w:val="32"/>
        </w:rPr>
        <w:t>称</w:t>
      </w:r>
      <w:r>
        <w:rPr>
          <w:rFonts w:ascii="宋体" w:hAnsi="宋体" w:cs="宋体"/>
          <w:color w:val="auto"/>
          <w:w w:val="95"/>
          <w:sz w:val="32"/>
          <w:szCs w:val="32"/>
        </w:rPr>
        <w:t>：</w:t>
      </w:r>
    </w:p>
    <w:p w14:paraId="792E2E56">
      <w:pPr>
        <w:spacing w:before="3" w:line="150" w:lineRule="exact"/>
        <w:rPr>
          <w:color w:val="auto"/>
          <w:sz w:val="15"/>
          <w:szCs w:val="15"/>
        </w:rPr>
      </w:pPr>
    </w:p>
    <w:p w14:paraId="18F7B353">
      <w:pPr>
        <w:spacing w:line="200" w:lineRule="exact"/>
        <w:rPr>
          <w:color w:val="auto"/>
          <w:sz w:val="20"/>
          <w:szCs w:val="20"/>
        </w:rPr>
      </w:pPr>
    </w:p>
    <w:p w14:paraId="664BD828">
      <w:pPr>
        <w:spacing w:line="200" w:lineRule="exact"/>
        <w:rPr>
          <w:color w:val="auto"/>
          <w:sz w:val="20"/>
          <w:szCs w:val="20"/>
        </w:rPr>
      </w:pPr>
    </w:p>
    <w:p w14:paraId="0C68A4B7">
      <w:pPr>
        <w:spacing w:line="200" w:lineRule="exact"/>
        <w:rPr>
          <w:color w:val="auto"/>
          <w:sz w:val="20"/>
          <w:szCs w:val="20"/>
        </w:rPr>
      </w:pPr>
    </w:p>
    <w:p w14:paraId="3E042849">
      <w:pPr>
        <w:spacing w:line="200" w:lineRule="exact"/>
        <w:rPr>
          <w:color w:val="auto"/>
          <w:sz w:val="20"/>
          <w:szCs w:val="20"/>
        </w:rPr>
      </w:pPr>
    </w:p>
    <w:p w14:paraId="603F9F6D">
      <w:pPr>
        <w:spacing w:line="200" w:lineRule="exact"/>
        <w:rPr>
          <w:color w:val="auto"/>
          <w:sz w:val="20"/>
          <w:szCs w:val="20"/>
        </w:rPr>
      </w:pPr>
    </w:p>
    <w:p w14:paraId="590EC15C">
      <w:pPr>
        <w:jc w:val="center"/>
        <w:rPr>
          <w:rFonts w:ascii="宋体" w:hAnsi="宋体" w:cs="宋体"/>
          <w:color w:val="auto"/>
          <w:sz w:val="32"/>
          <w:szCs w:val="32"/>
        </w:rPr>
      </w:pPr>
      <w:r>
        <w:rPr>
          <w:rFonts w:ascii="宋体" w:hAnsi="宋体" w:cs="宋体"/>
          <w:color w:val="auto"/>
          <w:sz w:val="32"/>
          <w:szCs w:val="32"/>
        </w:rPr>
        <w:t>年</w:t>
      </w:r>
      <w:r>
        <w:rPr>
          <w:rFonts w:ascii="宋体" w:hAnsi="宋体" w:cs="宋体"/>
          <w:color w:val="auto"/>
          <w:sz w:val="32"/>
          <w:szCs w:val="32"/>
        </w:rPr>
        <w:tab/>
      </w:r>
      <w:r>
        <w:rPr>
          <w:rFonts w:hint="eastAsia" w:ascii="宋体" w:hAnsi="宋体" w:cs="宋体"/>
          <w:color w:val="auto"/>
          <w:sz w:val="32"/>
          <w:szCs w:val="32"/>
          <w:lang w:val="en-US" w:eastAsia="zh-CN"/>
        </w:rPr>
        <w:t xml:space="preserve"> </w:t>
      </w:r>
      <w:r>
        <w:rPr>
          <w:rFonts w:ascii="宋体" w:hAnsi="宋体" w:cs="宋体"/>
          <w:color w:val="auto"/>
          <w:sz w:val="32"/>
          <w:szCs w:val="32"/>
        </w:rPr>
        <w:t>月</w:t>
      </w:r>
      <w:r>
        <w:rPr>
          <w:rFonts w:hint="eastAsia" w:ascii="宋体" w:hAnsi="宋体" w:cs="宋体"/>
          <w:color w:val="auto"/>
          <w:sz w:val="32"/>
          <w:szCs w:val="32"/>
          <w:lang w:val="en-US" w:eastAsia="zh-CN"/>
        </w:rPr>
        <w:t xml:space="preserve">  </w:t>
      </w:r>
      <w:r>
        <w:rPr>
          <w:rFonts w:ascii="宋体" w:hAnsi="宋体" w:cs="宋体"/>
          <w:color w:val="auto"/>
          <w:sz w:val="32"/>
          <w:szCs w:val="32"/>
        </w:rPr>
        <w:tab/>
      </w:r>
      <w:r>
        <w:rPr>
          <w:rFonts w:ascii="宋体" w:hAnsi="宋体" w:cs="宋体"/>
          <w:color w:val="auto"/>
          <w:sz w:val="32"/>
          <w:szCs w:val="32"/>
        </w:rPr>
        <w:t>日</w:t>
      </w:r>
    </w:p>
    <w:p w14:paraId="4B3CBD6F">
      <w:pPr>
        <w:pStyle w:val="6"/>
        <w:spacing w:line="402" w:lineRule="exact"/>
        <w:ind w:left="264"/>
        <w:jc w:val="left"/>
        <w:rPr>
          <w:rFonts w:hint="eastAsia" w:ascii="宋体" w:hAnsi="宋体" w:eastAsia="宋体" w:cs="宋体"/>
          <w:color w:val="auto"/>
        </w:rPr>
      </w:pPr>
      <w:r>
        <w:rPr>
          <w:rFonts w:ascii="宋体" w:hAnsi="宋体" w:cs="宋体"/>
          <w:color w:val="auto"/>
          <w:sz w:val="32"/>
          <w:szCs w:val="32"/>
        </w:rPr>
        <w:br w:type="page"/>
      </w:r>
      <w:r>
        <w:rPr>
          <w:rFonts w:hint="eastAsia" w:ascii="宋体" w:hAnsi="宋体" w:eastAsia="宋体" w:cs="宋体"/>
          <w:color w:val="auto"/>
          <w:spacing w:val="-2"/>
        </w:rPr>
        <w:t>2</w:t>
      </w:r>
      <w:r>
        <w:rPr>
          <w:rFonts w:hint="eastAsia" w:ascii="宋体" w:hAnsi="宋体" w:eastAsia="宋体" w:cs="宋体"/>
          <w:color w:val="auto"/>
          <w:spacing w:val="-1"/>
        </w:rPr>
        <w:t>．报价文件目</w:t>
      </w:r>
      <w:r>
        <w:rPr>
          <w:rFonts w:hint="eastAsia" w:ascii="宋体" w:hAnsi="宋体" w:eastAsia="宋体" w:cs="宋体"/>
          <w:color w:val="auto"/>
        </w:rPr>
        <w:t>录</w:t>
      </w:r>
    </w:p>
    <w:p w14:paraId="21384AD6">
      <w:pPr>
        <w:spacing w:before="11" w:line="220" w:lineRule="exact"/>
        <w:rPr>
          <w:rFonts w:hint="eastAsia" w:ascii="宋体" w:hAnsi="宋体" w:eastAsia="宋体" w:cs="宋体"/>
          <w:color w:val="auto"/>
          <w:sz w:val="22"/>
          <w:szCs w:val="22"/>
        </w:rPr>
      </w:pPr>
    </w:p>
    <w:p w14:paraId="13CC619E">
      <w:pPr>
        <w:jc w:val="center"/>
        <w:rPr>
          <w:rFonts w:hAnsi="宋体" w:cs="宋体"/>
          <w:color w:val="auto"/>
          <w:sz w:val="28"/>
          <w:szCs w:val="28"/>
        </w:rPr>
      </w:pPr>
      <w:r>
        <w:rPr>
          <w:rFonts w:hint="eastAsia" w:ascii="宋体" w:hAnsi="宋体" w:eastAsia="宋体" w:cs="宋体"/>
          <w:color w:val="auto"/>
          <w:spacing w:val="-1"/>
          <w:sz w:val="28"/>
          <w:szCs w:val="28"/>
        </w:rPr>
        <w:t>根</w:t>
      </w:r>
      <w:r>
        <w:rPr>
          <w:rFonts w:hint="eastAsia" w:ascii="宋体" w:hAnsi="宋体" w:eastAsia="宋体" w:cs="宋体"/>
          <w:color w:val="auto"/>
          <w:spacing w:val="-3"/>
          <w:sz w:val="28"/>
          <w:szCs w:val="28"/>
        </w:rPr>
        <w:t>据</w:t>
      </w:r>
      <w:r>
        <w:rPr>
          <w:rFonts w:hint="eastAsia" w:ascii="宋体" w:hAnsi="宋体" w:eastAsia="宋体" w:cs="宋体"/>
          <w:color w:val="auto"/>
          <w:spacing w:val="-1"/>
          <w:sz w:val="28"/>
          <w:szCs w:val="28"/>
        </w:rPr>
        <w:t>磋商</w:t>
      </w:r>
      <w:r>
        <w:rPr>
          <w:rFonts w:hint="eastAsia" w:ascii="宋体" w:hAnsi="宋体" w:eastAsia="宋体" w:cs="宋体"/>
          <w:color w:val="auto"/>
          <w:spacing w:val="-3"/>
          <w:sz w:val="28"/>
          <w:szCs w:val="28"/>
        </w:rPr>
        <w:t>文</w:t>
      </w:r>
      <w:r>
        <w:rPr>
          <w:rFonts w:hint="eastAsia" w:ascii="宋体" w:hAnsi="宋体" w:eastAsia="宋体" w:cs="宋体"/>
          <w:color w:val="auto"/>
          <w:spacing w:val="-1"/>
          <w:sz w:val="28"/>
          <w:szCs w:val="28"/>
        </w:rPr>
        <w:t>件规</w:t>
      </w:r>
      <w:r>
        <w:rPr>
          <w:rFonts w:hint="eastAsia" w:ascii="宋体" w:hAnsi="宋体" w:eastAsia="宋体" w:cs="宋体"/>
          <w:color w:val="auto"/>
          <w:spacing w:val="-3"/>
          <w:sz w:val="28"/>
          <w:szCs w:val="28"/>
        </w:rPr>
        <w:t>定</w:t>
      </w:r>
      <w:r>
        <w:rPr>
          <w:rFonts w:hint="eastAsia" w:ascii="宋体" w:hAnsi="宋体" w:eastAsia="宋体" w:cs="宋体"/>
          <w:color w:val="auto"/>
          <w:spacing w:val="-1"/>
          <w:sz w:val="28"/>
          <w:szCs w:val="28"/>
        </w:rPr>
        <w:t>及供</w:t>
      </w:r>
      <w:r>
        <w:rPr>
          <w:rFonts w:hint="eastAsia" w:ascii="宋体" w:hAnsi="宋体" w:eastAsia="宋体" w:cs="宋体"/>
          <w:color w:val="auto"/>
          <w:spacing w:val="-3"/>
          <w:sz w:val="28"/>
          <w:szCs w:val="28"/>
        </w:rPr>
        <w:t>应</w:t>
      </w:r>
      <w:r>
        <w:rPr>
          <w:rFonts w:hint="eastAsia" w:ascii="宋体" w:hAnsi="宋体" w:eastAsia="宋体" w:cs="宋体"/>
          <w:color w:val="auto"/>
          <w:spacing w:val="-1"/>
          <w:sz w:val="28"/>
          <w:szCs w:val="28"/>
        </w:rPr>
        <w:t>商提</w:t>
      </w:r>
      <w:r>
        <w:rPr>
          <w:rFonts w:hint="eastAsia" w:ascii="宋体" w:hAnsi="宋体" w:eastAsia="宋体" w:cs="宋体"/>
          <w:color w:val="auto"/>
          <w:spacing w:val="-3"/>
          <w:sz w:val="28"/>
          <w:szCs w:val="28"/>
        </w:rPr>
        <w:t>供</w:t>
      </w:r>
      <w:r>
        <w:rPr>
          <w:rFonts w:hint="eastAsia" w:ascii="宋体" w:hAnsi="宋体" w:eastAsia="宋体" w:cs="宋体"/>
          <w:color w:val="auto"/>
          <w:spacing w:val="-1"/>
          <w:sz w:val="28"/>
          <w:szCs w:val="28"/>
        </w:rPr>
        <w:t>的材</w:t>
      </w:r>
      <w:r>
        <w:rPr>
          <w:rFonts w:hint="eastAsia" w:ascii="宋体" w:hAnsi="宋体" w:eastAsia="宋体" w:cs="宋体"/>
          <w:color w:val="auto"/>
          <w:spacing w:val="-3"/>
          <w:sz w:val="28"/>
          <w:szCs w:val="28"/>
        </w:rPr>
        <w:t>料</w:t>
      </w:r>
      <w:r>
        <w:rPr>
          <w:rFonts w:hint="eastAsia" w:ascii="宋体" w:hAnsi="宋体" w:eastAsia="宋体" w:cs="宋体"/>
          <w:color w:val="auto"/>
          <w:spacing w:val="-1"/>
          <w:sz w:val="28"/>
          <w:szCs w:val="28"/>
        </w:rPr>
        <w:t>自行</w:t>
      </w:r>
      <w:r>
        <w:rPr>
          <w:rFonts w:hint="eastAsia" w:ascii="宋体" w:hAnsi="宋体" w:eastAsia="宋体" w:cs="宋体"/>
          <w:color w:val="auto"/>
          <w:spacing w:val="-3"/>
          <w:sz w:val="28"/>
          <w:szCs w:val="28"/>
        </w:rPr>
        <w:t>编</w:t>
      </w:r>
      <w:r>
        <w:rPr>
          <w:rFonts w:hint="eastAsia" w:ascii="宋体" w:hAnsi="宋体" w:eastAsia="宋体" w:cs="宋体"/>
          <w:color w:val="auto"/>
          <w:spacing w:val="-1"/>
          <w:sz w:val="28"/>
          <w:szCs w:val="28"/>
        </w:rPr>
        <w:t>写目</w:t>
      </w:r>
      <w:r>
        <w:rPr>
          <w:rFonts w:hint="eastAsia" w:ascii="宋体" w:hAnsi="宋体" w:eastAsia="宋体" w:cs="宋体"/>
          <w:color w:val="auto"/>
          <w:spacing w:val="-3"/>
          <w:sz w:val="28"/>
          <w:szCs w:val="28"/>
        </w:rPr>
        <w:t>录</w:t>
      </w:r>
      <w:r>
        <w:rPr>
          <w:rFonts w:hint="eastAsia" w:ascii="宋体" w:hAnsi="宋体" w:eastAsia="宋体" w:cs="宋体"/>
          <w:color w:val="auto"/>
          <w:spacing w:val="-1"/>
          <w:sz w:val="28"/>
          <w:szCs w:val="28"/>
        </w:rPr>
        <w:t>（部</w:t>
      </w:r>
      <w:r>
        <w:rPr>
          <w:rFonts w:hint="eastAsia" w:ascii="宋体" w:hAnsi="宋体" w:eastAsia="宋体" w:cs="宋体"/>
          <w:color w:val="auto"/>
          <w:spacing w:val="-3"/>
          <w:sz w:val="28"/>
          <w:szCs w:val="28"/>
        </w:rPr>
        <w:t>分</w:t>
      </w:r>
      <w:r>
        <w:rPr>
          <w:rFonts w:hint="eastAsia" w:ascii="宋体" w:hAnsi="宋体" w:eastAsia="宋体" w:cs="宋体"/>
          <w:color w:val="auto"/>
          <w:spacing w:val="-1"/>
          <w:sz w:val="28"/>
          <w:szCs w:val="28"/>
        </w:rPr>
        <w:t>格式</w:t>
      </w:r>
      <w:r>
        <w:rPr>
          <w:rFonts w:hint="eastAsia" w:ascii="宋体" w:hAnsi="宋体" w:eastAsia="宋体" w:cs="宋体"/>
          <w:color w:val="auto"/>
          <w:spacing w:val="-3"/>
          <w:sz w:val="28"/>
          <w:szCs w:val="28"/>
        </w:rPr>
        <w:t>后</w:t>
      </w:r>
      <w:r>
        <w:rPr>
          <w:rFonts w:hint="eastAsia" w:ascii="宋体" w:hAnsi="宋体" w:eastAsia="宋体" w:cs="宋体"/>
          <w:color w:val="auto"/>
          <w:spacing w:val="-1"/>
          <w:sz w:val="28"/>
          <w:szCs w:val="28"/>
        </w:rPr>
        <w:t>附</w:t>
      </w:r>
      <w:r>
        <w:rPr>
          <w:rFonts w:hint="eastAsia" w:ascii="宋体" w:hAnsi="宋体" w:eastAsia="宋体" w:cs="宋体"/>
          <w:color w:val="auto"/>
          <w:sz w:val="28"/>
          <w:szCs w:val="28"/>
        </w:rPr>
        <w:t>）</w:t>
      </w:r>
    </w:p>
    <w:p w14:paraId="58D52103">
      <w:pPr>
        <w:jc w:val="center"/>
        <w:rPr>
          <w:rFonts w:hint="eastAsia"/>
          <w:b/>
          <w:bCs/>
          <w:color w:val="auto"/>
          <w:sz w:val="32"/>
          <w:szCs w:val="40"/>
          <w:highlight w:val="none"/>
        </w:rPr>
      </w:pPr>
      <w:r>
        <w:rPr>
          <w:rFonts w:hAnsi="宋体" w:cs="宋体"/>
          <w:color w:val="auto"/>
          <w:sz w:val="28"/>
          <w:szCs w:val="28"/>
        </w:rPr>
        <w:br w:type="page"/>
      </w:r>
      <w:r>
        <w:rPr>
          <w:rFonts w:hint="eastAsia"/>
          <w:b/>
          <w:bCs/>
          <w:color w:val="auto"/>
          <w:sz w:val="32"/>
          <w:szCs w:val="40"/>
          <w:highlight w:val="none"/>
          <w:lang w:eastAsia="zh-CN"/>
        </w:rPr>
        <w:t>（</w:t>
      </w:r>
      <w:r>
        <w:rPr>
          <w:rFonts w:hint="eastAsia"/>
          <w:b/>
          <w:bCs/>
          <w:color w:val="auto"/>
          <w:sz w:val="32"/>
          <w:szCs w:val="40"/>
          <w:highlight w:val="none"/>
          <w:lang w:val="en-US" w:eastAsia="zh-CN"/>
        </w:rPr>
        <w:t>1</w:t>
      </w:r>
      <w:r>
        <w:rPr>
          <w:rFonts w:hint="eastAsia"/>
          <w:b/>
          <w:bCs/>
          <w:color w:val="auto"/>
          <w:sz w:val="32"/>
          <w:szCs w:val="40"/>
          <w:highlight w:val="none"/>
          <w:lang w:eastAsia="zh-CN"/>
        </w:rPr>
        <w:t>）</w:t>
      </w:r>
      <w:r>
        <w:rPr>
          <w:rFonts w:hint="eastAsia"/>
          <w:b/>
          <w:bCs/>
          <w:color w:val="auto"/>
          <w:sz w:val="32"/>
          <w:szCs w:val="40"/>
          <w:highlight w:val="none"/>
        </w:rPr>
        <w:t>磋商函（格式）</w:t>
      </w:r>
    </w:p>
    <w:p w14:paraId="105F5B81">
      <w:pPr>
        <w:pStyle w:val="20"/>
        <w:spacing w:line="440" w:lineRule="exact"/>
        <w:ind w:firstLine="720" w:firstLineChars="300"/>
        <w:rPr>
          <w:rFonts w:hint="eastAsia" w:ascii="宋体" w:hAnsi="宋体" w:eastAsia="宋体" w:cs="宋体"/>
          <w:color w:val="auto"/>
          <w:sz w:val="24"/>
          <w:szCs w:val="24"/>
          <w:highlight w:val="none"/>
        </w:rPr>
      </w:pPr>
    </w:p>
    <w:p w14:paraId="691C3D42">
      <w:pPr>
        <w:pStyle w:val="2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hAnsi="宋体" w:cs="宋体"/>
          <w:color w:val="auto"/>
          <w:sz w:val="21"/>
          <w:szCs w:val="21"/>
          <w:highlight w:val="none"/>
          <w:lang w:eastAsia="zh-CN"/>
        </w:rPr>
        <w:t>广西龙建工程管理有限公司</w:t>
      </w:r>
    </w:p>
    <w:p w14:paraId="3CDCA188">
      <w:pPr>
        <w:pStyle w:val="20"/>
        <w:spacing w:line="440" w:lineRule="exact"/>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竞争性磋商文件，项目编号：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，正式授权下述签字代表</w:t>
      </w:r>
      <w:r>
        <w:rPr>
          <w:rFonts w:hint="eastAsia" w:ascii="宋体" w:hAnsi="宋体" w:eastAsia="宋体" w:cs="宋体"/>
          <w:color w:val="auto"/>
          <w:sz w:val="21"/>
          <w:szCs w:val="21"/>
          <w:highlight w:val="none"/>
          <w:u w:val="single"/>
        </w:rPr>
        <w:t xml:space="preserve"> （姓名和职务） </w:t>
      </w:r>
      <w:r>
        <w:rPr>
          <w:rFonts w:hint="eastAsia" w:ascii="宋体" w:hAnsi="宋体" w:eastAsia="宋体" w:cs="宋体"/>
          <w:color w:val="auto"/>
          <w:sz w:val="21"/>
          <w:szCs w:val="21"/>
          <w:highlight w:val="none"/>
        </w:rPr>
        <w:t>代表</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u w:val="single"/>
        </w:rPr>
        <w:t xml:space="preserve">  （单位名称）  </w:t>
      </w:r>
      <w:r>
        <w:rPr>
          <w:rFonts w:hint="eastAsia" w:ascii="宋体" w:hAnsi="宋体" w:eastAsia="宋体" w:cs="宋体"/>
          <w:color w:val="auto"/>
          <w:sz w:val="21"/>
          <w:szCs w:val="21"/>
          <w:highlight w:val="none"/>
        </w:rPr>
        <w:t>，提交</w:t>
      </w:r>
      <w:r>
        <w:rPr>
          <w:rFonts w:hint="eastAsia" w:hAnsi="宋体" w:cs="宋体"/>
          <w:color w:val="auto"/>
          <w:sz w:val="21"/>
          <w:szCs w:val="21"/>
          <w:highlight w:val="none"/>
          <w:lang w:eastAsia="zh-CN"/>
        </w:rPr>
        <w:t>电子</w:t>
      </w:r>
      <w:r>
        <w:rPr>
          <w:rFonts w:hint="eastAsia" w:ascii="宋体" w:hAnsi="宋体" w:eastAsia="宋体" w:cs="宋体"/>
          <w:color w:val="auto"/>
          <w:sz w:val="21"/>
          <w:szCs w:val="21"/>
          <w:highlight w:val="none"/>
        </w:rPr>
        <w:t>响应文件一份。</w:t>
      </w:r>
    </w:p>
    <w:p w14:paraId="0BFA73B0">
      <w:pPr>
        <w:pStyle w:val="20"/>
        <w:spacing w:line="440" w:lineRule="exact"/>
        <w:ind w:left="101" w:leftChars="48" w:firstLine="520" w:firstLineChars="2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据此函，签字代表宣布同意如下：</w:t>
      </w:r>
    </w:p>
    <w:p w14:paraId="4672F0B9">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1、我方承诺已经具备《中华人民共和国政府采购法》中规定的参加采购活动的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应当具备的条件：</w:t>
      </w:r>
    </w:p>
    <w:p w14:paraId="4D72CBC7">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45A4AB2D">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633F4E11">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648C1ED5">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4DBD4831">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（5）参加此项采购活动前三年内，在经营活动中没有重大违法记录。</w:t>
      </w:r>
    </w:p>
    <w:p w14:paraId="24FD1C65">
      <w:pPr>
        <w:pStyle w:val="2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2、我方已详细审查全部磋商文件，包括修改文件（如有的话）以及全部参考资料和有关附件，已经了解我方对于竞争性磋商文件、采购过程、采购结果有依法进行询问、质疑、投诉的权利及相关渠道和要求。</w:t>
      </w:r>
    </w:p>
    <w:p w14:paraId="2A6B5839">
      <w:pPr>
        <w:pStyle w:val="2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3、我方在磋商之前已经与贵方进行了充分的沟通，完全理解并接受磋商文件的各项规定和要求，对磋商文件的合理性、合法性不再有异议。</w:t>
      </w:r>
    </w:p>
    <w:p w14:paraId="4F2DEFC1">
      <w:pPr>
        <w:pStyle w:val="2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4、响应文件从响应截止日起60天内有效。</w:t>
      </w:r>
    </w:p>
    <w:p w14:paraId="3628A697">
      <w:pPr>
        <w:pStyle w:val="2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5、如成交，本响应文件至本项目合同履行完毕止均保持有效，我方将按磋商文件及政府采购法律、法规的规定履行合同责任和义务。</w:t>
      </w:r>
    </w:p>
    <w:p w14:paraId="6840815A">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6、如果在磋商截止时间后的磋商有效期内撤回响应文件或者有其他违约行为，贵方可对我方的磋商保证金不予退还。</w:t>
      </w:r>
    </w:p>
    <w:p w14:paraId="009B4AC5">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7、同意向贵方提供贵方可能要求的与本磋商有关的任何数据或资料。</w:t>
      </w:r>
    </w:p>
    <w:p w14:paraId="4C6F8C50">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8、我方完全理解贵方不一定要接受最低报价的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为成交人。</w:t>
      </w:r>
    </w:p>
    <w:p w14:paraId="52C4F897">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9、若贵方需要，我方愿意提供我方作出的一切承诺的证明材料。</w:t>
      </w:r>
    </w:p>
    <w:p w14:paraId="27A0CF6C">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将严格遵守《中华人民共和国政府采购法》第七十七条规定，若有下列情形之一的，处以采购金额5‰以上10‰以下的罚款，列入不良行为记录名单，在一到三年内禁止参加政府采购活动，有违法所得的，并处没收违法所得，情节严重的，由工商行政管理机关吊销营业执照；构成犯罪的，依法追究刑事责任：</w:t>
      </w:r>
    </w:p>
    <w:p w14:paraId="0CB449B9">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（1）提供虚假材料谋取成交的；</w:t>
      </w:r>
    </w:p>
    <w:p w14:paraId="58C9F314">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（2）采取不正当手段诋毁、排挤其他</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的；</w:t>
      </w:r>
    </w:p>
    <w:p w14:paraId="46D80F57">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（3）与采购人、其他</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或者采购代理机构恶意串通的；</w:t>
      </w:r>
    </w:p>
    <w:p w14:paraId="4E0A3F1C">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（4）向采购人、采购代理机构行贿或者提供其他不正当利益的；</w:t>
      </w:r>
    </w:p>
    <w:p w14:paraId="75EB4314">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（5）拒绝有关部门监督检查或提供虚假情况的。</w:t>
      </w:r>
    </w:p>
    <w:p w14:paraId="293AD508">
      <w:pPr>
        <w:pStyle w:val="20"/>
        <w:spacing w:line="440" w:lineRule="exact"/>
        <w:rPr>
          <w:rFonts w:hint="eastAsia" w:ascii="宋体" w:hAnsi="宋体" w:eastAsia="宋体" w:cs="宋体"/>
          <w:color w:val="auto"/>
          <w:sz w:val="21"/>
          <w:szCs w:val="21"/>
          <w:highlight w:val="none"/>
        </w:rPr>
      </w:pPr>
    </w:p>
    <w:p w14:paraId="43F02D5F">
      <w:pPr>
        <w:pStyle w:val="20"/>
        <w:spacing w:line="440" w:lineRule="exact"/>
        <w:ind w:left="101" w:leftChars="48" w:firstLine="520" w:firstLineChars="2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与本磋商有关的正式通讯地址为：</w:t>
      </w:r>
    </w:p>
    <w:p w14:paraId="5A2310A9">
      <w:pPr>
        <w:pStyle w:val="20"/>
        <w:spacing w:line="440" w:lineRule="exact"/>
        <w:ind w:left="101" w:leftChars="48" w:firstLine="520" w:firstLineChars="2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F6E5D80">
      <w:pPr>
        <w:pStyle w:val="20"/>
        <w:spacing w:line="44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电话、传真或电传：</w:t>
      </w:r>
      <w:r>
        <w:rPr>
          <w:rFonts w:hint="eastAsia" w:ascii="宋体" w:hAnsi="宋体" w:eastAsia="宋体" w:cs="宋体"/>
          <w:color w:val="auto"/>
          <w:sz w:val="21"/>
          <w:szCs w:val="21"/>
          <w:highlight w:val="none"/>
          <w:u w:val="single"/>
        </w:rPr>
        <w:t xml:space="preserve">                                               </w:t>
      </w:r>
    </w:p>
    <w:p w14:paraId="5F10A8E4">
      <w:pPr>
        <w:pStyle w:val="20"/>
        <w:spacing w:line="44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0C549B1">
      <w:pPr>
        <w:pStyle w:val="20"/>
        <w:spacing w:line="44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3BC4DE02">
      <w:pPr>
        <w:pStyle w:val="20"/>
        <w:spacing w:line="44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帐    号：</w:t>
      </w:r>
      <w:r>
        <w:rPr>
          <w:rFonts w:hint="eastAsia" w:ascii="宋体" w:hAnsi="宋体" w:eastAsia="宋体" w:cs="宋体"/>
          <w:color w:val="auto"/>
          <w:sz w:val="21"/>
          <w:szCs w:val="21"/>
          <w:highlight w:val="none"/>
          <w:u w:val="single"/>
        </w:rPr>
        <w:t xml:space="preserve">                                                       </w:t>
      </w:r>
    </w:p>
    <w:p w14:paraId="204CFDF7">
      <w:pPr>
        <w:pStyle w:val="20"/>
        <w:spacing w:line="440" w:lineRule="exact"/>
        <w:ind w:firstLine="630" w:firstLineChars="300"/>
        <w:rPr>
          <w:rFonts w:hint="eastAsia" w:ascii="宋体" w:hAnsi="宋体" w:eastAsia="宋体" w:cs="宋体"/>
          <w:color w:val="auto"/>
          <w:sz w:val="21"/>
          <w:szCs w:val="21"/>
          <w:highlight w:val="none"/>
        </w:rPr>
      </w:pPr>
    </w:p>
    <w:p w14:paraId="164C0B57">
      <w:pPr>
        <w:pStyle w:val="20"/>
        <w:spacing w:line="440" w:lineRule="exact"/>
        <w:ind w:firstLine="630" w:firstLineChars="300"/>
        <w:rPr>
          <w:rFonts w:hint="eastAsia" w:ascii="宋体" w:hAnsi="宋体" w:eastAsia="宋体" w:cs="宋体"/>
          <w:color w:val="auto"/>
          <w:sz w:val="21"/>
          <w:szCs w:val="21"/>
          <w:highlight w:val="none"/>
        </w:rPr>
      </w:pPr>
    </w:p>
    <w:p w14:paraId="724DE5D8">
      <w:pPr>
        <w:pStyle w:val="20"/>
        <w:spacing w:line="440" w:lineRule="exact"/>
        <w:ind w:firstLine="306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hAnsi="宋体" w:cs="宋体"/>
          <w:color w:val="auto"/>
          <w:sz w:val="21"/>
          <w:szCs w:val="21"/>
          <w:highlight w:val="none"/>
          <w:lang w:eastAsia="zh-CN"/>
        </w:rPr>
        <w:t>电子签章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8ECEB00">
      <w:pPr>
        <w:pStyle w:val="20"/>
        <w:spacing w:line="440" w:lineRule="exact"/>
        <w:ind w:firstLine="30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hAnsi="宋体" w:cs="宋体"/>
          <w:color w:val="auto"/>
          <w:sz w:val="21"/>
          <w:szCs w:val="21"/>
          <w:highlight w:val="none"/>
          <w:lang w:eastAsia="zh-CN"/>
        </w:rPr>
        <w:t>签字或者电子签名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0BD5045">
      <w:pPr>
        <w:pStyle w:val="20"/>
        <w:spacing w:line="440" w:lineRule="exact"/>
        <w:ind w:firstLine="306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磋商日期：</w:t>
      </w:r>
      <w:r>
        <w:rPr>
          <w:rFonts w:hint="eastAsia" w:ascii="宋体" w:hAnsi="宋体" w:eastAsia="宋体" w:cs="宋体"/>
          <w:color w:val="auto"/>
          <w:sz w:val="21"/>
          <w:szCs w:val="21"/>
          <w:highlight w:val="none"/>
          <w:u w:val="single"/>
        </w:rPr>
        <w:t xml:space="preserve">                                         </w:t>
      </w:r>
    </w:p>
    <w:p w14:paraId="7379514F">
      <w:pPr>
        <w:pStyle w:val="20"/>
        <w:spacing w:line="500" w:lineRule="exact"/>
        <w:ind w:left="101" w:leftChars="48" w:firstLine="520" w:firstLineChars="248"/>
        <w:rPr>
          <w:rFonts w:hint="eastAsia" w:ascii="宋体" w:hAnsi="宋体" w:eastAsia="宋体" w:cs="宋体"/>
          <w:color w:val="auto"/>
          <w:highlight w:val="none"/>
        </w:rPr>
      </w:pPr>
    </w:p>
    <w:p w14:paraId="5CDAED14">
      <w:pPr>
        <w:pStyle w:val="20"/>
        <w:spacing w:line="460" w:lineRule="exact"/>
        <w:ind w:left="101" w:leftChars="48" w:firstLine="520" w:firstLineChars="248"/>
        <w:rPr>
          <w:rFonts w:hint="eastAsia" w:ascii="宋体" w:hAnsi="宋体" w:eastAsia="宋体" w:cs="宋体"/>
          <w:color w:val="auto"/>
          <w:highlight w:val="none"/>
        </w:rPr>
      </w:pPr>
    </w:p>
    <w:p w14:paraId="4C67F606">
      <w:pPr>
        <w:pStyle w:val="20"/>
        <w:spacing w:line="460" w:lineRule="exact"/>
        <w:ind w:left="101" w:leftChars="48" w:firstLine="520" w:firstLineChars="248"/>
        <w:rPr>
          <w:rFonts w:hint="eastAsia" w:ascii="宋体" w:hAnsi="宋体" w:eastAsia="宋体" w:cs="宋体"/>
          <w:color w:val="auto"/>
          <w:highlight w:val="none"/>
        </w:rPr>
      </w:pPr>
    </w:p>
    <w:p w14:paraId="2116D747">
      <w:pPr>
        <w:spacing w:line="320" w:lineRule="exact"/>
        <w:ind w:left="316" w:hanging="316" w:hangingChars="150"/>
        <w:rPr>
          <w:rFonts w:hint="eastAsia" w:ascii="宋体" w:hAnsi="宋体" w:eastAsia="宋体" w:cs="宋体"/>
          <w:color w:val="auto"/>
          <w:highlight w:val="none"/>
        </w:rPr>
      </w:pPr>
      <w:r>
        <w:rPr>
          <w:rFonts w:hint="eastAsia" w:ascii="宋体" w:hAnsi="宋体" w:eastAsia="宋体" w:cs="宋体"/>
          <w:b/>
          <w:color w:val="auto"/>
          <w:szCs w:val="21"/>
          <w:highlight w:val="none"/>
        </w:rPr>
        <w:t>说明：</w:t>
      </w:r>
      <w:r>
        <w:rPr>
          <w:rFonts w:hint="eastAsia" w:ascii="宋体" w:hAnsi="宋体" w:cs="宋体"/>
          <w:color w:val="auto"/>
          <w:highlight w:val="none"/>
          <w:lang w:eastAsia="zh-CN"/>
        </w:rPr>
        <w:t>供应商</w:t>
      </w:r>
      <w:r>
        <w:rPr>
          <w:rFonts w:hint="eastAsia" w:ascii="宋体" w:hAnsi="宋体" w:eastAsia="宋体" w:cs="宋体"/>
          <w:color w:val="auto"/>
          <w:highlight w:val="none"/>
        </w:rPr>
        <w:t>必须按以上格式填写，</w:t>
      </w:r>
      <w:r>
        <w:rPr>
          <w:rFonts w:hint="eastAsia" w:ascii="宋体" w:hAnsi="宋体" w:cs="宋体"/>
          <w:color w:val="auto"/>
          <w:highlight w:val="none"/>
          <w:lang w:eastAsia="zh-CN"/>
        </w:rPr>
        <w:t>电子签章</w:t>
      </w:r>
      <w:r>
        <w:rPr>
          <w:rFonts w:hint="eastAsia" w:ascii="宋体" w:hAnsi="宋体" w:eastAsia="宋体" w:cs="宋体"/>
          <w:color w:val="auto"/>
          <w:highlight w:val="none"/>
        </w:rPr>
        <w:t>并</w:t>
      </w:r>
      <w:r>
        <w:rPr>
          <w:rFonts w:hint="eastAsia" w:ascii="宋体" w:hAnsi="宋体" w:cs="宋体"/>
          <w:color w:val="auto"/>
          <w:highlight w:val="none"/>
          <w:lang w:eastAsia="zh-CN"/>
        </w:rPr>
        <w:t>签字或者电子签名</w:t>
      </w:r>
      <w:r>
        <w:rPr>
          <w:rFonts w:hint="eastAsia" w:ascii="宋体" w:hAnsi="宋体" w:eastAsia="宋体" w:cs="宋体"/>
          <w:color w:val="auto"/>
          <w:highlight w:val="none"/>
        </w:rPr>
        <w:t>，否则，无</w:t>
      </w:r>
      <w:r>
        <w:rPr>
          <w:rFonts w:hint="eastAsia" w:ascii="宋体" w:hAnsi="宋体" w:cs="宋体"/>
          <w:color w:val="auto"/>
          <w:highlight w:val="none"/>
          <w:lang w:eastAsia="zh-CN"/>
        </w:rPr>
        <w:t>签字或者电子签名</w:t>
      </w:r>
      <w:r>
        <w:rPr>
          <w:rFonts w:hint="eastAsia" w:ascii="宋体" w:hAnsi="宋体" w:eastAsia="宋体" w:cs="宋体"/>
          <w:color w:val="auto"/>
          <w:highlight w:val="none"/>
        </w:rPr>
        <w:t>的，磋商无效。</w:t>
      </w:r>
    </w:p>
    <w:p w14:paraId="2F3B5C61">
      <w:pPr>
        <w:pStyle w:val="20"/>
        <w:spacing w:line="400" w:lineRule="exact"/>
        <w:rPr>
          <w:rFonts w:hint="eastAsia" w:ascii="宋体" w:hAnsi="宋体" w:eastAsia="宋体" w:cs="宋体"/>
          <w:b/>
          <w:color w:val="auto"/>
          <w:sz w:val="32"/>
          <w:highlight w:val="none"/>
        </w:rPr>
      </w:pPr>
    </w:p>
    <w:p w14:paraId="48614241">
      <w:pPr>
        <w:pStyle w:val="97"/>
        <w:jc w:val="center"/>
        <w:outlineLvl w:val="0"/>
        <w:rPr>
          <w:rFonts w:hint="eastAsia" w:ascii="宋体" w:hAnsi="宋体" w:eastAsia="宋体" w:cs="宋体"/>
          <w:b/>
          <w:bCs/>
          <w:color w:val="auto"/>
          <w:highlight w:val="none"/>
        </w:rPr>
      </w:pPr>
      <w:r>
        <w:rPr>
          <w:rFonts w:hint="eastAsia" w:ascii="宋体" w:hAnsi="宋体" w:eastAsia="宋体" w:cs="宋体"/>
          <w:b/>
          <w:color w:val="auto"/>
          <w:sz w:val="32"/>
          <w:highlight w:val="none"/>
        </w:rPr>
        <w:br w:type="page"/>
      </w:r>
      <w:bookmarkStart w:id="1318" w:name="_Toc3286"/>
      <w:bookmarkStart w:id="1319" w:name="_Toc389065357"/>
      <w:r>
        <w:rPr>
          <w:rFonts w:hint="eastAsia"/>
          <w:b/>
          <w:bCs/>
          <w:color w:val="auto"/>
          <w:sz w:val="28"/>
          <w:szCs w:val="28"/>
          <w:highlight w:val="none"/>
          <w:lang w:val="en-US" w:eastAsia="zh-CN"/>
        </w:rPr>
        <w:t>（2）磋商函附录</w:t>
      </w:r>
      <w:bookmarkEnd w:id="1318"/>
      <w:bookmarkEnd w:id="1319"/>
    </w:p>
    <w:p w14:paraId="2719E237">
      <w:pPr>
        <w:pStyle w:val="97"/>
        <w:jc w:val="center"/>
        <w:rPr>
          <w:rFonts w:hint="eastAsia" w:ascii="宋体" w:hAnsi="宋体" w:eastAsia="宋体" w:cs="宋体"/>
          <w:color w:val="auto"/>
          <w:sz w:val="28"/>
          <w:szCs w:val="28"/>
          <w:highlight w:val="none"/>
        </w:rPr>
      </w:pPr>
    </w:p>
    <w:p w14:paraId="3D0AA832">
      <w:pPr>
        <w:ind w:firstLine="514" w:firstLineChars="245"/>
        <w:rPr>
          <w:rFonts w:hint="eastAsia" w:ascii="宋体" w:hAnsi="宋体" w:eastAsia="宋体" w:cs="宋体"/>
          <w:color w:val="auto"/>
          <w:highlight w:val="none"/>
          <w:u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p>
    <w:p w14:paraId="76CEF36C">
      <w:pPr>
        <w:ind w:firstLine="514" w:firstLineChars="245"/>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u w:val="none"/>
        </w:rPr>
        <w:t>项目招标编号：</w:t>
      </w:r>
      <w:r>
        <w:rPr>
          <w:rFonts w:hint="eastAsia" w:ascii="宋体" w:hAnsi="宋体" w:cs="宋体"/>
          <w:color w:val="auto"/>
          <w:highlight w:val="none"/>
          <w:u w:val="single"/>
          <w:lang w:val="en-US" w:eastAsia="zh-CN"/>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22D3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8E17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 号</w:t>
            </w:r>
          </w:p>
        </w:tc>
        <w:tc>
          <w:tcPr>
            <w:tcW w:w="1985" w:type="dxa"/>
            <w:noWrap w:val="0"/>
            <w:vAlign w:val="center"/>
          </w:tcPr>
          <w:p w14:paraId="4DDD5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条款内容</w:t>
            </w:r>
          </w:p>
        </w:tc>
        <w:tc>
          <w:tcPr>
            <w:tcW w:w="2126" w:type="dxa"/>
            <w:noWrap w:val="0"/>
            <w:vAlign w:val="center"/>
          </w:tcPr>
          <w:p w14:paraId="52EC1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合同条款号</w:t>
            </w:r>
          </w:p>
        </w:tc>
        <w:tc>
          <w:tcPr>
            <w:tcW w:w="1984" w:type="dxa"/>
            <w:noWrap w:val="0"/>
            <w:vAlign w:val="center"/>
          </w:tcPr>
          <w:p w14:paraId="666F1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约定内容</w:t>
            </w:r>
          </w:p>
        </w:tc>
        <w:tc>
          <w:tcPr>
            <w:tcW w:w="1843" w:type="dxa"/>
            <w:noWrap w:val="0"/>
            <w:vAlign w:val="center"/>
          </w:tcPr>
          <w:p w14:paraId="6BAFE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0C9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92" w:type="dxa"/>
            <w:noWrap w:val="0"/>
            <w:vAlign w:val="center"/>
          </w:tcPr>
          <w:p w14:paraId="4B525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85" w:type="dxa"/>
            <w:noWrap w:val="0"/>
            <w:vAlign w:val="center"/>
          </w:tcPr>
          <w:p w14:paraId="67A9E38C">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highlight w:val="none"/>
              </w:rPr>
            </w:pPr>
            <w:r>
              <w:rPr>
                <w:rFonts w:hint="eastAsia" w:ascii="宋体" w:hAnsi="宋体" w:cs="宋体"/>
                <w:color w:val="auto"/>
                <w:highlight w:val="none"/>
              </w:rPr>
              <w:t xml:space="preserve">磋商总报价  </w:t>
            </w:r>
          </w:p>
        </w:tc>
        <w:tc>
          <w:tcPr>
            <w:tcW w:w="2126" w:type="dxa"/>
            <w:noWrap w:val="0"/>
            <w:tcMar>
              <w:left w:w="170" w:type="dxa"/>
            </w:tcMar>
            <w:vAlign w:val="center"/>
          </w:tcPr>
          <w:p w14:paraId="2DF8B0E7">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highlight w:val="none"/>
              </w:rPr>
            </w:pPr>
          </w:p>
        </w:tc>
        <w:tc>
          <w:tcPr>
            <w:tcW w:w="1984" w:type="dxa"/>
            <w:noWrap w:val="0"/>
            <w:vAlign w:val="center"/>
          </w:tcPr>
          <w:p w14:paraId="51CD86C0">
            <w:pPr>
              <w:keepNext w:val="0"/>
              <w:keepLines w:val="0"/>
              <w:suppressLineNumbers w:val="0"/>
              <w:spacing w:before="0" w:beforeAutospacing="0" w:after="0" w:afterAutospacing="0"/>
              <w:ind w:left="0" w:leftChars="0" w:right="0" w:firstLine="0" w:firstLineChars="0"/>
              <w:jc w:val="left"/>
              <w:rPr>
                <w:rFonts w:hint="eastAsia" w:ascii="宋体" w:hAnsi="宋体" w:cs="宋体"/>
                <w:color w:val="auto"/>
                <w:highlight w:val="none"/>
              </w:rPr>
            </w:pPr>
            <w:r>
              <w:rPr>
                <w:rFonts w:hint="eastAsia" w:ascii="宋体" w:hAnsi="宋体" w:cs="宋体"/>
                <w:color w:val="auto"/>
                <w:highlight w:val="none"/>
              </w:rPr>
              <w:t>（大写人民币）：</w:t>
            </w:r>
          </w:p>
          <w:p w14:paraId="1EB94A08">
            <w:pPr>
              <w:keepNext w:val="0"/>
              <w:keepLines w:val="0"/>
              <w:suppressLineNumbers w:val="0"/>
              <w:spacing w:before="0" w:beforeAutospacing="0" w:after="0" w:afterAutospacing="0"/>
              <w:ind w:left="0" w:leftChars="0" w:right="0" w:firstLine="0" w:firstLineChars="0"/>
              <w:jc w:val="left"/>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1F25B8FA">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元</w:t>
            </w:r>
          </w:p>
        </w:tc>
        <w:tc>
          <w:tcPr>
            <w:tcW w:w="1843" w:type="dxa"/>
            <w:noWrap w:val="0"/>
            <w:vAlign w:val="center"/>
          </w:tcPr>
          <w:p w14:paraId="42555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62F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807A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85" w:type="dxa"/>
            <w:noWrap w:val="0"/>
            <w:vAlign w:val="center"/>
          </w:tcPr>
          <w:p w14:paraId="55EC6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2126" w:type="dxa"/>
            <w:noWrap w:val="0"/>
            <w:tcMar>
              <w:left w:w="170" w:type="dxa"/>
            </w:tcMar>
            <w:vAlign w:val="center"/>
          </w:tcPr>
          <w:p w14:paraId="5C1C1D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6CB62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p>
        </w:tc>
        <w:tc>
          <w:tcPr>
            <w:tcW w:w="1843" w:type="dxa"/>
            <w:noWrap w:val="0"/>
            <w:vAlign w:val="center"/>
          </w:tcPr>
          <w:p w14:paraId="013E93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BE5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44DE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85" w:type="dxa"/>
            <w:noWrap w:val="0"/>
            <w:vAlign w:val="center"/>
          </w:tcPr>
          <w:p w14:paraId="74615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磋商有效期</w:t>
            </w:r>
          </w:p>
        </w:tc>
        <w:tc>
          <w:tcPr>
            <w:tcW w:w="2126" w:type="dxa"/>
            <w:noWrap w:val="0"/>
            <w:tcMar>
              <w:left w:w="170" w:type="dxa"/>
            </w:tcMar>
            <w:vAlign w:val="center"/>
          </w:tcPr>
          <w:p w14:paraId="3DC5F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p>
        </w:tc>
        <w:tc>
          <w:tcPr>
            <w:tcW w:w="1984" w:type="dxa"/>
            <w:noWrap w:val="0"/>
            <w:vAlign w:val="center"/>
          </w:tcPr>
          <w:p w14:paraId="57119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c>
          <w:tcPr>
            <w:tcW w:w="1843" w:type="dxa"/>
            <w:noWrap w:val="0"/>
            <w:vAlign w:val="center"/>
          </w:tcPr>
          <w:p w14:paraId="6B0EE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333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EEF5C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985" w:type="dxa"/>
            <w:noWrap w:val="0"/>
            <w:vAlign w:val="center"/>
          </w:tcPr>
          <w:p w14:paraId="462C9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工期</w:t>
            </w:r>
          </w:p>
        </w:tc>
        <w:tc>
          <w:tcPr>
            <w:tcW w:w="2126" w:type="dxa"/>
            <w:noWrap w:val="0"/>
            <w:tcMar>
              <w:left w:w="170" w:type="dxa"/>
            </w:tcMar>
            <w:vAlign w:val="center"/>
          </w:tcPr>
          <w:p w14:paraId="0B896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4A680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c>
          <w:tcPr>
            <w:tcW w:w="1843" w:type="dxa"/>
            <w:noWrap w:val="0"/>
            <w:vAlign w:val="center"/>
          </w:tcPr>
          <w:p w14:paraId="56C27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A24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1169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985" w:type="dxa"/>
            <w:noWrap w:val="0"/>
            <w:vAlign w:val="center"/>
          </w:tcPr>
          <w:p w14:paraId="7E172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缺陷责任期</w:t>
            </w:r>
          </w:p>
        </w:tc>
        <w:tc>
          <w:tcPr>
            <w:tcW w:w="2126" w:type="dxa"/>
            <w:noWrap w:val="0"/>
            <w:tcMar>
              <w:left w:w="170" w:type="dxa"/>
            </w:tcMar>
            <w:vAlign w:val="center"/>
          </w:tcPr>
          <w:p w14:paraId="3C358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736E0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02356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82E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C1EE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985" w:type="dxa"/>
            <w:noWrap w:val="0"/>
            <w:vAlign w:val="center"/>
          </w:tcPr>
          <w:p w14:paraId="28376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发包人支付担保</w:t>
            </w:r>
          </w:p>
        </w:tc>
        <w:tc>
          <w:tcPr>
            <w:tcW w:w="2126" w:type="dxa"/>
            <w:noWrap w:val="0"/>
            <w:tcMar>
              <w:left w:w="170" w:type="dxa"/>
            </w:tcMar>
            <w:vAlign w:val="center"/>
          </w:tcPr>
          <w:p w14:paraId="4E1B52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7D0836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255901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0D74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198E2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985" w:type="dxa"/>
            <w:noWrap w:val="0"/>
            <w:vAlign w:val="center"/>
          </w:tcPr>
          <w:p w14:paraId="51BF8D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承包人履约担保金额</w:t>
            </w:r>
          </w:p>
        </w:tc>
        <w:tc>
          <w:tcPr>
            <w:tcW w:w="2126" w:type="dxa"/>
            <w:noWrap w:val="0"/>
            <w:tcMar>
              <w:left w:w="170" w:type="dxa"/>
            </w:tcMar>
            <w:vAlign w:val="center"/>
          </w:tcPr>
          <w:p w14:paraId="4DD2A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1AFF59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1614CB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C32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7F5C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985" w:type="dxa"/>
            <w:noWrap w:val="0"/>
            <w:vAlign w:val="center"/>
          </w:tcPr>
          <w:p w14:paraId="3162C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2126" w:type="dxa"/>
            <w:noWrap w:val="0"/>
            <w:tcMar>
              <w:left w:w="170" w:type="dxa"/>
            </w:tcMar>
            <w:vAlign w:val="center"/>
          </w:tcPr>
          <w:p w14:paraId="0767EA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4B9C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见分包项目情况表</w:t>
            </w:r>
          </w:p>
        </w:tc>
        <w:tc>
          <w:tcPr>
            <w:tcW w:w="1843" w:type="dxa"/>
            <w:noWrap w:val="0"/>
            <w:vAlign w:val="center"/>
          </w:tcPr>
          <w:p w14:paraId="68A175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1166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55AE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985" w:type="dxa"/>
            <w:noWrap w:val="0"/>
            <w:vAlign w:val="center"/>
          </w:tcPr>
          <w:p w14:paraId="530A4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逾期竣工违约金</w:t>
            </w:r>
          </w:p>
        </w:tc>
        <w:tc>
          <w:tcPr>
            <w:tcW w:w="2126" w:type="dxa"/>
            <w:noWrap w:val="0"/>
            <w:tcMar>
              <w:left w:w="170" w:type="dxa"/>
            </w:tcMar>
            <w:vAlign w:val="center"/>
          </w:tcPr>
          <w:p w14:paraId="7E4FA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2030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合同价款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w:t>
            </w:r>
          </w:p>
        </w:tc>
        <w:tc>
          <w:tcPr>
            <w:tcW w:w="1843" w:type="dxa"/>
            <w:noWrap w:val="0"/>
            <w:vAlign w:val="center"/>
          </w:tcPr>
          <w:p w14:paraId="2EBC9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A79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EC03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985" w:type="dxa"/>
            <w:noWrap w:val="0"/>
            <w:vAlign w:val="center"/>
          </w:tcPr>
          <w:p w14:paraId="2C5FC6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逾期竣工违约金最高限额</w:t>
            </w:r>
          </w:p>
        </w:tc>
        <w:tc>
          <w:tcPr>
            <w:tcW w:w="2126" w:type="dxa"/>
            <w:noWrap w:val="0"/>
            <w:tcMar>
              <w:left w:w="170" w:type="dxa"/>
            </w:tcMar>
            <w:vAlign w:val="center"/>
          </w:tcPr>
          <w:p w14:paraId="66EF4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5EE99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合同价款</w:t>
            </w:r>
            <w:r>
              <w:rPr>
                <w:rFonts w:hint="eastAsia" w:ascii="宋体" w:hAnsi="宋体" w:eastAsia="宋体" w:cs="宋体"/>
                <w:color w:val="auto"/>
                <w:highlight w:val="none"/>
                <w:u w:val="single"/>
              </w:rPr>
              <w:t xml:space="preserve">    %</w:t>
            </w:r>
          </w:p>
        </w:tc>
        <w:tc>
          <w:tcPr>
            <w:tcW w:w="1843" w:type="dxa"/>
            <w:noWrap w:val="0"/>
            <w:vAlign w:val="center"/>
          </w:tcPr>
          <w:p w14:paraId="1786D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79F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6724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p>
        </w:tc>
        <w:tc>
          <w:tcPr>
            <w:tcW w:w="1985" w:type="dxa"/>
            <w:noWrap w:val="0"/>
            <w:vAlign w:val="center"/>
          </w:tcPr>
          <w:p w14:paraId="630F8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2126" w:type="dxa"/>
            <w:noWrap w:val="0"/>
            <w:tcMar>
              <w:left w:w="170" w:type="dxa"/>
            </w:tcMar>
            <w:vAlign w:val="center"/>
          </w:tcPr>
          <w:p w14:paraId="5835C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68BFFD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p>
        </w:tc>
        <w:tc>
          <w:tcPr>
            <w:tcW w:w="1843" w:type="dxa"/>
            <w:noWrap w:val="0"/>
            <w:vAlign w:val="center"/>
          </w:tcPr>
          <w:p w14:paraId="503EC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1F1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374E1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2</w:t>
            </w:r>
          </w:p>
        </w:tc>
        <w:tc>
          <w:tcPr>
            <w:tcW w:w="1985" w:type="dxa"/>
            <w:noWrap w:val="0"/>
            <w:vAlign w:val="center"/>
          </w:tcPr>
          <w:p w14:paraId="4C53241A">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预付款</w:t>
            </w:r>
          </w:p>
        </w:tc>
        <w:tc>
          <w:tcPr>
            <w:tcW w:w="2126" w:type="dxa"/>
            <w:noWrap w:val="0"/>
            <w:tcMar>
              <w:left w:w="170" w:type="dxa"/>
            </w:tcMar>
            <w:vAlign w:val="center"/>
          </w:tcPr>
          <w:p w14:paraId="73DD01D7">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B83D88D">
            <w:pPr>
              <w:keepNext w:val="0"/>
              <w:keepLines w:val="0"/>
              <w:suppressLineNumbers w:val="0"/>
              <w:spacing w:before="0" w:beforeAutospacing="0" w:after="0" w:afterAutospacing="0"/>
              <w:ind w:left="0" w:right="0" w:firstLine="420" w:firstLineChars="200"/>
              <w:jc w:val="center"/>
              <w:rPr>
                <w:rFonts w:hint="eastAsia" w:ascii="宋体" w:hAnsi="宋体" w:eastAsia="宋体" w:cs="宋体"/>
                <w:color w:val="auto"/>
                <w:highlight w:val="none"/>
              </w:rPr>
            </w:pPr>
            <w:r>
              <w:rPr>
                <w:rFonts w:hint="eastAsia" w:ascii="宋体" w:hAnsi="宋体" w:cs="宋体"/>
                <w:color w:val="auto"/>
                <w:highlight w:val="none"/>
              </w:rPr>
              <w:t>工程预付款的总金额为签约合同价的</w:t>
            </w:r>
            <w:r>
              <w:rPr>
                <w:rFonts w:hint="eastAsia" w:ascii="宋体" w:hAnsi="宋体" w:cs="宋体"/>
                <w:color w:val="auto"/>
                <w:highlight w:val="none"/>
                <w:u w:val="single"/>
                <w:lang w:val="en-US" w:eastAsia="zh-CN"/>
              </w:rPr>
              <w:t xml:space="preserve">  0  </w:t>
            </w:r>
            <w:r>
              <w:rPr>
                <w:rFonts w:hint="eastAsia" w:ascii="宋体" w:hAnsi="宋体" w:cs="宋体"/>
                <w:color w:val="auto"/>
                <w:highlight w:val="none"/>
              </w:rPr>
              <w:t>%</w:t>
            </w:r>
          </w:p>
        </w:tc>
        <w:tc>
          <w:tcPr>
            <w:tcW w:w="1843" w:type="dxa"/>
            <w:noWrap w:val="0"/>
            <w:vAlign w:val="center"/>
          </w:tcPr>
          <w:p w14:paraId="105D4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826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3CE6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985" w:type="dxa"/>
            <w:noWrap w:val="0"/>
            <w:vAlign w:val="center"/>
          </w:tcPr>
          <w:p w14:paraId="19856D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质量保证金额度</w:t>
            </w:r>
          </w:p>
        </w:tc>
        <w:tc>
          <w:tcPr>
            <w:tcW w:w="2126" w:type="dxa"/>
            <w:noWrap w:val="0"/>
            <w:tcMar>
              <w:left w:w="170" w:type="dxa"/>
            </w:tcMar>
            <w:vAlign w:val="center"/>
          </w:tcPr>
          <w:p w14:paraId="797B5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10250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结算价的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p>
        </w:tc>
        <w:tc>
          <w:tcPr>
            <w:tcW w:w="1843" w:type="dxa"/>
            <w:noWrap w:val="0"/>
            <w:vAlign w:val="center"/>
          </w:tcPr>
          <w:p w14:paraId="24DD3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02D5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AE7D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985" w:type="dxa"/>
            <w:noWrap w:val="0"/>
            <w:vAlign w:val="center"/>
          </w:tcPr>
          <w:p w14:paraId="71309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126" w:type="dxa"/>
            <w:noWrap w:val="0"/>
            <w:tcMar>
              <w:left w:w="170" w:type="dxa"/>
            </w:tcMar>
            <w:vAlign w:val="center"/>
          </w:tcPr>
          <w:p w14:paraId="20625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p>
        </w:tc>
        <w:tc>
          <w:tcPr>
            <w:tcW w:w="1984" w:type="dxa"/>
            <w:noWrap w:val="0"/>
            <w:vAlign w:val="center"/>
          </w:tcPr>
          <w:p w14:paraId="1E68BA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6F1BF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BA7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51923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cs="宋体"/>
                <w:color w:val="auto"/>
                <w:highlight w:val="none"/>
                <w:lang w:eastAsia="zh-CN"/>
              </w:rPr>
              <w:t>供应商</w:t>
            </w:r>
            <w:r>
              <w:rPr>
                <w:rFonts w:hint="eastAsia" w:ascii="宋体" w:hAnsi="宋体" w:eastAsia="宋体" w:cs="宋体"/>
                <w:color w:val="auto"/>
                <w:highlight w:val="none"/>
              </w:rPr>
              <w:t>在响应采购文件中规定的实质性要求和条件的基础上，可做出其他有利于采购人的承诺。此类承诺可在本表中予以补充填写。</w:t>
            </w:r>
          </w:p>
        </w:tc>
      </w:tr>
    </w:tbl>
    <w:p w14:paraId="247F7C5A">
      <w:pPr>
        <w:spacing w:line="48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（电子签章）：</w:t>
      </w:r>
    </w:p>
    <w:p w14:paraId="452A9D7E">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法人代表或委托代理人（签字或盖章）：</w:t>
      </w:r>
    </w:p>
    <w:p w14:paraId="10304483">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67E2DEA">
      <w:pPr>
        <w:spacing w:line="300" w:lineRule="exact"/>
        <w:ind w:left="315" w:hanging="315" w:hangingChars="150"/>
        <w:rPr>
          <w:rFonts w:hint="eastAsia" w:ascii="宋体" w:hAnsi="宋体" w:eastAsia="宋体" w:cs="宋体"/>
          <w:color w:val="auto"/>
          <w:highlight w:val="none"/>
        </w:rPr>
      </w:pPr>
    </w:p>
    <w:p w14:paraId="3E551123">
      <w:pPr>
        <w:pStyle w:val="97"/>
        <w:jc w:val="center"/>
        <w:outlineLvl w:val="0"/>
        <w:rPr>
          <w:rFonts w:hint="eastAsia" w:ascii="宋体" w:hAnsi="宋体" w:eastAsia="宋体" w:cs="宋体"/>
          <w:b/>
          <w:color w:val="auto"/>
          <w:sz w:val="32"/>
          <w:highlight w:val="none"/>
        </w:rPr>
      </w:pPr>
      <w:r>
        <w:rPr>
          <w:rFonts w:hint="eastAsia" w:ascii="宋体" w:hAnsi="宋体" w:eastAsia="宋体" w:cs="宋体"/>
          <w:color w:val="auto"/>
          <w:highlight w:val="none"/>
          <w:u w:val="single"/>
        </w:rPr>
        <w:br w:type="page"/>
      </w:r>
      <w:r>
        <w:rPr>
          <w:rFonts w:hint="eastAsia" w:ascii="宋体" w:hAnsi="宋体" w:eastAsia="宋体" w:cs="宋体"/>
          <w:b/>
          <w:bCs/>
          <w:color w:val="auto"/>
          <w:sz w:val="28"/>
          <w:szCs w:val="28"/>
          <w:highlight w:val="none"/>
        </w:rPr>
        <w:t xml:space="preserve"> </w:t>
      </w:r>
      <w:bookmarkStart w:id="1320" w:name="_Toc2157"/>
      <w:bookmarkStart w:id="1321" w:name="_Toc349640339"/>
      <w:bookmarkStart w:id="1322" w:name="_Toc389065358"/>
      <w:bookmarkStart w:id="1323" w:name="_Toc349558044"/>
      <w:bookmarkStart w:id="1324" w:name="_Toc349555832"/>
      <w:bookmarkStart w:id="1325" w:name="_Toc349639687"/>
      <w:bookmarkStart w:id="1326" w:name="_Toc349557654"/>
      <w:bookmarkStart w:id="1327" w:name="_Toc349215560"/>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磋商报价表</w:t>
      </w:r>
      <w:bookmarkEnd w:id="1320"/>
      <w:bookmarkEnd w:id="1321"/>
      <w:bookmarkEnd w:id="1322"/>
      <w:bookmarkEnd w:id="1323"/>
      <w:bookmarkEnd w:id="1324"/>
      <w:bookmarkEnd w:id="1325"/>
      <w:bookmarkEnd w:id="1326"/>
      <w:bookmarkEnd w:id="1327"/>
    </w:p>
    <w:p w14:paraId="5B7A1F55">
      <w:pPr>
        <w:pStyle w:val="97"/>
        <w:jc w:val="center"/>
        <w:outlineLvl w:val="9"/>
        <w:rPr>
          <w:rFonts w:hint="eastAsia" w:ascii="宋体" w:hAnsi="宋体" w:eastAsia="宋体" w:cs="宋体"/>
          <w:b/>
          <w:bCs/>
          <w:color w:val="auto"/>
          <w:sz w:val="24"/>
          <w:szCs w:val="24"/>
          <w:highlight w:val="none"/>
        </w:rPr>
      </w:pPr>
    </w:p>
    <w:p w14:paraId="361847D0">
      <w:pPr>
        <w:ind w:left="-178" w:leftChars="-85" w:right="-512" w:rightChars="-244" w:firstLine="840" w:firstLineChars="400"/>
        <w:jc w:val="left"/>
        <w:rPr>
          <w:rFonts w:hint="eastAsia" w:ascii="宋体" w:hAnsi="宋体" w:eastAsia="宋体" w:cs="宋体"/>
          <w:color w:val="auto"/>
          <w:highlight w:val="none"/>
        </w:rPr>
      </w:pPr>
      <w:r>
        <w:rPr>
          <w:rFonts w:hint="eastAsia" w:ascii="宋体" w:hAnsi="宋体" w:eastAsia="宋体" w:cs="宋体"/>
          <w:color w:val="auto"/>
          <w:highlight w:val="none"/>
        </w:rPr>
        <w:t>工程规模：                                                  币种：人民币</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3FD4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noWrap w:val="0"/>
            <w:vAlign w:val="center"/>
          </w:tcPr>
          <w:p w14:paraId="5020C0DC">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报价</w:t>
            </w:r>
          </w:p>
        </w:tc>
        <w:tc>
          <w:tcPr>
            <w:tcW w:w="1987" w:type="dxa"/>
            <w:noWrap w:val="0"/>
            <w:vAlign w:val="center"/>
          </w:tcPr>
          <w:p w14:paraId="762D2975">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center"/>
          </w:tcPr>
          <w:p w14:paraId="19F682B5">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019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noWrap w:val="0"/>
            <w:vAlign w:val="center"/>
          </w:tcPr>
          <w:p w14:paraId="6F4F30B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3116" w:type="dxa"/>
            <w:noWrap w:val="0"/>
            <w:vAlign w:val="center"/>
          </w:tcPr>
          <w:p w14:paraId="53E512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安全文明施工费</w:t>
            </w:r>
          </w:p>
        </w:tc>
        <w:tc>
          <w:tcPr>
            <w:tcW w:w="1987" w:type="dxa"/>
            <w:noWrap w:val="0"/>
            <w:vAlign w:val="center"/>
          </w:tcPr>
          <w:p w14:paraId="70DCCE29">
            <w:pPr>
              <w:keepNext w:val="0"/>
              <w:keepLines w:val="0"/>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center"/>
          </w:tcPr>
          <w:p w14:paraId="271EB4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2D0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73329F53">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5217580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发包人提供材料（如有）</w:t>
            </w:r>
          </w:p>
        </w:tc>
        <w:tc>
          <w:tcPr>
            <w:tcW w:w="1987" w:type="dxa"/>
            <w:noWrap w:val="0"/>
            <w:vAlign w:val="center"/>
          </w:tcPr>
          <w:p w14:paraId="13A807B3">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5A3A5052">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4EAE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6468B78E">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38B6B9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承包人提供材料（设备）暂估价（如有）</w:t>
            </w:r>
          </w:p>
        </w:tc>
        <w:tc>
          <w:tcPr>
            <w:tcW w:w="1987" w:type="dxa"/>
            <w:noWrap w:val="0"/>
            <w:vAlign w:val="center"/>
          </w:tcPr>
          <w:p w14:paraId="64332D99">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7CD0F6D1">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2EE1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025B913C">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0F23BA8C">
            <w:pPr>
              <w:keepNext w:val="0"/>
              <w:keepLines w:val="0"/>
              <w:widowControl/>
              <w:suppressLineNumbers w:val="0"/>
              <w:spacing w:before="0" w:beforeAutospacing="0" w:after="0" w:afterAutospacing="0"/>
              <w:ind w:left="0" w:right="0"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暂估专业工程（如有）</w:t>
            </w:r>
          </w:p>
        </w:tc>
        <w:tc>
          <w:tcPr>
            <w:tcW w:w="1987" w:type="dxa"/>
            <w:noWrap w:val="0"/>
            <w:vAlign w:val="center"/>
          </w:tcPr>
          <w:p w14:paraId="0F3DC66D">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203C2BFC">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5C3D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5E7FC621">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47407B09">
            <w:pPr>
              <w:keepNext w:val="0"/>
              <w:keepLines w:val="0"/>
              <w:widowControl/>
              <w:suppressLineNumbers w:val="0"/>
              <w:spacing w:before="0" w:beforeAutospacing="0" w:after="0" w:afterAutospacing="0"/>
              <w:ind w:left="0" w:right="0"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暂列金额（如有）</w:t>
            </w:r>
          </w:p>
        </w:tc>
        <w:tc>
          <w:tcPr>
            <w:tcW w:w="1987" w:type="dxa"/>
            <w:noWrap w:val="0"/>
            <w:vAlign w:val="center"/>
          </w:tcPr>
          <w:p w14:paraId="511F1B36">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087FC0AE">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60B9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noWrap w:val="0"/>
            <w:vAlign w:val="center"/>
          </w:tcPr>
          <w:p w14:paraId="79B37DE8">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主要材料</w:t>
            </w:r>
          </w:p>
        </w:tc>
        <w:tc>
          <w:tcPr>
            <w:tcW w:w="3116" w:type="dxa"/>
            <w:noWrap w:val="0"/>
            <w:vAlign w:val="center"/>
          </w:tcPr>
          <w:p w14:paraId="086E74CC">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钢筋</w:t>
            </w:r>
          </w:p>
        </w:tc>
        <w:tc>
          <w:tcPr>
            <w:tcW w:w="1987" w:type="dxa"/>
            <w:noWrap w:val="0"/>
            <w:vAlign w:val="center"/>
          </w:tcPr>
          <w:p w14:paraId="3CB3FFBE">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吨</w:t>
            </w:r>
          </w:p>
        </w:tc>
        <w:tc>
          <w:tcPr>
            <w:tcW w:w="1702" w:type="dxa"/>
            <w:noWrap w:val="0"/>
            <w:vAlign w:val="top"/>
          </w:tcPr>
          <w:p w14:paraId="5E62A4B8">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p>
        </w:tc>
      </w:tr>
      <w:tr w14:paraId="220A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noWrap w:val="0"/>
            <w:vAlign w:val="center"/>
          </w:tcPr>
          <w:p w14:paraId="1840FBF3">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223DA60E">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水泥（不含商品混凝土用量）</w:t>
            </w:r>
          </w:p>
        </w:tc>
        <w:tc>
          <w:tcPr>
            <w:tcW w:w="1987" w:type="dxa"/>
            <w:noWrap w:val="0"/>
            <w:vAlign w:val="center"/>
          </w:tcPr>
          <w:p w14:paraId="73268B64">
            <w:pPr>
              <w:keepNext w:val="0"/>
              <w:keepLines w:val="0"/>
              <w:widowControl/>
              <w:suppressLineNumbers w:val="0"/>
              <w:tabs>
                <w:tab w:val="left" w:pos="2398"/>
              </w:tabs>
              <w:spacing w:before="0" w:beforeAutospacing="0" w:after="0" w:afterAutospacing="0"/>
              <w:ind w:left="0" w:right="18"/>
              <w:jc w:val="right"/>
              <w:rPr>
                <w:rFonts w:hint="eastAsia" w:ascii="宋体" w:hAnsi="宋体" w:eastAsia="宋体" w:cs="宋体"/>
                <w:color w:val="auto"/>
                <w:highlight w:val="none"/>
              </w:rPr>
            </w:pPr>
            <w:r>
              <w:rPr>
                <w:rFonts w:hint="eastAsia" w:ascii="宋体" w:hAnsi="宋体" w:eastAsia="宋体" w:cs="宋体"/>
                <w:color w:val="auto"/>
                <w:highlight w:val="none"/>
              </w:rPr>
              <w:t>吨</w:t>
            </w:r>
          </w:p>
        </w:tc>
        <w:tc>
          <w:tcPr>
            <w:tcW w:w="1702" w:type="dxa"/>
            <w:noWrap w:val="0"/>
            <w:vAlign w:val="top"/>
          </w:tcPr>
          <w:p w14:paraId="0DA2027D">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p>
        </w:tc>
      </w:tr>
      <w:tr w14:paraId="38E0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noWrap w:val="0"/>
            <w:vAlign w:val="center"/>
          </w:tcPr>
          <w:p w14:paraId="015EB931">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2876C4A5">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商品混凝土</w:t>
            </w:r>
          </w:p>
        </w:tc>
        <w:tc>
          <w:tcPr>
            <w:tcW w:w="1987" w:type="dxa"/>
            <w:noWrap w:val="0"/>
            <w:vAlign w:val="center"/>
          </w:tcPr>
          <w:p w14:paraId="43A57A3B">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m</w:t>
            </w:r>
            <w:r>
              <w:rPr>
                <w:rFonts w:hint="eastAsia" w:ascii="宋体" w:hAnsi="宋体" w:eastAsia="宋体" w:cs="宋体"/>
                <w:color w:val="auto"/>
                <w:highlight w:val="none"/>
                <w:vertAlign w:val="superscript"/>
              </w:rPr>
              <w:t>3</w:t>
            </w:r>
          </w:p>
        </w:tc>
        <w:tc>
          <w:tcPr>
            <w:tcW w:w="1702" w:type="dxa"/>
            <w:noWrap w:val="0"/>
            <w:vAlign w:val="top"/>
          </w:tcPr>
          <w:p w14:paraId="578C8223">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p>
        </w:tc>
      </w:tr>
    </w:tbl>
    <w:p w14:paraId="54167E7B">
      <w:pPr>
        <w:ind w:left="-178" w:leftChars="-85" w:firstLine="177" w:firstLineChars="74"/>
        <w:rPr>
          <w:rFonts w:hint="eastAsia" w:ascii="宋体" w:hAnsi="宋体" w:eastAsia="宋体" w:cs="宋体"/>
          <w:color w:val="auto"/>
          <w:sz w:val="24"/>
          <w:highlight w:val="none"/>
        </w:rPr>
      </w:pPr>
    </w:p>
    <w:p w14:paraId="4846F5B4">
      <w:pPr>
        <w:spacing w:line="480" w:lineRule="auto"/>
        <w:rPr>
          <w:rFonts w:hint="eastAsia" w:ascii="宋体" w:hAnsi="宋体" w:eastAsia="宋体" w:cs="宋体"/>
          <w:color w:val="auto"/>
          <w:highlight w:val="none"/>
        </w:rPr>
      </w:pPr>
    </w:p>
    <w:p w14:paraId="2DD1985A">
      <w:pPr>
        <w:pStyle w:val="20"/>
        <w:rPr>
          <w:rFonts w:hint="eastAsia" w:ascii="宋体" w:hAnsi="宋体" w:eastAsia="宋体" w:cs="宋体"/>
          <w:bCs/>
          <w:color w:val="auto"/>
          <w:highlight w:val="none"/>
        </w:rPr>
      </w:pPr>
    </w:p>
    <w:p w14:paraId="633EF242">
      <w:pPr>
        <w:pStyle w:val="20"/>
        <w:spacing w:line="600" w:lineRule="exact"/>
        <w:ind w:firstLine="3060"/>
        <w:rPr>
          <w:rFonts w:hint="eastAsia" w:ascii="宋体" w:hAnsi="宋体" w:eastAsia="宋体" w:cs="宋体"/>
          <w:color w:val="auto"/>
          <w:highlight w:val="none"/>
          <w:u w:val="single"/>
        </w:rPr>
      </w:pPr>
      <w:r>
        <w:rPr>
          <w:rFonts w:hint="eastAsia" w:hAnsi="宋体" w:cs="宋体"/>
          <w:color w:val="auto"/>
          <w:highlight w:val="none"/>
          <w:lang w:eastAsia="zh-CN"/>
        </w:rPr>
        <w:t>供应商</w:t>
      </w:r>
      <w:r>
        <w:rPr>
          <w:rFonts w:hint="eastAsia" w:ascii="宋体" w:hAnsi="宋体" w:eastAsia="宋体" w:cs="宋体"/>
          <w:color w:val="auto"/>
          <w:highlight w:val="none"/>
        </w:rPr>
        <w:t>（</w:t>
      </w:r>
      <w:r>
        <w:rPr>
          <w:rFonts w:hint="eastAsia" w:hAnsi="宋体" w:cs="宋体"/>
          <w:color w:val="auto"/>
          <w:highlight w:val="none"/>
          <w:lang w:eastAsia="zh-CN"/>
        </w:rPr>
        <w:t>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3896A7F9">
      <w:pPr>
        <w:pStyle w:val="20"/>
        <w:spacing w:line="600" w:lineRule="exact"/>
        <w:ind w:firstLine="3060"/>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hAnsi="宋体" w:cs="宋体"/>
          <w:color w:val="auto"/>
          <w:highlight w:val="none"/>
          <w:lang w:eastAsia="zh-CN"/>
        </w:rPr>
        <w:t>签字或者电子签名</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7D7456E0">
      <w:pPr>
        <w:pStyle w:val="20"/>
        <w:spacing w:line="600" w:lineRule="exact"/>
        <w:ind w:firstLine="3060"/>
        <w:rPr>
          <w:rFonts w:hint="eastAsia" w:ascii="宋体" w:hAnsi="宋体" w:eastAsia="宋体" w:cs="宋体"/>
          <w:color w:val="auto"/>
          <w:highlight w:val="none"/>
        </w:rPr>
      </w:pPr>
      <w:r>
        <w:rPr>
          <w:rFonts w:hint="eastAsia" w:ascii="宋体" w:hAnsi="宋体" w:eastAsia="宋体" w:cs="宋体"/>
          <w:color w:val="auto"/>
          <w:highlight w:val="none"/>
        </w:rPr>
        <w:t>磋商日期：</w:t>
      </w:r>
      <w:r>
        <w:rPr>
          <w:rFonts w:hint="eastAsia" w:ascii="宋体" w:hAnsi="宋体" w:eastAsia="宋体" w:cs="宋体"/>
          <w:color w:val="auto"/>
          <w:highlight w:val="none"/>
          <w:u w:val="single"/>
        </w:rPr>
        <w:t xml:space="preserve">                                             </w:t>
      </w:r>
    </w:p>
    <w:p w14:paraId="24A50513">
      <w:pPr>
        <w:pStyle w:val="20"/>
        <w:rPr>
          <w:rFonts w:hint="eastAsia" w:ascii="宋体" w:hAnsi="宋体" w:eastAsia="宋体" w:cs="宋体"/>
          <w:color w:val="auto"/>
          <w:highlight w:val="none"/>
        </w:rPr>
      </w:pPr>
    </w:p>
    <w:p w14:paraId="0A53BF3D">
      <w:pPr>
        <w:pStyle w:val="20"/>
        <w:rPr>
          <w:rFonts w:hint="eastAsia" w:ascii="宋体" w:hAnsi="宋体" w:eastAsia="宋体" w:cs="宋体"/>
          <w:color w:val="auto"/>
          <w:highlight w:val="none"/>
        </w:rPr>
      </w:pPr>
    </w:p>
    <w:p w14:paraId="245F0229">
      <w:pPr>
        <w:pStyle w:val="20"/>
        <w:rPr>
          <w:rFonts w:hint="eastAsia" w:ascii="宋体" w:hAnsi="宋体" w:eastAsia="宋体" w:cs="宋体"/>
          <w:color w:val="auto"/>
          <w:highlight w:val="none"/>
        </w:rPr>
      </w:pPr>
    </w:p>
    <w:p w14:paraId="50846C72">
      <w:pPr>
        <w:pStyle w:val="20"/>
        <w:rPr>
          <w:rFonts w:hint="eastAsia" w:ascii="宋体" w:hAnsi="宋体" w:eastAsia="宋体" w:cs="宋体"/>
          <w:color w:val="auto"/>
          <w:highlight w:val="none"/>
        </w:rPr>
      </w:pPr>
    </w:p>
    <w:p w14:paraId="12A795FE">
      <w:pPr>
        <w:pStyle w:val="20"/>
        <w:rPr>
          <w:rFonts w:hint="eastAsia" w:ascii="宋体" w:hAnsi="宋体" w:eastAsia="宋体" w:cs="宋体"/>
          <w:bCs/>
          <w:color w:val="auto"/>
          <w:highlight w:val="none"/>
        </w:rPr>
      </w:pPr>
      <w:r>
        <w:rPr>
          <w:rFonts w:hint="eastAsia" w:ascii="宋体" w:hAnsi="宋体" w:eastAsia="宋体" w:cs="宋体"/>
          <w:color w:val="auto"/>
          <w:highlight w:val="none"/>
        </w:rPr>
        <w:br w:type="page"/>
      </w:r>
    </w:p>
    <w:p w14:paraId="79B21FD2">
      <w:pPr>
        <w:pStyle w:val="97"/>
        <w:jc w:val="center"/>
        <w:outlineLvl w:val="0"/>
        <w:rPr>
          <w:rFonts w:hint="eastAsia" w:ascii="宋体" w:hAnsi="宋体" w:eastAsia="宋体" w:cs="宋体"/>
          <w:b/>
          <w:bCs/>
          <w:color w:val="auto"/>
          <w:sz w:val="28"/>
          <w:szCs w:val="28"/>
          <w:highlight w:val="none"/>
        </w:rPr>
      </w:pPr>
      <w:bookmarkStart w:id="1328" w:name="_Toc389065359"/>
      <w:bookmarkStart w:id="1329" w:name="_Toc14453"/>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rPr>
        <w:t>已标价工程量清单</w:t>
      </w:r>
      <w:bookmarkEnd w:id="1328"/>
      <w:bookmarkEnd w:id="1329"/>
    </w:p>
    <w:p w14:paraId="4134CC53">
      <w:pPr>
        <w:pStyle w:val="97"/>
        <w:spacing w:line="360" w:lineRule="auto"/>
        <w:jc w:val="both"/>
        <w:rPr>
          <w:rFonts w:hint="eastAsia" w:ascii="宋体" w:hAnsi="宋体" w:eastAsia="宋体" w:cs="宋体"/>
          <w:b/>
          <w:bCs/>
          <w:color w:val="auto"/>
          <w:sz w:val="28"/>
          <w:szCs w:val="28"/>
          <w:highlight w:val="none"/>
        </w:rPr>
      </w:pPr>
    </w:p>
    <w:p w14:paraId="55A25391">
      <w:pPr>
        <w:numPr>
          <w:ilvl w:val="0"/>
          <w:numId w:val="0"/>
        </w:numPr>
        <w:spacing w:line="480" w:lineRule="auto"/>
        <w:ind w:left="420" w:leftChars="0"/>
        <w:jc w:val="lef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一、</w:t>
      </w:r>
      <w:r>
        <w:rPr>
          <w:rFonts w:hint="eastAsia" w:ascii="宋体" w:hAnsi="宋体" w:eastAsia="宋体" w:cs="宋体"/>
          <w:b w:val="0"/>
          <w:bCs w:val="0"/>
          <w:color w:val="auto"/>
          <w:szCs w:val="21"/>
          <w:highlight w:val="none"/>
        </w:rPr>
        <w:t>本项目增值税计税方式采用：</w:t>
      </w:r>
      <w:r>
        <w:rPr>
          <w:rFonts w:hint="eastAsia" w:ascii="宋体" w:hAnsi="宋体" w:eastAsia="宋体" w:cs="宋体"/>
          <w:b w:val="0"/>
          <w:bCs w:val="0"/>
          <w:color w:val="auto"/>
          <w:highlight w:val="none"/>
          <w:lang w:eastAsia="zh-CN"/>
        </w:rPr>
        <w:t>一般计税</w:t>
      </w:r>
      <w:r>
        <w:rPr>
          <w:rFonts w:hint="eastAsia" w:ascii="宋体" w:hAnsi="宋体" w:eastAsia="宋体" w:cs="宋体"/>
          <w:b w:val="0"/>
          <w:bCs w:val="0"/>
          <w:color w:val="auto"/>
          <w:highlight w:val="none"/>
        </w:rPr>
        <w:t>法</w:t>
      </w:r>
    </w:p>
    <w:p w14:paraId="2385055A">
      <w:pPr>
        <w:spacing w:line="48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二</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已标价工程量清单表格要严格按照招标工程量清单给出的表格要求和内容填报（</w:t>
      </w:r>
      <w:r>
        <w:rPr>
          <w:rFonts w:hint="eastAsia" w:ascii="宋体" w:hAnsi="宋体" w:eastAsia="宋体" w:cs="宋体"/>
          <w:color w:val="auto"/>
          <w:highlight w:val="none"/>
          <w:lang w:val="en-US" w:eastAsia="zh-CN"/>
        </w:rPr>
        <w:t>具体内容详见上传的招标工程量清单</w:t>
      </w:r>
      <w:r>
        <w:rPr>
          <w:rFonts w:hint="eastAsia" w:ascii="宋体" w:hAnsi="宋体" w:eastAsia="宋体" w:cs="宋体"/>
          <w:color w:val="auto"/>
          <w:highlight w:val="none"/>
          <w:lang w:eastAsia="zh-CN"/>
        </w:rPr>
        <w:t>）。</w:t>
      </w:r>
    </w:p>
    <w:p w14:paraId="55385746">
      <w:pPr>
        <w:pStyle w:val="20"/>
        <w:numPr>
          <w:ilvl w:val="0"/>
          <w:numId w:val="0"/>
        </w:num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D25FF5B">
      <w:pPr>
        <w:pStyle w:val="20"/>
        <w:numPr>
          <w:ilvl w:val="0"/>
          <w:numId w:val="0"/>
        </w:numPr>
        <w:spacing w:line="400" w:lineRule="exact"/>
        <w:jc w:val="center"/>
        <w:rPr>
          <w:rFonts w:hint="eastAsia" w:ascii="宋体" w:hAnsi="宋体" w:eastAsia="宋体" w:cs="宋体"/>
          <w:color w:val="auto"/>
          <w:highlight w:val="none"/>
        </w:rPr>
      </w:pPr>
    </w:p>
    <w:p w14:paraId="4929E2D0">
      <w:pPr>
        <w:pStyle w:val="6"/>
        <w:numPr>
          <w:ilvl w:val="0"/>
          <w:numId w:val="0"/>
        </w:numPr>
        <w:ind w:leftChars="200"/>
        <w:jc w:val="center"/>
        <w:rPr>
          <w:rFonts w:hint="eastAsia" w:ascii="宋体" w:hAnsi="宋体" w:eastAsia="宋体" w:cs="宋体"/>
          <w:color w:val="auto"/>
        </w:rPr>
      </w:pPr>
      <w:r>
        <w:rPr>
          <w:rFonts w:hint="eastAsia" w:ascii="宋体" w:hAnsi="宋体" w:eastAsia="宋体" w:cs="宋体"/>
          <w:color w:val="auto"/>
          <w:spacing w:val="2"/>
          <w:sz w:val="32"/>
          <w:szCs w:val="32"/>
          <w:lang w:eastAsia="zh-CN"/>
        </w:rPr>
        <w:t>二、</w:t>
      </w:r>
      <w:r>
        <w:rPr>
          <w:rFonts w:hint="eastAsia" w:ascii="宋体" w:hAnsi="宋体" w:eastAsia="宋体" w:cs="宋体"/>
          <w:color w:val="auto"/>
          <w:spacing w:val="2"/>
          <w:sz w:val="32"/>
          <w:szCs w:val="32"/>
        </w:rPr>
        <w:t>资</w:t>
      </w:r>
      <w:r>
        <w:rPr>
          <w:rFonts w:hint="eastAsia" w:ascii="宋体" w:hAnsi="宋体" w:eastAsia="宋体" w:cs="宋体"/>
          <w:color w:val="auto"/>
          <w:sz w:val="32"/>
          <w:szCs w:val="32"/>
        </w:rPr>
        <w:t>格</w:t>
      </w:r>
      <w:r>
        <w:rPr>
          <w:rFonts w:hint="eastAsia" w:ascii="宋体" w:hAnsi="宋体" w:eastAsia="宋体" w:cs="宋体"/>
          <w:color w:val="auto"/>
          <w:spacing w:val="2"/>
          <w:sz w:val="32"/>
          <w:szCs w:val="32"/>
        </w:rPr>
        <w:t>证明文件格</w:t>
      </w:r>
      <w:r>
        <w:rPr>
          <w:rFonts w:hint="eastAsia" w:ascii="宋体" w:hAnsi="宋体" w:eastAsia="宋体" w:cs="宋体"/>
          <w:color w:val="auto"/>
          <w:sz w:val="32"/>
          <w:szCs w:val="32"/>
        </w:rPr>
        <w:t>式</w:t>
      </w:r>
    </w:p>
    <w:p w14:paraId="65DE0EE4">
      <w:pPr>
        <w:pStyle w:val="6"/>
        <w:numPr>
          <w:ilvl w:val="0"/>
          <w:numId w:val="0"/>
        </w:numPr>
        <w:ind w:leftChars="200"/>
        <w:jc w:val="left"/>
        <w:rPr>
          <w:b w:val="0"/>
          <w:bCs w:val="0"/>
          <w:color w:val="auto"/>
        </w:rPr>
      </w:pPr>
      <w:r>
        <w:rPr>
          <w:rFonts w:hint="eastAsia" w:ascii="宋体" w:hAnsi="宋体" w:eastAsia="宋体" w:cs="宋体"/>
          <w:b w:val="0"/>
          <w:bCs w:val="0"/>
          <w:color w:val="auto"/>
          <w:spacing w:val="1"/>
        </w:rPr>
        <w:t>1</w:t>
      </w:r>
      <w:r>
        <w:rPr>
          <w:rFonts w:hint="eastAsia" w:ascii="宋体" w:hAnsi="宋体" w:eastAsia="宋体" w:cs="宋体"/>
          <w:b w:val="0"/>
          <w:bCs w:val="0"/>
          <w:color w:val="auto"/>
          <w:spacing w:val="-1"/>
        </w:rPr>
        <w:t>．资格证明</w:t>
      </w:r>
      <w:r>
        <w:rPr>
          <w:rFonts w:hint="eastAsia" w:ascii="宋体" w:hAnsi="宋体" w:eastAsia="宋体" w:cs="宋体"/>
          <w:b w:val="0"/>
          <w:bCs w:val="0"/>
          <w:color w:val="auto"/>
          <w:spacing w:val="2"/>
        </w:rPr>
        <w:t>文</w:t>
      </w:r>
      <w:r>
        <w:rPr>
          <w:rFonts w:hint="eastAsia" w:ascii="宋体" w:hAnsi="宋体" w:eastAsia="宋体" w:cs="宋体"/>
          <w:b w:val="0"/>
          <w:bCs w:val="0"/>
          <w:color w:val="auto"/>
          <w:spacing w:val="-1"/>
        </w:rPr>
        <w:t>件封面格</w:t>
      </w:r>
      <w:r>
        <w:rPr>
          <w:rFonts w:hint="eastAsia" w:ascii="宋体" w:hAnsi="宋体" w:eastAsia="宋体" w:cs="宋体"/>
          <w:b w:val="0"/>
          <w:bCs w:val="0"/>
          <w:color w:val="auto"/>
        </w:rPr>
        <w:t>式</w:t>
      </w:r>
    </w:p>
    <w:p w14:paraId="2411D875">
      <w:pPr>
        <w:spacing w:before="8" w:line="110" w:lineRule="exact"/>
        <w:rPr>
          <w:color w:val="auto"/>
          <w:sz w:val="11"/>
          <w:szCs w:val="11"/>
        </w:rPr>
      </w:pPr>
    </w:p>
    <w:p w14:paraId="7D2B1948">
      <w:pPr>
        <w:spacing w:line="200" w:lineRule="exact"/>
        <w:rPr>
          <w:color w:val="auto"/>
          <w:sz w:val="20"/>
          <w:szCs w:val="20"/>
        </w:rPr>
      </w:pPr>
    </w:p>
    <w:p w14:paraId="7CCC16E7">
      <w:pPr>
        <w:spacing w:line="200" w:lineRule="exact"/>
        <w:rPr>
          <w:color w:val="auto"/>
          <w:sz w:val="20"/>
          <w:szCs w:val="20"/>
        </w:rPr>
      </w:pPr>
    </w:p>
    <w:p w14:paraId="4B243954">
      <w:pPr>
        <w:spacing w:line="200" w:lineRule="exact"/>
        <w:rPr>
          <w:color w:val="auto"/>
          <w:sz w:val="20"/>
          <w:szCs w:val="20"/>
        </w:rPr>
      </w:pPr>
    </w:p>
    <w:p w14:paraId="1D953423">
      <w:pPr>
        <w:pStyle w:val="16"/>
        <w:spacing w:line="309" w:lineRule="exact"/>
        <w:ind w:right="548"/>
        <w:jc w:val="right"/>
        <w:rPr>
          <w:color w:val="auto"/>
        </w:rPr>
      </w:pPr>
      <w:r>
        <w:rPr>
          <w:color w:val="auto"/>
          <w:spacing w:val="-1"/>
          <w:w w:val="95"/>
        </w:rPr>
        <w:t>电</w:t>
      </w:r>
      <w:r>
        <w:rPr>
          <w:color w:val="auto"/>
          <w:spacing w:val="1"/>
          <w:w w:val="95"/>
        </w:rPr>
        <w:t>子</w:t>
      </w:r>
      <w:r>
        <w:rPr>
          <w:color w:val="auto"/>
          <w:spacing w:val="-1"/>
          <w:w w:val="95"/>
        </w:rPr>
        <w:t>响</w:t>
      </w:r>
      <w:r>
        <w:rPr>
          <w:color w:val="auto"/>
          <w:spacing w:val="1"/>
          <w:w w:val="95"/>
        </w:rPr>
        <w:t>应</w:t>
      </w:r>
      <w:r>
        <w:rPr>
          <w:color w:val="auto"/>
          <w:spacing w:val="-1"/>
          <w:w w:val="95"/>
        </w:rPr>
        <w:t>文</w:t>
      </w:r>
      <w:r>
        <w:rPr>
          <w:color w:val="auto"/>
          <w:w w:val="95"/>
        </w:rPr>
        <w:t>件</w:t>
      </w:r>
    </w:p>
    <w:p w14:paraId="195F7965">
      <w:pPr>
        <w:spacing w:line="200" w:lineRule="exact"/>
        <w:rPr>
          <w:color w:val="auto"/>
          <w:sz w:val="20"/>
          <w:szCs w:val="20"/>
        </w:rPr>
      </w:pPr>
    </w:p>
    <w:p w14:paraId="4DCBCE14">
      <w:pPr>
        <w:spacing w:line="200" w:lineRule="exact"/>
        <w:rPr>
          <w:color w:val="auto"/>
          <w:sz w:val="20"/>
          <w:szCs w:val="20"/>
        </w:rPr>
      </w:pPr>
    </w:p>
    <w:p w14:paraId="586D24BC">
      <w:pPr>
        <w:spacing w:line="200" w:lineRule="exact"/>
        <w:rPr>
          <w:color w:val="auto"/>
          <w:sz w:val="20"/>
          <w:szCs w:val="20"/>
        </w:rPr>
      </w:pPr>
    </w:p>
    <w:p w14:paraId="2FD08633">
      <w:pPr>
        <w:spacing w:line="200" w:lineRule="exact"/>
        <w:rPr>
          <w:color w:val="auto"/>
          <w:sz w:val="20"/>
          <w:szCs w:val="20"/>
        </w:rPr>
      </w:pPr>
    </w:p>
    <w:p w14:paraId="16CE5CC7">
      <w:pPr>
        <w:spacing w:line="200" w:lineRule="exact"/>
        <w:rPr>
          <w:color w:val="auto"/>
          <w:sz w:val="20"/>
          <w:szCs w:val="20"/>
        </w:rPr>
      </w:pPr>
    </w:p>
    <w:p w14:paraId="570C78B1">
      <w:pPr>
        <w:spacing w:line="200" w:lineRule="exact"/>
        <w:rPr>
          <w:color w:val="auto"/>
          <w:sz w:val="20"/>
          <w:szCs w:val="20"/>
        </w:rPr>
      </w:pPr>
    </w:p>
    <w:p w14:paraId="23283386">
      <w:pPr>
        <w:spacing w:line="200" w:lineRule="exact"/>
        <w:rPr>
          <w:color w:val="auto"/>
          <w:sz w:val="20"/>
          <w:szCs w:val="20"/>
        </w:rPr>
      </w:pPr>
    </w:p>
    <w:p w14:paraId="05BE8C3B">
      <w:pPr>
        <w:spacing w:line="200" w:lineRule="exact"/>
        <w:rPr>
          <w:color w:val="auto"/>
          <w:sz w:val="20"/>
          <w:szCs w:val="20"/>
        </w:rPr>
      </w:pPr>
    </w:p>
    <w:p w14:paraId="19FEE6A9">
      <w:pPr>
        <w:spacing w:line="200" w:lineRule="exact"/>
        <w:rPr>
          <w:color w:val="auto"/>
          <w:sz w:val="20"/>
          <w:szCs w:val="20"/>
        </w:rPr>
      </w:pPr>
    </w:p>
    <w:p w14:paraId="005C6540">
      <w:pPr>
        <w:spacing w:before="4" w:line="260" w:lineRule="exact"/>
        <w:rPr>
          <w:color w:val="auto"/>
          <w:sz w:val="26"/>
          <w:szCs w:val="26"/>
        </w:rPr>
      </w:pPr>
    </w:p>
    <w:p w14:paraId="2BAAC08C">
      <w:pPr>
        <w:pStyle w:val="3"/>
        <w:spacing w:line="539" w:lineRule="exact"/>
        <w:ind w:left="2925"/>
        <w:jc w:val="left"/>
        <w:rPr>
          <w:rFonts w:hint="eastAsia" w:ascii="宋体" w:hAnsi="宋体" w:eastAsia="宋体" w:cs="宋体"/>
          <w:color w:val="auto"/>
        </w:rPr>
      </w:pPr>
      <w:bookmarkStart w:id="1330" w:name="_Toc104"/>
      <w:bookmarkStart w:id="1331" w:name="_Toc11299"/>
      <w:r>
        <w:rPr>
          <w:rFonts w:hint="eastAsia" w:ascii="宋体" w:hAnsi="宋体" w:eastAsia="宋体" w:cs="宋体"/>
          <w:color w:val="auto"/>
        </w:rPr>
        <w:t>资</w:t>
      </w:r>
      <w:r>
        <w:rPr>
          <w:rFonts w:hint="eastAsia" w:ascii="宋体" w:hAnsi="宋体" w:eastAsia="宋体" w:cs="宋体"/>
          <w:color w:val="auto"/>
          <w:spacing w:val="-3"/>
        </w:rPr>
        <w:t xml:space="preserve"> </w:t>
      </w:r>
      <w:r>
        <w:rPr>
          <w:rFonts w:hint="eastAsia" w:ascii="宋体" w:hAnsi="宋体" w:eastAsia="宋体" w:cs="宋体"/>
          <w:color w:val="auto"/>
        </w:rPr>
        <w:t>格</w:t>
      </w:r>
      <w:r>
        <w:rPr>
          <w:rFonts w:hint="eastAsia" w:ascii="宋体" w:hAnsi="宋体" w:eastAsia="宋体" w:cs="宋体"/>
          <w:color w:val="auto"/>
          <w:spacing w:val="-4"/>
        </w:rPr>
        <w:t xml:space="preserve"> </w:t>
      </w:r>
      <w:r>
        <w:rPr>
          <w:rFonts w:hint="eastAsia" w:ascii="宋体" w:hAnsi="宋体" w:eastAsia="宋体" w:cs="宋体"/>
          <w:color w:val="auto"/>
        </w:rPr>
        <w:t>证</w:t>
      </w:r>
      <w:r>
        <w:rPr>
          <w:rFonts w:hint="eastAsia" w:ascii="宋体" w:hAnsi="宋体" w:eastAsia="宋体" w:cs="宋体"/>
          <w:color w:val="auto"/>
          <w:spacing w:val="-2"/>
        </w:rPr>
        <w:t xml:space="preserve"> </w:t>
      </w:r>
      <w:r>
        <w:rPr>
          <w:rFonts w:hint="eastAsia" w:ascii="宋体" w:hAnsi="宋体" w:eastAsia="宋体" w:cs="宋体"/>
          <w:color w:val="auto"/>
        </w:rPr>
        <w:t>明</w:t>
      </w:r>
      <w:r>
        <w:rPr>
          <w:rFonts w:hint="eastAsia" w:ascii="宋体" w:hAnsi="宋体" w:eastAsia="宋体" w:cs="宋体"/>
          <w:color w:val="auto"/>
          <w:spacing w:val="-3"/>
        </w:rPr>
        <w:t xml:space="preserve"> </w:t>
      </w:r>
      <w:r>
        <w:rPr>
          <w:rFonts w:hint="eastAsia" w:ascii="宋体" w:hAnsi="宋体" w:eastAsia="宋体" w:cs="宋体"/>
          <w:color w:val="auto"/>
        </w:rPr>
        <w:t>文</w:t>
      </w:r>
      <w:r>
        <w:rPr>
          <w:rFonts w:hint="eastAsia" w:ascii="宋体" w:hAnsi="宋体" w:eastAsia="宋体" w:cs="宋体"/>
          <w:color w:val="auto"/>
          <w:spacing w:val="-4"/>
        </w:rPr>
        <w:t xml:space="preserve"> </w:t>
      </w:r>
      <w:r>
        <w:rPr>
          <w:rFonts w:hint="eastAsia" w:ascii="宋体" w:hAnsi="宋体" w:eastAsia="宋体" w:cs="宋体"/>
          <w:color w:val="auto"/>
        </w:rPr>
        <w:t>件</w:t>
      </w:r>
      <w:bookmarkEnd w:id="1330"/>
      <w:bookmarkEnd w:id="1331"/>
    </w:p>
    <w:p w14:paraId="43616DCC">
      <w:pPr>
        <w:spacing w:before="5" w:line="110" w:lineRule="exact"/>
        <w:rPr>
          <w:rFonts w:hint="eastAsia" w:ascii="宋体" w:hAnsi="宋体" w:eastAsia="宋体" w:cs="宋体"/>
          <w:color w:val="auto"/>
          <w:sz w:val="11"/>
          <w:szCs w:val="11"/>
        </w:rPr>
      </w:pPr>
    </w:p>
    <w:p w14:paraId="1937910C">
      <w:pPr>
        <w:spacing w:line="200" w:lineRule="exact"/>
        <w:rPr>
          <w:rFonts w:hint="eastAsia" w:ascii="宋体" w:hAnsi="宋体" w:eastAsia="宋体" w:cs="宋体"/>
          <w:color w:val="auto"/>
          <w:sz w:val="20"/>
          <w:szCs w:val="20"/>
        </w:rPr>
      </w:pPr>
    </w:p>
    <w:p w14:paraId="3211E731">
      <w:pPr>
        <w:spacing w:line="200" w:lineRule="exact"/>
        <w:rPr>
          <w:rFonts w:hint="eastAsia" w:ascii="宋体" w:hAnsi="宋体" w:eastAsia="宋体" w:cs="宋体"/>
          <w:color w:val="auto"/>
          <w:sz w:val="20"/>
          <w:szCs w:val="20"/>
        </w:rPr>
      </w:pPr>
    </w:p>
    <w:p w14:paraId="09384DC1">
      <w:pPr>
        <w:spacing w:line="200" w:lineRule="exact"/>
        <w:rPr>
          <w:rFonts w:hint="eastAsia" w:ascii="宋体" w:hAnsi="宋体" w:eastAsia="宋体" w:cs="宋体"/>
          <w:color w:val="auto"/>
          <w:sz w:val="20"/>
          <w:szCs w:val="20"/>
        </w:rPr>
      </w:pPr>
    </w:p>
    <w:p w14:paraId="7452826F">
      <w:pPr>
        <w:spacing w:line="200" w:lineRule="exact"/>
        <w:rPr>
          <w:rFonts w:hint="eastAsia" w:ascii="宋体" w:hAnsi="宋体" w:eastAsia="宋体" w:cs="宋体"/>
          <w:color w:val="auto"/>
          <w:sz w:val="20"/>
          <w:szCs w:val="20"/>
        </w:rPr>
      </w:pPr>
    </w:p>
    <w:p w14:paraId="4447C45B">
      <w:pPr>
        <w:spacing w:line="200" w:lineRule="exact"/>
        <w:rPr>
          <w:rFonts w:hint="eastAsia" w:ascii="宋体" w:hAnsi="宋体" w:eastAsia="宋体" w:cs="宋体"/>
          <w:color w:val="auto"/>
          <w:sz w:val="20"/>
          <w:szCs w:val="20"/>
        </w:rPr>
      </w:pPr>
    </w:p>
    <w:p w14:paraId="57C189EF">
      <w:pPr>
        <w:spacing w:line="200" w:lineRule="exact"/>
        <w:rPr>
          <w:rFonts w:hint="eastAsia" w:ascii="宋体" w:hAnsi="宋体" w:eastAsia="宋体" w:cs="宋体"/>
          <w:color w:val="auto"/>
          <w:sz w:val="20"/>
          <w:szCs w:val="20"/>
        </w:rPr>
      </w:pPr>
    </w:p>
    <w:p w14:paraId="271DF51C">
      <w:pPr>
        <w:spacing w:line="200" w:lineRule="exact"/>
        <w:rPr>
          <w:rFonts w:hint="eastAsia" w:ascii="宋体" w:hAnsi="宋体" w:eastAsia="宋体" w:cs="宋体"/>
          <w:color w:val="auto"/>
          <w:sz w:val="20"/>
          <w:szCs w:val="20"/>
        </w:rPr>
      </w:pPr>
    </w:p>
    <w:p w14:paraId="1CF846EC">
      <w:pPr>
        <w:spacing w:line="200" w:lineRule="exact"/>
        <w:rPr>
          <w:rFonts w:hint="eastAsia" w:ascii="宋体" w:hAnsi="宋体" w:eastAsia="宋体" w:cs="宋体"/>
          <w:color w:val="auto"/>
          <w:sz w:val="20"/>
          <w:szCs w:val="20"/>
        </w:rPr>
      </w:pPr>
    </w:p>
    <w:p w14:paraId="1ACE626C">
      <w:pPr>
        <w:spacing w:line="200" w:lineRule="exact"/>
        <w:rPr>
          <w:rFonts w:hint="eastAsia" w:ascii="宋体" w:hAnsi="宋体" w:eastAsia="宋体" w:cs="宋体"/>
          <w:color w:val="auto"/>
          <w:sz w:val="20"/>
          <w:szCs w:val="20"/>
        </w:rPr>
      </w:pPr>
    </w:p>
    <w:p w14:paraId="5D6AD826">
      <w:pPr>
        <w:spacing w:line="200" w:lineRule="exact"/>
        <w:rPr>
          <w:rFonts w:hint="eastAsia" w:ascii="宋体" w:hAnsi="宋体" w:eastAsia="宋体" w:cs="宋体"/>
          <w:color w:val="auto"/>
          <w:sz w:val="20"/>
          <w:szCs w:val="20"/>
        </w:rPr>
      </w:pPr>
    </w:p>
    <w:p w14:paraId="5AAEB961">
      <w:pPr>
        <w:pStyle w:val="4"/>
        <w:spacing w:line="419" w:lineRule="exact"/>
        <w:ind w:left="760"/>
        <w:jc w:val="left"/>
        <w:rPr>
          <w:rFonts w:hint="eastAsia" w:ascii="宋体" w:hAnsi="宋体" w:eastAsia="宋体" w:cs="宋体"/>
          <w:b w:val="0"/>
          <w:color w:val="auto"/>
          <w:kern w:val="44"/>
          <w14:shadow w14:blurRad="50800" w14:dist="38100" w14:dir="2700000" w14:sx="100000" w14:sy="100000" w14:kx="0" w14:ky="0" w14:algn="tl">
            <w14:srgbClr w14:val="000000">
              <w14:alpha w14:val="60000"/>
            </w14:srgbClr>
          </w14:shadow>
        </w:rPr>
      </w:pPr>
      <w:r>
        <w:rPr>
          <w:rFonts w:hint="eastAsia" w:ascii="宋体" w:hAnsi="宋体" w:eastAsia="宋体" w:cs="宋体"/>
          <w:b w:val="0"/>
          <w:color w:val="auto"/>
          <w:kern w:val="44"/>
          <w14:shadow w14:blurRad="50800" w14:dist="38100" w14:dir="2700000" w14:sx="100000" w14:sy="100000" w14:kx="0" w14:ky="0" w14:algn="tl">
            <w14:srgbClr w14:val="000000">
              <w14:alpha w14:val="60000"/>
            </w14:srgbClr>
          </w14:shadow>
        </w:rPr>
        <w:t>项目名称：</w:t>
      </w:r>
    </w:p>
    <w:p w14:paraId="679DAC73">
      <w:pPr>
        <w:spacing w:line="150" w:lineRule="exac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p>
    <w:p w14:paraId="7EC91B8D">
      <w:pPr>
        <w:spacing w:line="200" w:lineRule="exac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p>
    <w:p w14:paraId="5B47F8BB">
      <w:pPr>
        <w:spacing w:line="200" w:lineRule="exac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p>
    <w:p w14:paraId="4665C64A">
      <w:pPr>
        <w:spacing w:line="484" w:lineRule="auto"/>
        <w:ind w:left="840" w:right="5358"/>
        <w:jc w:val="lef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r>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t xml:space="preserve">项目编号： </w:t>
      </w:r>
    </w:p>
    <w:p w14:paraId="0A249168">
      <w:pPr>
        <w:spacing w:line="484" w:lineRule="auto"/>
        <w:ind w:left="840" w:right="5358"/>
        <w:jc w:val="lef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r>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t>供应商名称：</w:t>
      </w:r>
    </w:p>
    <w:p w14:paraId="513D06D7">
      <w:pPr>
        <w:spacing w:line="200" w:lineRule="exact"/>
        <w:rPr>
          <w:color w:val="auto"/>
          <w:sz w:val="20"/>
          <w:szCs w:val="20"/>
        </w:rPr>
      </w:pPr>
    </w:p>
    <w:p w14:paraId="393BC804">
      <w:pPr>
        <w:spacing w:line="200" w:lineRule="exact"/>
        <w:rPr>
          <w:color w:val="auto"/>
          <w:sz w:val="20"/>
          <w:szCs w:val="20"/>
        </w:rPr>
      </w:pPr>
    </w:p>
    <w:p w14:paraId="4B710639">
      <w:pPr>
        <w:spacing w:line="200" w:lineRule="exact"/>
        <w:rPr>
          <w:color w:val="auto"/>
          <w:sz w:val="20"/>
          <w:szCs w:val="20"/>
        </w:rPr>
      </w:pPr>
    </w:p>
    <w:p w14:paraId="6A5C0828">
      <w:pPr>
        <w:spacing w:line="200" w:lineRule="exact"/>
        <w:rPr>
          <w:color w:val="auto"/>
          <w:sz w:val="20"/>
          <w:szCs w:val="20"/>
        </w:rPr>
      </w:pPr>
    </w:p>
    <w:p w14:paraId="35815463">
      <w:pPr>
        <w:spacing w:line="200" w:lineRule="exact"/>
        <w:rPr>
          <w:color w:val="auto"/>
          <w:sz w:val="20"/>
          <w:szCs w:val="20"/>
        </w:rPr>
      </w:pPr>
    </w:p>
    <w:p w14:paraId="429FDD02">
      <w:pPr>
        <w:spacing w:line="200" w:lineRule="exact"/>
        <w:rPr>
          <w:color w:val="auto"/>
          <w:sz w:val="20"/>
          <w:szCs w:val="20"/>
        </w:rPr>
      </w:pPr>
    </w:p>
    <w:p w14:paraId="4885DECD">
      <w:pPr>
        <w:spacing w:before="3" w:line="260" w:lineRule="exact"/>
        <w:rPr>
          <w:color w:val="auto"/>
          <w:sz w:val="26"/>
          <w:szCs w:val="26"/>
        </w:rPr>
      </w:pPr>
    </w:p>
    <w:p w14:paraId="7016086D">
      <w:pPr>
        <w:tabs>
          <w:tab w:val="left" w:pos="959"/>
          <w:tab w:val="left" w:pos="1919"/>
        </w:tabs>
        <w:spacing w:line="419" w:lineRule="exact"/>
        <w:ind w:right="3"/>
        <w:jc w:val="center"/>
        <w:rPr>
          <w:rFonts w:ascii="宋体" w:hAnsi="宋体" w:cs="宋体"/>
          <w:color w:val="auto"/>
          <w:sz w:val="32"/>
          <w:szCs w:val="32"/>
        </w:rPr>
      </w:pPr>
      <w:r>
        <w:rPr>
          <w:rFonts w:ascii="宋体" w:hAnsi="宋体" w:cs="宋体"/>
          <w:color w:val="auto"/>
          <w:sz w:val="32"/>
          <w:szCs w:val="32"/>
        </w:rPr>
        <w:t>年</w:t>
      </w:r>
      <w:r>
        <w:rPr>
          <w:rFonts w:ascii="宋体" w:hAnsi="宋体" w:cs="宋体"/>
          <w:color w:val="auto"/>
          <w:sz w:val="32"/>
          <w:szCs w:val="32"/>
        </w:rPr>
        <w:tab/>
      </w:r>
      <w:r>
        <w:rPr>
          <w:rFonts w:ascii="宋体" w:hAnsi="宋体" w:cs="宋体"/>
          <w:color w:val="auto"/>
          <w:sz w:val="32"/>
          <w:szCs w:val="32"/>
        </w:rPr>
        <w:t>月</w:t>
      </w:r>
      <w:r>
        <w:rPr>
          <w:rFonts w:hint="eastAsia" w:ascii="宋体" w:hAnsi="宋体" w:cs="宋体"/>
          <w:color w:val="auto"/>
          <w:sz w:val="32"/>
          <w:szCs w:val="32"/>
          <w:lang w:val="en-US" w:eastAsia="zh-CN"/>
        </w:rPr>
        <w:t xml:space="preserve">  </w:t>
      </w:r>
      <w:r>
        <w:rPr>
          <w:rFonts w:ascii="宋体" w:hAnsi="宋体" w:cs="宋体"/>
          <w:color w:val="auto"/>
          <w:sz w:val="32"/>
          <w:szCs w:val="32"/>
        </w:rPr>
        <w:tab/>
      </w:r>
      <w:r>
        <w:rPr>
          <w:rFonts w:ascii="宋体" w:hAnsi="宋体" w:cs="宋体"/>
          <w:color w:val="auto"/>
          <w:sz w:val="32"/>
          <w:szCs w:val="32"/>
        </w:rPr>
        <w:t>日</w:t>
      </w:r>
    </w:p>
    <w:p w14:paraId="780E1EB5">
      <w:pPr>
        <w:spacing w:line="419" w:lineRule="exact"/>
        <w:jc w:val="center"/>
        <w:rPr>
          <w:rFonts w:ascii="宋体" w:hAnsi="宋体" w:cs="宋体"/>
          <w:color w:val="auto"/>
          <w:sz w:val="32"/>
          <w:szCs w:val="32"/>
        </w:rPr>
        <w:sectPr>
          <w:footerReference r:id="rId9" w:type="default"/>
          <w:pgSz w:w="11906" w:h="16860"/>
          <w:pgMar w:top="960" w:right="1100" w:bottom="860" w:left="1200" w:header="737" w:footer="669" w:gutter="0"/>
          <w:pgNumType w:fmt="decimal" w:start="1"/>
          <w:cols w:space="720" w:num="1"/>
        </w:sectPr>
      </w:pPr>
    </w:p>
    <w:p w14:paraId="3DA1F8C7">
      <w:pPr>
        <w:spacing w:before="7" w:line="240" w:lineRule="exact"/>
        <w:rPr>
          <w:color w:val="auto"/>
          <w:sz w:val="24"/>
        </w:rPr>
      </w:pPr>
    </w:p>
    <w:p w14:paraId="09A11445">
      <w:pPr>
        <w:pStyle w:val="6"/>
        <w:spacing w:line="402" w:lineRule="exact"/>
        <w:ind w:left="264"/>
        <w:jc w:val="left"/>
        <w:rPr>
          <w:rFonts w:hint="eastAsia" w:ascii="宋体" w:hAnsi="宋体" w:eastAsia="宋体" w:cs="宋体"/>
          <w:color w:val="auto"/>
        </w:rPr>
      </w:pPr>
      <w:bookmarkStart w:id="1332" w:name="法定代表人证明书"/>
      <w:bookmarkEnd w:id="1332"/>
      <w:r>
        <w:rPr>
          <w:rFonts w:hint="eastAsia" w:ascii="宋体" w:hAnsi="宋体" w:eastAsia="宋体" w:cs="宋体"/>
          <w:color w:val="auto"/>
          <w:spacing w:val="-2"/>
        </w:rPr>
        <w:t>2</w:t>
      </w:r>
      <w:r>
        <w:rPr>
          <w:rFonts w:hint="eastAsia" w:ascii="宋体" w:hAnsi="宋体" w:eastAsia="宋体" w:cs="宋体"/>
          <w:color w:val="auto"/>
          <w:spacing w:val="-1"/>
        </w:rPr>
        <w:t>．资格证</w:t>
      </w:r>
      <w:r>
        <w:rPr>
          <w:rFonts w:hint="eastAsia" w:ascii="宋体" w:hAnsi="宋体" w:eastAsia="宋体" w:cs="宋体"/>
          <w:color w:val="auto"/>
          <w:spacing w:val="2"/>
        </w:rPr>
        <w:t>明</w:t>
      </w:r>
      <w:r>
        <w:rPr>
          <w:rFonts w:hint="eastAsia" w:ascii="宋体" w:hAnsi="宋体" w:eastAsia="宋体" w:cs="宋体"/>
          <w:color w:val="auto"/>
          <w:spacing w:val="-1"/>
        </w:rPr>
        <w:t>文件目</w:t>
      </w:r>
      <w:r>
        <w:rPr>
          <w:rFonts w:hint="eastAsia" w:ascii="宋体" w:hAnsi="宋体" w:eastAsia="宋体" w:cs="宋体"/>
          <w:color w:val="auto"/>
        </w:rPr>
        <w:t>录</w:t>
      </w:r>
    </w:p>
    <w:p w14:paraId="53C94479">
      <w:pPr>
        <w:spacing w:before="11" w:line="220" w:lineRule="exact"/>
        <w:rPr>
          <w:rFonts w:hint="eastAsia" w:ascii="宋体" w:hAnsi="宋体" w:eastAsia="宋体" w:cs="宋体"/>
          <w:color w:val="auto"/>
          <w:sz w:val="22"/>
          <w:szCs w:val="22"/>
        </w:rPr>
      </w:pPr>
    </w:p>
    <w:p w14:paraId="5D3C28EC">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36"/>
          <w:szCs w:val="36"/>
          <w:highlight w:val="none"/>
        </w:rPr>
      </w:pPr>
      <w:r>
        <w:rPr>
          <w:rFonts w:hint="eastAsia" w:ascii="宋体" w:hAnsi="宋体" w:eastAsia="宋体" w:cs="宋体"/>
          <w:color w:val="auto"/>
          <w:spacing w:val="-1"/>
          <w:sz w:val="28"/>
          <w:szCs w:val="28"/>
        </w:rPr>
        <w:t>根</w:t>
      </w:r>
      <w:r>
        <w:rPr>
          <w:rFonts w:hint="eastAsia" w:ascii="宋体" w:hAnsi="宋体" w:eastAsia="宋体" w:cs="宋体"/>
          <w:color w:val="auto"/>
          <w:spacing w:val="-3"/>
          <w:sz w:val="28"/>
          <w:szCs w:val="28"/>
        </w:rPr>
        <w:t>据</w:t>
      </w:r>
      <w:r>
        <w:rPr>
          <w:rFonts w:hint="eastAsia" w:ascii="宋体" w:hAnsi="宋体" w:eastAsia="宋体" w:cs="宋体"/>
          <w:color w:val="auto"/>
          <w:spacing w:val="-1"/>
          <w:sz w:val="28"/>
          <w:szCs w:val="28"/>
        </w:rPr>
        <w:t>磋商</w:t>
      </w:r>
      <w:r>
        <w:rPr>
          <w:rFonts w:hint="eastAsia" w:ascii="宋体" w:hAnsi="宋体" w:eastAsia="宋体" w:cs="宋体"/>
          <w:color w:val="auto"/>
          <w:spacing w:val="-3"/>
          <w:sz w:val="28"/>
          <w:szCs w:val="28"/>
        </w:rPr>
        <w:t>文</w:t>
      </w:r>
      <w:r>
        <w:rPr>
          <w:rFonts w:hint="eastAsia" w:ascii="宋体" w:hAnsi="宋体" w:eastAsia="宋体" w:cs="宋体"/>
          <w:color w:val="auto"/>
          <w:spacing w:val="-1"/>
          <w:sz w:val="28"/>
          <w:szCs w:val="28"/>
        </w:rPr>
        <w:t>件规</w:t>
      </w:r>
      <w:r>
        <w:rPr>
          <w:rFonts w:hint="eastAsia" w:ascii="宋体" w:hAnsi="宋体" w:eastAsia="宋体" w:cs="宋体"/>
          <w:color w:val="auto"/>
          <w:spacing w:val="-3"/>
          <w:sz w:val="28"/>
          <w:szCs w:val="28"/>
        </w:rPr>
        <w:t>定</w:t>
      </w:r>
      <w:r>
        <w:rPr>
          <w:rFonts w:hint="eastAsia" w:ascii="宋体" w:hAnsi="宋体" w:eastAsia="宋体" w:cs="宋体"/>
          <w:color w:val="auto"/>
          <w:spacing w:val="-1"/>
          <w:sz w:val="28"/>
          <w:szCs w:val="28"/>
        </w:rPr>
        <w:t>及供</w:t>
      </w:r>
      <w:r>
        <w:rPr>
          <w:rFonts w:hint="eastAsia" w:ascii="宋体" w:hAnsi="宋体" w:eastAsia="宋体" w:cs="宋体"/>
          <w:color w:val="auto"/>
          <w:spacing w:val="-3"/>
          <w:sz w:val="28"/>
          <w:szCs w:val="28"/>
        </w:rPr>
        <w:t>应</w:t>
      </w:r>
      <w:r>
        <w:rPr>
          <w:rFonts w:hint="eastAsia" w:ascii="宋体" w:hAnsi="宋体" w:eastAsia="宋体" w:cs="宋体"/>
          <w:color w:val="auto"/>
          <w:spacing w:val="-1"/>
          <w:sz w:val="28"/>
          <w:szCs w:val="28"/>
        </w:rPr>
        <w:t>商提</w:t>
      </w:r>
      <w:r>
        <w:rPr>
          <w:rFonts w:hint="eastAsia" w:ascii="宋体" w:hAnsi="宋体" w:eastAsia="宋体" w:cs="宋体"/>
          <w:color w:val="auto"/>
          <w:spacing w:val="-3"/>
          <w:sz w:val="28"/>
          <w:szCs w:val="28"/>
        </w:rPr>
        <w:t>供</w:t>
      </w:r>
      <w:r>
        <w:rPr>
          <w:rFonts w:hint="eastAsia" w:ascii="宋体" w:hAnsi="宋体" w:eastAsia="宋体" w:cs="宋体"/>
          <w:color w:val="auto"/>
          <w:spacing w:val="-1"/>
          <w:sz w:val="28"/>
          <w:szCs w:val="28"/>
        </w:rPr>
        <w:t>的材</w:t>
      </w:r>
      <w:r>
        <w:rPr>
          <w:rFonts w:hint="eastAsia" w:ascii="宋体" w:hAnsi="宋体" w:eastAsia="宋体" w:cs="宋体"/>
          <w:color w:val="auto"/>
          <w:spacing w:val="-3"/>
          <w:sz w:val="28"/>
          <w:szCs w:val="28"/>
        </w:rPr>
        <w:t>料</w:t>
      </w:r>
      <w:r>
        <w:rPr>
          <w:rFonts w:hint="eastAsia" w:ascii="宋体" w:hAnsi="宋体" w:eastAsia="宋体" w:cs="宋体"/>
          <w:color w:val="auto"/>
          <w:spacing w:val="-1"/>
          <w:sz w:val="28"/>
          <w:szCs w:val="28"/>
        </w:rPr>
        <w:t>自行</w:t>
      </w:r>
      <w:r>
        <w:rPr>
          <w:rFonts w:hint="eastAsia" w:ascii="宋体" w:hAnsi="宋体" w:eastAsia="宋体" w:cs="宋体"/>
          <w:color w:val="auto"/>
          <w:spacing w:val="-3"/>
          <w:sz w:val="28"/>
          <w:szCs w:val="28"/>
        </w:rPr>
        <w:t>编</w:t>
      </w:r>
      <w:r>
        <w:rPr>
          <w:rFonts w:hint="eastAsia" w:ascii="宋体" w:hAnsi="宋体" w:eastAsia="宋体" w:cs="宋体"/>
          <w:color w:val="auto"/>
          <w:spacing w:val="-1"/>
          <w:sz w:val="28"/>
          <w:szCs w:val="28"/>
        </w:rPr>
        <w:t>写目</w:t>
      </w:r>
      <w:r>
        <w:rPr>
          <w:rFonts w:hint="eastAsia" w:ascii="宋体" w:hAnsi="宋体" w:eastAsia="宋体" w:cs="宋体"/>
          <w:color w:val="auto"/>
          <w:spacing w:val="-3"/>
          <w:sz w:val="28"/>
          <w:szCs w:val="28"/>
        </w:rPr>
        <w:t>录</w:t>
      </w:r>
      <w:r>
        <w:rPr>
          <w:rFonts w:hint="eastAsia" w:ascii="宋体" w:hAnsi="宋体" w:eastAsia="宋体" w:cs="宋体"/>
          <w:color w:val="auto"/>
          <w:spacing w:val="-1"/>
          <w:sz w:val="28"/>
          <w:szCs w:val="28"/>
        </w:rPr>
        <w:t>（部</w:t>
      </w:r>
      <w:r>
        <w:rPr>
          <w:rFonts w:hint="eastAsia" w:ascii="宋体" w:hAnsi="宋体" w:eastAsia="宋体" w:cs="宋体"/>
          <w:color w:val="auto"/>
          <w:spacing w:val="-3"/>
          <w:sz w:val="28"/>
          <w:szCs w:val="28"/>
        </w:rPr>
        <w:t>分</w:t>
      </w:r>
      <w:r>
        <w:rPr>
          <w:rFonts w:hint="eastAsia" w:ascii="宋体" w:hAnsi="宋体" w:eastAsia="宋体" w:cs="宋体"/>
          <w:color w:val="auto"/>
          <w:spacing w:val="-1"/>
          <w:sz w:val="28"/>
          <w:szCs w:val="28"/>
        </w:rPr>
        <w:t>格式</w:t>
      </w:r>
      <w:r>
        <w:rPr>
          <w:rFonts w:hint="eastAsia" w:ascii="宋体" w:hAnsi="宋体" w:eastAsia="宋体" w:cs="宋体"/>
          <w:color w:val="auto"/>
          <w:spacing w:val="-3"/>
          <w:sz w:val="28"/>
          <w:szCs w:val="28"/>
        </w:rPr>
        <w:t>后</w:t>
      </w:r>
      <w:r>
        <w:rPr>
          <w:rFonts w:hint="eastAsia" w:ascii="宋体" w:hAnsi="宋体" w:eastAsia="宋体" w:cs="宋体"/>
          <w:color w:val="auto"/>
          <w:spacing w:val="-1"/>
          <w:sz w:val="28"/>
          <w:szCs w:val="28"/>
        </w:rPr>
        <w:t>附</w:t>
      </w:r>
      <w:r>
        <w:rPr>
          <w:rFonts w:hint="eastAsia" w:ascii="宋体" w:hAnsi="宋体" w:eastAsia="宋体" w:cs="宋体"/>
          <w:color w:val="auto"/>
          <w:sz w:val="28"/>
          <w:szCs w:val="28"/>
        </w:rPr>
        <w:t>）</w:t>
      </w:r>
    </w:p>
    <w:p w14:paraId="5EE39D56">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Cs/>
          <w:color w:val="auto"/>
          <w:highlight w:val="none"/>
        </w:rPr>
      </w:pPr>
      <w:r>
        <w:rPr>
          <w:rFonts w:hint="eastAsia" w:ascii="宋体" w:hAnsi="宋体" w:eastAsia="宋体" w:cs="宋体"/>
          <w:b/>
          <w:bCs/>
          <w:color w:val="auto"/>
          <w:sz w:val="44"/>
          <w:szCs w:val="44"/>
          <w:highlight w:val="none"/>
        </w:rPr>
        <w:br w:type="page"/>
      </w:r>
    </w:p>
    <w:p w14:paraId="505A47D5">
      <w:pPr>
        <w:spacing w:line="400" w:lineRule="exact"/>
        <w:jc w:val="center"/>
        <w:rPr>
          <w:rFonts w:hint="eastAsia"/>
          <w:b/>
          <w:color w:val="auto"/>
          <w:sz w:val="32"/>
          <w:szCs w:val="32"/>
          <w:highlight w:val="none"/>
        </w:rPr>
      </w:pPr>
      <w:r>
        <w:rPr>
          <w:rFonts w:hint="eastAsia" w:ascii="宋体" w:hAnsi="宋体" w:cs="宋体"/>
          <w:b/>
          <w:color w:val="auto"/>
          <w:sz w:val="32"/>
          <w:szCs w:val="32"/>
          <w:highlight w:val="none"/>
          <w:lang w:val="en-US" w:eastAsia="zh-CN"/>
        </w:rPr>
        <w:t>1、</w:t>
      </w:r>
      <w:r>
        <w:rPr>
          <w:rFonts w:hint="eastAsia" w:ascii="宋体" w:hAnsi="宋体" w:cs="宋体"/>
          <w:b/>
          <w:color w:val="auto"/>
          <w:sz w:val="32"/>
          <w:szCs w:val="32"/>
          <w:highlight w:val="none"/>
        </w:rPr>
        <w:t>法定代表人</w:t>
      </w:r>
      <w:r>
        <w:rPr>
          <w:rFonts w:hint="eastAsia" w:ascii="宋体" w:hAnsi="宋体" w:cs="宋体"/>
          <w:b/>
          <w:color w:val="auto"/>
          <w:sz w:val="32"/>
          <w:szCs w:val="32"/>
          <w:highlight w:val="none"/>
          <w:lang w:val="en-US" w:eastAsia="zh-CN"/>
        </w:rPr>
        <w:t>(负责人)</w:t>
      </w:r>
      <w:r>
        <w:rPr>
          <w:rFonts w:hint="eastAsia" w:ascii="宋体" w:hAnsi="宋体" w:cs="宋体"/>
          <w:b/>
          <w:color w:val="auto"/>
          <w:sz w:val="32"/>
          <w:szCs w:val="32"/>
          <w:highlight w:val="none"/>
        </w:rPr>
        <w:t>身份证明</w:t>
      </w:r>
      <w:r>
        <w:rPr>
          <w:rFonts w:hint="eastAsia" w:ascii="宋体" w:hAnsi="宋体" w:cs="宋体"/>
          <w:b/>
          <w:color w:val="auto"/>
          <w:sz w:val="32"/>
          <w:szCs w:val="32"/>
          <w:highlight w:val="none"/>
          <w:lang w:eastAsia="zh-CN"/>
        </w:rPr>
        <w:t>书</w:t>
      </w:r>
      <w:r>
        <w:rPr>
          <w:rFonts w:hint="eastAsia" w:ascii="宋体" w:hAnsi="宋体" w:cs="宋体"/>
          <w:b/>
          <w:color w:val="auto"/>
          <w:sz w:val="32"/>
          <w:szCs w:val="32"/>
          <w:highlight w:val="none"/>
        </w:rPr>
        <w:t>（格式）</w:t>
      </w:r>
    </w:p>
    <w:p w14:paraId="0ADF51B9">
      <w:pPr>
        <w:spacing w:line="500" w:lineRule="exact"/>
        <w:ind w:firstLine="480" w:firstLineChars="200"/>
        <w:rPr>
          <w:rFonts w:hint="eastAsia" w:ascii="宋体" w:hAnsi="宋体"/>
          <w:color w:val="auto"/>
          <w:sz w:val="24"/>
          <w:highlight w:val="none"/>
          <w:u w:val="single"/>
        </w:rPr>
      </w:pPr>
    </w:p>
    <w:p w14:paraId="5F844F6D">
      <w:pPr>
        <w:spacing w:line="540" w:lineRule="exact"/>
        <w:rPr>
          <w:rFonts w:ascii="Arial" w:hAnsi="Arial" w:cs="Arial"/>
          <w:color w:val="auto"/>
          <w:sz w:val="21"/>
          <w:szCs w:val="21"/>
          <w:highlight w:val="none"/>
        </w:rPr>
      </w:pPr>
      <w:r>
        <w:rPr>
          <w:rFonts w:hint="eastAsia" w:ascii="Arial" w:hAnsi="Arial" w:cs="Arial"/>
          <w:color w:val="auto"/>
          <w:sz w:val="21"/>
          <w:szCs w:val="21"/>
          <w:highlight w:val="none"/>
          <w:lang w:eastAsia="zh-CN"/>
        </w:rPr>
        <w:t>供应商</w:t>
      </w:r>
      <w:r>
        <w:rPr>
          <w:rFonts w:ascii="Arial" w:hAnsi="Arial" w:cs="Arial"/>
          <w:color w:val="auto"/>
          <w:sz w:val="21"/>
          <w:szCs w:val="21"/>
          <w:highlight w:val="none"/>
        </w:rPr>
        <w:t>名称：</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p>
    <w:p w14:paraId="6F849542">
      <w:pPr>
        <w:spacing w:line="540" w:lineRule="exact"/>
        <w:rPr>
          <w:rFonts w:ascii="Arial" w:hAnsi="Arial" w:cs="Arial"/>
          <w:color w:val="auto"/>
          <w:sz w:val="21"/>
          <w:szCs w:val="21"/>
          <w:highlight w:val="none"/>
        </w:rPr>
      </w:pPr>
      <w:r>
        <w:rPr>
          <w:rFonts w:ascii="Arial" w:hAnsi="Arial" w:cs="Arial"/>
          <w:color w:val="auto"/>
          <w:sz w:val="21"/>
          <w:szCs w:val="21"/>
          <w:highlight w:val="none"/>
        </w:rPr>
        <w:t>单位性质：</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p>
    <w:p w14:paraId="308BA61B">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地</w:t>
      </w:r>
      <w:r>
        <w:rPr>
          <w:rFonts w:hint="eastAsia" w:ascii="Arial" w:hAnsi="Arial" w:cs="Arial"/>
          <w:color w:val="auto"/>
          <w:sz w:val="21"/>
          <w:szCs w:val="21"/>
          <w:highlight w:val="none"/>
        </w:rPr>
        <w:t xml:space="preserve">    </w:t>
      </w:r>
      <w:r>
        <w:rPr>
          <w:rFonts w:ascii="Arial" w:hAnsi="Arial" w:cs="Arial"/>
          <w:color w:val="auto"/>
          <w:sz w:val="21"/>
          <w:szCs w:val="21"/>
          <w:highlight w:val="none"/>
        </w:rPr>
        <w:t>址：</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4E04768C">
      <w:pPr>
        <w:spacing w:line="540" w:lineRule="exact"/>
        <w:rPr>
          <w:rFonts w:ascii="Arial" w:hAnsi="Arial" w:cs="Arial"/>
          <w:color w:val="auto"/>
          <w:sz w:val="21"/>
          <w:szCs w:val="21"/>
          <w:highlight w:val="none"/>
          <w:u w:val="single"/>
        </w:rPr>
      </w:pPr>
      <w:r>
        <w:rPr>
          <w:rFonts w:ascii="Arial" w:hAnsi="Arial" w:cs="Arial"/>
          <w:color w:val="auto"/>
          <w:sz w:val="21"/>
          <w:szCs w:val="21"/>
          <w:highlight w:val="none"/>
        </w:rPr>
        <w:t>成立时间：</w:t>
      </w:r>
      <w:r>
        <w:rPr>
          <w:rFonts w:ascii="Arial" w:hAnsi="Arial" w:cs="Arial"/>
          <w:color w:val="auto"/>
          <w:sz w:val="21"/>
          <w:szCs w:val="21"/>
          <w:highlight w:val="none"/>
          <w:u w:val="single"/>
        </w:rPr>
        <w:t xml:space="preserve">          年        月        日</w:t>
      </w:r>
    </w:p>
    <w:p w14:paraId="0610B3B5">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经营期限：</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63D5CDB9">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姓名：</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rPr>
        <w:t xml:space="preserve">    </w:t>
      </w:r>
      <w:r>
        <w:rPr>
          <w:rFonts w:ascii="Arial" w:hAnsi="Arial" w:cs="Arial"/>
          <w:color w:val="auto"/>
          <w:sz w:val="21"/>
          <w:szCs w:val="21"/>
          <w:highlight w:val="none"/>
        </w:rPr>
        <w:t>性别：</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hint="eastAsia" w:ascii="Arial" w:hAnsi="Arial" w:cs="Arial"/>
          <w:color w:val="auto"/>
          <w:sz w:val="21"/>
          <w:szCs w:val="21"/>
          <w:highlight w:val="none"/>
        </w:rPr>
        <w:t xml:space="preserve">    </w:t>
      </w:r>
      <w:r>
        <w:rPr>
          <w:rFonts w:ascii="Arial" w:hAnsi="Arial" w:cs="Arial"/>
          <w:color w:val="auto"/>
          <w:sz w:val="21"/>
          <w:szCs w:val="21"/>
          <w:highlight w:val="none"/>
        </w:rPr>
        <w:t>年龄：</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0EAC452B">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职务：</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rPr>
        <w:t xml:space="preserve">    </w:t>
      </w:r>
      <w:r>
        <w:rPr>
          <w:rFonts w:ascii="Arial" w:hAnsi="Arial" w:cs="Arial"/>
          <w:color w:val="auto"/>
          <w:sz w:val="21"/>
          <w:szCs w:val="21"/>
          <w:highlight w:val="none"/>
        </w:rPr>
        <w:t>身份证：</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5B68668B">
      <w:pPr>
        <w:spacing w:line="540" w:lineRule="exact"/>
        <w:rPr>
          <w:rFonts w:ascii="Arial" w:hAnsi="Arial" w:cs="Arial"/>
          <w:color w:val="auto"/>
          <w:sz w:val="21"/>
          <w:szCs w:val="21"/>
          <w:highlight w:val="none"/>
        </w:rPr>
      </w:pPr>
      <w:r>
        <w:rPr>
          <w:rFonts w:ascii="Arial" w:hAnsi="Arial" w:cs="Arial"/>
          <w:color w:val="auto"/>
          <w:sz w:val="21"/>
          <w:szCs w:val="21"/>
          <w:highlight w:val="none"/>
        </w:rPr>
        <w:t>系</w:t>
      </w:r>
      <w:r>
        <w:rPr>
          <w:rFonts w:ascii="Arial" w:hAnsi="Arial" w:cs="Arial"/>
          <w:color w:val="auto"/>
          <w:sz w:val="21"/>
          <w:szCs w:val="21"/>
          <w:highlight w:val="none"/>
          <w:u w:val="single"/>
        </w:rPr>
        <w:t xml:space="preserve">                                      </w:t>
      </w:r>
      <w:r>
        <w:rPr>
          <w:rFonts w:ascii="Arial" w:hAnsi="Arial" w:cs="Arial"/>
          <w:color w:val="auto"/>
          <w:sz w:val="21"/>
          <w:szCs w:val="21"/>
          <w:highlight w:val="none"/>
        </w:rPr>
        <w:t>（</w:t>
      </w:r>
      <w:r>
        <w:rPr>
          <w:rFonts w:hint="eastAsia" w:ascii="Arial" w:hAnsi="Arial" w:cs="Arial"/>
          <w:color w:val="auto"/>
          <w:sz w:val="21"/>
          <w:szCs w:val="21"/>
          <w:highlight w:val="none"/>
          <w:lang w:eastAsia="zh-CN"/>
        </w:rPr>
        <w:t>供应商</w:t>
      </w:r>
      <w:r>
        <w:rPr>
          <w:rFonts w:ascii="Arial" w:hAnsi="Arial" w:cs="Arial"/>
          <w:color w:val="auto"/>
          <w:sz w:val="21"/>
          <w:szCs w:val="21"/>
          <w:highlight w:val="none"/>
        </w:rPr>
        <w:t>名称）的法定代表人</w:t>
      </w:r>
      <w:r>
        <w:rPr>
          <w:rFonts w:hint="eastAsia" w:ascii="Arial" w:hAnsi="Arial" w:cs="Arial"/>
          <w:color w:val="auto"/>
          <w:sz w:val="21"/>
          <w:szCs w:val="21"/>
          <w:highlight w:val="none"/>
        </w:rPr>
        <w:t>（负责人）</w:t>
      </w:r>
      <w:r>
        <w:rPr>
          <w:rFonts w:ascii="Arial" w:hAnsi="Arial" w:cs="Arial"/>
          <w:color w:val="auto"/>
          <w:sz w:val="21"/>
          <w:szCs w:val="21"/>
          <w:highlight w:val="none"/>
        </w:rPr>
        <w:t>。</w:t>
      </w:r>
    </w:p>
    <w:p w14:paraId="0E7DC17B">
      <w:pPr>
        <w:spacing w:line="540" w:lineRule="exact"/>
        <w:ind w:firstLine="420" w:firstLineChars="200"/>
        <w:rPr>
          <w:rFonts w:ascii="Arial" w:hAnsi="Arial" w:cs="Arial"/>
          <w:color w:val="auto"/>
          <w:sz w:val="21"/>
          <w:szCs w:val="21"/>
          <w:highlight w:val="none"/>
        </w:rPr>
      </w:pPr>
      <w:r>
        <w:rPr>
          <w:rFonts w:ascii="Arial" w:hAnsi="Arial" w:cs="Arial"/>
          <w:color w:val="auto"/>
          <w:sz w:val="21"/>
          <w:szCs w:val="21"/>
          <w:highlight w:val="none"/>
        </w:rPr>
        <w:t>特此证明。</w:t>
      </w:r>
    </w:p>
    <w:p w14:paraId="740C4141">
      <w:pPr>
        <w:tabs>
          <w:tab w:val="left" w:leader="hyphen" w:pos="7088"/>
        </w:tabs>
        <w:snapToGrid w:val="0"/>
        <w:spacing w:line="500" w:lineRule="exact"/>
        <w:ind w:firstLine="441" w:firstLineChars="210"/>
        <w:rPr>
          <w:rFonts w:hint="eastAsia" w:ascii="宋体" w:hAnsi="宋体"/>
          <w:bCs/>
          <w:color w:val="auto"/>
          <w:sz w:val="21"/>
          <w:szCs w:val="21"/>
          <w:highlight w:val="none"/>
        </w:rPr>
      </w:pPr>
    </w:p>
    <w:p w14:paraId="6F60B71B">
      <w:pPr>
        <w:spacing w:line="500" w:lineRule="exact"/>
        <w:rPr>
          <w:rFonts w:hint="eastAsia" w:ascii="宋体" w:hAnsi="宋体"/>
          <w:bCs/>
          <w:color w:val="auto"/>
          <w:sz w:val="21"/>
          <w:szCs w:val="21"/>
          <w:highlight w:val="none"/>
        </w:rPr>
      </w:pPr>
      <w:r>
        <w:rPr>
          <w:rFonts w:hint="eastAsia" w:ascii="宋体" w:hAnsi="宋体"/>
          <w:bCs/>
          <w:color w:val="auto"/>
          <w:sz w:val="21"/>
          <w:szCs w:val="21"/>
          <w:highlight w:val="none"/>
        </w:rPr>
        <w:t>附：法定代表人（负责人）身份证复印件。</w:t>
      </w:r>
    </w:p>
    <w:p w14:paraId="176373B5">
      <w:pPr>
        <w:pStyle w:val="20"/>
        <w:rPr>
          <w:rFonts w:hint="eastAsia"/>
          <w:bCs/>
          <w:color w:val="auto"/>
          <w:sz w:val="21"/>
          <w:szCs w:val="21"/>
          <w:highlight w:val="none"/>
        </w:rPr>
      </w:pPr>
    </w:p>
    <w:p w14:paraId="282F47C2">
      <w:pPr>
        <w:pStyle w:val="20"/>
        <w:rPr>
          <w:rFonts w:hint="eastAsia"/>
          <w:bCs/>
          <w:color w:val="auto"/>
          <w:sz w:val="21"/>
          <w:szCs w:val="21"/>
          <w:highlight w:val="none"/>
        </w:rPr>
      </w:pPr>
    </w:p>
    <w:p w14:paraId="6F761F54">
      <w:pPr>
        <w:pStyle w:val="20"/>
        <w:rPr>
          <w:rFonts w:hint="eastAsia"/>
          <w:bCs/>
          <w:color w:val="auto"/>
          <w:sz w:val="21"/>
          <w:szCs w:val="21"/>
          <w:highlight w:val="none"/>
        </w:rPr>
      </w:pPr>
    </w:p>
    <w:p w14:paraId="76677DF6">
      <w:pPr>
        <w:pStyle w:val="20"/>
        <w:rPr>
          <w:rFonts w:hint="eastAsia"/>
          <w:bCs/>
          <w:color w:val="auto"/>
          <w:sz w:val="21"/>
          <w:szCs w:val="21"/>
          <w:highlight w:val="none"/>
        </w:rPr>
      </w:pPr>
    </w:p>
    <w:p w14:paraId="1D23E931">
      <w:pPr>
        <w:pStyle w:val="20"/>
        <w:ind w:firstLine="2940" w:firstLineChars="1400"/>
        <w:rPr>
          <w:rFonts w:hint="eastAsia" w:hAnsi="宋体"/>
          <w:color w:val="auto"/>
          <w:sz w:val="21"/>
          <w:szCs w:val="21"/>
          <w:highlight w:val="none"/>
          <w:u w:val="single"/>
        </w:rPr>
      </w:pPr>
      <w:r>
        <w:rPr>
          <w:rFonts w:hint="eastAsia" w:hAnsi="宋体"/>
          <w:color w:val="auto"/>
          <w:sz w:val="21"/>
          <w:szCs w:val="21"/>
          <w:highlight w:val="none"/>
          <w:lang w:eastAsia="zh-CN"/>
        </w:rPr>
        <w:t>供应商</w:t>
      </w:r>
      <w:r>
        <w:rPr>
          <w:rFonts w:hint="eastAsia" w:hAnsi="宋体"/>
          <w:color w:val="auto"/>
          <w:sz w:val="21"/>
          <w:szCs w:val="21"/>
          <w:highlight w:val="none"/>
        </w:rPr>
        <w:t>（</w:t>
      </w:r>
      <w:r>
        <w:rPr>
          <w:rFonts w:hint="eastAsia" w:ascii="宋体" w:hAnsi="宋体" w:eastAsia="宋体" w:cs="宋体"/>
          <w:color w:val="auto"/>
          <w:highlight w:val="none"/>
        </w:rPr>
        <w:t>电子签章</w:t>
      </w:r>
      <w:r>
        <w:rPr>
          <w:rFonts w:hint="eastAsia" w:hAnsi="宋体"/>
          <w:color w:val="auto"/>
          <w:sz w:val="21"/>
          <w:szCs w:val="21"/>
          <w:highlight w:val="none"/>
        </w:rPr>
        <w:t>）：</w:t>
      </w:r>
      <w:r>
        <w:rPr>
          <w:rFonts w:hint="eastAsia" w:hAnsi="宋体"/>
          <w:color w:val="auto"/>
          <w:sz w:val="21"/>
          <w:szCs w:val="21"/>
          <w:highlight w:val="none"/>
          <w:u w:val="single"/>
        </w:rPr>
        <w:t xml:space="preserve">                     </w:t>
      </w:r>
    </w:p>
    <w:p w14:paraId="74AB54AB">
      <w:pPr>
        <w:pStyle w:val="20"/>
        <w:rPr>
          <w:rFonts w:hint="eastAsia" w:hAnsi="宋体"/>
          <w:color w:val="auto"/>
          <w:sz w:val="21"/>
          <w:szCs w:val="21"/>
          <w:highlight w:val="none"/>
        </w:rPr>
      </w:pPr>
    </w:p>
    <w:p w14:paraId="50279EFC">
      <w:pPr>
        <w:pStyle w:val="20"/>
        <w:ind w:firstLine="2940" w:firstLineChars="1400"/>
        <w:rPr>
          <w:rFonts w:hint="eastAsia" w:hAnsi="宋体"/>
          <w:color w:val="auto"/>
          <w:sz w:val="21"/>
          <w:szCs w:val="21"/>
          <w:highlight w:val="none"/>
        </w:rPr>
      </w:pPr>
      <w:r>
        <w:rPr>
          <w:rFonts w:hint="eastAsia" w:hAnsi="宋体"/>
          <w:color w:val="auto"/>
          <w:sz w:val="21"/>
          <w:szCs w:val="21"/>
          <w:highlight w:val="none"/>
          <w:lang w:eastAsia="zh-CN"/>
        </w:rPr>
        <w:t>磋商</w:t>
      </w:r>
      <w:r>
        <w:rPr>
          <w:rFonts w:hint="eastAsia" w:hAnsi="宋体"/>
          <w:color w:val="auto"/>
          <w:sz w:val="21"/>
          <w:szCs w:val="21"/>
          <w:highlight w:val="none"/>
        </w:rPr>
        <w:t>日期：</w:t>
      </w:r>
      <w:r>
        <w:rPr>
          <w:rFonts w:hint="eastAsia" w:hAnsi="宋体"/>
          <w:color w:val="auto"/>
          <w:sz w:val="21"/>
          <w:szCs w:val="21"/>
          <w:highlight w:val="none"/>
          <w:u w:val="single"/>
        </w:rPr>
        <w:t xml:space="preserve">       年    月    日</w:t>
      </w:r>
    </w:p>
    <w:p w14:paraId="6C42D8F0">
      <w:pPr>
        <w:rPr>
          <w:rFonts w:hint="eastAsia" w:ascii="宋体" w:hAnsi="宋体"/>
          <w:color w:val="auto"/>
          <w:sz w:val="21"/>
          <w:szCs w:val="21"/>
          <w:highlight w:val="none"/>
        </w:rPr>
      </w:pPr>
    </w:p>
    <w:p w14:paraId="7A2C3126">
      <w:pPr>
        <w:spacing w:line="500" w:lineRule="exact"/>
        <w:rPr>
          <w:rFonts w:hint="eastAsia" w:ascii="宋体" w:hAnsi="宋体"/>
          <w:bCs/>
          <w:color w:val="auto"/>
          <w:sz w:val="21"/>
          <w:szCs w:val="21"/>
          <w:highlight w:val="none"/>
        </w:rPr>
      </w:pPr>
    </w:p>
    <w:p w14:paraId="34624773">
      <w:pPr>
        <w:spacing w:line="500" w:lineRule="exact"/>
        <w:rPr>
          <w:rFonts w:hint="eastAsia" w:ascii="宋体" w:hAnsi="宋体"/>
          <w:bCs/>
          <w:color w:val="auto"/>
          <w:sz w:val="21"/>
          <w:szCs w:val="21"/>
          <w:highlight w:val="none"/>
        </w:rPr>
      </w:pPr>
    </w:p>
    <w:p w14:paraId="0B4D60F9">
      <w:pPr>
        <w:spacing w:line="500" w:lineRule="exact"/>
        <w:rPr>
          <w:rFonts w:hint="eastAsia" w:ascii="宋体" w:hAnsi="宋体"/>
          <w:bCs/>
          <w:color w:val="auto"/>
          <w:sz w:val="21"/>
          <w:szCs w:val="21"/>
          <w:highlight w:val="none"/>
        </w:rPr>
      </w:pPr>
    </w:p>
    <w:p w14:paraId="0A913312">
      <w:pPr>
        <w:pStyle w:val="20"/>
        <w:spacing w:line="360" w:lineRule="exact"/>
        <w:ind w:left="620" w:hanging="620" w:hangingChars="294"/>
        <w:rPr>
          <w:rFonts w:hint="eastAsia"/>
          <w:color w:val="auto"/>
          <w:sz w:val="21"/>
          <w:szCs w:val="21"/>
          <w:highlight w:val="none"/>
        </w:rPr>
      </w:pPr>
      <w:r>
        <w:rPr>
          <w:rFonts w:hint="eastAsia"/>
          <w:b/>
          <w:color w:val="auto"/>
          <w:sz w:val="21"/>
          <w:szCs w:val="21"/>
          <w:highlight w:val="none"/>
        </w:rPr>
        <w:t>说明</w:t>
      </w:r>
      <w:r>
        <w:rPr>
          <w:b/>
          <w:color w:val="auto"/>
          <w:sz w:val="21"/>
          <w:szCs w:val="21"/>
          <w:highlight w:val="none"/>
        </w:rPr>
        <w:t>：</w:t>
      </w:r>
    </w:p>
    <w:p w14:paraId="2D11F263">
      <w:pPr>
        <w:pStyle w:val="20"/>
        <w:spacing w:line="360" w:lineRule="exact"/>
        <w:ind w:left="617" w:hanging="617" w:hangingChars="294"/>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eastAsia="zh-CN"/>
        </w:rPr>
        <w:t>需</w:t>
      </w:r>
      <w:r>
        <w:rPr>
          <w:rFonts w:hint="eastAsia"/>
          <w:color w:val="auto"/>
          <w:sz w:val="21"/>
          <w:szCs w:val="21"/>
          <w:highlight w:val="none"/>
        </w:rPr>
        <w:t>附法定代表人（负责人）身份证复印件</w:t>
      </w:r>
    </w:p>
    <w:p w14:paraId="4290CFEF">
      <w:pPr>
        <w:spacing w:line="400" w:lineRule="exact"/>
        <w:jc w:val="center"/>
        <w:rPr>
          <w:rFonts w:hint="eastAsia" w:ascii="宋体" w:hAnsi="宋体" w:cs="宋体"/>
          <w:b/>
          <w:color w:val="auto"/>
          <w:sz w:val="32"/>
          <w:szCs w:val="32"/>
          <w:highlight w:val="none"/>
        </w:rPr>
      </w:pPr>
      <w:r>
        <w:rPr>
          <w:rFonts w:hint="eastAsia"/>
          <w:color w:val="auto"/>
          <w:sz w:val="21"/>
          <w:szCs w:val="21"/>
          <w:highlight w:val="none"/>
        </w:rPr>
        <w:br w:type="page"/>
      </w:r>
      <w:r>
        <w:rPr>
          <w:rFonts w:hint="eastAsia" w:ascii="宋体" w:hAnsi="宋体" w:cs="宋体"/>
          <w:b/>
          <w:color w:val="auto"/>
          <w:sz w:val="32"/>
          <w:szCs w:val="32"/>
          <w:highlight w:val="none"/>
          <w:lang w:val="en-US" w:eastAsia="zh-CN"/>
        </w:rPr>
        <w:t>2、法定代表人</w:t>
      </w:r>
      <w:r>
        <w:rPr>
          <w:rFonts w:hint="eastAsia" w:ascii="宋体" w:hAnsi="宋体" w:cs="宋体"/>
          <w:b/>
          <w:color w:val="auto"/>
          <w:sz w:val="32"/>
          <w:szCs w:val="32"/>
          <w:highlight w:val="none"/>
        </w:rPr>
        <w:t>授权委托书</w:t>
      </w:r>
    </w:p>
    <w:p w14:paraId="564CC4CA">
      <w:pPr>
        <w:pStyle w:val="20"/>
        <w:spacing w:line="200" w:lineRule="exact"/>
        <w:rPr>
          <w:rFonts w:hint="eastAsia" w:hAnsi="宋体" w:cs="宋体"/>
          <w:color w:val="auto"/>
          <w:highlight w:val="none"/>
        </w:rPr>
      </w:pPr>
    </w:p>
    <w:p w14:paraId="0EE8641D">
      <w:pPr>
        <w:pStyle w:val="20"/>
        <w:spacing w:line="400" w:lineRule="exact"/>
        <w:ind w:firstLine="420"/>
        <w:rPr>
          <w:rFonts w:hint="eastAsia" w:hAnsi="宋体" w:cs="宋体"/>
          <w:color w:val="auto"/>
          <w:highlight w:val="none"/>
        </w:rPr>
      </w:pPr>
      <w:r>
        <w:rPr>
          <w:rFonts w:hint="eastAsia" w:hAnsi="宋体" w:cs="宋体"/>
          <w:color w:val="auto"/>
          <w:highlight w:val="none"/>
        </w:rPr>
        <w:t>本授权委托书声明：我</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u w:val="single"/>
          <w:lang w:eastAsia="zh-CN"/>
        </w:rPr>
        <w:t>供应商</w:t>
      </w:r>
      <w:r>
        <w:rPr>
          <w:rFonts w:hint="eastAsia" w:hAnsi="宋体" w:cs="宋体"/>
          <w:color w:val="auto"/>
          <w:highlight w:val="none"/>
          <w:u w:val="single"/>
        </w:rPr>
        <w:t xml:space="preserve">单位名称）    </w:t>
      </w:r>
      <w:r>
        <w:rPr>
          <w:rFonts w:hint="eastAsia" w:hAnsi="宋体" w:cs="宋体"/>
          <w:color w:val="auto"/>
          <w:highlight w:val="none"/>
        </w:rPr>
        <w:t>的法定代表人，现授权委托</w:t>
      </w:r>
      <w:r>
        <w:rPr>
          <w:rFonts w:hint="eastAsia" w:hAnsi="宋体" w:cs="宋体"/>
          <w:color w:val="auto"/>
          <w:highlight w:val="none"/>
          <w:u w:val="single"/>
        </w:rPr>
        <w:t xml:space="preserve">  （姓名）  </w:t>
      </w:r>
      <w:r>
        <w:rPr>
          <w:rFonts w:hint="eastAsia" w:hAnsi="宋体" w:cs="宋体"/>
          <w:color w:val="auto"/>
          <w:highlight w:val="none"/>
        </w:rPr>
        <w:t>为我公司被授权人，以本公司的名义参加</w:t>
      </w:r>
      <w:r>
        <w:rPr>
          <w:rFonts w:hint="eastAsia" w:hAnsi="宋体" w:cs="宋体"/>
          <w:color w:val="auto"/>
          <w:highlight w:val="none"/>
          <w:lang w:eastAsia="zh-CN"/>
        </w:rPr>
        <w:t>广西龙建工程管理有限公司</w:t>
      </w:r>
      <w:r>
        <w:rPr>
          <w:rFonts w:hint="eastAsia" w:hAnsi="宋体" w:cs="宋体"/>
          <w:color w:val="auto"/>
          <w:highlight w:val="none"/>
        </w:rPr>
        <w:t>组织实施的</w:t>
      </w:r>
      <w:r>
        <w:rPr>
          <w:rFonts w:hint="eastAsia" w:hAnsi="宋体" w:cs="宋体"/>
          <w:b/>
          <w:bCs/>
          <w:color w:val="auto"/>
          <w:highlight w:val="none"/>
          <w:u w:val="single"/>
          <w:lang w:eastAsia="zh-CN"/>
        </w:rPr>
        <w:t>（</w:t>
      </w:r>
      <w:r>
        <w:rPr>
          <w:rFonts w:hint="eastAsia" w:hAnsi="宋体" w:cs="宋体"/>
          <w:b/>
          <w:bCs/>
          <w:color w:val="auto"/>
          <w:highlight w:val="none"/>
          <w:u w:val="single"/>
        </w:rPr>
        <w:t>项目名称及编号</w:t>
      </w:r>
      <w:r>
        <w:rPr>
          <w:rFonts w:hint="eastAsia" w:hAnsi="宋体" w:cs="宋体"/>
          <w:b/>
          <w:bCs/>
          <w:color w:val="auto"/>
          <w:highlight w:val="none"/>
          <w:u w:val="single"/>
          <w:lang w:eastAsia="zh-CN"/>
        </w:rPr>
        <w:t>）</w:t>
      </w:r>
      <w:r>
        <w:rPr>
          <w:rFonts w:hint="eastAsia" w:hAnsi="宋体" w:cs="宋体"/>
          <w:color w:val="auto"/>
          <w:highlight w:val="none"/>
        </w:rPr>
        <w:t>的采购活动。被授权人在开标、评标、合同磋商过程中所签署的一切文件和处理与这有关的一切事务，我均予以承认。</w:t>
      </w:r>
    </w:p>
    <w:p w14:paraId="35895E3D">
      <w:pPr>
        <w:pStyle w:val="20"/>
        <w:spacing w:line="400" w:lineRule="exact"/>
        <w:ind w:firstLine="420"/>
        <w:rPr>
          <w:rFonts w:hint="eastAsia" w:hAnsi="宋体" w:cs="宋体"/>
          <w:color w:val="auto"/>
          <w:highlight w:val="none"/>
        </w:rPr>
      </w:pPr>
      <w:r>
        <w:rPr>
          <w:rFonts w:hint="eastAsia" w:hAnsi="宋体" w:cs="宋体"/>
          <w:color w:val="auto"/>
          <w:highlight w:val="none"/>
        </w:rPr>
        <w:t>被授权人在授权委托书有效期内签署的所有文件不因授权委托的撤销而失效，除非有撤销授权委托的书面通知，本授权委托书自投标开始至合同履行完毕止。</w:t>
      </w:r>
    </w:p>
    <w:p w14:paraId="700CB466">
      <w:pPr>
        <w:pStyle w:val="20"/>
        <w:spacing w:line="400" w:lineRule="exact"/>
        <w:ind w:firstLine="420"/>
        <w:rPr>
          <w:rFonts w:hint="eastAsia" w:hAnsi="宋体" w:cs="宋体"/>
          <w:color w:val="auto"/>
          <w:highlight w:val="none"/>
        </w:rPr>
      </w:pPr>
      <w:r>
        <w:rPr>
          <w:rFonts w:hint="eastAsia" w:hAnsi="宋体" w:cs="宋体"/>
          <w:color w:val="auto"/>
          <w:highlight w:val="none"/>
        </w:rPr>
        <w:t>被授权人无转委托权。特此委托。</w:t>
      </w:r>
    </w:p>
    <w:p w14:paraId="1E93349D">
      <w:pPr>
        <w:pStyle w:val="20"/>
        <w:spacing w:line="400" w:lineRule="exact"/>
        <w:ind w:firstLine="420"/>
        <w:rPr>
          <w:rFonts w:hint="eastAsia" w:hAnsi="宋体" w:cs="宋体"/>
          <w:color w:val="auto"/>
          <w:highlight w:val="none"/>
        </w:rPr>
      </w:pPr>
      <w:r>
        <w:rPr>
          <w:rFonts w:hint="eastAsia" w:hAnsi="宋体" w:cs="宋体"/>
          <w:color w:val="auto"/>
          <w:highlight w:val="none"/>
        </w:rPr>
        <w:t>委托单位：</w:t>
      </w:r>
      <w:r>
        <w:rPr>
          <w:rFonts w:hint="eastAsia" w:hAnsi="宋体" w:cs="宋体"/>
          <w:color w:val="auto"/>
          <w:highlight w:val="none"/>
          <w:u w:val="single"/>
        </w:rPr>
        <w:t xml:space="preserve">              （电子签章）</w:t>
      </w:r>
      <w:r>
        <w:rPr>
          <w:rFonts w:hint="eastAsia" w:hAnsi="宋体" w:cs="宋体"/>
          <w:color w:val="auto"/>
          <w:highlight w:val="none"/>
        </w:rPr>
        <w:t xml:space="preserve">        法定代表人：</w:t>
      </w:r>
      <w:r>
        <w:rPr>
          <w:rFonts w:hint="eastAsia" w:hAnsi="宋体" w:cs="宋体"/>
          <w:color w:val="auto"/>
          <w:highlight w:val="none"/>
          <w:u w:val="single"/>
        </w:rPr>
        <w:t xml:space="preserve">         （</w:t>
      </w:r>
      <w:r>
        <w:rPr>
          <w:rFonts w:hint="eastAsia" w:hAnsi="宋体" w:cs="宋体"/>
          <w:color w:val="auto"/>
          <w:highlight w:val="none"/>
          <w:u w:val="single"/>
          <w:lang w:eastAsia="zh-CN"/>
        </w:rPr>
        <w:t>签字或者电子签名</w:t>
      </w:r>
      <w:r>
        <w:rPr>
          <w:rFonts w:hint="eastAsia" w:hAnsi="宋体" w:cs="宋体"/>
          <w:color w:val="auto"/>
          <w:highlight w:val="none"/>
          <w:u w:val="single"/>
        </w:rPr>
        <w:t>）</w:t>
      </w:r>
    </w:p>
    <w:p w14:paraId="2848DF4B">
      <w:pPr>
        <w:pStyle w:val="20"/>
        <w:pBdr>
          <w:bottom w:val="single" w:color="auto" w:sz="6" w:space="1"/>
        </w:pBdr>
        <w:spacing w:line="400" w:lineRule="exact"/>
        <w:ind w:firstLine="420"/>
        <w:rPr>
          <w:rFonts w:hint="eastAsia" w:hAnsi="宋体" w:cs="宋体"/>
          <w:color w:val="auto"/>
          <w:highlight w:val="none"/>
        </w:rPr>
      </w:pPr>
      <w:r>
        <w:rPr>
          <w:rFonts w:hint="eastAsia" w:hAnsi="宋体" w:cs="宋体"/>
          <w:color w:val="auto"/>
          <w:highlight w:val="none"/>
        </w:rPr>
        <w:t>签发日期：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3A175F75">
      <w:pPr>
        <w:pStyle w:val="20"/>
        <w:pBdr>
          <w:bottom w:val="single" w:color="auto" w:sz="6" w:space="1"/>
        </w:pBdr>
        <w:spacing w:line="340" w:lineRule="exact"/>
        <w:ind w:firstLine="420"/>
        <w:rPr>
          <w:rFonts w:hint="eastAsia" w:hAnsi="宋体" w:cs="宋体"/>
          <w:color w:val="auto"/>
          <w:highlight w:val="none"/>
        </w:rPr>
      </w:pPr>
    </w:p>
    <w:p w14:paraId="0CA13484">
      <w:pPr>
        <w:pStyle w:val="20"/>
        <w:spacing w:line="200" w:lineRule="exact"/>
        <w:rPr>
          <w:rFonts w:hint="eastAsia" w:hAnsi="宋体" w:cs="宋体"/>
          <w:color w:val="auto"/>
          <w:highlight w:val="none"/>
        </w:rPr>
      </w:pPr>
    </w:p>
    <w:p w14:paraId="0F9FE94B">
      <w:pPr>
        <w:pStyle w:val="20"/>
        <w:tabs>
          <w:tab w:val="left" w:pos="5768"/>
        </w:tabs>
        <w:spacing w:line="340" w:lineRule="exact"/>
        <w:ind w:firstLine="0"/>
        <w:rPr>
          <w:rFonts w:hint="eastAsia" w:hAnsi="宋体" w:cs="宋体"/>
          <w:color w:val="auto"/>
          <w:highlight w:val="none"/>
        </w:rPr>
      </w:pPr>
    </w:p>
    <w:p w14:paraId="66515D4F">
      <w:pPr>
        <w:pStyle w:val="20"/>
        <w:tabs>
          <w:tab w:val="left" w:pos="5768"/>
        </w:tabs>
        <w:spacing w:line="340" w:lineRule="exact"/>
        <w:ind w:firstLine="0"/>
        <w:rPr>
          <w:rFonts w:hint="eastAsia" w:hAnsi="宋体" w:cs="宋体"/>
          <w:color w:val="auto"/>
          <w:highlight w:val="none"/>
        </w:rPr>
      </w:pPr>
    </w:p>
    <w:p w14:paraId="66D69C6E">
      <w:pPr>
        <w:pStyle w:val="20"/>
        <w:tabs>
          <w:tab w:val="left" w:pos="5768"/>
        </w:tabs>
        <w:spacing w:line="340" w:lineRule="exact"/>
        <w:ind w:firstLine="1155"/>
        <w:rPr>
          <w:rFonts w:hint="eastAsia" w:hAnsi="宋体" w:cs="宋体"/>
          <w:color w:val="auto"/>
          <w:highlight w:val="none"/>
        </w:rPr>
      </w:pPr>
      <w:r>
        <w:rPr>
          <w:rFonts w:hint="eastAsia" w:hAnsi="宋体" w:cs="宋体"/>
          <w:color w:val="auto"/>
          <w:highlight w:val="none"/>
        </w:rPr>
        <w:t>附：法定代表人身份证、委托代理人身份证复印件</w:t>
      </w:r>
    </w:p>
    <w:p w14:paraId="3837806D">
      <w:pPr>
        <w:spacing w:line="340" w:lineRule="exact"/>
        <w:rPr>
          <w:rFonts w:hint="eastAsia" w:ascii="宋体" w:hAnsi="宋体" w:cs="宋体"/>
          <w:color w:val="auto"/>
          <w:szCs w:val="21"/>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167005</wp:posOffset>
                </wp:positionV>
                <wp:extent cx="3060065" cy="3717925"/>
                <wp:effectExtent l="4445" t="4445" r="21590" b="11430"/>
                <wp:wrapNone/>
                <wp:docPr id="2" name="Text Box 9"/>
                <wp:cNvGraphicFramePr/>
                <a:graphic xmlns:a="http://schemas.openxmlformats.org/drawingml/2006/main">
                  <a:graphicData uri="http://schemas.microsoft.com/office/word/2010/wordprocessingShape">
                    <wps:wsp>
                      <wps:cNvSpPr txBox="1"/>
                      <wps:spPr>
                        <a:xfrm>
                          <a:off x="0" y="0"/>
                          <a:ext cx="3060065" cy="37179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1B9F1C">
                            <w:pPr>
                              <w:jc w:val="center"/>
                              <w:rPr>
                                <w:rFonts w:hint="eastAsia"/>
                                <w:szCs w:val="21"/>
                              </w:rPr>
                            </w:pPr>
                          </w:p>
                          <w:p w14:paraId="2E8FAAE8">
                            <w:pPr>
                              <w:jc w:val="center"/>
                              <w:rPr>
                                <w:rFonts w:hint="eastAsia"/>
                                <w:szCs w:val="21"/>
                              </w:rPr>
                            </w:pPr>
                          </w:p>
                          <w:p w14:paraId="4D846148">
                            <w:pPr>
                              <w:jc w:val="center"/>
                              <w:rPr>
                                <w:rFonts w:hint="eastAsia"/>
                                <w:szCs w:val="21"/>
                              </w:rPr>
                            </w:pPr>
                          </w:p>
                          <w:p w14:paraId="7EED7E24">
                            <w:pPr>
                              <w:jc w:val="center"/>
                              <w:rPr>
                                <w:rFonts w:hint="eastAsia"/>
                                <w:szCs w:val="21"/>
                              </w:rPr>
                            </w:pPr>
                          </w:p>
                          <w:p w14:paraId="72FDED6F">
                            <w:pPr>
                              <w:jc w:val="center"/>
                              <w:rPr>
                                <w:rFonts w:hint="eastAsia"/>
                                <w:szCs w:val="21"/>
                              </w:rPr>
                            </w:pPr>
                          </w:p>
                          <w:p w14:paraId="50AA2E30">
                            <w:pPr>
                              <w:jc w:val="center"/>
                              <w:rPr>
                                <w:rFonts w:hint="eastAsia"/>
                                <w:szCs w:val="21"/>
                              </w:rPr>
                            </w:pPr>
                            <w:r>
                              <w:rPr>
                                <w:rFonts w:hint="eastAsia"/>
                                <w:szCs w:val="21"/>
                              </w:rPr>
                              <w:t>法定代表人身份证</w:t>
                            </w:r>
                            <w:r>
                              <w:rPr>
                                <w:szCs w:val="21"/>
                              </w:rPr>
                              <w:t>(</w:t>
                            </w:r>
                            <w:r>
                              <w:rPr>
                                <w:rFonts w:hint="eastAsia"/>
                                <w:szCs w:val="21"/>
                              </w:rPr>
                              <w:t>正、背</w:t>
                            </w:r>
                            <w:r>
                              <w:rPr>
                                <w:szCs w:val="21"/>
                              </w:rPr>
                              <w:t>)</w:t>
                            </w:r>
                            <w:r>
                              <w:rPr>
                                <w:rFonts w:hint="eastAsia"/>
                                <w:szCs w:val="21"/>
                              </w:rPr>
                              <w:t>面复印件粘贴处</w:t>
                            </w:r>
                          </w:p>
                          <w:p w14:paraId="421F7B81">
                            <w:pPr>
                              <w:jc w:val="center"/>
                            </w:pPr>
                            <w:r>
                              <w:rPr>
                                <w:rFonts w:hint="eastAsia"/>
                                <w:szCs w:val="21"/>
                              </w:rPr>
                              <w:t>（</w:t>
                            </w:r>
                            <w:r>
                              <w:rPr>
                                <w:rFonts w:hint="eastAsia"/>
                                <w:szCs w:val="21"/>
                                <w:lang w:eastAsia="zh-CN"/>
                              </w:rPr>
                              <w:t>电子签章</w:t>
                            </w:r>
                            <w:r>
                              <w:rPr>
                                <w:rFonts w:hint="eastAsia"/>
                                <w:szCs w:val="21"/>
                              </w:rPr>
                              <w:t>）</w:t>
                            </w:r>
                          </w:p>
                        </w:txbxContent>
                      </wps:txbx>
                      <wps:bodyPr wrap="square" upright="1"/>
                    </wps:wsp>
                  </a:graphicData>
                </a:graphic>
              </wp:anchor>
            </w:drawing>
          </mc:Choice>
          <mc:Fallback>
            <w:pict>
              <v:shape id="Text Box 9" o:spid="_x0000_s1026" o:spt="202" type="#_x0000_t202" style="position:absolute;left:0pt;margin-left:-10.5pt;margin-top:13.15pt;height:292.75pt;width:240.95pt;z-index:251660288;mso-width-relative:page;mso-height-relative:page;" fillcolor="#FFFFFF" filled="t" stroked="t" coordsize="21600,21600" o:gfxdata="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W7TmdoAAAAKAQAADwAAAAAAAAABACAAAAAiAAAA&#10;ZHJzL2Rvd25yZXYueG1sUEsBAhQAFAAAAAgAh07iQEZQ2WIFAgAARAQAAA4AAAAAAAAAAQAgAAAA&#10;KQEAAGRycy9lMm9Eb2MueG1sUEsFBgAAAAAGAAYAWQEAAKAFAAAAAA==&#10;">
                <v:fill on="t" focussize="0,0"/>
                <v:stroke color="#000000" joinstyle="miter"/>
                <v:imagedata o:title=""/>
                <o:lock v:ext="edit" aspectratio="f"/>
                <v:textbox>
                  <w:txbxContent>
                    <w:p w14:paraId="361B9F1C">
                      <w:pPr>
                        <w:jc w:val="center"/>
                        <w:rPr>
                          <w:rFonts w:hint="eastAsia"/>
                          <w:szCs w:val="21"/>
                        </w:rPr>
                      </w:pPr>
                    </w:p>
                    <w:p w14:paraId="2E8FAAE8">
                      <w:pPr>
                        <w:jc w:val="center"/>
                        <w:rPr>
                          <w:rFonts w:hint="eastAsia"/>
                          <w:szCs w:val="21"/>
                        </w:rPr>
                      </w:pPr>
                    </w:p>
                    <w:p w14:paraId="4D846148">
                      <w:pPr>
                        <w:jc w:val="center"/>
                        <w:rPr>
                          <w:rFonts w:hint="eastAsia"/>
                          <w:szCs w:val="21"/>
                        </w:rPr>
                      </w:pPr>
                    </w:p>
                    <w:p w14:paraId="7EED7E24">
                      <w:pPr>
                        <w:jc w:val="center"/>
                        <w:rPr>
                          <w:rFonts w:hint="eastAsia"/>
                          <w:szCs w:val="21"/>
                        </w:rPr>
                      </w:pPr>
                    </w:p>
                    <w:p w14:paraId="72FDED6F">
                      <w:pPr>
                        <w:jc w:val="center"/>
                        <w:rPr>
                          <w:rFonts w:hint="eastAsia"/>
                          <w:szCs w:val="21"/>
                        </w:rPr>
                      </w:pPr>
                    </w:p>
                    <w:p w14:paraId="50AA2E30">
                      <w:pPr>
                        <w:jc w:val="center"/>
                        <w:rPr>
                          <w:rFonts w:hint="eastAsia"/>
                          <w:szCs w:val="21"/>
                        </w:rPr>
                      </w:pPr>
                      <w:r>
                        <w:rPr>
                          <w:rFonts w:hint="eastAsia"/>
                          <w:szCs w:val="21"/>
                        </w:rPr>
                        <w:t>法定代表人身份证</w:t>
                      </w:r>
                      <w:r>
                        <w:rPr>
                          <w:szCs w:val="21"/>
                        </w:rPr>
                        <w:t>(</w:t>
                      </w:r>
                      <w:r>
                        <w:rPr>
                          <w:rFonts w:hint="eastAsia"/>
                          <w:szCs w:val="21"/>
                        </w:rPr>
                        <w:t>正、背</w:t>
                      </w:r>
                      <w:r>
                        <w:rPr>
                          <w:szCs w:val="21"/>
                        </w:rPr>
                        <w:t>)</w:t>
                      </w:r>
                      <w:r>
                        <w:rPr>
                          <w:rFonts w:hint="eastAsia"/>
                          <w:szCs w:val="21"/>
                        </w:rPr>
                        <w:t>面复印件粘贴处</w:t>
                      </w:r>
                    </w:p>
                    <w:p w14:paraId="421F7B81">
                      <w:pPr>
                        <w:jc w:val="center"/>
                      </w:pPr>
                      <w:r>
                        <w:rPr>
                          <w:rFonts w:hint="eastAsia"/>
                          <w:szCs w:val="21"/>
                        </w:rPr>
                        <w:t>（</w:t>
                      </w:r>
                      <w:r>
                        <w:rPr>
                          <w:rFonts w:hint="eastAsia"/>
                          <w:szCs w:val="21"/>
                          <w:lang w:eastAsia="zh-CN"/>
                        </w:rPr>
                        <w:t>电子签章</w:t>
                      </w:r>
                      <w:r>
                        <w:rPr>
                          <w:rFonts w:hint="eastAsia"/>
                          <w:szCs w:val="21"/>
                        </w:rPr>
                        <w:t>）</w:t>
                      </w:r>
                    </w:p>
                  </w:txbxContent>
                </v:textbox>
              </v:shape>
            </w:pict>
          </mc:Fallback>
        </mc:AlternateContent>
      </w: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3067050</wp:posOffset>
                </wp:positionH>
                <wp:positionV relativeFrom="paragraph">
                  <wp:posOffset>167005</wp:posOffset>
                </wp:positionV>
                <wp:extent cx="3060065" cy="3710305"/>
                <wp:effectExtent l="4445" t="4445" r="21590" b="19050"/>
                <wp:wrapNone/>
                <wp:docPr id="3" name="Text Box 10"/>
                <wp:cNvGraphicFramePr/>
                <a:graphic xmlns:a="http://schemas.openxmlformats.org/drawingml/2006/main">
                  <a:graphicData uri="http://schemas.microsoft.com/office/word/2010/wordprocessingShape">
                    <wps:wsp>
                      <wps:cNvSpPr txBox="1"/>
                      <wps:spPr>
                        <a:xfrm>
                          <a:off x="0" y="0"/>
                          <a:ext cx="3060065" cy="3710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75F507">
                            <w:pPr>
                              <w:jc w:val="center"/>
                              <w:rPr>
                                <w:rFonts w:hint="eastAsia"/>
                                <w:szCs w:val="21"/>
                              </w:rPr>
                            </w:pPr>
                          </w:p>
                          <w:p w14:paraId="37133A0C">
                            <w:pPr>
                              <w:jc w:val="center"/>
                              <w:rPr>
                                <w:rFonts w:hint="eastAsia"/>
                                <w:szCs w:val="21"/>
                              </w:rPr>
                            </w:pPr>
                          </w:p>
                          <w:p w14:paraId="5E82DD31">
                            <w:pPr>
                              <w:jc w:val="center"/>
                              <w:rPr>
                                <w:rFonts w:hint="eastAsia"/>
                                <w:szCs w:val="21"/>
                              </w:rPr>
                            </w:pPr>
                          </w:p>
                          <w:p w14:paraId="2422A01F">
                            <w:pPr>
                              <w:jc w:val="center"/>
                              <w:rPr>
                                <w:rFonts w:hint="eastAsia"/>
                                <w:szCs w:val="21"/>
                              </w:rPr>
                            </w:pPr>
                          </w:p>
                          <w:p w14:paraId="4BA9F469">
                            <w:pPr>
                              <w:jc w:val="center"/>
                              <w:rPr>
                                <w:rFonts w:hint="eastAsia"/>
                                <w:szCs w:val="21"/>
                              </w:rPr>
                            </w:pPr>
                          </w:p>
                          <w:p w14:paraId="5FB9CB7A">
                            <w:pPr>
                              <w:jc w:val="center"/>
                              <w:rPr>
                                <w:rFonts w:hint="eastAsia"/>
                                <w:szCs w:val="21"/>
                              </w:rPr>
                            </w:pPr>
                            <w:r>
                              <w:rPr>
                                <w:rFonts w:hint="eastAsia"/>
                                <w:szCs w:val="21"/>
                              </w:rPr>
                              <w:t>委托代理人身份证</w:t>
                            </w:r>
                            <w:r>
                              <w:rPr>
                                <w:szCs w:val="21"/>
                              </w:rPr>
                              <w:t>(</w:t>
                            </w:r>
                            <w:r>
                              <w:rPr>
                                <w:rFonts w:hint="eastAsia"/>
                                <w:szCs w:val="21"/>
                              </w:rPr>
                              <w:t>正、背</w:t>
                            </w:r>
                            <w:r>
                              <w:rPr>
                                <w:szCs w:val="21"/>
                              </w:rPr>
                              <w:t>)</w:t>
                            </w:r>
                            <w:r>
                              <w:rPr>
                                <w:rFonts w:hint="eastAsia"/>
                                <w:szCs w:val="21"/>
                              </w:rPr>
                              <w:t>面复印件粘贴处</w:t>
                            </w:r>
                          </w:p>
                          <w:p w14:paraId="74831EF3">
                            <w:pPr>
                              <w:jc w:val="center"/>
                            </w:pPr>
                            <w:r>
                              <w:rPr>
                                <w:rFonts w:hint="eastAsia"/>
                                <w:szCs w:val="21"/>
                              </w:rPr>
                              <w:t>（</w:t>
                            </w:r>
                            <w:r>
                              <w:rPr>
                                <w:rFonts w:hint="eastAsia"/>
                                <w:szCs w:val="21"/>
                                <w:lang w:eastAsia="zh-CN"/>
                              </w:rPr>
                              <w:t>电子签章</w:t>
                            </w:r>
                            <w:r>
                              <w:rPr>
                                <w:rFonts w:hint="eastAsia"/>
                                <w:szCs w:val="21"/>
                              </w:rPr>
                              <w:t>）</w:t>
                            </w:r>
                          </w:p>
                        </w:txbxContent>
                      </wps:txbx>
                      <wps:bodyPr wrap="square" upright="1"/>
                    </wps:wsp>
                  </a:graphicData>
                </a:graphic>
              </wp:anchor>
            </w:drawing>
          </mc:Choice>
          <mc:Fallback>
            <w:pict>
              <v:shape id="Text Box 10" o:spid="_x0000_s1026" o:spt="202" type="#_x0000_t202" style="position:absolute;left:0pt;margin-left:241.5pt;margin-top:13.15pt;height:292.15pt;width:240.95pt;z-index:251661312;mso-width-relative:page;mso-height-relative:page;" fillcolor="#FFFFFF" filled="t" stroked="t" coordsize="21600,21600" o:gfxdata="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gXGMvZAAAACgEAAA8AAAAAAAAAAQAgAAAAIgAAAGRy&#10;cy9kb3ducmV2LnhtbFBLAQIUABQAAAAIAIdO4kCSDz9QBAIAAEUEAAAOAAAAAAAAAAEAIAAAACgB&#10;AABkcnMvZTJvRG9jLnhtbFBLBQYAAAAABgAGAFkBAACeBQAAAAA=&#10;">
                <v:fill on="t" focussize="0,0"/>
                <v:stroke color="#000000" joinstyle="miter"/>
                <v:imagedata o:title=""/>
                <o:lock v:ext="edit" aspectratio="f"/>
                <v:textbox>
                  <w:txbxContent>
                    <w:p w14:paraId="3B75F507">
                      <w:pPr>
                        <w:jc w:val="center"/>
                        <w:rPr>
                          <w:rFonts w:hint="eastAsia"/>
                          <w:szCs w:val="21"/>
                        </w:rPr>
                      </w:pPr>
                    </w:p>
                    <w:p w14:paraId="37133A0C">
                      <w:pPr>
                        <w:jc w:val="center"/>
                        <w:rPr>
                          <w:rFonts w:hint="eastAsia"/>
                          <w:szCs w:val="21"/>
                        </w:rPr>
                      </w:pPr>
                    </w:p>
                    <w:p w14:paraId="5E82DD31">
                      <w:pPr>
                        <w:jc w:val="center"/>
                        <w:rPr>
                          <w:rFonts w:hint="eastAsia"/>
                          <w:szCs w:val="21"/>
                        </w:rPr>
                      </w:pPr>
                    </w:p>
                    <w:p w14:paraId="2422A01F">
                      <w:pPr>
                        <w:jc w:val="center"/>
                        <w:rPr>
                          <w:rFonts w:hint="eastAsia"/>
                          <w:szCs w:val="21"/>
                        </w:rPr>
                      </w:pPr>
                    </w:p>
                    <w:p w14:paraId="4BA9F469">
                      <w:pPr>
                        <w:jc w:val="center"/>
                        <w:rPr>
                          <w:rFonts w:hint="eastAsia"/>
                          <w:szCs w:val="21"/>
                        </w:rPr>
                      </w:pPr>
                    </w:p>
                    <w:p w14:paraId="5FB9CB7A">
                      <w:pPr>
                        <w:jc w:val="center"/>
                        <w:rPr>
                          <w:rFonts w:hint="eastAsia"/>
                          <w:szCs w:val="21"/>
                        </w:rPr>
                      </w:pPr>
                      <w:r>
                        <w:rPr>
                          <w:rFonts w:hint="eastAsia"/>
                          <w:szCs w:val="21"/>
                        </w:rPr>
                        <w:t>委托代理人身份证</w:t>
                      </w:r>
                      <w:r>
                        <w:rPr>
                          <w:szCs w:val="21"/>
                        </w:rPr>
                        <w:t>(</w:t>
                      </w:r>
                      <w:r>
                        <w:rPr>
                          <w:rFonts w:hint="eastAsia"/>
                          <w:szCs w:val="21"/>
                        </w:rPr>
                        <w:t>正、背</w:t>
                      </w:r>
                      <w:r>
                        <w:rPr>
                          <w:szCs w:val="21"/>
                        </w:rPr>
                        <w:t>)</w:t>
                      </w:r>
                      <w:r>
                        <w:rPr>
                          <w:rFonts w:hint="eastAsia"/>
                          <w:szCs w:val="21"/>
                        </w:rPr>
                        <w:t>面复印件粘贴处</w:t>
                      </w:r>
                    </w:p>
                    <w:p w14:paraId="74831EF3">
                      <w:pPr>
                        <w:jc w:val="center"/>
                      </w:pPr>
                      <w:r>
                        <w:rPr>
                          <w:rFonts w:hint="eastAsia"/>
                          <w:szCs w:val="21"/>
                        </w:rPr>
                        <w:t>（</w:t>
                      </w:r>
                      <w:r>
                        <w:rPr>
                          <w:rFonts w:hint="eastAsia"/>
                          <w:szCs w:val="21"/>
                          <w:lang w:eastAsia="zh-CN"/>
                        </w:rPr>
                        <w:t>电子签章</w:t>
                      </w:r>
                      <w:r>
                        <w:rPr>
                          <w:rFonts w:hint="eastAsia"/>
                          <w:szCs w:val="21"/>
                        </w:rPr>
                        <w:t>）</w:t>
                      </w:r>
                    </w:p>
                  </w:txbxContent>
                </v:textbox>
              </v:shape>
            </w:pict>
          </mc:Fallback>
        </mc:AlternateContent>
      </w:r>
    </w:p>
    <w:p w14:paraId="011F3859">
      <w:pPr>
        <w:spacing w:line="400" w:lineRule="exact"/>
        <w:rPr>
          <w:rFonts w:hint="eastAsia" w:ascii="宋体" w:hAnsi="宋体" w:cs="宋体"/>
          <w:color w:val="auto"/>
          <w:szCs w:val="21"/>
          <w:highlight w:val="none"/>
        </w:rPr>
      </w:pPr>
    </w:p>
    <w:p w14:paraId="115D879C">
      <w:pPr>
        <w:spacing w:line="400" w:lineRule="exact"/>
        <w:rPr>
          <w:rFonts w:hint="eastAsia" w:ascii="宋体" w:hAnsi="宋体" w:cs="宋体"/>
          <w:color w:val="auto"/>
          <w:szCs w:val="21"/>
          <w:highlight w:val="none"/>
        </w:rPr>
      </w:pPr>
    </w:p>
    <w:p w14:paraId="2E79D091">
      <w:pPr>
        <w:spacing w:line="400" w:lineRule="exact"/>
        <w:rPr>
          <w:rFonts w:hint="eastAsia" w:ascii="宋体" w:hAnsi="宋体" w:cs="宋体"/>
          <w:color w:val="auto"/>
          <w:szCs w:val="21"/>
          <w:highlight w:val="none"/>
        </w:rPr>
      </w:pPr>
    </w:p>
    <w:p w14:paraId="3085664E">
      <w:pPr>
        <w:spacing w:line="400" w:lineRule="exact"/>
        <w:rPr>
          <w:rFonts w:hint="eastAsia" w:ascii="宋体" w:hAnsi="宋体" w:cs="宋体"/>
          <w:color w:val="auto"/>
          <w:szCs w:val="21"/>
          <w:highlight w:val="none"/>
        </w:rPr>
      </w:pPr>
    </w:p>
    <w:p w14:paraId="198843D3">
      <w:pPr>
        <w:spacing w:line="400" w:lineRule="exact"/>
        <w:rPr>
          <w:rFonts w:hint="eastAsia" w:ascii="宋体" w:hAnsi="宋体" w:cs="宋体"/>
          <w:color w:val="auto"/>
          <w:szCs w:val="21"/>
          <w:highlight w:val="none"/>
        </w:rPr>
      </w:pPr>
    </w:p>
    <w:p w14:paraId="06CFF101">
      <w:pPr>
        <w:spacing w:line="400" w:lineRule="exact"/>
        <w:rPr>
          <w:rFonts w:hint="eastAsia" w:ascii="宋体" w:hAnsi="宋体" w:cs="宋体"/>
          <w:color w:val="auto"/>
          <w:szCs w:val="21"/>
          <w:highlight w:val="none"/>
        </w:rPr>
      </w:pPr>
    </w:p>
    <w:p w14:paraId="4C3DF9F5">
      <w:pPr>
        <w:spacing w:line="400" w:lineRule="exact"/>
        <w:rPr>
          <w:rFonts w:hint="eastAsia" w:ascii="宋体" w:hAnsi="宋体" w:cs="宋体"/>
          <w:color w:val="auto"/>
          <w:szCs w:val="21"/>
          <w:highlight w:val="none"/>
        </w:rPr>
      </w:pPr>
    </w:p>
    <w:p w14:paraId="5C780492">
      <w:pPr>
        <w:spacing w:line="400" w:lineRule="exact"/>
        <w:rPr>
          <w:rFonts w:hint="eastAsia" w:ascii="宋体" w:hAnsi="宋体" w:cs="宋体"/>
          <w:color w:val="auto"/>
          <w:szCs w:val="21"/>
          <w:highlight w:val="none"/>
        </w:rPr>
      </w:pPr>
    </w:p>
    <w:p w14:paraId="4FAE817E">
      <w:pPr>
        <w:tabs>
          <w:tab w:val="left" w:pos="5325"/>
        </w:tabs>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14:paraId="31D3CA8A">
      <w:pPr>
        <w:tabs>
          <w:tab w:val="left" w:pos="5325"/>
        </w:tabs>
        <w:snapToGrid w:val="0"/>
        <w:spacing w:line="400" w:lineRule="exact"/>
        <w:ind w:firstLine="420" w:firstLineChars="200"/>
        <w:rPr>
          <w:rFonts w:hint="eastAsia" w:ascii="宋体" w:hAnsi="宋体" w:cs="宋体"/>
          <w:color w:val="auto"/>
          <w:szCs w:val="21"/>
          <w:highlight w:val="none"/>
        </w:rPr>
      </w:pPr>
    </w:p>
    <w:p w14:paraId="1075EA9D">
      <w:pPr>
        <w:tabs>
          <w:tab w:val="left" w:pos="5325"/>
        </w:tabs>
        <w:snapToGrid w:val="0"/>
        <w:spacing w:line="400" w:lineRule="exact"/>
        <w:ind w:firstLine="420" w:firstLineChars="200"/>
        <w:rPr>
          <w:rFonts w:hint="eastAsia" w:ascii="宋体" w:hAnsi="宋体" w:cs="宋体"/>
          <w:color w:val="auto"/>
          <w:szCs w:val="21"/>
          <w:highlight w:val="none"/>
        </w:rPr>
      </w:pPr>
    </w:p>
    <w:p w14:paraId="27EAF22B">
      <w:pPr>
        <w:tabs>
          <w:tab w:val="left" w:pos="5325"/>
        </w:tabs>
        <w:snapToGrid w:val="0"/>
        <w:spacing w:line="400" w:lineRule="exact"/>
        <w:ind w:firstLine="420" w:firstLineChars="200"/>
        <w:rPr>
          <w:rFonts w:hint="eastAsia" w:ascii="宋体" w:hAnsi="宋体" w:cs="宋体"/>
          <w:color w:val="auto"/>
          <w:szCs w:val="21"/>
          <w:highlight w:val="none"/>
        </w:rPr>
      </w:pPr>
    </w:p>
    <w:p w14:paraId="5414BADC">
      <w:pPr>
        <w:tabs>
          <w:tab w:val="left" w:pos="5325"/>
        </w:tabs>
        <w:snapToGrid w:val="0"/>
        <w:spacing w:line="400" w:lineRule="exact"/>
        <w:ind w:firstLine="420" w:firstLineChars="200"/>
        <w:rPr>
          <w:rFonts w:hint="eastAsia" w:ascii="宋体" w:hAnsi="宋体" w:cs="宋体"/>
          <w:color w:val="auto"/>
          <w:szCs w:val="21"/>
          <w:highlight w:val="none"/>
        </w:rPr>
      </w:pPr>
    </w:p>
    <w:p w14:paraId="2189FD80">
      <w:pPr>
        <w:tabs>
          <w:tab w:val="left" w:pos="5325"/>
        </w:tabs>
        <w:snapToGrid w:val="0"/>
        <w:spacing w:line="400" w:lineRule="exact"/>
        <w:ind w:firstLine="420" w:firstLineChars="200"/>
        <w:rPr>
          <w:rFonts w:hint="eastAsia" w:ascii="宋体" w:hAnsi="宋体" w:cs="宋体"/>
          <w:color w:val="auto"/>
          <w:szCs w:val="21"/>
          <w:highlight w:val="none"/>
        </w:rPr>
      </w:pPr>
    </w:p>
    <w:p w14:paraId="06887CF6">
      <w:pPr>
        <w:tabs>
          <w:tab w:val="left" w:pos="5325"/>
        </w:tabs>
        <w:snapToGrid w:val="0"/>
        <w:spacing w:line="400" w:lineRule="exact"/>
        <w:ind w:firstLine="420" w:firstLineChars="200"/>
        <w:rPr>
          <w:rFonts w:hint="eastAsia" w:ascii="宋体" w:hAnsi="宋体" w:cs="宋体"/>
          <w:color w:val="auto"/>
          <w:szCs w:val="21"/>
          <w:highlight w:val="none"/>
        </w:rPr>
      </w:pPr>
    </w:p>
    <w:p w14:paraId="0DA15E12">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val="0"/>
          <w:color w:val="auto"/>
          <w:sz w:val="32"/>
          <w:szCs w:val="32"/>
          <w:highlight w:val="none"/>
          <w:lang w:val="en-US" w:eastAsia="zh-CN"/>
        </w:rPr>
      </w:pPr>
    </w:p>
    <w:p w14:paraId="48F5C998">
      <w:pPr>
        <w:pStyle w:val="20"/>
        <w:keepNext w:val="0"/>
        <w:keepLines w:val="0"/>
        <w:pageBreakBefore w:val="0"/>
        <w:widowControl w:val="0"/>
        <w:kinsoku/>
        <w:wordWrap/>
        <w:overflowPunct/>
        <w:topLinePunct w:val="0"/>
        <w:autoSpaceDE/>
        <w:autoSpaceDN/>
        <w:bidi w:val="0"/>
        <w:adjustRightInd/>
        <w:snapToGrid/>
        <w:spacing w:line="360" w:lineRule="auto"/>
        <w:ind w:left="902" w:leftChars="200" w:hanging="482" w:hangingChars="150"/>
        <w:textAlignment w:val="auto"/>
        <w:outlineLvl w:val="9"/>
        <w:rPr>
          <w:rFonts w:hint="eastAsia" w:ascii="宋体" w:hAnsi="宋体" w:eastAsia="宋体" w:cs="宋体"/>
          <w:b/>
          <w:bCs w:val="0"/>
          <w:color w:val="auto"/>
          <w:sz w:val="32"/>
          <w:szCs w:val="32"/>
          <w:highlight w:val="none"/>
          <w:lang w:val="en-US" w:eastAsia="zh-CN"/>
        </w:rPr>
      </w:pPr>
    </w:p>
    <w:p w14:paraId="5929824D">
      <w:pPr>
        <w:pStyle w:val="2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C1FFD1">
      <w:pPr>
        <w:pStyle w:val="20"/>
        <w:spacing w:line="420" w:lineRule="exact"/>
        <w:jc w:val="center"/>
        <w:rPr>
          <w:b/>
          <w:bCs/>
          <w:color w:val="auto"/>
          <w:sz w:val="30"/>
          <w:szCs w:val="30"/>
        </w:rPr>
      </w:pPr>
      <w:r>
        <w:rPr>
          <w:rFonts w:hint="eastAsia"/>
          <w:b/>
          <w:bCs/>
          <w:color w:val="auto"/>
          <w:sz w:val="30"/>
          <w:szCs w:val="30"/>
        </w:rPr>
        <w:t>无重大违法记录声明书（格式）</w:t>
      </w:r>
    </w:p>
    <w:p w14:paraId="78C844AE">
      <w:pPr>
        <w:snapToGrid w:val="0"/>
        <w:spacing w:line="600" w:lineRule="exact"/>
        <w:rPr>
          <w:rFonts w:ascii="宋体" w:hAnsi="Courier New"/>
          <w:bCs/>
          <w:color w:val="auto"/>
          <w:sz w:val="24"/>
          <w:szCs w:val="20"/>
        </w:rPr>
      </w:pPr>
    </w:p>
    <w:p w14:paraId="4B8DFAB3">
      <w:pPr>
        <w:snapToGrid w:val="0"/>
        <w:spacing w:line="600" w:lineRule="exact"/>
        <w:rPr>
          <w:rFonts w:ascii="宋体" w:hAnsi="Courier New"/>
          <w:bCs/>
          <w:color w:val="auto"/>
          <w:sz w:val="24"/>
          <w:szCs w:val="20"/>
        </w:rPr>
      </w:pPr>
      <w:r>
        <w:rPr>
          <w:rFonts w:hint="eastAsia" w:ascii="宋体" w:hAnsi="宋体" w:eastAsia="宋体" w:cs="宋体"/>
          <w:color w:val="auto"/>
          <w:sz w:val="24"/>
          <w:szCs w:val="24"/>
          <w:u w:val="single"/>
          <w:lang w:eastAsia="zh-CN"/>
        </w:rPr>
        <w:t>广西龙建工程管理有限公司</w:t>
      </w:r>
      <w:r>
        <w:rPr>
          <w:rFonts w:hint="eastAsia" w:ascii="宋体" w:hAnsi="Courier New"/>
          <w:bCs/>
          <w:color w:val="auto"/>
          <w:sz w:val="24"/>
          <w:szCs w:val="20"/>
        </w:rPr>
        <w:t>：</w:t>
      </w:r>
    </w:p>
    <w:p w14:paraId="5C80452D">
      <w:pPr>
        <w:snapToGrid w:val="0"/>
        <w:spacing w:line="600" w:lineRule="exact"/>
        <w:ind w:firstLine="480" w:firstLineChars="200"/>
        <w:rPr>
          <w:rFonts w:ascii="宋体" w:hAnsi="Courier New"/>
          <w:color w:val="auto"/>
          <w:kern w:val="0"/>
          <w:sz w:val="24"/>
          <w:szCs w:val="20"/>
        </w:rPr>
      </w:pPr>
      <w:r>
        <w:rPr>
          <w:rFonts w:hint="eastAsia" w:ascii="宋体" w:hAnsi="Courier New"/>
          <w:bCs/>
          <w:color w:val="auto"/>
          <w:sz w:val="24"/>
          <w:szCs w:val="20"/>
        </w:rPr>
        <w:t>我公司参加贵公司组织的：</w:t>
      </w:r>
      <w:r>
        <w:rPr>
          <w:rFonts w:hint="eastAsia" w:ascii="宋体" w:hAnsi="Courier New"/>
          <w:bCs/>
          <w:color w:val="auto"/>
          <w:sz w:val="24"/>
          <w:szCs w:val="20"/>
          <w:u w:val="single"/>
        </w:rPr>
        <w:t xml:space="preserve">             </w:t>
      </w:r>
      <w:r>
        <w:rPr>
          <w:rFonts w:hint="eastAsia" w:ascii="宋体" w:hAnsi="Courier New"/>
          <w:bCs/>
          <w:color w:val="auto"/>
          <w:sz w:val="24"/>
          <w:szCs w:val="20"/>
        </w:rPr>
        <w:t>项目的政府采购活动。我公司在此郑重声明，我公司参加本项目的政府采购活动前三年在经营中没有重大违法记录，符合《</w:t>
      </w:r>
      <w:r>
        <w:rPr>
          <w:rFonts w:ascii="宋体" w:hAnsi="Courier New"/>
          <w:color w:val="auto"/>
          <w:kern w:val="0"/>
          <w:sz w:val="24"/>
          <w:szCs w:val="20"/>
        </w:rPr>
        <w:t>中华人民共和国政府采购法</w:t>
      </w:r>
      <w:r>
        <w:rPr>
          <w:rFonts w:hint="eastAsia" w:ascii="宋体" w:hAnsi="Courier New"/>
          <w:bCs/>
          <w:color w:val="auto"/>
          <w:sz w:val="24"/>
          <w:szCs w:val="20"/>
        </w:rPr>
        <w:t>》及</w:t>
      </w:r>
      <w:r>
        <w:rPr>
          <w:rFonts w:ascii="宋体" w:hAnsi="Courier New"/>
          <w:color w:val="auto"/>
          <w:kern w:val="0"/>
          <w:sz w:val="24"/>
          <w:szCs w:val="20"/>
        </w:rPr>
        <w:t>《中华人民共和国政府采购法</w:t>
      </w:r>
      <w:r>
        <w:rPr>
          <w:rFonts w:hint="eastAsia" w:ascii="宋体" w:hAnsi="Courier New"/>
          <w:color w:val="auto"/>
          <w:kern w:val="0"/>
          <w:sz w:val="24"/>
          <w:szCs w:val="20"/>
        </w:rPr>
        <w:t>实施条例</w:t>
      </w:r>
      <w:r>
        <w:rPr>
          <w:rFonts w:ascii="宋体" w:hAnsi="Courier New"/>
          <w:color w:val="auto"/>
          <w:kern w:val="0"/>
          <w:sz w:val="24"/>
          <w:szCs w:val="20"/>
        </w:rPr>
        <w:t>》</w:t>
      </w:r>
      <w:r>
        <w:rPr>
          <w:rFonts w:hint="eastAsia" w:ascii="宋体" w:hAnsi="Courier New"/>
          <w:color w:val="auto"/>
          <w:kern w:val="0"/>
          <w:sz w:val="24"/>
          <w:szCs w:val="20"/>
        </w:rPr>
        <w:t>的供应商条件，我公司对此声明负全部法律责任。</w:t>
      </w:r>
    </w:p>
    <w:p w14:paraId="739C2E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6706D1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r>
        <w:rPr>
          <w:rFonts w:hint="eastAsia" w:ascii="宋体" w:hAnsi="Courier New"/>
          <w:color w:val="auto"/>
          <w:kern w:val="0"/>
          <w:sz w:val="24"/>
          <w:szCs w:val="20"/>
        </w:rPr>
        <w:t>特此承诺。</w:t>
      </w:r>
    </w:p>
    <w:p w14:paraId="4349E6C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1F13ED1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6BAD1C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41FA74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4A8708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7C9DC76A">
      <w:pPr>
        <w:snapToGrid w:val="0"/>
        <w:spacing w:line="600" w:lineRule="exact"/>
        <w:ind w:firstLine="480" w:firstLineChars="200"/>
        <w:rPr>
          <w:rFonts w:ascii="宋体" w:hAnsi="Courier New"/>
          <w:color w:val="auto"/>
          <w:kern w:val="0"/>
          <w:sz w:val="24"/>
          <w:szCs w:val="20"/>
        </w:rPr>
      </w:pPr>
      <w:r>
        <w:rPr>
          <w:rFonts w:hint="eastAsia" w:ascii="宋体" w:hAnsi="Courier New"/>
          <w:color w:val="auto"/>
          <w:kern w:val="0"/>
          <w:sz w:val="24"/>
          <w:szCs w:val="20"/>
        </w:rPr>
        <w:t>供应商（电子签章）：</w:t>
      </w:r>
    </w:p>
    <w:p w14:paraId="44B7E8A3">
      <w:pPr>
        <w:snapToGrid w:val="0"/>
        <w:spacing w:line="600" w:lineRule="exact"/>
        <w:ind w:firstLine="480" w:firstLineChars="200"/>
        <w:rPr>
          <w:rFonts w:hint="eastAsia" w:ascii="宋体" w:hAnsi="Courier New"/>
          <w:color w:val="auto"/>
          <w:kern w:val="0"/>
          <w:sz w:val="24"/>
          <w:szCs w:val="20"/>
        </w:rPr>
      </w:pPr>
    </w:p>
    <w:p w14:paraId="09E01D34">
      <w:pPr>
        <w:snapToGrid w:val="0"/>
        <w:spacing w:line="600" w:lineRule="exact"/>
        <w:ind w:firstLine="480" w:firstLineChars="200"/>
        <w:rPr>
          <w:rFonts w:ascii="宋体" w:hAnsi="Courier New"/>
          <w:color w:val="auto"/>
          <w:kern w:val="0"/>
          <w:sz w:val="24"/>
          <w:szCs w:val="20"/>
        </w:rPr>
      </w:pPr>
      <w:r>
        <w:rPr>
          <w:rFonts w:hint="eastAsia" w:ascii="宋体" w:hAnsi="Courier New"/>
          <w:color w:val="auto"/>
          <w:kern w:val="0"/>
          <w:sz w:val="24"/>
          <w:szCs w:val="20"/>
        </w:rPr>
        <w:t>法定代表人或委托代理人（</w:t>
      </w:r>
      <w:r>
        <w:rPr>
          <w:rFonts w:hint="eastAsia" w:ascii="宋体" w:hAnsi="Courier New"/>
          <w:color w:val="auto"/>
          <w:kern w:val="0"/>
          <w:sz w:val="24"/>
          <w:szCs w:val="20"/>
          <w:lang w:eastAsia="zh-CN"/>
        </w:rPr>
        <w:t>签字或者电子签名</w:t>
      </w:r>
      <w:r>
        <w:rPr>
          <w:rFonts w:hint="eastAsia" w:ascii="宋体" w:hAnsi="Courier New"/>
          <w:color w:val="auto"/>
          <w:kern w:val="0"/>
          <w:sz w:val="24"/>
          <w:szCs w:val="20"/>
        </w:rPr>
        <w:t>）：</w:t>
      </w:r>
    </w:p>
    <w:p w14:paraId="1172FF3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color w:val="auto"/>
          <w:kern w:val="0"/>
          <w:sz w:val="24"/>
        </w:rPr>
      </w:pPr>
    </w:p>
    <w:p w14:paraId="24D71DFB">
      <w:pPr>
        <w:spacing w:line="360" w:lineRule="auto"/>
        <w:jc w:val="center"/>
        <w:rPr>
          <w:rFonts w:hint="eastAsia" w:ascii="宋体" w:hAnsi="宋体" w:eastAsia="宋体"/>
          <w:b/>
          <w:color w:val="auto"/>
          <w:sz w:val="24"/>
          <w:lang w:eastAsia="zh-CN"/>
        </w:rPr>
      </w:pP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b/>
          <w:bCs/>
          <w:color w:val="auto"/>
          <w:kern w:val="2"/>
          <w:sz w:val="36"/>
          <w:szCs w:val="36"/>
          <w:highlight w:val="none"/>
          <w:lang w:val="en-US" w:eastAsia="zh-CN" w:bidi="ar-SA"/>
        </w:rPr>
        <w:br w:type="page"/>
      </w:r>
      <w:r>
        <w:rPr>
          <w:rFonts w:hint="eastAsia" w:ascii="宋体" w:hAnsi="宋体"/>
          <w:b/>
          <w:color w:val="auto"/>
          <w:sz w:val="24"/>
          <w:lang w:eastAsia="zh-CN"/>
        </w:rPr>
        <w:t>未经批准不得更换拟投入本项目的项目经理承诺书</w:t>
      </w:r>
    </w:p>
    <w:p w14:paraId="569D50DA">
      <w:pPr>
        <w:spacing w:line="360" w:lineRule="auto"/>
        <w:rPr>
          <w:rFonts w:hint="eastAsia" w:ascii="宋体" w:hAnsi="宋体"/>
          <w:b/>
          <w:color w:val="auto"/>
          <w:szCs w:val="21"/>
          <w:u w:val="single"/>
        </w:rPr>
      </w:pPr>
    </w:p>
    <w:p w14:paraId="07C86353">
      <w:pPr>
        <w:spacing w:line="48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采购</w:t>
      </w:r>
      <w:r>
        <w:rPr>
          <w:rFonts w:hint="eastAsia" w:ascii="宋体" w:hAnsi="宋体" w:eastAsia="宋体" w:cs="宋体"/>
          <w:color w:val="auto"/>
          <w:sz w:val="24"/>
          <w:szCs w:val="24"/>
          <w:u w:val="single"/>
        </w:rPr>
        <w:t>人名称）：</w:t>
      </w:r>
    </w:p>
    <w:p w14:paraId="2D87090C">
      <w:pPr>
        <w:spacing w:line="480" w:lineRule="auto"/>
        <w:ind w:firstLine="616" w:firstLineChars="257"/>
        <w:rPr>
          <w:rFonts w:hint="eastAsia" w:ascii="宋体" w:hAnsi="宋体" w:eastAsia="宋体" w:cs="宋体"/>
          <w:color w:val="auto"/>
          <w:sz w:val="24"/>
          <w:szCs w:val="24"/>
        </w:rPr>
      </w:pPr>
      <w:r>
        <w:rPr>
          <w:rFonts w:hint="eastAsia" w:ascii="宋体" w:hAnsi="宋体" w:eastAsia="宋体" w:cs="宋体"/>
          <w:color w:val="auto"/>
          <w:sz w:val="24"/>
          <w:szCs w:val="24"/>
        </w:rPr>
        <w:t>我公司拟派驻本项目的</w:t>
      </w:r>
      <w:r>
        <w:rPr>
          <w:rFonts w:hint="eastAsia" w:ascii="宋体" w:hAnsi="宋体" w:eastAsia="宋体" w:cs="宋体"/>
          <w:color w:val="auto"/>
          <w:sz w:val="24"/>
          <w:szCs w:val="24"/>
          <w:lang w:eastAsia="zh-CN"/>
        </w:rPr>
        <w:t>项目经理</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 xml:space="preserve">（建造师姓名） </w:t>
      </w:r>
      <w:r>
        <w:rPr>
          <w:rFonts w:hint="eastAsia" w:ascii="宋体" w:hAnsi="宋体" w:eastAsia="宋体" w:cs="宋体"/>
          <w:color w:val="auto"/>
          <w:sz w:val="24"/>
          <w:szCs w:val="24"/>
        </w:rPr>
        <w:t>，注册编号：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；我公司郑重承诺，在</w:t>
      </w:r>
      <w:r>
        <w:rPr>
          <w:rFonts w:hint="eastAsia" w:ascii="宋体" w:hAnsi="宋体" w:eastAsia="宋体" w:cs="宋体"/>
          <w:color w:val="auto"/>
          <w:sz w:val="24"/>
          <w:szCs w:val="24"/>
          <w:u w:val="single"/>
        </w:rPr>
        <w:t>（此处填写项目名称及项目编号）项目</w:t>
      </w:r>
      <w:r>
        <w:rPr>
          <w:rFonts w:hint="eastAsia" w:ascii="宋体" w:hAnsi="宋体" w:eastAsia="宋体" w:cs="宋体"/>
          <w:color w:val="auto"/>
          <w:sz w:val="24"/>
          <w:szCs w:val="24"/>
        </w:rPr>
        <w:t>施工期间未经同意不得更换本项目</w:t>
      </w:r>
      <w:r>
        <w:rPr>
          <w:rFonts w:hint="eastAsia" w:ascii="宋体" w:hAnsi="宋体" w:eastAsia="宋体" w:cs="宋体"/>
          <w:color w:val="auto"/>
          <w:sz w:val="24"/>
          <w:szCs w:val="24"/>
          <w:lang w:eastAsia="zh-CN"/>
        </w:rPr>
        <w:t>项目经理</w:t>
      </w:r>
      <w:r>
        <w:rPr>
          <w:rFonts w:hint="eastAsia" w:ascii="宋体" w:hAnsi="宋体" w:eastAsia="宋体" w:cs="宋体"/>
          <w:color w:val="auto"/>
          <w:sz w:val="24"/>
          <w:szCs w:val="24"/>
        </w:rPr>
        <w:t>，并且项目经理必须常驻施工现场。</w:t>
      </w:r>
    </w:p>
    <w:p w14:paraId="38CABA2E">
      <w:pPr>
        <w:spacing w:line="360" w:lineRule="auto"/>
        <w:rPr>
          <w:rFonts w:hint="eastAsia" w:ascii="宋体" w:hAnsi="宋体" w:eastAsia="宋体" w:cs="宋体"/>
          <w:color w:val="auto"/>
          <w:sz w:val="24"/>
          <w:szCs w:val="24"/>
          <w:u w:val="single"/>
        </w:rPr>
      </w:pPr>
    </w:p>
    <w:p w14:paraId="3B6EB46A">
      <w:pPr>
        <w:spacing w:line="360" w:lineRule="auto"/>
        <w:rPr>
          <w:rFonts w:hint="eastAsia" w:ascii="宋体" w:hAnsi="宋体" w:eastAsia="宋体" w:cs="宋体"/>
          <w:color w:val="auto"/>
          <w:sz w:val="24"/>
          <w:szCs w:val="24"/>
          <w:u w:val="single"/>
        </w:rPr>
      </w:pPr>
    </w:p>
    <w:p w14:paraId="1D1EB0BC">
      <w:pPr>
        <w:spacing w:line="360" w:lineRule="auto"/>
        <w:rPr>
          <w:rFonts w:hint="eastAsia" w:ascii="宋体" w:hAnsi="宋体" w:eastAsia="宋体" w:cs="宋体"/>
          <w:color w:val="auto"/>
          <w:sz w:val="24"/>
          <w:szCs w:val="24"/>
          <w:u w:val="single"/>
        </w:rPr>
      </w:pPr>
    </w:p>
    <w:p w14:paraId="580AC56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电子签章</w:t>
      </w:r>
      <w:r>
        <w:rPr>
          <w:rFonts w:hint="eastAsia" w:ascii="宋体" w:hAnsi="宋体" w:eastAsia="宋体" w:cs="宋体"/>
          <w:color w:val="auto"/>
          <w:sz w:val="24"/>
          <w:szCs w:val="24"/>
        </w:rPr>
        <w:t>）</w:t>
      </w:r>
    </w:p>
    <w:p w14:paraId="2549C7B1">
      <w:pPr>
        <w:spacing w:line="360" w:lineRule="auto"/>
        <w:ind w:firstLine="2776" w:firstLineChars="1157"/>
        <w:rPr>
          <w:rFonts w:hint="eastAsia" w:ascii="宋体" w:hAnsi="宋体" w:eastAsia="宋体" w:cs="宋体"/>
          <w:color w:val="auto"/>
          <w:sz w:val="24"/>
          <w:szCs w:val="24"/>
        </w:rPr>
      </w:pPr>
    </w:p>
    <w:p w14:paraId="5BBF28C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（签字或者电子签名）</w:t>
      </w:r>
    </w:p>
    <w:p w14:paraId="67286A47">
      <w:pPr>
        <w:spacing w:line="360" w:lineRule="auto"/>
        <w:ind w:firstLine="2776" w:firstLineChars="1157"/>
        <w:rPr>
          <w:rFonts w:hint="eastAsia" w:ascii="宋体" w:hAnsi="宋体" w:eastAsia="宋体" w:cs="宋体"/>
          <w:color w:val="auto"/>
          <w:sz w:val="24"/>
          <w:szCs w:val="24"/>
          <w:u w:val="single"/>
        </w:rPr>
      </w:pPr>
    </w:p>
    <w:p w14:paraId="19ECFBC3">
      <w:pPr>
        <w:spacing w:line="360" w:lineRule="auto"/>
        <w:rPr>
          <w:rFonts w:hint="eastAsia" w:ascii="宋体" w:hAnsi="宋体"/>
          <w:color w:val="auto"/>
          <w:szCs w:val="21"/>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F5CF9AB">
      <w:pPr>
        <w:spacing w:line="440" w:lineRule="exact"/>
        <w:ind w:firstLine="3239" w:firstLineChars="1157"/>
        <w:rPr>
          <w:rFonts w:hint="eastAsia" w:ascii="宋体" w:hAnsi="宋体"/>
          <w:color w:val="auto"/>
          <w:sz w:val="28"/>
          <w:szCs w:val="28"/>
        </w:rPr>
      </w:pPr>
    </w:p>
    <w:p w14:paraId="2B5FE3F7">
      <w:pPr>
        <w:spacing w:line="360" w:lineRule="auto"/>
        <w:ind w:left="0" w:leftChars="0" w:firstLine="0" w:firstLineChars="0"/>
        <w:rPr>
          <w:rFonts w:hint="eastAsia" w:ascii="宋体" w:hAnsi="宋体" w:eastAsia="宋体" w:cs="宋体"/>
          <w:color w:val="auto"/>
          <w:highlight w:val="none"/>
        </w:rPr>
        <w:sectPr>
          <w:pgSz w:w="11907" w:h="16840"/>
          <w:pgMar w:top="1440" w:right="1440" w:bottom="1440" w:left="1797" w:header="851" w:footer="851" w:gutter="0"/>
          <w:pgNumType w:fmt="decimal"/>
          <w:cols w:space="720" w:num="1"/>
          <w:docGrid w:linePitch="312" w:charSpace="0"/>
        </w:sectPr>
      </w:pPr>
    </w:p>
    <w:p w14:paraId="0125FD8F">
      <w:pPr>
        <w:pStyle w:val="6"/>
        <w:spacing w:line="360" w:lineRule="auto"/>
        <w:ind w:left="0" w:leftChars="0" w:right="5" w:firstLine="0" w:firstLineChars="0"/>
        <w:jc w:val="center"/>
        <w:rPr>
          <w:color w:val="auto"/>
          <w:sz w:val="20"/>
          <w:szCs w:val="20"/>
        </w:rPr>
      </w:pPr>
      <w:r>
        <w:rPr>
          <w:rFonts w:hint="eastAsia" w:ascii="宋体" w:hAnsi="宋体" w:eastAsia="宋体" w:cs="宋体"/>
          <w:color w:val="auto"/>
          <w:spacing w:val="-1"/>
          <w:sz w:val="28"/>
          <w:szCs w:val="28"/>
        </w:rPr>
        <w:t>无串通竞</w:t>
      </w:r>
      <w:r>
        <w:rPr>
          <w:rFonts w:hint="eastAsia" w:ascii="宋体" w:hAnsi="宋体" w:eastAsia="宋体" w:cs="宋体"/>
          <w:color w:val="auto"/>
          <w:spacing w:val="2"/>
          <w:sz w:val="28"/>
          <w:szCs w:val="28"/>
        </w:rPr>
        <w:t>标</w:t>
      </w:r>
      <w:r>
        <w:rPr>
          <w:rFonts w:hint="eastAsia" w:ascii="宋体" w:hAnsi="宋体" w:eastAsia="宋体" w:cs="宋体"/>
          <w:color w:val="auto"/>
          <w:spacing w:val="-1"/>
          <w:sz w:val="28"/>
          <w:szCs w:val="28"/>
        </w:rPr>
        <w:t>行为的承诺</w:t>
      </w:r>
      <w:r>
        <w:rPr>
          <w:rFonts w:hint="eastAsia" w:ascii="宋体" w:hAnsi="宋体" w:eastAsia="宋体" w:cs="宋体"/>
          <w:color w:val="auto"/>
          <w:sz w:val="28"/>
          <w:szCs w:val="28"/>
        </w:rPr>
        <w:t>函</w:t>
      </w:r>
    </w:p>
    <w:p w14:paraId="061A1DE5">
      <w:pPr>
        <w:pStyle w:val="16"/>
        <w:spacing w:line="309" w:lineRule="exact"/>
        <w:jc w:val="left"/>
        <w:rPr>
          <w:rFonts w:hint="eastAsia" w:ascii="宋体" w:hAnsi="宋体" w:eastAsia="宋体" w:cs="宋体"/>
          <w:color w:val="auto"/>
        </w:rPr>
      </w:pPr>
      <w:r>
        <w:rPr>
          <w:rFonts w:hint="eastAsia" w:ascii="宋体" w:hAnsi="宋体" w:eastAsia="宋体" w:cs="宋体"/>
          <w:color w:val="auto"/>
          <w:spacing w:val="2"/>
        </w:rPr>
        <w:t>一、我</w:t>
      </w:r>
      <w:r>
        <w:rPr>
          <w:rFonts w:hint="eastAsia" w:ascii="宋体" w:hAnsi="宋体" w:eastAsia="宋体" w:cs="宋体"/>
          <w:color w:val="auto"/>
          <w:spacing w:val="-1"/>
        </w:rPr>
        <w:t>方</w:t>
      </w:r>
      <w:r>
        <w:rPr>
          <w:rFonts w:hint="eastAsia" w:ascii="宋体" w:hAnsi="宋体" w:eastAsia="宋体" w:cs="宋体"/>
          <w:color w:val="auto"/>
          <w:spacing w:val="2"/>
        </w:rPr>
        <w:t>承诺无下列</w:t>
      </w:r>
      <w:r>
        <w:rPr>
          <w:rFonts w:hint="eastAsia" w:ascii="宋体" w:hAnsi="宋体" w:eastAsia="宋体" w:cs="宋体"/>
          <w:color w:val="auto"/>
          <w:spacing w:val="-1"/>
        </w:rPr>
        <w:t>相</w:t>
      </w:r>
      <w:r>
        <w:rPr>
          <w:rFonts w:hint="eastAsia" w:ascii="宋体" w:hAnsi="宋体" w:eastAsia="宋体" w:cs="宋体"/>
          <w:color w:val="auto"/>
          <w:spacing w:val="2"/>
        </w:rPr>
        <w:t>互串通竞标</w:t>
      </w:r>
      <w:r>
        <w:rPr>
          <w:rFonts w:hint="eastAsia" w:ascii="宋体" w:hAnsi="宋体" w:eastAsia="宋体" w:cs="宋体"/>
          <w:color w:val="auto"/>
          <w:spacing w:val="-1"/>
        </w:rPr>
        <w:t>的</w:t>
      </w:r>
      <w:r>
        <w:rPr>
          <w:rFonts w:hint="eastAsia" w:ascii="宋体" w:hAnsi="宋体" w:eastAsia="宋体" w:cs="宋体"/>
          <w:color w:val="auto"/>
          <w:spacing w:val="2"/>
        </w:rPr>
        <w:t>情形</w:t>
      </w:r>
      <w:r>
        <w:rPr>
          <w:rFonts w:hint="eastAsia" w:ascii="宋体" w:hAnsi="宋体" w:eastAsia="宋体" w:cs="宋体"/>
          <w:color w:val="auto"/>
        </w:rPr>
        <w:t>：</w:t>
      </w:r>
    </w:p>
    <w:p w14:paraId="0826895E">
      <w:pPr>
        <w:spacing w:before="1" w:line="100" w:lineRule="exact"/>
        <w:rPr>
          <w:rFonts w:hint="eastAsia" w:ascii="宋体" w:hAnsi="宋体" w:eastAsia="宋体" w:cs="宋体"/>
          <w:color w:val="auto"/>
          <w:sz w:val="10"/>
          <w:szCs w:val="10"/>
        </w:rPr>
      </w:pPr>
    </w:p>
    <w:p w14:paraId="73497A0E">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1．不同供应商的响应文件由同一单位或者个人编制；</w:t>
      </w:r>
    </w:p>
    <w:p w14:paraId="03D91912">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2．不同供应商委托同一单位或者个人办理竞标事宜；</w:t>
      </w:r>
    </w:p>
    <w:p w14:paraId="7B9E42D7">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3．不同供应商的响应文件载明的项目管理员为同一个人；</w:t>
      </w:r>
    </w:p>
    <w:p w14:paraId="5AD04EC7">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4．不同供应商的响应文件异常一致或者竞标报价呈规律性差异；</w:t>
      </w:r>
    </w:p>
    <w:p w14:paraId="2E490083">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5．不同供应商的响应文件相互混装；</w:t>
      </w:r>
    </w:p>
    <w:p w14:paraId="0C886000">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 xml:space="preserve">6．不同供应商的磋商保证金从同一单位或者个人账户转出。 </w:t>
      </w:r>
    </w:p>
    <w:p w14:paraId="511DF76C">
      <w:pPr>
        <w:pStyle w:val="16"/>
        <w:spacing w:line="309" w:lineRule="exact"/>
        <w:jc w:val="left"/>
        <w:rPr>
          <w:rFonts w:hint="eastAsia" w:ascii="宋体" w:hAnsi="宋体" w:eastAsia="宋体" w:cs="宋体"/>
          <w:color w:val="auto"/>
          <w:spacing w:val="2"/>
        </w:rPr>
      </w:pPr>
      <w:r>
        <w:rPr>
          <w:rFonts w:hint="eastAsia" w:ascii="宋体" w:hAnsi="宋体" w:eastAsia="宋体" w:cs="宋体"/>
          <w:color w:val="auto"/>
          <w:spacing w:val="2"/>
        </w:rPr>
        <w:t xml:space="preserve">二、我方承诺无下列恶意串通的情形： </w:t>
      </w:r>
    </w:p>
    <w:p w14:paraId="77031805">
      <w:pPr>
        <w:pStyle w:val="16"/>
        <w:spacing w:line="309" w:lineRule="exact"/>
        <w:ind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1．供应商直接或者间接从采购人或者采购代理机构处获得其他供应商的相关信息并修改其响应文件；</w:t>
      </w:r>
    </w:p>
    <w:p w14:paraId="33323A3E">
      <w:pPr>
        <w:pStyle w:val="16"/>
        <w:spacing w:line="309" w:lineRule="exact"/>
        <w:ind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2．供应商按照采购人或者采购代理机构的授意撤换、修改响应文件；</w:t>
      </w:r>
    </w:p>
    <w:p w14:paraId="22281CF4">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3．供应商之间协商报价、技术方案等响应文件的实质性内容；</w:t>
      </w:r>
    </w:p>
    <w:p w14:paraId="6E6EB8A4">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4．属于同一集团、协会、商会等组织成员的供应商按照该组织要求协同参加政府采购活动；</w:t>
      </w:r>
    </w:p>
    <w:p w14:paraId="48421046">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5．供应商之间事先约定一致抬高或者压低竞标报价，或者在竞争性磋商项目中事先约定轮流以高价位或者低价位成交，或者事先约定由某一特定供应商成交，然后再参加竞标；</w:t>
      </w:r>
    </w:p>
    <w:p w14:paraId="7EA1A235">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6．供应商之间商定部分供应商放弃参加政府采购活动或者放弃成交；</w:t>
      </w:r>
    </w:p>
    <w:p w14:paraId="17D19F18">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7．供应商与采购人或者采购代理机构之间、供应商相互之间，为谋求特定供应商成交或者排斥其他 供应商的其他串通行为。</w:t>
      </w:r>
    </w:p>
    <w:p w14:paraId="2ACDAA7D">
      <w:pPr>
        <w:pStyle w:val="16"/>
        <w:spacing w:line="309" w:lineRule="exact"/>
        <w:ind w:left="539" w:firstLine="428" w:firstLineChars="200"/>
        <w:jc w:val="left"/>
        <w:rPr>
          <w:color w:val="auto"/>
          <w:spacing w:val="2"/>
        </w:rPr>
      </w:pPr>
      <w:r>
        <w:rPr>
          <w:rFonts w:hint="eastAsia" w:ascii="宋体" w:hAnsi="宋体" w:eastAsia="宋体" w:cs="宋体"/>
          <w:color w:val="auto"/>
          <w:spacing w:val="2"/>
        </w:rPr>
        <w:t>以上情形一经核查属实，我方愿意承担一切后果，并不再寻求任何旨在减轻或者免除法律责任的辩解。</w:t>
      </w:r>
    </w:p>
    <w:p w14:paraId="223EB26B">
      <w:pPr>
        <w:spacing w:line="200" w:lineRule="exact"/>
        <w:rPr>
          <w:color w:val="auto"/>
          <w:sz w:val="20"/>
          <w:szCs w:val="20"/>
        </w:rPr>
      </w:pPr>
    </w:p>
    <w:p w14:paraId="6ED92423">
      <w:pPr>
        <w:spacing w:line="200" w:lineRule="exact"/>
        <w:rPr>
          <w:color w:val="auto"/>
          <w:sz w:val="20"/>
          <w:szCs w:val="20"/>
        </w:rPr>
      </w:pPr>
    </w:p>
    <w:p w14:paraId="351CFF7F">
      <w:pPr>
        <w:spacing w:line="200" w:lineRule="exact"/>
        <w:rPr>
          <w:color w:val="auto"/>
          <w:sz w:val="20"/>
          <w:szCs w:val="20"/>
        </w:rPr>
      </w:pPr>
    </w:p>
    <w:p w14:paraId="344B890A">
      <w:pPr>
        <w:spacing w:line="200" w:lineRule="exact"/>
        <w:rPr>
          <w:color w:val="auto"/>
          <w:sz w:val="20"/>
          <w:szCs w:val="20"/>
        </w:rPr>
      </w:pPr>
    </w:p>
    <w:p w14:paraId="02884401">
      <w:pPr>
        <w:spacing w:line="200" w:lineRule="exact"/>
        <w:rPr>
          <w:color w:val="auto"/>
          <w:sz w:val="20"/>
          <w:szCs w:val="20"/>
        </w:rPr>
      </w:pPr>
    </w:p>
    <w:p w14:paraId="04163ADB">
      <w:pPr>
        <w:spacing w:line="200" w:lineRule="exact"/>
        <w:rPr>
          <w:color w:val="auto"/>
          <w:sz w:val="20"/>
          <w:szCs w:val="20"/>
        </w:rPr>
      </w:pPr>
    </w:p>
    <w:p w14:paraId="6CEC9C79">
      <w:pPr>
        <w:spacing w:line="200" w:lineRule="exact"/>
        <w:rPr>
          <w:color w:val="auto"/>
          <w:sz w:val="20"/>
          <w:szCs w:val="20"/>
        </w:rPr>
      </w:pPr>
    </w:p>
    <w:p w14:paraId="7C8A2F1A">
      <w:pPr>
        <w:spacing w:line="200" w:lineRule="exact"/>
        <w:rPr>
          <w:color w:val="auto"/>
          <w:sz w:val="20"/>
          <w:szCs w:val="20"/>
        </w:rPr>
      </w:pPr>
    </w:p>
    <w:p w14:paraId="12F84191">
      <w:pPr>
        <w:spacing w:before="4" w:line="240" w:lineRule="exact"/>
        <w:rPr>
          <w:color w:val="auto"/>
          <w:sz w:val="24"/>
        </w:rPr>
      </w:pPr>
    </w:p>
    <w:p w14:paraId="7F4BD58C">
      <w:pPr>
        <w:pStyle w:val="16"/>
        <w:tabs>
          <w:tab w:val="left" w:pos="8099"/>
        </w:tabs>
        <w:ind w:left="4320"/>
        <w:jc w:val="left"/>
        <w:rPr>
          <w:color w:val="auto"/>
        </w:rPr>
      </w:pPr>
      <w:r>
        <w:rPr>
          <w:color w:val="auto"/>
          <w:spacing w:val="-1"/>
        </w:rPr>
        <w:t>供</w:t>
      </w:r>
      <w:r>
        <w:rPr>
          <w:color w:val="auto"/>
          <w:spacing w:val="2"/>
        </w:rPr>
        <w:t>应</w:t>
      </w:r>
      <w:r>
        <w:rPr>
          <w:color w:val="auto"/>
          <w:spacing w:val="-1"/>
        </w:rPr>
        <w:t>商</w:t>
      </w:r>
      <w:r>
        <w:rPr>
          <w:color w:val="auto"/>
          <w:spacing w:val="2"/>
        </w:rPr>
        <w:t>（</w:t>
      </w:r>
      <w:r>
        <w:rPr>
          <w:rFonts w:hint="eastAsia"/>
          <w:color w:val="auto"/>
          <w:spacing w:val="2"/>
        </w:rPr>
        <w:t>电子签章</w:t>
      </w:r>
      <w:r>
        <w:rPr>
          <w:color w:val="auto"/>
          <w:spacing w:val="2"/>
        </w:rPr>
        <w:t>）</w:t>
      </w:r>
      <w:r>
        <w:rPr>
          <w:color w:val="auto"/>
        </w:rPr>
        <w:t>：</w:t>
      </w:r>
      <w:r>
        <w:rPr>
          <w:color w:val="auto"/>
          <w:spacing w:val="2"/>
        </w:rPr>
        <w:t xml:space="preserve"> </w:t>
      </w:r>
      <w:r>
        <w:rPr>
          <w:color w:val="auto"/>
          <w:w w:val="99"/>
          <w:u w:val="single" w:color="000000"/>
        </w:rPr>
        <w:t xml:space="preserve"> </w:t>
      </w:r>
      <w:r>
        <w:rPr>
          <w:color w:val="auto"/>
          <w:u w:val="single" w:color="000000"/>
        </w:rPr>
        <w:tab/>
      </w:r>
    </w:p>
    <w:p w14:paraId="54C440C7">
      <w:pPr>
        <w:spacing w:before="1" w:line="100" w:lineRule="exact"/>
        <w:rPr>
          <w:color w:val="auto"/>
          <w:sz w:val="10"/>
          <w:szCs w:val="10"/>
        </w:rPr>
      </w:pPr>
    </w:p>
    <w:p w14:paraId="168FFEFD">
      <w:pPr>
        <w:pStyle w:val="16"/>
        <w:tabs>
          <w:tab w:val="left" w:pos="6638"/>
          <w:tab w:val="left" w:pos="7372"/>
        </w:tabs>
        <w:ind w:left="5904"/>
        <w:jc w:val="left"/>
        <w:rPr>
          <w:color w:val="auto"/>
        </w:rPr>
      </w:pPr>
      <w:r>
        <w:rPr>
          <w:color w:val="auto"/>
        </w:rPr>
        <w:t>年</w:t>
      </w:r>
      <w:r>
        <w:rPr>
          <w:rFonts w:hint="eastAsia"/>
          <w:color w:val="auto"/>
          <w:lang w:val="en-US" w:eastAsia="zh-CN"/>
        </w:rPr>
        <w:t xml:space="preserve">   </w:t>
      </w:r>
      <w:r>
        <w:rPr>
          <w:color w:val="auto"/>
        </w:rPr>
        <w:t>月</w:t>
      </w:r>
      <w:r>
        <w:rPr>
          <w:color w:val="auto"/>
        </w:rPr>
        <w:tab/>
      </w:r>
      <w:r>
        <w:rPr>
          <w:color w:val="auto"/>
        </w:rPr>
        <w:t>日</w:t>
      </w:r>
    </w:p>
    <w:p w14:paraId="29C10E3B">
      <w:pPr>
        <w:jc w:val="left"/>
        <w:rPr>
          <w:color w:val="auto"/>
        </w:rPr>
        <w:sectPr>
          <w:pgSz w:w="11906" w:h="16860"/>
          <w:pgMar w:top="960" w:right="1100" w:bottom="860" w:left="1200" w:header="737" w:footer="669" w:gutter="0"/>
          <w:pgNumType w:fmt="decimal"/>
          <w:cols w:space="720" w:num="1"/>
        </w:sectPr>
      </w:pPr>
    </w:p>
    <w:p w14:paraId="6B2046AF">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both"/>
        <w:textAlignment w:val="auto"/>
        <w:outlineLvl w:val="9"/>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三、 商务技术文件格式</w:t>
      </w:r>
    </w:p>
    <w:p w14:paraId="0A65C234">
      <w:pPr>
        <w:pStyle w:val="6"/>
        <w:ind w:left="120"/>
        <w:jc w:val="left"/>
        <w:rPr>
          <w:rFonts w:hint="eastAsia" w:ascii="宋体" w:hAnsi="宋体" w:eastAsia="宋体" w:cs="宋体"/>
          <w:color w:val="auto"/>
        </w:rPr>
      </w:pPr>
      <w:r>
        <w:rPr>
          <w:rFonts w:hint="eastAsia" w:ascii="宋体" w:hAnsi="宋体" w:eastAsia="宋体" w:cs="宋体"/>
          <w:color w:val="auto"/>
          <w:spacing w:val="1"/>
        </w:rPr>
        <w:t>1</w:t>
      </w:r>
      <w:r>
        <w:rPr>
          <w:rFonts w:hint="eastAsia" w:ascii="宋体" w:hAnsi="宋体" w:eastAsia="宋体" w:cs="宋体"/>
          <w:color w:val="auto"/>
          <w:spacing w:val="-1"/>
        </w:rPr>
        <w:t>．商务技术文件</w:t>
      </w:r>
      <w:r>
        <w:rPr>
          <w:rFonts w:hint="eastAsia" w:ascii="宋体" w:hAnsi="宋体" w:eastAsia="宋体" w:cs="宋体"/>
          <w:color w:val="auto"/>
          <w:spacing w:val="2"/>
        </w:rPr>
        <w:t>封</w:t>
      </w:r>
      <w:r>
        <w:rPr>
          <w:rFonts w:hint="eastAsia" w:ascii="宋体" w:hAnsi="宋体" w:eastAsia="宋体" w:cs="宋体"/>
          <w:color w:val="auto"/>
          <w:spacing w:val="-1"/>
        </w:rPr>
        <w:t>面格</w:t>
      </w:r>
      <w:r>
        <w:rPr>
          <w:rFonts w:hint="eastAsia" w:ascii="宋体" w:hAnsi="宋体" w:eastAsia="宋体" w:cs="宋体"/>
          <w:color w:val="auto"/>
        </w:rPr>
        <w:t>式</w:t>
      </w:r>
    </w:p>
    <w:p w14:paraId="609CB0E6">
      <w:pPr>
        <w:spacing w:before="9" w:line="130" w:lineRule="exact"/>
        <w:rPr>
          <w:rFonts w:hint="eastAsia" w:ascii="宋体" w:hAnsi="宋体" w:eastAsia="宋体" w:cs="宋体"/>
          <w:color w:val="auto"/>
          <w:sz w:val="13"/>
          <w:szCs w:val="13"/>
        </w:rPr>
      </w:pPr>
    </w:p>
    <w:p w14:paraId="7DD1F952">
      <w:pPr>
        <w:spacing w:line="200" w:lineRule="exact"/>
        <w:rPr>
          <w:rFonts w:hint="eastAsia" w:ascii="宋体" w:hAnsi="宋体" w:eastAsia="宋体" w:cs="宋体"/>
          <w:color w:val="auto"/>
          <w:sz w:val="20"/>
          <w:szCs w:val="20"/>
        </w:rPr>
      </w:pPr>
    </w:p>
    <w:p w14:paraId="52A7FB74">
      <w:pPr>
        <w:spacing w:line="200" w:lineRule="exact"/>
        <w:rPr>
          <w:rFonts w:hint="eastAsia" w:ascii="宋体" w:hAnsi="宋体" w:eastAsia="宋体" w:cs="宋体"/>
          <w:color w:val="auto"/>
          <w:sz w:val="20"/>
          <w:szCs w:val="20"/>
        </w:rPr>
      </w:pPr>
    </w:p>
    <w:p w14:paraId="79F80833">
      <w:pPr>
        <w:spacing w:line="200" w:lineRule="exact"/>
        <w:rPr>
          <w:rFonts w:hint="eastAsia" w:ascii="宋体" w:hAnsi="宋体" w:eastAsia="宋体" w:cs="宋体"/>
          <w:color w:val="auto"/>
          <w:sz w:val="20"/>
          <w:szCs w:val="20"/>
        </w:rPr>
      </w:pPr>
    </w:p>
    <w:p w14:paraId="1CB2C811">
      <w:pPr>
        <w:pStyle w:val="16"/>
        <w:spacing w:line="309" w:lineRule="exact"/>
        <w:ind w:right="548"/>
        <w:jc w:val="right"/>
        <w:rPr>
          <w:rFonts w:hint="eastAsia" w:ascii="宋体" w:hAnsi="宋体" w:eastAsia="宋体" w:cs="宋体"/>
          <w:color w:val="auto"/>
        </w:rPr>
      </w:pPr>
      <w:r>
        <w:rPr>
          <w:rFonts w:hint="eastAsia" w:ascii="宋体" w:hAnsi="宋体" w:eastAsia="宋体" w:cs="宋体"/>
          <w:color w:val="auto"/>
          <w:spacing w:val="-1"/>
          <w:w w:val="95"/>
        </w:rPr>
        <w:t>电</w:t>
      </w:r>
      <w:r>
        <w:rPr>
          <w:rFonts w:hint="eastAsia" w:ascii="宋体" w:hAnsi="宋体" w:eastAsia="宋体" w:cs="宋体"/>
          <w:color w:val="auto"/>
          <w:spacing w:val="1"/>
          <w:w w:val="95"/>
        </w:rPr>
        <w:t>子</w:t>
      </w:r>
      <w:r>
        <w:rPr>
          <w:rFonts w:hint="eastAsia" w:ascii="宋体" w:hAnsi="宋体" w:eastAsia="宋体" w:cs="宋体"/>
          <w:color w:val="auto"/>
          <w:spacing w:val="-1"/>
          <w:w w:val="95"/>
        </w:rPr>
        <w:t>响</w:t>
      </w:r>
      <w:r>
        <w:rPr>
          <w:rFonts w:hint="eastAsia" w:ascii="宋体" w:hAnsi="宋体" w:eastAsia="宋体" w:cs="宋体"/>
          <w:color w:val="auto"/>
          <w:spacing w:val="1"/>
          <w:w w:val="95"/>
        </w:rPr>
        <w:t>应</w:t>
      </w:r>
      <w:r>
        <w:rPr>
          <w:rFonts w:hint="eastAsia" w:ascii="宋体" w:hAnsi="宋体" w:eastAsia="宋体" w:cs="宋体"/>
          <w:color w:val="auto"/>
          <w:spacing w:val="-1"/>
          <w:w w:val="95"/>
        </w:rPr>
        <w:t>文</w:t>
      </w:r>
      <w:r>
        <w:rPr>
          <w:rFonts w:hint="eastAsia" w:ascii="宋体" w:hAnsi="宋体" w:eastAsia="宋体" w:cs="宋体"/>
          <w:color w:val="auto"/>
          <w:w w:val="95"/>
        </w:rPr>
        <w:t>件</w:t>
      </w:r>
    </w:p>
    <w:p w14:paraId="461A5A57">
      <w:pPr>
        <w:spacing w:line="200" w:lineRule="exact"/>
        <w:rPr>
          <w:rFonts w:hint="eastAsia" w:ascii="宋体" w:hAnsi="宋体" w:eastAsia="宋体" w:cs="宋体"/>
          <w:color w:val="auto"/>
          <w:sz w:val="20"/>
          <w:szCs w:val="20"/>
        </w:rPr>
      </w:pPr>
    </w:p>
    <w:p w14:paraId="58F61F7F">
      <w:pPr>
        <w:spacing w:line="200" w:lineRule="exact"/>
        <w:rPr>
          <w:rFonts w:hint="eastAsia" w:ascii="宋体" w:hAnsi="宋体" w:eastAsia="宋体" w:cs="宋体"/>
          <w:color w:val="auto"/>
          <w:sz w:val="20"/>
          <w:szCs w:val="20"/>
        </w:rPr>
      </w:pPr>
    </w:p>
    <w:p w14:paraId="7C1510C1">
      <w:pPr>
        <w:spacing w:line="200" w:lineRule="exact"/>
        <w:rPr>
          <w:rFonts w:hint="eastAsia" w:ascii="宋体" w:hAnsi="宋体" w:eastAsia="宋体" w:cs="宋体"/>
          <w:color w:val="auto"/>
          <w:sz w:val="20"/>
          <w:szCs w:val="20"/>
        </w:rPr>
      </w:pPr>
    </w:p>
    <w:p w14:paraId="32A28E1F">
      <w:pPr>
        <w:spacing w:line="200" w:lineRule="exact"/>
        <w:rPr>
          <w:rFonts w:hint="eastAsia" w:ascii="宋体" w:hAnsi="宋体" w:eastAsia="宋体" w:cs="宋体"/>
          <w:color w:val="auto"/>
          <w:sz w:val="20"/>
          <w:szCs w:val="20"/>
        </w:rPr>
      </w:pPr>
    </w:p>
    <w:p w14:paraId="421AE4DC">
      <w:pPr>
        <w:spacing w:line="200" w:lineRule="exact"/>
        <w:rPr>
          <w:rFonts w:hint="eastAsia" w:ascii="宋体" w:hAnsi="宋体" w:eastAsia="宋体" w:cs="宋体"/>
          <w:color w:val="auto"/>
          <w:sz w:val="20"/>
          <w:szCs w:val="20"/>
        </w:rPr>
      </w:pPr>
    </w:p>
    <w:p w14:paraId="410D0BBD">
      <w:pPr>
        <w:spacing w:line="200" w:lineRule="exact"/>
        <w:rPr>
          <w:rFonts w:hint="eastAsia" w:ascii="宋体" w:hAnsi="宋体" w:eastAsia="宋体" w:cs="宋体"/>
          <w:color w:val="auto"/>
          <w:sz w:val="20"/>
          <w:szCs w:val="20"/>
        </w:rPr>
      </w:pPr>
    </w:p>
    <w:p w14:paraId="4FE259D5">
      <w:pPr>
        <w:spacing w:line="200" w:lineRule="exact"/>
        <w:rPr>
          <w:rFonts w:hint="eastAsia" w:ascii="宋体" w:hAnsi="宋体" w:eastAsia="宋体" w:cs="宋体"/>
          <w:color w:val="auto"/>
          <w:sz w:val="20"/>
          <w:szCs w:val="20"/>
        </w:rPr>
      </w:pPr>
    </w:p>
    <w:p w14:paraId="509B8B38">
      <w:pPr>
        <w:spacing w:line="200" w:lineRule="exact"/>
        <w:rPr>
          <w:rFonts w:hint="eastAsia" w:ascii="宋体" w:hAnsi="宋体" w:eastAsia="宋体" w:cs="宋体"/>
          <w:color w:val="auto"/>
          <w:sz w:val="20"/>
          <w:szCs w:val="20"/>
        </w:rPr>
      </w:pPr>
    </w:p>
    <w:p w14:paraId="1EEC0CE6">
      <w:pPr>
        <w:spacing w:before="16" w:line="260" w:lineRule="exact"/>
        <w:rPr>
          <w:rFonts w:hint="eastAsia" w:ascii="宋体" w:hAnsi="宋体" w:eastAsia="宋体" w:cs="宋体"/>
          <w:color w:val="auto"/>
          <w:sz w:val="26"/>
          <w:szCs w:val="26"/>
        </w:rPr>
      </w:pPr>
    </w:p>
    <w:p w14:paraId="31FE129E">
      <w:pPr>
        <w:pStyle w:val="3"/>
        <w:spacing w:line="539" w:lineRule="exact"/>
        <w:ind w:left="3033"/>
        <w:jc w:val="left"/>
        <w:rPr>
          <w:rFonts w:hint="eastAsia" w:ascii="宋体" w:hAnsi="宋体" w:eastAsia="宋体" w:cs="宋体"/>
          <w:color w:val="auto"/>
        </w:rPr>
      </w:pPr>
      <w:bookmarkStart w:id="1333" w:name="_Toc16689"/>
      <w:bookmarkStart w:id="1334" w:name="_Toc8283"/>
      <w:r>
        <w:rPr>
          <w:rFonts w:hint="eastAsia" w:ascii="宋体" w:hAnsi="宋体" w:eastAsia="宋体" w:cs="宋体"/>
          <w:color w:val="auto"/>
        </w:rPr>
        <w:t>商</w:t>
      </w:r>
      <w:r>
        <w:rPr>
          <w:rFonts w:hint="eastAsia" w:ascii="宋体" w:hAnsi="宋体" w:eastAsia="宋体" w:cs="宋体"/>
          <w:color w:val="auto"/>
          <w:spacing w:val="-3"/>
        </w:rPr>
        <w:t xml:space="preserve"> </w:t>
      </w:r>
      <w:r>
        <w:rPr>
          <w:rFonts w:hint="eastAsia" w:ascii="宋体" w:hAnsi="宋体" w:eastAsia="宋体" w:cs="宋体"/>
          <w:color w:val="auto"/>
        </w:rPr>
        <w:t>务</w:t>
      </w:r>
      <w:r>
        <w:rPr>
          <w:rFonts w:hint="eastAsia" w:ascii="宋体" w:hAnsi="宋体" w:eastAsia="宋体" w:cs="宋体"/>
          <w:color w:val="auto"/>
          <w:spacing w:val="-2"/>
        </w:rPr>
        <w:t xml:space="preserve"> </w:t>
      </w:r>
      <w:r>
        <w:rPr>
          <w:rFonts w:hint="eastAsia" w:ascii="宋体" w:hAnsi="宋体" w:eastAsia="宋体" w:cs="宋体"/>
          <w:color w:val="auto"/>
        </w:rPr>
        <w:t>技</w:t>
      </w:r>
      <w:r>
        <w:rPr>
          <w:rFonts w:hint="eastAsia" w:ascii="宋体" w:hAnsi="宋体" w:eastAsia="宋体" w:cs="宋体"/>
          <w:color w:val="auto"/>
          <w:spacing w:val="-2"/>
        </w:rPr>
        <w:t xml:space="preserve"> </w:t>
      </w:r>
      <w:r>
        <w:rPr>
          <w:rFonts w:hint="eastAsia" w:ascii="宋体" w:hAnsi="宋体" w:eastAsia="宋体" w:cs="宋体"/>
          <w:color w:val="auto"/>
        </w:rPr>
        <w:t>术</w:t>
      </w:r>
      <w:r>
        <w:rPr>
          <w:rFonts w:hint="eastAsia" w:ascii="宋体" w:hAnsi="宋体" w:eastAsia="宋体" w:cs="宋体"/>
          <w:color w:val="auto"/>
          <w:spacing w:val="-3"/>
        </w:rPr>
        <w:t xml:space="preserve"> </w:t>
      </w:r>
      <w:r>
        <w:rPr>
          <w:rFonts w:hint="eastAsia" w:ascii="宋体" w:hAnsi="宋体" w:eastAsia="宋体" w:cs="宋体"/>
          <w:color w:val="auto"/>
        </w:rPr>
        <w:t>文</w:t>
      </w:r>
      <w:r>
        <w:rPr>
          <w:rFonts w:hint="eastAsia" w:ascii="宋体" w:hAnsi="宋体" w:eastAsia="宋体" w:cs="宋体"/>
          <w:color w:val="auto"/>
          <w:spacing w:val="-2"/>
        </w:rPr>
        <w:t xml:space="preserve"> </w:t>
      </w:r>
      <w:r>
        <w:rPr>
          <w:rFonts w:hint="eastAsia" w:ascii="宋体" w:hAnsi="宋体" w:eastAsia="宋体" w:cs="宋体"/>
          <w:color w:val="auto"/>
        </w:rPr>
        <w:t>件</w:t>
      </w:r>
      <w:bookmarkEnd w:id="1333"/>
      <w:bookmarkEnd w:id="1334"/>
    </w:p>
    <w:p w14:paraId="2945FD13">
      <w:pPr>
        <w:spacing w:line="200" w:lineRule="exact"/>
        <w:rPr>
          <w:rFonts w:hint="eastAsia" w:ascii="宋体" w:hAnsi="宋体" w:eastAsia="宋体" w:cs="宋体"/>
          <w:color w:val="auto"/>
          <w:sz w:val="20"/>
          <w:szCs w:val="20"/>
        </w:rPr>
      </w:pPr>
    </w:p>
    <w:p w14:paraId="22635C1B">
      <w:pPr>
        <w:spacing w:line="200" w:lineRule="exact"/>
        <w:rPr>
          <w:rFonts w:hint="eastAsia" w:ascii="宋体" w:hAnsi="宋体" w:eastAsia="宋体" w:cs="宋体"/>
          <w:color w:val="auto"/>
          <w:sz w:val="20"/>
          <w:szCs w:val="20"/>
        </w:rPr>
      </w:pPr>
    </w:p>
    <w:p w14:paraId="5F342091">
      <w:pPr>
        <w:spacing w:line="200" w:lineRule="exact"/>
        <w:rPr>
          <w:rFonts w:hint="eastAsia" w:ascii="宋体" w:hAnsi="宋体" w:eastAsia="宋体" w:cs="宋体"/>
          <w:color w:val="auto"/>
          <w:sz w:val="20"/>
          <w:szCs w:val="20"/>
        </w:rPr>
      </w:pPr>
    </w:p>
    <w:p w14:paraId="36D008EE">
      <w:pPr>
        <w:spacing w:line="200" w:lineRule="exact"/>
        <w:rPr>
          <w:rFonts w:hint="eastAsia" w:ascii="宋体" w:hAnsi="宋体" w:eastAsia="宋体" w:cs="宋体"/>
          <w:color w:val="auto"/>
          <w:sz w:val="20"/>
          <w:szCs w:val="20"/>
        </w:rPr>
      </w:pPr>
    </w:p>
    <w:p w14:paraId="2DA4B04C">
      <w:pPr>
        <w:spacing w:line="200" w:lineRule="exact"/>
        <w:rPr>
          <w:rFonts w:hint="eastAsia" w:ascii="宋体" w:hAnsi="宋体" w:eastAsia="宋体" w:cs="宋体"/>
          <w:color w:val="auto"/>
          <w:sz w:val="20"/>
          <w:szCs w:val="20"/>
        </w:rPr>
      </w:pPr>
    </w:p>
    <w:p w14:paraId="6D7F23EC">
      <w:pPr>
        <w:spacing w:line="200" w:lineRule="exact"/>
        <w:rPr>
          <w:rFonts w:hint="eastAsia" w:ascii="宋体" w:hAnsi="宋体" w:eastAsia="宋体" w:cs="宋体"/>
          <w:color w:val="auto"/>
          <w:sz w:val="20"/>
          <w:szCs w:val="20"/>
        </w:rPr>
      </w:pPr>
    </w:p>
    <w:p w14:paraId="5E79D492">
      <w:pPr>
        <w:spacing w:line="200" w:lineRule="exact"/>
        <w:rPr>
          <w:rFonts w:hint="eastAsia" w:ascii="宋体" w:hAnsi="宋体" w:eastAsia="宋体" w:cs="宋体"/>
          <w:color w:val="auto"/>
          <w:sz w:val="20"/>
          <w:szCs w:val="20"/>
        </w:rPr>
      </w:pPr>
    </w:p>
    <w:p w14:paraId="55E84E3F">
      <w:pPr>
        <w:spacing w:line="200" w:lineRule="exact"/>
        <w:rPr>
          <w:rFonts w:hint="eastAsia" w:ascii="宋体" w:hAnsi="宋体" w:eastAsia="宋体" w:cs="宋体"/>
          <w:color w:val="auto"/>
          <w:sz w:val="20"/>
          <w:szCs w:val="20"/>
        </w:rPr>
      </w:pPr>
    </w:p>
    <w:p w14:paraId="2919470F">
      <w:pPr>
        <w:spacing w:line="200" w:lineRule="exact"/>
        <w:rPr>
          <w:rFonts w:hint="eastAsia" w:ascii="宋体" w:hAnsi="宋体" w:eastAsia="宋体" w:cs="宋体"/>
          <w:color w:val="auto"/>
          <w:sz w:val="20"/>
          <w:szCs w:val="20"/>
        </w:rPr>
      </w:pPr>
    </w:p>
    <w:p w14:paraId="368095DE">
      <w:pPr>
        <w:spacing w:line="200" w:lineRule="exact"/>
        <w:rPr>
          <w:rFonts w:hint="eastAsia" w:ascii="宋体" w:hAnsi="宋体" w:eastAsia="宋体" w:cs="宋体"/>
          <w:color w:val="auto"/>
          <w:sz w:val="20"/>
          <w:szCs w:val="20"/>
        </w:rPr>
      </w:pPr>
    </w:p>
    <w:p w14:paraId="7867627B">
      <w:pPr>
        <w:spacing w:before="10" w:line="280" w:lineRule="exact"/>
        <w:rPr>
          <w:rFonts w:hint="eastAsia" w:ascii="宋体" w:hAnsi="宋体" w:eastAsia="宋体" w:cs="宋体"/>
          <w:color w:val="auto"/>
          <w:sz w:val="28"/>
          <w:szCs w:val="28"/>
        </w:rPr>
      </w:pPr>
    </w:p>
    <w:p w14:paraId="6C749425">
      <w:pPr>
        <w:pStyle w:val="4"/>
        <w:spacing w:line="419" w:lineRule="exact"/>
        <w:ind w:left="760"/>
        <w:jc w:val="left"/>
        <w:rPr>
          <w:rFonts w:hint="eastAsia" w:ascii="宋体" w:hAnsi="宋体" w:eastAsia="宋体" w:cs="宋体"/>
          <w:color w:val="auto"/>
        </w:rPr>
      </w:pPr>
      <w:r>
        <w:rPr>
          <w:rFonts w:hint="eastAsia" w:ascii="宋体" w:hAnsi="宋体" w:eastAsia="宋体" w:cs="宋体"/>
          <w:color w:val="auto"/>
        </w:rPr>
        <w:t>项</w:t>
      </w:r>
      <w:r>
        <w:rPr>
          <w:rFonts w:hint="eastAsia" w:ascii="宋体" w:hAnsi="宋体" w:eastAsia="宋体" w:cs="宋体"/>
          <w:color w:val="auto"/>
          <w:spacing w:val="2"/>
        </w:rPr>
        <w:t>目</w:t>
      </w:r>
      <w:r>
        <w:rPr>
          <w:rFonts w:hint="eastAsia" w:ascii="宋体" w:hAnsi="宋体" w:eastAsia="宋体" w:cs="宋体"/>
          <w:color w:val="auto"/>
        </w:rPr>
        <w:t>名称：</w:t>
      </w:r>
    </w:p>
    <w:p w14:paraId="38589765">
      <w:pPr>
        <w:spacing w:before="8" w:line="190" w:lineRule="exact"/>
        <w:rPr>
          <w:rFonts w:hint="eastAsia" w:ascii="宋体" w:hAnsi="宋体" w:eastAsia="宋体" w:cs="宋体"/>
          <w:color w:val="auto"/>
          <w:sz w:val="19"/>
          <w:szCs w:val="19"/>
        </w:rPr>
      </w:pPr>
    </w:p>
    <w:p w14:paraId="48F3BBA6">
      <w:pPr>
        <w:spacing w:line="200" w:lineRule="exact"/>
        <w:rPr>
          <w:rFonts w:hint="eastAsia" w:ascii="宋体" w:hAnsi="宋体" w:eastAsia="宋体" w:cs="宋体"/>
          <w:color w:val="auto"/>
          <w:sz w:val="20"/>
          <w:szCs w:val="20"/>
        </w:rPr>
      </w:pPr>
    </w:p>
    <w:p w14:paraId="62FB5773">
      <w:pPr>
        <w:spacing w:line="200" w:lineRule="exact"/>
        <w:rPr>
          <w:rFonts w:hint="eastAsia" w:ascii="宋体" w:hAnsi="宋体" w:eastAsia="宋体" w:cs="宋体"/>
          <w:color w:val="auto"/>
          <w:sz w:val="20"/>
          <w:szCs w:val="20"/>
        </w:rPr>
      </w:pPr>
    </w:p>
    <w:p w14:paraId="228C840F">
      <w:pPr>
        <w:spacing w:line="507" w:lineRule="auto"/>
        <w:ind w:left="760" w:right="5438"/>
        <w:jc w:val="left"/>
        <w:rPr>
          <w:rFonts w:hint="eastAsia" w:ascii="宋体" w:hAnsi="宋体" w:eastAsia="宋体" w:cs="宋体"/>
          <w:color w:val="auto"/>
          <w:w w:val="99"/>
          <w:sz w:val="32"/>
          <w:szCs w:val="32"/>
        </w:rPr>
      </w:pPr>
      <w:r>
        <w:rPr>
          <w:rFonts w:hint="eastAsia" w:ascii="宋体" w:hAnsi="宋体" w:eastAsia="宋体" w:cs="宋体"/>
          <w:color w:val="auto"/>
          <w:sz w:val="32"/>
          <w:szCs w:val="32"/>
        </w:rPr>
        <w:t>项</w:t>
      </w:r>
      <w:r>
        <w:rPr>
          <w:rFonts w:hint="eastAsia" w:ascii="宋体" w:hAnsi="宋体" w:eastAsia="宋体" w:cs="宋体"/>
          <w:color w:val="auto"/>
          <w:spacing w:val="2"/>
          <w:sz w:val="32"/>
          <w:szCs w:val="32"/>
        </w:rPr>
        <w:t>目</w:t>
      </w:r>
      <w:r>
        <w:rPr>
          <w:rFonts w:hint="eastAsia" w:ascii="宋体" w:hAnsi="宋体" w:eastAsia="宋体" w:cs="宋体"/>
          <w:color w:val="auto"/>
          <w:sz w:val="32"/>
          <w:szCs w:val="32"/>
        </w:rPr>
        <w:t>编号：</w:t>
      </w:r>
      <w:r>
        <w:rPr>
          <w:rFonts w:hint="eastAsia" w:ascii="宋体" w:hAnsi="宋体" w:eastAsia="宋体" w:cs="宋体"/>
          <w:color w:val="auto"/>
          <w:w w:val="99"/>
          <w:sz w:val="32"/>
          <w:szCs w:val="32"/>
        </w:rPr>
        <w:t xml:space="preserve"> </w:t>
      </w:r>
    </w:p>
    <w:p w14:paraId="1F3452BF">
      <w:pPr>
        <w:spacing w:line="507" w:lineRule="auto"/>
        <w:ind w:left="760" w:right="5438"/>
        <w:jc w:val="left"/>
        <w:rPr>
          <w:rFonts w:hint="eastAsia" w:ascii="宋体" w:hAnsi="宋体" w:eastAsia="宋体" w:cs="宋体"/>
          <w:color w:val="auto"/>
          <w:sz w:val="32"/>
          <w:szCs w:val="32"/>
        </w:rPr>
      </w:pPr>
      <w:r>
        <w:rPr>
          <w:rFonts w:hint="eastAsia" w:ascii="宋体" w:hAnsi="宋体" w:eastAsia="宋体" w:cs="宋体"/>
          <w:color w:val="auto"/>
          <w:w w:val="95"/>
          <w:sz w:val="32"/>
          <w:szCs w:val="32"/>
        </w:rPr>
        <w:t>供</w:t>
      </w:r>
      <w:r>
        <w:rPr>
          <w:rFonts w:hint="eastAsia" w:ascii="宋体" w:hAnsi="宋体" w:eastAsia="宋体" w:cs="宋体"/>
          <w:color w:val="auto"/>
          <w:spacing w:val="1"/>
          <w:w w:val="95"/>
          <w:sz w:val="32"/>
          <w:szCs w:val="32"/>
        </w:rPr>
        <w:t>应</w:t>
      </w:r>
      <w:r>
        <w:rPr>
          <w:rFonts w:hint="eastAsia" w:ascii="宋体" w:hAnsi="宋体" w:eastAsia="宋体" w:cs="宋体"/>
          <w:color w:val="auto"/>
          <w:w w:val="95"/>
          <w:sz w:val="32"/>
          <w:szCs w:val="32"/>
        </w:rPr>
        <w:t>商名</w:t>
      </w:r>
      <w:r>
        <w:rPr>
          <w:rFonts w:hint="eastAsia" w:ascii="宋体" w:hAnsi="宋体" w:eastAsia="宋体" w:cs="宋体"/>
          <w:color w:val="auto"/>
          <w:spacing w:val="1"/>
          <w:w w:val="95"/>
          <w:sz w:val="32"/>
          <w:szCs w:val="32"/>
        </w:rPr>
        <w:t>称</w:t>
      </w:r>
      <w:r>
        <w:rPr>
          <w:rFonts w:hint="eastAsia" w:ascii="宋体" w:hAnsi="宋体" w:eastAsia="宋体" w:cs="宋体"/>
          <w:color w:val="auto"/>
          <w:w w:val="95"/>
          <w:sz w:val="32"/>
          <w:szCs w:val="32"/>
        </w:rPr>
        <w:t>：</w:t>
      </w:r>
    </w:p>
    <w:p w14:paraId="26FE3FD6">
      <w:pPr>
        <w:spacing w:before="6" w:line="150" w:lineRule="exact"/>
        <w:rPr>
          <w:rFonts w:hint="eastAsia" w:ascii="宋体" w:hAnsi="宋体" w:eastAsia="宋体" w:cs="宋体"/>
          <w:color w:val="auto"/>
          <w:sz w:val="15"/>
          <w:szCs w:val="15"/>
        </w:rPr>
      </w:pPr>
    </w:p>
    <w:p w14:paraId="5299925F">
      <w:pPr>
        <w:spacing w:line="200" w:lineRule="exact"/>
        <w:rPr>
          <w:rFonts w:hint="eastAsia" w:ascii="宋体" w:hAnsi="宋体" w:eastAsia="宋体" w:cs="宋体"/>
          <w:color w:val="auto"/>
          <w:sz w:val="20"/>
          <w:szCs w:val="20"/>
        </w:rPr>
      </w:pPr>
    </w:p>
    <w:p w14:paraId="286FB3E5">
      <w:pPr>
        <w:spacing w:line="200" w:lineRule="exact"/>
        <w:rPr>
          <w:rFonts w:hint="eastAsia" w:ascii="宋体" w:hAnsi="宋体" w:eastAsia="宋体" w:cs="宋体"/>
          <w:color w:val="auto"/>
          <w:sz w:val="20"/>
          <w:szCs w:val="20"/>
        </w:rPr>
      </w:pPr>
    </w:p>
    <w:p w14:paraId="79375AC8">
      <w:pPr>
        <w:spacing w:line="200" w:lineRule="exact"/>
        <w:rPr>
          <w:rFonts w:hint="eastAsia" w:ascii="宋体" w:hAnsi="宋体" w:eastAsia="宋体" w:cs="宋体"/>
          <w:color w:val="auto"/>
          <w:sz w:val="20"/>
          <w:szCs w:val="20"/>
        </w:rPr>
      </w:pPr>
    </w:p>
    <w:p w14:paraId="7375E44D">
      <w:pPr>
        <w:spacing w:line="200" w:lineRule="exact"/>
        <w:rPr>
          <w:rFonts w:hint="eastAsia" w:ascii="宋体" w:hAnsi="宋体" w:eastAsia="宋体" w:cs="宋体"/>
          <w:color w:val="auto"/>
          <w:sz w:val="20"/>
          <w:szCs w:val="20"/>
        </w:rPr>
      </w:pPr>
    </w:p>
    <w:p w14:paraId="0DE310D8">
      <w:pPr>
        <w:spacing w:line="200" w:lineRule="exact"/>
        <w:rPr>
          <w:rFonts w:hint="eastAsia" w:ascii="宋体" w:hAnsi="宋体" w:eastAsia="宋体" w:cs="宋体"/>
          <w:color w:val="auto"/>
          <w:sz w:val="20"/>
          <w:szCs w:val="20"/>
        </w:rPr>
      </w:pPr>
    </w:p>
    <w:p w14:paraId="0574FC96">
      <w:pPr>
        <w:tabs>
          <w:tab w:val="left" w:pos="959"/>
          <w:tab w:val="left" w:pos="1919"/>
        </w:tabs>
        <w:spacing w:line="419" w:lineRule="exact"/>
        <w:ind w:right="3"/>
        <w:jc w:val="center"/>
        <w:rPr>
          <w:rFonts w:ascii="宋体" w:hAnsi="宋体" w:cs="宋体"/>
          <w:color w:val="auto"/>
          <w:sz w:val="32"/>
          <w:szCs w:val="32"/>
        </w:rPr>
      </w:pPr>
      <w:r>
        <w:rPr>
          <w:rFonts w:hint="eastAsia" w:ascii="宋体" w:hAnsi="宋体" w:eastAsia="宋体" w:cs="宋体"/>
          <w:color w:val="auto"/>
          <w:sz w:val="32"/>
          <w:szCs w:val="32"/>
        </w:rPr>
        <w:t>年</w:t>
      </w:r>
      <w:r>
        <w:rPr>
          <w:rFonts w:hint="eastAsia" w:ascii="宋体" w:hAnsi="宋体" w:eastAsia="宋体" w:cs="宋体"/>
          <w:color w:val="auto"/>
          <w:sz w:val="32"/>
          <w:szCs w:val="32"/>
        </w:rPr>
        <w:tab/>
      </w:r>
      <w:r>
        <w:rPr>
          <w:rFonts w:hint="eastAsia" w:ascii="宋体" w:hAnsi="宋体" w:eastAsia="宋体" w:cs="宋体"/>
          <w:color w:val="auto"/>
          <w:sz w:val="32"/>
          <w:szCs w:val="32"/>
        </w:rPr>
        <w:t>月</w:t>
      </w:r>
      <w:r>
        <w:rPr>
          <w:rFonts w:hint="eastAsia" w:ascii="宋体" w:hAnsi="宋体" w:eastAsia="宋体" w:cs="宋体"/>
          <w:color w:val="auto"/>
          <w:sz w:val="32"/>
          <w:szCs w:val="32"/>
        </w:rPr>
        <w:tab/>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日</w:t>
      </w:r>
    </w:p>
    <w:p w14:paraId="73745189">
      <w:pPr>
        <w:spacing w:line="419" w:lineRule="exact"/>
        <w:jc w:val="center"/>
        <w:rPr>
          <w:rFonts w:ascii="宋体" w:hAnsi="宋体" w:cs="宋体"/>
          <w:color w:val="auto"/>
          <w:sz w:val="32"/>
          <w:szCs w:val="32"/>
        </w:rPr>
        <w:sectPr>
          <w:pgSz w:w="11906" w:h="16860"/>
          <w:pgMar w:top="960" w:right="1100" w:bottom="860" w:left="1200" w:header="737" w:footer="669" w:gutter="0"/>
          <w:pgNumType w:fmt="decimal"/>
          <w:cols w:space="720" w:num="1"/>
        </w:sectPr>
      </w:pPr>
    </w:p>
    <w:p w14:paraId="7FF026C4">
      <w:pPr>
        <w:pStyle w:val="6"/>
        <w:spacing w:line="402" w:lineRule="exact"/>
        <w:ind w:left="264"/>
        <w:jc w:val="left"/>
        <w:rPr>
          <w:rFonts w:hint="eastAsia" w:ascii="宋体" w:hAnsi="宋体" w:eastAsia="宋体" w:cs="宋体"/>
          <w:color w:val="auto"/>
        </w:rPr>
      </w:pPr>
      <w:r>
        <w:rPr>
          <w:rFonts w:hint="eastAsia" w:ascii="宋体" w:hAnsi="宋体" w:eastAsia="宋体" w:cs="宋体"/>
          <w:color w:val="auto"/>
          <w:spacing w:val="-2"/>
        </w:rPr>
        <w:t>2</w:t>
      </w:r>
      <w:r>
        <w:rPr>
          <w:rFonts w:hint="eastAsia" w:ascii="宋体" w:hAnsi="宋体" w:eastAsia="宋体" w:cs="宋体"/>
          <w:color w:val="auto"/>
          <w:spacing w:val="-1"/>
        </w:rPr>
        <w:t>．商务技术文件</w:t>
      </w:r>
      <w:r>
        <w:rPr>
          <w:rFonts w:hint="eastAsia" w:ascii="宋体" w:hAnsi="宋体" w:eastAsia="宋体" w:cs="宋体"/>
          <w:color w:val="auto"/>
          <w:spacing w:val="2"/>
        </w:rPr>
        <w:t>目</w:t>
      </w:r>
      <w:r>
        <w:rPr>
          <w:rFonts w:hint="eastAsia" w:ascii="宋体" w:hAnsi="宋体" w:eastAsia="宋体" w:cs="宋体"/>
          <w:color w:val="auto"/>
        </w:rPr>
        <w:t>录</w:t>
      </w:r>
    </w:p>
    <w:p w14:paraId="0B3BDFCC">
      <w:pPr>
        <w:spacing w:before="11" w:line="220" w:lineRule="exact"/>
        <w:rPr>
          <w:color w:val="auto"/>
          <w:sz w:val="22"/>
          <w:szCs w:val="22"/>
        </w:rPr>
      </w:pPr>
    </w:p>
    <w:p w14:paraId="3EA86E2B">
      <w:pPr>
        <w:pStyle w:val="20"/>
        <w:spacing w:line="400" w:lineRule="exact"/>
        <w:ind w:left="1181" w:leftChars="364" w:hanging="417" w:hangingChars="150"/>
        <w:rPr>
          <w:rFonts w:hint="eastAsia" w:ascii="宋体" w:hAnsi="宋体" w:eastAsia="宋体" w:cs="宋体"/>
          <w:color w:val="auto"/>
          <w:sz w:val="21"/>
          <w:szCs w:val="21"/>
          <w:highlight w:val="none"/>
        </w:rPr>
      </w:pPr>
      <w:r>
        <w:rPr>
          <w:rFonts w:hAnsi="宋体" w:cs="宋体"/>
          <w:color w:val="auto"/>
          <w:spacing w:val="-1"/>
          <w:sz w:val="28"/>
          <w:szCs w:val="28"/>
        </w:rPr>
        <w:t>根</w:t>
      </w:r>
      <w:r>
        <w:rPr>
          <w:rFonts w:hAnsi="宋体" w:cs="宋体"/>
          <w:color w:val="auto"/>
          <w:spacing w:val="-3"/>
          <w:sz w:val="28"/>
          <w:szCs w:val="28"/>
        </w:rPr>
        <w:t>据</w:t>
      </w:r>
      <w:r>
        <w:rPr>
          <w:rFonts w:hAnsi="宋体" w:cs="宋体"/>
          <w:color w:val="auto"/>
          <w:spacing w:val="-1"/>
          <w:sz w:val="28"/>
          <w:szCs w:val="28"/>
        </w:rPr>
        <w:t>磋商</w:t>
      </w:r>
      <w:r>
        <w:rPr>
          <w:rFonts w:hAnsi="宋体" w:cs="宋体"/>
          <w:color w:val="auto"/>
          <w:spacing w:val="-3"/>
          <w:sz w:val="28"/>
          <w:szCs w:val="28"/>
        </w:rPr>
        <w:t>文</w:t>
      </w:r>
      <w:r>
        <w:rPr>
          <w:rFonts w:hAnsi="宋体" w:cs="宋体"/>
          <w:color w:val="auto"/>
          <w:spacing w:val="-1"/>
          <w:sz w:val="28"/>
          <w:szCs w:val="28"/>
        </w:rPr>
        <w:t>件规</w:t>
      </w:r>
      <w:r>
        <w:rPr>
          <w:rFonts w:hAnsi="宋体" w:cs="宋体"/>
          <w:color w:val="auto"/>
          <w:spacing w:val="-3"/>
          <w:sz w:val="28"/>
          <w:szCs w:val="28"/>
        </w:rPr>
        <w:t>定</w:t>
      </w:r>
      <w:r>
        <w:rPr>
          <w:rFonts w:hAnsi="宋体" w:cs="宋体"/>
          <w:color w:val="auto"/>
          <w:spacing w:val="-1"/>
          <w:sz w:val="28"/>
          <w:szCs w:val="28"/>
        </w:rPr>
        <w:t>及供</w:t>
      </w:r>
      <w:r>
        <w:rPr>
          <w:rFonts w:hAnsi="宋体" w:cs="宋体"/>
          <w:color w:val="auto"/>
          <w:spacing w:val="-3"/>
          <w:sz w:val="28"/>
          <w:szCs w:val="28"/>
        </w:rPr>
        <w:t>应</w:t>
      </w:r>
      <w:r>
        <w:rPr>
          <w:rFonts w:hAnsi="宋体" w:cs="宋体"/>
          <w:color w:val="auto"/>
          <w:spacing w:val="-1"/>
          <w:sz w:val="28"/>
          <w:szCs w:val="28"/>
        </w:rPr>
        <w:t>商提</w:t>
      </w:r>
      <w:r>
        <w:rPr>
          <w:rFonts w:hAnsi="宋体" w:cs="宋体"/>
          <w:color w:val="auto"/>
          <w:spacing w:val="-3"/>
          <w:sz w:val="28"/>
          <w:szCs w:val="28"/>
        </w:rPr>
        <w:t>供</w:t>
      </w:r>
      <w:r>
        <w:rPr>
          <w:rFonts w:hAnsi="宋体" w:cs="宋体"/>
          <w:color w:val="auto"/>
          <w:spacing w:val="-1"/>
          <w:sz w:val="28"/>
          <w:szCs w:val="28"/>
        </w:rPr>
        <w:t>的材</w:t>
      </w:r>
      <w:r>
        <w:rPr>
          <w:rFonts w:hAnsi="宋体" w:cs="宋体"/>
          <w:color w:val="auto"/>
          <w:spacing w:val="-3"/>
          <w:sz w:val="28"/>
          <w:szCs w:val="28"/>
        </w:rPr>
        <w:t>料</w:t>
      </w:r>
      <w:r>
        <w:rPr>
          <w:rFonts w:hAnsi="宋体" w:cs="宋体"/>
          <w:color w:val="auto"/>
          <w:spacing w:val="-1"/>
          <w:sz w:val="28"/>
          <w:szCs w:val="28"/>
        </w:rPr>
        <w:t>自行</w:t>
      </w:r>
      <w:r>
        <w:rPr>
          <w:rFonts w:hAnsi="宋体" w:cs="宋体"/>
          <w:color w:val="auto"/>
          <w:spacing w:val="-3"/>
          <w:sz w:val="28"/>
          <w:szCs w:val="28"/>
        </w:rPr>
        <w:t>编</w:t>
      </w:r>
      <w:r>
        <w:rPr>
          <w:rFonts w:hAnsi="宋体" w:cs="宋体"/>
          <w:color w:val="auto"/>
          <w:spacing w:val="-1"/>
          <w:sz w:val="28"/>
          <w:szCs w:val="28"/>
        </w:rPr>
        <w:t>写目</w:t>
      </w:r>
      <w:r>
        <w:rPr>
          <w:rFonts w:hAnsi="宋体" w:cs="宋体"/>
          <w:color w:val="auto"/>
          <w:spacing w:val="-3"/>
          <w:sz w:val="28"/>
          <w:szCs w:val="28"/>
        </w:rPr>
        <w:t>录</w:t>
      </w:r>
      <w:r>
        <w:rPr>
          <w:rFonts w:hAnsi="宋体" w:cs="宋体"/>
          <w:color w:val="auto"/>
          <w:spacing w:val="-1"/>
          <w:sz w:val="28"/>
          <w:szCs w:val="28"/>
        </w:rPr>
        <w:t>（部</w:t>
      </w:r>
      <w:r>
        <w:rPr>
          <w:rFonts w:hAnsi="宋体" w:cs="宋体"/>
          <w:color w:val="auto"/>
          <w:spacing w:val="-3"/>
          <w:sz w:val="28"/>
          <w:szCs w:val="28"/>
        </w:rPr>
        <w:t>分</w:t>
      </w:r>
      <w:r>
        <w:rPr>
          <w:rFonts w:hAnsi="宋体" w:cs="宋体"/>
          <w:color w:val="auto"/>
          <w:spacing w:val="-1"/>
          <w:sz w:val="28"/>
          <w:szCs w:val="28"/>
        </w:rPr>
        <w:t>格式</w:t>
      </w:r>
      <w:r>
        <w:rPr>
          <w:rFonts w:hAnsi="宋体" w:cs="宋体"/>
          <w:color w:val="auto"/>
          <w:spacing w:val="-3"/>
          <w:sz w:val="28"/>
          <w:szCs w:val="28"/>
        </w:rPr>
        <w:t>后</w:t>
      </w:r>
      <w:r>
        <w:rPr>
          <w:rFonts w:hAnsi="宋体" w:cs="宋体"/>
          <w:color w:val="auto"/>
          <w:spacing w:val="-1"/>
          <w:sz w:val="28"/>
          <w:szCs w:val="28"/>
        </w:rPr>
        <w:t>附</w:t>
      </w:r>
      <w:r>
        <w:rPr>
          <w:rFonts w:hAnsi="宋体" w:cs="宋体"/>
          <w:color w:val="auto"/>
          <w:sz w:val="28"/>
          <w:szCs w:val="28"/>
        </w:rPr>
        <w:t>）</w:t>
      </w:r>
      <w:r>
        <w:rPr>
          <w:rFonts w:hint="eastAsia" w:ascii="宋体" w:hAnsi="宋体" w:eastAsia="宋体" w:cs="宋体"/>
          <w:color w:val="auto"/>
          <w:highlight w:val="none"/>
        </w:rPr>
        <w:br w:type="page"/>
      </w:r>
      <w:r>
        <w:rPr>
          <w:rFonts w:hint="eastAsia" w:ascii="宋体" w:hAnsi="宋体" w:eastAsia="宋体" w:cs="宋体"/>
          <w:color w:val="auto"/>
          <w:highlight w:val="none"/>
        </w:rPr>
        <w:t>（1）施工组织设计</w:t>
      </w:r>
      <w:r>
        <w:rPr>
          <w:rFonts w:hint="eastAsia" w:hAnsi="宋体" w:cs="宋体"/>
          <w:color w:val="auto"/>
          <w:highlight w:val="none"/>
          <w:lang w:eastAsia="zh-CN"/>
        </w:rPr>
        <w:t>；</w:t>
      </w:r>
      <w:r>
        <w:rPr>
          <w:rFonts w:hint="eastAsia" w:ascii="宋体" w:hAnsi="宋体" w:eastAsia="宋体" w:cs="宋体"/>
          <w:color w:val="auto"/>
          <w:sz w:val="21"/>
          <w:szCs w:val="21"/>
          <w:highlight w:val="none"/>
        </w:rPr>
        <w:t>（</w:t>
      </w:r>
      <w:r>
        <w:rPr>
          <w:rFonts w:hint="eastAsia" w:hAnsi="宋体" w:cs="宋体"/>
          <w:color w:val="auto"/>
          <w:highlight w:val="none"/>
          <w:lang w:eastAsia="zh-CN"/>
        </w:rPr>
        <w:t>必须提供，</w:t>
      </w:r>
      <w:r>
        <w:rPr>
          <w:rFonts w:hint="eastAsia" w:ascii="宋体" w:hAnsi="宋体" w:eastAsia="宋体" w:cs="宋体"/>
          <w:color w:val="auto"/>
          <w:sz w:val="21"/>
          <w:szCs w:val="21"/>
          <w:highlight w:val="none"/>
        </w:rPr>
        <w:t>结合评分办法，格式自拟）</w:t>
      </w:r>
    </w:p>
    <w:p w14:paraId="559D6E5F">
      <w:pPr>
        <w:pStyle w:val="20"/>
        <w:spacing w:line="400" w:lineRule="exact"/>
        <w:ind w:left="1079" w:leftChars="364"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（2）项目管理机构</w:t>
      </w:r>
      <w:r>
        <w:rPr>
          <w:rFonts w:hint="eastAsia" w:hAnsi="宋体" w:cs="宋体"/>
          <w:color w:val="auto"/>
          <w:highlight w:val="none"/>
          <w:lang w:eastAsia="zh-CN"/>
        </w:rPr>
        <w:t>；（必须提供）</w:t>
      </w:r>
    </w:p>
    <w:p w14:paraId="54E6977D">
      <w:pPr>
        <w:pStyle w:val="20"/>
        <w:spacing w:line="400" w:lineRule="exact"/>
        <w:ind w:left="1079" w:leftChars="364" w:hanging="315" w:hangingChars="15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hAnsi="宋体" w:cs="宋体"/>
          <w:color w:val="auto"/>
          <w:highlight w:val="none"/>
          <w:lang w:eastAsia="zh-CN"/>
        </w:rPr>
        <w:t>供应商</w:t>
      </w:r>
      <w:r>
        <w:rPr>
          <w:rFonts w:hint="eastAsia" w:ascii="宋体" w:hAnsi="宋体" w:eastAsia="宋体" w:cs="宋体"/>
          <w:color w:val="auto"/>
          <w:highlight w:val="none"/>
        </w:rPr>
        <w:t>认为必要提供或声明的文件资料。</w:t>
      </w:r>
      <w:r>
        <w:rPr>
          <w:rFonts w:hint="eastAsia" w:hAnsi="宋体" w:cs="宋体"/>
          <w:color w:val="auto"/>
          <w:highlight w:val="none"/>
          <w:lang w:eastAsia="zh-CN"/>
        </w:rPr>
        <w:t>（如有，请提供）</w:t>
      </w:r>
    </w:p>
    <w:p w14:paraId="60D47790">
      <w:pPr>
        <w:pStyle w:val="97"/>
        <w:jc w:val="center"/>
        <w:outlineLvl w:val="9"/>
        <w:rPr>
          <w:rFonts w:hint="eastAsia" w:ascii="宋体" w:hAnsi="宋体" w:eastAsia="宋体" w:cs="宋体"/>
          <w:color w:val="auto"/>
          <w:highlight w:val="none"/>
        </w:rPr>
      </w:pPr>
    </w:p>
    <w:p w14:paraId="2300D289">
      <w:pPr>
        <w:spacing w:before="120" w:beforeLines="50"/>
        <w:ind w:firstLine="420" w:firstLineChars="200"/>
        <w:rPr>
          <w:rFonts w:hint="eastAsia" w:ascii="宋体" w:hAnsi="宋体" w:eastAsia="宋体" w:cs="宋体"/>
          <w:color w:val="auto"/>
          <w:highlight w:val="none"/>
        </w:rPr>
      </w:pPr>
    </w:p>
    <w:p w14:paraId="2A78D87A">
      <w:pPr>
        <w:spacing w:line="360" w:lineRule="auto"/>
        <w:ind w:firstLine="525" w:firstLineChars="250"/>
        <w:rPr>
          <w:rFonts w:hint="eastAsia" w:ascii="宋体" w:hAnsi="宋体" w:eastAsia="宋体" w:cs="宋体"/>
          <w:color w:val="auto"/>
          <w:highlight w:val="none"/>
        </w:rPr>
      </w:pPr>
    </w:p>
    <w:p w14:paraId="7EB71E41">
      <w:pPr>
        <w:spacing w:line="360" w:lineRule="auto"/>
        <w:ind w:firstLine="525" w:firstLineChars="250"/>
        <w:rPr>
          <w:rFonts w:hint="eastAsia" w:ascii="宋体" w:hAnsi="宋体" w:eastAsia="宋体" w:cs="宋体"/>
          <w:color w:val="auto"/>
          <w:highlight w:val="none"/>
        </w:rPr>
        <w:sectPr>
          <w:footerReference r:id="rId10" w:type="default"/>
          <w:pgSz w:w="11907" w:h="16840"/>
          <w:pgMar w:top="1134" w:right="1361" w:bottom="1134" w:left="1361" w:header="851" w:footer="850" w:gutter="0"/>
          <w:pgNumType w:fmt="decimal"/>
          <w:cols w:space="720" w:num="1"/>
          <w:rtlGutter w:val="0"/>
          <w:docGrid w:linePitch="312" w:charSpace="0"/>
        </w:sectPr>
      </w:pPr>
    </w:p>
    <w:p w14:paraId="0FF636DA">
      <w:pPr>
        <w:pStyle w:val="97"/>
        <w:jc w:val="center"/>
        <w:outlineLvl w:val="0"/>
        <w:rPr>
          <w:rFonts w:hint="eastAsia" w:ascii="宋体" w:hAnsi="宋体" w:eastAsia="宋体" w:cs="宋体"/>
          <w:b/>
          <w:bCs/>
          <w:color w:val="auto"/>
          <w:sz w:val="28"/>
          <w:szCs w:val="28"/>
          <w:highlight w:val="none"/>
        </w:rPr>
      </w:pPr>
      <w:bookmarkStart w:id="1335" w:name="_Toc32625"/>
      <w:bookmarkStart w:id="1336" w:name="_Toc389065360"/>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施工组织设计</w:t>
      </w:r>
      <w:bookmarkEnd w:id="1335"/>
      <w:bookmarkEnd w:id="1336"/>
    </w:p>
    <w:p w14:paraId="1D99CAC4">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供应商</w:t>
      </w:r>
      <w:r>
        <w:rPr>
          <w:rFonts w:hint="eastAsia" w:ascii="宋体" w:hAnsi="宋体" w:eastAsia="宋体" w:cs="宋体"/>
          <w:color w:val="auto"/>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37736E7">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2．施工组织设计除采用文字表述外可附下列图表，图表及格式要求附后。</w:t>
      </w:r>
    </w:p>
    <w:p w14:paraId="0E8B19F5">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附表一  拟投入本工程的主要施工设备表</w:t>
      </w:r>
    </w:p>
    <w:p w14:paraId="532E992D">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附表二  拟配备本工程的试验和检测仪器设备表</w:t>
      </w:r>
    </w:p>
    <w:p w14:paraId="761E36B0">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附表三  劳动力计划表</w:t>
      </w:r>
    </w:p>
    <w:p w14:paraId="6D469AFE">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附表四  计划开、竣工日期和施工进度网络图</w:t>
      </w:r>
    </w:p>
    <w:p w14:paraId="56A25C8B">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附表五  施工总平面图</w:t>
      </w:r>
    </w:p>
    <w:p w14:paraId="72F8ECB2">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附表六  临时用地表</w:t>
      </w:r>
    </w:p>
    <w:p w14:paraId="0183CDB5">
      <w:pPr>
        <w:spacing w:line="460" w:lineRule="exact"/>
        <w:ind w:firstLine="420" w:firstLineChars="200"/>
        <w:rPr>
          <w:rFonts w:hint="eastAsia" w:ascii="宋体" w:hAnsi="宋体" w:eastAsia="宋体" w:cs="宋体"/>
          <w:color w:val="auto"/>
          <w:highlight w:val="none"/>
        </w:rPr>
      </w:pPr>
    </w:p>
    <w:p w14:paraId="30EEC4D5">
      <w:pPr>
        <w:rPr>
          <w:rFonts w:hint="eastAsia" w:ascii="宋体" w:hAnsi="宋体" w:eastAsia="宋体" w:cs="宋体"/>
          <w:color w:val="auto"/>
          <w:highlight w:val="none"/>
        </w:rPr>
      </w:pPr>
      <w:r>
        <w:rPr>
          <w:rFonts w:hint="eastAsia" w:ascii="宋体" w:hAnsi="宋体" w:eastAsia="宋体" w:cs="宋体"/>
          <w:color w:val="auto"/>
          <w:highlight w:val="none"/>
        </w:rPr>
        <w:t>附表一：拟投入本工程的主要施工设备表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7190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6296F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6C28BB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0E99CE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BBE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E1A8C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6109C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国别</w:t>
            </w:r>
          </w:p>
          <w:p w14:paraId="0D9C63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41986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制造</w:t>
            </w:r>
          </w:p>
          <w:p w14:paraId="516BC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65CB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529BF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（KW）</w:t>
            </w:r>
          </w:p>
        </w:tc>
        <w:tc>
          <w:tcPr>
            <w:tcW w:w="992" w:type="dxa"/>
            <w:noWrap w:val="0"/>
            <w:vAlign w:val="center"/>
          </w:tcPr>
          <w:p w14:paraId="2B6E4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生产</w:t>
            </w:r>
          </w:p>
          <w:p w14:paraId="0D2A4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3FBAC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192A3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F861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0C6B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713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5E435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5602E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04CBF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12CF7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786D7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053A0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319EC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56005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9F48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27F2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5CBB2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751C11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00AD1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1558E7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3590E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607CC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58B83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75CE1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6EFF5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3A441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35FD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F6AFE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0CD53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1FCF3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68E29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1041C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3096D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46CC6D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1607C0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633BD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7F39D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71C0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DFD3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67BA0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3A3D74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28D17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37D63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2BB64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4E397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88F0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758A2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BC2F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08DE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189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4703D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5C5C0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1BFF8C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1E1BB3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1A32A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56DC9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6E536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1B875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1D519B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bl>
    <w:p w14:paraId="4E3A1BA8">
      <w:pPr>
        <w:rPr>
          <w:rFonts w:hint="eastAsia" w:ascii="宋体" w:hAnsi="宋体" w:eastAsia="宋体" w:cs="宋体"/>
          <w:color w:val="auto"/>
          <w:highlight w:val="none"/>
        </w:rPr>
      </w:pPr>
    </w:p>
    <w:p w14:paraId="328C2F5D">
      <w:pPr>
        <w:rPr>
          <w:rFonts w:hint="eastAsia" w:ascii="宋体" w:hAnsi="宋体" w:eastAsia="宋体" w:cs="宋体"/>
          <w:color w:val="auto"/>
          <w:highlight w:val="none"/>
        </w:rPr>
      </w:pPr>
    </w:p>
    <w:p w14:paraId="66133C3B">
      <w:pPr>
        <w:rPr>
          <w:rFonts w:hint="eastAsia" w:ascii="宋体" w:hAnsi="宋体" w:eastAsia="宋体" w:cs="宋体"/>
          <w:color w:val="auto"/>
          <w:highlight w:val="none"/>
        </w:rPr>
      </w:pPr>
      <w:r>
        <w:rPr>
          <w:rFonts w:hint="eastAsia" w:ascii="宋体" w:hAnsi="宋体" w:eastAsia="宋体" w:cs="宋体"/>
          <w:color w:val="auto"/>
          <w:highlight w:val="none"/>
        </w:rPr>
        <w:t>附表二：拟配备本工程的试验和检测仪器设备表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93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40DA0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796EE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仪器设备名称</w:t>
            </w:r>
          </w:p>
        </w:tc>
        <w:tc>
          <w:tcPr>
            <w:tcW w:w="851" w:type="dxa"/>
            <w:noWrap w:val="0"/>
            <w:vAlign w:val="center"/>
          </w:tcPr>
          <w:p w14:paraId="06FAE7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型号</w:t>
            </w:r>
          </w:p>
          <w:p w14:paraId="42F5D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00FCE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340C7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国别</w:t>
            </w:r>
          </w:p>
          <w:p w14:paraId="08DE4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1134" w:type="dxa"/>
            <w:noWrap w:val="0"/>
            <w:vAlign w:val="center"/>
          </w:tcPr>
          <w:p w14:paraId="3F881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制造年份</w:t>
            </w:r>
          </w:p>
        </w:tc>
        <w:tc>
          <w:tcPr>
            <w:tcW w:w="1276" w:type="dxa"/>
            <w:noWrap w:val="0"/>
            <w:vAlign w:val="center"/>
          </w:tcPr>
          <w:p w14:paraId="3AD7D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已使用</w:t>
            </w:r>
          </w:p>
          <w:p w14:paraId="63274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台时数</w:t>
            </w:r>
          </w:p>
        </w:tc>
        <w:tc>
          <w:tcPr>
            <w:tcW w:w="1134" w:type="dxa"/>
            <w:noWrap w:val="0"/>
            <w:vAlign w:val="center"/>
          </w:tcPr>
          <w:p w14:paraId="0FC5C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用途</w:t>
            </w:r>
          </w:p>
        </w:tc>
        <w:tc>
          <w:tcPr>
            <w:tcW w:w="1559" w:type="dxa"/>
            <w:noWrap w:val="0"/>
            <w:vAlign w:val="center"/>
          </w:tcPr>
          <w:p w14:paraId="1BD04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3DC9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909A8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607C32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27946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6EB95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221941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161C20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51D5F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206E5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308D2A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4F18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54C4A3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178D0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0987A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1EE1A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6C580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470FB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41367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12030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773D9E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5B90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17B6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25F4E6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2D2A3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00614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5BD59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1AB2D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57529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57625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05947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3D3A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3F9E1A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59152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2DB63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69329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2E4132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7C3F3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06B9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24C0D0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6141E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6485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72DFA0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36CA1D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1FFEF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1042D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45133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43352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61454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0113C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5FD9D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bl>
    <w:p w14:paraId="45945860">
      <w:pPr>
        <w:rPr>
          <w:rFonts w:hint="eastAsia" w:ascii="宋体" w:hAnsi="宋体" w:eastAsia="宋体" w:cs="宋体"/>
          <w:color w:val="auto"/>
          <w:highlight w:val="none"/>
        </w:rPr>
      </w:pPr>
    </w:p>
    <w:p w14:paraId="083EBCBC">
      <w:pPr>
        <w:rPr>
          <w:rFonts w:hint="eastAsia" w:ascii="宋体" w:hAnsi="宋体" w:eastAsia="宋体" w:cs="宋体"/>
          <w:color w:val="auto"/>
          <w:highlight w:val="none"/>
        </w:rPr>
      </w:pPr>
      <w:r>
        <w:rPr>
          <w:rFonts w:hint="eastAsia" w:ascii="宋体" w:hAnsi="宋体" w:eastAsia="宋体" w:cs="宋体"/>
          <w:color w:val="auto"/>
          <w:highlight w:val="none"/>
        </w:rPr>
        <w:t>附表三：劳动力计划表</w:t>
      </w:r>
    </w:p>
    <w:p w14:paraId="33268FB3">
      <w:pPr>
        <w:ind w:firstLine="7245" w:firstLineChars="3450"/>
        <w:rPr>
          <w:rFonts w:hint="eastAsia" w:ascii="宋体" w:hAnsi="宋体" w:eastAsia="宋体" w:cs="宋体"/>
          <w:color w:val="auto"/>
          <w:highlight w:val="none"/>
        </w:rPr>
      </w:pPr>
      <w:r>
        <w:rPr>
          <w:rFonts w:hint="eastAsia" w:ascii="宋体" w:hAnsi="宋体" w:eastAsia="宋体" w:cs="宋体"/>
          <w:color w:val="auto"/>
          <w:highlight w:val="none"/>
        </w:rPr>
        <w:t xml:space="preserve">    单位：人</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2AEF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CF47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工种</w:t>
            </w:r>
          </w:p>
        </w:tc>
        <w:tc>
          <w:tcPr>
            <w:tcW w:w="8506" w:type="dxa"/>
            <w:gridSpan w:val="7"/>
            <w:noWrap w:val="0"/>
            <w:vAlign w:val="center"/>
          </w:tcPr>
          <w:p w14:paraId="09951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按工程施工阶段投入劳动力情况</w:t>
            </w:r>
          </w:p>
        </w:tc>
      </w:tr>
      <w:tr w14:paraId="5333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4C1C6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0B4C5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757C9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5257A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9C5E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4E0B1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661F1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435A3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1967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26FD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25326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46320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1EB4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5FDD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93DD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2E109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FCF2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1B69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F9D2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66298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3856A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01801C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3931F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5BF70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6905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D620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03D6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1AA1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3B232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7070C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4F2FA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8B34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F5B6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40288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8588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64DA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F5DE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37F8B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50AA8E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B50A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5CECE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592C8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114EC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3897F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18D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45DF6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7E26B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C72A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1B41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19A87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027B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5CCE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7B6E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2E1A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A2E9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0A5C8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B3E1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1783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4CFF0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B2A6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59288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5598D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bl>
    <w:p w14:paraId="44091DF4">
      <w:pPr>
        <w:rPr>
          <w:rFonts w:hint="eastAsia" w:ascii="宋体" w:hAnsi="宋体" w:eastAsia="宋体" w:cs="宋体"/>
          <w:color w:val="auto"/>
          <w:highlight w:val="none"/>
        </w:rPr>
      </w:pPr>
    </w:p>
    <w:p w14:paraId="3DC1C9F5">
      <w:pPr>
        <w:rPr>
          <w:rFonts w:hint="eastAsia" w:ascii="宋体" w:hAnsi="宋体" w:eastAsia="宋体" w:cs="宋体"/>
          <w:b/>
          <w:bCs/>
          <w:color w:val="auto"/>
          <w:highlight w:val="none"/>
        </w:rPr>
      </w:pPr>
    </w:p>
    <w:p w14:paraId="44FC638D">
      <w:pPr>
        <w:rPr>
          <w:rFonts w:hint="eastAsia" w:ascii="宋体" w:hAnsi="宋体" w:eastAsia="宋体" w:cs="宋体"/>
          <w:color w:val="auto"/>
          <w:highlight w:val="none"/>
        </w:rPr>
      </w:pPr>
      <w:r>
        <w:rPr>
          <w:rFonts w:hint="eastAsia" w:ascii="宋体" w:hAnsi="宋体" w:eastAsia="宋体" w:cs="宋体"/>
          <w:color w:val="auto"/>
          <w:highlight w:val="none"/>
        </w:rPr>
        <w:t>附表四：计划开、竣工日期和施工进度计划（网络图或横道图）</w:t>
      </w:r>
    </w:p>
    <w:p w14:paraId="4718D3B1">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cs="宋体"/>
          <w:color w:val="auto"/>
          <w:highlight w:val="none"/>
          <w:lang w:eastAsia="zh-CN"/>
        </w:rPr>
        <w:t>供应商</w:t>
      </w:r>
      <w:r>
        <w:rPr>
          <w:rFonts w:hint="eastAsia" w:ascii="宋体" w:hAnsi="宋体" w:eastAsia="宋体" w:cs="宋体"/>
          <w:color w:val="auto"/>
          <w:highlight w:val="none"/>
        </w:rPr>
        <w:t>应提交施工进度计划，说明按</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要求的工期进行施工的各个关键日期。中标的</w:t>
      </w:r>
      <w:r>
        <w:rPr>
          <w:rFonts w:hint="eastAsia" w:ascii="宋体" w:hAnsi="宋体" w:cs="宋体"/>
          <w:color w:val="auto"/>
          <w:highlight w:val="none"/>
          <w:lang w:eastAsia="zh-CN"/>
        </w:rPr>
        <w:t>供应商</w:t>
      </w:r>
      <w:r>
        <w:rPr>
          <w:rFonts w:hint="eastAsia" w:ascii="宋体" w:hAnsi="宋体" w:eastAsia="宋体" w:cs="宋体"/>
          <w:color w:val="auto"/>
          <w:highlight w:val="none"/>
        </w:rPr>
        <w:t>还应按合同条件有关条款的要求提交详细的施工进度计划。</w:t>
      </w:r>
    </w:p>
    <w:p w14:paraId="6AA65D46">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2. 施工进度计划可采用网络图（或横道图）表示，说明计划开工日期和各分项工程各阶段的完工日期和分包合同签订的日期。</w:t>
      </w:r>
    </w:p>
    <w:p w14:paraId="1F49DF8F">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3. 施工进度计划应与施工组织设计相适应。</w:t>
      </w:r>
    </w:p>
    <w:p w14:paraId="48B5CC0C">
      <w:pPr>
        <w:pStyle w:val="2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2CF8D0F">
      <w:pPr>
        <w:pStyle w:val="97"/>
        <w:numPr>
          <w:ilvl w:val="0"/>
          <w:numId w:val="5"/>
        </w:numPr>
        <w:jc w:val="center"/>
        <w:outlineLvl w:val="0"/>
        <w:rPr>
          <w:rFonts w:hint="eastAsia" w:ascii="宋体" w:hAnsi="宋体" w:eastAsia="宋体" w:cs="宋体"/>
          <w:b/>
          <w:bCs/>
          <w:color w:val="auto"/>
          <w:sz w:val="28"/>
          <w:szCs w:val="28"/>
          <w:highlight w:val="none"/>
          <w:lang w:val="en-US" w:eastAsia="zh-CN"/>
        </w:rPr>
      </w:pPr>
      <w:bookmarkStart w:id="1337" w:name="_Toc9064"/>
      <w:r>
        <w:rPr>
          <w:rFonts w:hint="eastAsia" w:ascii="宋体" w:hAnsi="宋体" w:eastAsia="宋体" w:cs="宋体"/>
          <w:b/>
          <w:bCs/>
          <w:color w:val="auto"/>
          <w:sz w:val="28"/>
          <w:szCs w:val="28"/>
          <w:highlight w:val="none"/>
          <w:lang w:val="en-US" w:eastAsia="zh-CN"/>
        </w:rPr>
        <w:t>项目管理机构</w:t>
      </w:r>
      <w:bookmarkEnd w:id="1337"/>
    </w:p>
    <w:p w14:paraId="55B18D07">
      <w:pPr>
        <w:pStyle w:val="97"/>
        <w:numPr>
          <w:ilvl w:val="0"/>
          <w:numId w:val="0"/>
        </w:numPr>
        <w:jc w:val="both"/>
        <w:outlineLvl w:val="9"/>
        <w:rPr>
          <w:rFonts w:hint="eastAsia" w:ascii="宋体" w:hAnsi="宋体" w:eastAsia="宋体" w:cs="宋体"/>
          <w:b/>
          <w:bCs/>
          <w:color w:val="auto"/>
          <w:sz w:val="28"/>
          <w:szCs w:val="28"/>
          <w:highlight w:val="none"/>
          <w:lang w:val="en-US" w:eastAsia="zh-CN"/>
        </w:rPr>
      </w:pPr>
    </w:p>
    <w:p w14:paraId="4A212A01">
      <w:pPr>
        <w:pStyle w:val="9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项目管理机构配备情况表</w:t>
      </w:r>
    </w:p>
    <w:p w14:paraId="25A3A905">
      <w:pPr>
        <w:pStyle w:val="97"/>
        <w:rPr>
          <w:rFonts w:hint="eastAsia" w:ascii="宋体" w:hAnsi="宋体" w:eastAsia="宋体" w:cs="宋体"/>
          <w:color w:val="auto"/>
          <w:highlight w:val="none"/>
          <w:u w:val="single"/>
        </w:rPr>
      </w:pPr>
    </w:p>
    <w:p w14:paraId="77B6DA20">
      <w:pPr>
        <w:pStyle w:val="97"/>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bookmarkStart w:id="1338" w:name="_Toc251052185"/>
      <w:r>
        <w:rPr>
          <w:rFonts w:hint="eastAsia" w:ascii="宋体" w:hAnsi="宋体" w:eastAsia="宋体" w:cs="宋体"/>
          <w:color w:val="auto"/>
          <w:highlight w:val="none"/>
          <w:u w:val="single"/>
        </w:rPr>
        <w:t xml:space="preserve">（招标工程项目名称）      </w:t>
      </w:r>
      <w:r>
        <w:rPr>
          <w:rFonts w:hint="eastAsia" w:ascii="宋体" w:hAnsi="宋体" w:eastAsia="宋体" w:cs="宋体"/>
          <w:color w:val="auto"/>
          <w:highlight w:val="none"/>
        </w:rPr>
        <w:t xml:space="preserve"> 工程 </w:t>
      </w:r>
      <w:bookmarkEnd w:id="1338"/>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02C7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474A4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7163F4E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39" w:name="_Toc251052187"/>
            <w:r>
              <w:rPr>
                <w:rFonts w:hint="eastAsia" w:ascii="宋体" w:hAnsi="宋体" w:eastAsia="宋体" w:cs="宋体"/>
                <w:color w:val="auto"/>
                <w:highlight w:val="none"/>
              </w:rPr>
              <w:t>姓名</w:t>
            </w:r>
            <w:bookmarkEnd w:id="1339"/>
          </w:p>
        </w:tc>
        <w:tc>
          <w:tcPr>
            <w:tcW w:w="816" w:type="dxa"/>
            <w:vMerge w:val="restart"/>
            <w:noWrap w:val="0"/>
            <w:vAlign w:val="center"/>
          </w:tcPr>
          <w:p w14:paraId="3BB2D0F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0" w:name="_Toc251052188"/>
            <w:r>
              <w:rPr>
                <w:rFonts w:hint="eastAsia" w:ascii="宋体" w:hAnsi="宋体" w:eastAsia="宋体" w:cs="宋体"/>
                <w:color w:val="auto"/>
                <w:highlight w:val="none"/>
              </w:rPr>
              <w:t>职称</w:t>
            </w:r>
            <w:bookmarkEnd w:id="1340"/>
          </w:p>
        </w:tc>
        <w:tc>
          <w:tcPr>
            <w:tcW w:w="4592" w:type="dxa"/>
            <w:gridSpan w:val="4"/>
            <w:noWrap w:val="0"/>
            <w:vAlign w:val="center"/>
          </w:tcPr>
          <w:p w14:paraId="6E96C55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1" w:name="_Toc251052189"/>
            <w:r>
              <w:rPr>
                <w:rFonts w:hint="eastAsia" w:ascii="宋体" w:hAnsi="宋体" w:eastAsia="宋体" w:cs="宋体"/>
                <w:color w:val="auto"/>
                <w:highlight w:val="none"/>
              </w:rPr>
              <w:t>执业或职业资格证明</w:t>
            </w:r>
            <w:bookmarkEnd w:id="1341"/>
          </w:p>
        </w:tc>
        <w:tc>
          <w:tcPr>
            <w:tcW w:w="2126" w:type="dxa"/>
            <w:gridSpan w:val="2"/>
            <w:noWrap w:val="0"/>
            <w:vAlign w:val="center"/>
          </w:tcPr>
          <w:p w14:paraId="17AEEBD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2" w:name="_Toc251052190"/>
            <w:r>
              <w:rPr>
                <w:rFonts w:hint="eastAsia" w:ascii="宋体" w:hAnsi="宋体" w:eastAsia="宋体" w:cs="宋体"/>
                <w:color w:val="auto"/>
                <w:highlight w:val="none"/>
              </w:rPr>
              <w:t>承担完工</w:t>
            </w:r>
            <w:bookmarkEnd w:id="1342"/>
            <w:bookmarkStart w:id="1343" w:name="_Toc251052191"/>
            <w:r>
              <w:rPr>
                <w:rFonts w:hint="eastAsia" w:ascii="宋体" w:hAnsi="宋体" w:eastAsia="宋体" w:cs="宋体"/>
                <w:color w:val="auto"/>
                <w:highlight w:val="none"/>
              </w:rPr>
              <w:t>工程情况</w:t>
            </w:r>
            <w:bookmarkEnd w:id="1343"/>
          </w:p>
        </w:tc>
      </w:tr>
      <w:tr w14:paraId="0D96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D3E0FE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vMerge w:val="continue"/>
            <w:noWrap w:val="0"/>
            <w:vAlign w:val="center"/>
          </w:tcPr>
          <w:p w14:paraId="2B67146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E300B9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251DECD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4" w:name="_Toc251052192"/>
            <w:r>
              <w:rPr>
                <w:rFonts w:hint="eastAsia" w:ascii="宋体" w:hAnsi="宋体" w:eastAsia="宋体" w:cs="宋体"/>
                <w:color w:val="auto"/>
                <w:highlight w:val="none"/>
              </w:rPr>
              <w:t>证书名称</w:t>
            </w:r>
            <w:bookmarkEnd w:id="1344"/>
          </w:p>
        </w:tc>
        <w:tc>
          <w:tcPr>
            <w:tcW w:w="1148" w:type="dxa"/>
            <w:noWrap w:val="0"/>
            <w:vAlign w:val="center"/>
          </w:tcPr>
          <w:p w14:paraId="6340856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5" w:name="_Toc251052193"/>
            <w:r>
              <w:rPr>
                <w:rFonts w:hint="eastAsia" w:ascii="宋体" w:hAnsi="宋体" w:eastAsia="宋体" w:cs="宋体"/>
                <w:color w:val="auto"/>
                <w:highlight w:val="none"/>
              </w:rPr>
              <w:t>级别</w:t>
            </w:r>
            <w:bookmarkEnd w:id="1345"/>
          </w:p>
        </w:tc>
        <w:tc>
          <w:tcPr>
            <w:tcW w:w="1148" w:type="dxa"/>
            <w:noWrap w:val="0"/>
            <w:vAlign w:val="center"/>
          </w:tcPr>
          <w:p w14:paraId="0283D1B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6" w:name="_Toc251052194"/>
            <w:r>
              <w:rPr>
                <w:rFonts w:hint="eastAsia" w:ascii="宋体" w:hAnsi="宋体" w:eastAsia="宋体" w:cs="宋体"/>
                <w:color w:val="auto"/>
                <w:highlight w:val="none"/>
              </w:rPr>
              <w:t>证号</w:t>
            </w:r>
            <w:bookmarkEnd w:id="1346"/>
          </w:p>
        </w:tc>
        <w:tc>
          <w:tcPr>
            <w:tcW w:w="1148" w:type="dxa"/>
            <w:noWrap w:val="0"/>
            <w:vAlign w:val="center"/>
          </w:tcPr>
          <w:p w14:paraId="5D7DEC9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7" w:name="_Toc251052195"/>
            <w:r>
              <w:rPr>
                <w:rFonts w:hint="eastAsia" w:ascii="宋体" w:hAnsi="宋体" w:eastAsia="宋体" w:cs="宋体"/>
                <w:color w:val="auto"/>
                <w:highlight w:val="none"/>
              </w:rPr>
              <w:t>专业</w:t>
            </w:r>
            <w:bookmarkEnd w:id="1347"/>
          </w:p>
        </w:tc>
        <w:tc>
          <w:tcPr>
            <w:tcW w:w="850" w:type="dxa"/>
            <w:noWrap w:val="0"/>
            <w:vAlign w:val="center"/>
          </w:tcPr>
          <w:p w14:paraId="44371BD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8" w:name="_Toc251052197"/>
            <w:r>
              <w:rPr>
                <w:rFonts w:hint="eastAsia" w:ascii="宋体" w:hAnsi="宋体" w:eastAsia="宋体" w:cs="宋体"/>
                <w:color w:val="auto"/>
                <w:highlight w:val="none"/>
              </w:rPr>
              <w:t>项目数</w:t>
            </w:r>
            <w:bookmarkEnd w:id="1348"/>
          </w:p>
        </w:tc>
        <w:tc>
          <w:tcPr>
            <w:tcW w:w="1276" w:type="dxa"/>
            <w:noWrap w:val="0"/>
            <w:vAlign w:val="center"/>
          </w:tcPr>
          <w:p w14:paraId="718319D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9" w:name="_Toc251052198"/>
            <w:r>
              <w:rPr>
                <w:rFonts w:hint="eastAsia" w:ascii="宋体" w:hAnsi="宋体" w:eastAsia="宋体" w:cs="宋体"/>
                <w:color w:val="auto"/>
                <w:highlight w:val="none"/>
              </w:rPr>
              <w:t>主要项目</w:t>
            </w:r>
          </w:p>
          <w:p w14:paraId="2EC663F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名称</w:t>
            </w:r>
            <w:bookmarkEnd w:id="1349"/>
          </w:p>
        </w:tc>
      </w:tr>
      <w:tr w14:paraId="6A7B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B6DEF2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施工员</w:t>
            </w:r>
          </w:p>
        </w:tc>
        <w:tc>
          <w:tcPr>
            <w:tcW w:w="829" w:type="dxa"/>
            <w:noWrap w:val="0"/>
            <w:vAlign w:val="center"/>
          </w:tcPr>
          <w:p w14:paraId="47B5700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7CA1373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52EFAA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77E2FC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842E2F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244B1D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35BC167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16F9887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0445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E00A63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质量员</w:t>
            </w:r>
          </w:p>
        </w:tc>
        <w:tc>
          <w:tcPr>
            <w:tcW w:w="829" w:type="dxa"/>
            <w:noWrap w:val="0"/>
            <w:vAlign w:val="center"/>
          </w:tcPr>
          <w:p w14:paraId="086D9B5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07D31A8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FB1355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249F70C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9A5C2E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4B9F93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6668FA4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5D513A4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31A9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noWrap w:val="0"/>
            <w:vAlign w:val="center"/>
          </w:tcPr>
          <w:p w14:paraId="563E05F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安全员</w:t>
            </w:r>
          </w:p>
        </w:tc>
        <w:tc>
          <w:tcPr>
            <w:tcW w:w="829" w:type="dxa"/>
            <w:noWrap w:val="0"/>
            <w:vAlign w:val="center"/>
          </w:tcPr>
          <w:p w14:paraId="1A8B6E6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5C944C0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DB18C7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5E3A23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120E4EB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1AF268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16C429C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58DD003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2646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4EC3A9B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noWrap w:val="0"/>
            <w:vAlign w:val="center"/>
          </w:tcPr>
          <w:p w14:paraId="024D455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7517830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3E135E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1E07BD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2A069C3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5ED102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1693E2F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15D8F59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7D49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6623F4C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noWrap w:val="0"/>
            <w:vAlign w:val="center"/>
          </w:tcPr>
          <w:p w14:paraId="7AEB55A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671959B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7985FD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3AA9B37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E12724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3EDA3A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49C3A62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014E3AA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27B4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E84AB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材料员</w:t>
            </w:r>
          </w:p>
        </w:tc>
        <w:tc>
          <w:tcPr>
            <w:tcW w:w="829" w:type="dxa"/>
            <w:noWrap w:val="0"/>
            <w:vAlign w:val="center"/>
          </w:tcPr>
          <w:p w14:paraId="3F2CEF1C">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1622E86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17A05CE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B08711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60E176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B1F030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5F00EDD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05C1560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7E20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AE5131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noWrap w:val="0"/>
            <w:vAlign w:val="center"/>
          </w:tcPr>
          <w:p w14:paraId="4728CF5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003D5CF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A36403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1645485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3CEF1E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CDBB6B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65D51A8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6F310F7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5EDA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CC2AD7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829" w:type="dxa"/>
            <w:noWrap w:val="0"/>
            <w:vAlign w:val="center"/>
          </w:tcPr>
          <w:p w14:paraId="1F61833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774B618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E8059D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D7FD4B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9D6475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34DC85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082ADB0C">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3FF809F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71F5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noWrap w:val="0"/>
            <w:vAlign w:val="center"/>
          </w:tcPr>
          <w:p w14:paraId="4D92425F">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bookmarkStart w:id="1350" w:name="_Toc251052199"/>
            <w:r>
              <w:rPr>
                <w:rFonts w:hint="eastAsia" w:ascii="宋体" w:hAnsi="宋体" w:eastAsia="宋体" w:cs="宋体"/>
                <w:color w:val="auto"/>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350"/>
          </w:p>
        </w:tc>
      </w:tr>
    </w:tbl>
    <w:p w14:paraId="33098EC3">
      <w:pPr>
        <w:tabs>
          <w:tab w:val="left" w:pos="0"/>
        </w:tabs>
        <w:spacing w:line="360" w:lineRule="auto"/>
        <w:ind w:right="-210"/>
        <w:rPr>
          <w:rFonts w:hint="eastAsia" w:ascii="宋体" w:hAnsi="宋体" w:eastAsia="宋体" w:cs="宋体"/>
          <w:color w:val="auto"/>
          <w:highlight w:val="none"/>
        </w:rPr>
      </w:pPr>
    </w:p>
    <w:p w14:paraId="511AB50A">
      <w:pPr>
        <w:tabs>
          <w:tab w:val="left" w:pos="0"/>
        </w:tabs>
        <w:spacing w:line="360" w:lineRule="auto"/>
        <w:ind w:right="-210"/>
        <w:rPr>
          <w:rFonts w:hint="eastAsia" w:ascii="宋体" w:hAnsi="宋体" w:eastAsia="宋体" w:cs="宋体"/>
          <w:color w:val="auto"/>
          <w:highlight w:val="none"/>
        </w:rPr>
      </w:pPr>
    </w:p>
    <w:p w14:paraId="369B9388">
      <w:pPr>
        <w:tabs>
          <w:tab w:val="left" w:pos="0"/>
        </w:tabs>
        <w:spacing w:line="360" w:lineRule="auto"/>
        <w:ind w:right="-210"/>
        <w:rPr>
          <w:rFonts w:hint="eastAsia" w:ascii="宋体" w:hAnsi="宋体" w:eastAsia="宋体" w:cs="宋体"/>
          <w:color w:val="auto"/>
          <w:highlight w:val="none"/>
        </w:rPr>
      </w:pPr>
    </w:p>
    <w:p w14:paraId="0CEEE888">
      <w:pPr>
        <w:tabs>
          <w:tab w:val="left" w:pos="0"/>
        </w:tabs>
        <w:spacing w:line="360" w:lineRule="auto"/>
        <w:ind w:right="-210"/>
        <w:rPr>
          <w:rFonts w:hint="eastAsia" w:ascii="宋体" w:hAnsi="宋体" w:eastAsia="宋体" w:cs="宋体"/>
          <w:color w:val="auto"/>
          <w:highlight w:val="none"/>
        </w:rPr>
        <w:sectPr>
          <w:footerReference r:id="rId11" w:type="default"/>
          <w:pgSz w:w="11907" w:h="16840"/>
          <w:pgMar w:top="1440" w:right="1440" w:bottom="1440" w:left="1797" w:header="851" w:footer="851" w:gutter="0"/>
          <w:pgNumType w:fmt="decimal"/>
          <w:cols w:space="720" w:num="1"/>
          <w:docGrid w:linePitch="312" w:charSpace="0"/>
        </w:sectPr>
      </w:pPr>
    </w:p>
    <w:p w14:paraId="53AE3BB9">
      <w:pPr>
        <w:pStyle w:val="97"/>
        <w:jc w:val="center"/>
        <w:outlineLvl w:val="0"/>
        <w:rPr>
          <w:rFonts w:hint="eastAsia" w:ascii="宋体" w:hAnsi="宋体" w:eastAsia="宋体" w:cs="宋体"/>
          <w:color w:val="auto"/>
          <w:highlight w:val="none"/>
          <w:u w:val="single"/>
        </w:rPr>
      </w:pPr>
      <w:bookmarkStart w:id="1351" w:name="_Toc173579006"/>
      <w:bookmarkStart w:id="1352" w:name="_Toc153274948"/>
      <w:bookmarkStart w:id="1353" w:name="_Toc172364026"/>
      <w:bookmarkStart w:id="1354" w:name="_Toc389065364"/>
      <w:bookmarkStart w:id="1355" w:name="_Toc251052200"/>
      <w:bookmarkStart w:id="1356" w:name="_Toc22162"/>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项目经理（注册建造师）简历表</w:t>
      </w:r>
      <w:bookmarkEnd w:id="1351"/>
      <w:bookmarkEnd w:id="1352"/>
      <w:bookmarkEnd w:id="1353"/>
      <w:bookmarkEnd w:id="1354"/>
      <w:bookmarkEnd w:id="1355"/>
      <w:bookmarkEnd w:id="1356"/>
    </w:p>
    <w:p w14:paraId="736B3A8B">
      <w:pPr>
        <w:pStyle w:val="97"/>
        <w:rPr>
          <w:rFonts w:hint="eastAsia" w:ascii="宋体" w:hAnsi="宋体" w:eastAsia="宋体" w:cs="宋体"/>
          <w:color w:val="auto"/>
          <w:highlight w:val="none"/>
          <w:u w:val="single"/>
        </w:rPr>
      </w:pPr>
    </w:p>
    <w:p w14:paraId="4B89CD4A">
      <w:pPr>
        <w:pStyle w:val="97"/>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（招标工程项目名称）     </w:t>
      </w:r>
      <w:r>
        <w:rPr>
          <w:rFonts w:hint="eastAsia" w:ascii="宋体" w:hAnsi="宋体" w:eastAsia="宋体" w:cs="宋体"/>
          <w:color w:val="auto"/>
          <w:highlight w:val="none"/>
        </w:rPr>
        <w:t xml:space="preserve"> 工程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3EE3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5C111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3"/>
            <w:noWrap w:val="0"/>
            <w:vAlign w:val="center"/>
          </w:tcPr>
          <w:p w14:paraId="20165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40B6F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noWrap w:val="0"/>
            <w:vAlign w:val="center"/>
          </w:tcPr>
          <w:p w14:paraId="30A497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3B507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276" w:type="dxa"/>
            <w:noWrap w:val="0"/>
            <w:vAlign w:val="center"/>
          </w:tcPr>
          <w:p w14:paraId="75EF1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9C5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41630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340" w:type="dxa"/>
            <w:gridSpan w:val="3"/>
            <w:noWrap w:val="0"/>
            <w:vAlign w:val="center"/>
          </w:tcPr>
          <w:p w14:paraId="63560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5EE5A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noWrap w:val="0"/>
            <w:vAlign w:val="center"/>
          </w:tcPr>
          <w:p w14:paraId="1E44B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28DC0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276" w:type="dxa"/>
            <w:noWrap w:val="0"/>
            <w:vAlign w:val="center"/>
          </w:tcPr>
          <w:p w14:paraId="368E1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2D0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7070A0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参加工作时间</w:t>
            </w:r>
          </w:p>
        </w:tc>
        <w:tc>
          <w:tcPr>
            <w:tcW w:w="1893" w:type="dxa"/>
            <w:gridSpan w:val="2"/>
            <w:noWrap w:val="0"/>
            <w:vAlign w:val="center"/>
          </w:tcPr>
          <w:p w14:paraId="36569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2693" w:type="dxa"/>
            <w:gridSpan w:val="4"/>
            <w:noWrap w:val="0"/>
            <w:vAlign w:val="center"/>
          </w:tcPr>
          <w:p w14:paraId="6CB143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担任项目经理年限</w:t>
            </w:r>
          </w:p>
        </w:tc>
        <w:tc>
          <w:tcPr>
            <w:tcW w:w="1276" w:type="dxa"/>
            <w:noWrap w:val="0"/>
            <w:vAlign w:val="center"/>
          </w:tcPr>
          <w:p w14:paraId="15E63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ED0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61BE1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建造师注册证书编号</w:t>
            </w:r>
          </w:p>
        </w:tc>
        <w:tc>
          <w:tcPr>
            <w:tcW w:w="5862" w:type="dxa"/>
            <w:gridSpan w:val="7"/>
            <w:noWrap w:val="0"/>
            <w:vAlign w:val="center"/>
          </w:tcPr>
          <w:p w14:paraId="2AB10F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011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0AD11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50A3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74CCD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noWrap w:val="0"/>
            <w:vAlign w:val="center"/>
          </w:tcPr>
          <w:p w14:paraId="6B9F84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547" w:type="dxa"/>
            <w:gridSpan w:val="2"/>
            <w:noWrap w:val="0"/>
            <w:vAlign w:val="center"/>
          </w:tcPr>
          <w:p w14:paraId="0D3D6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noWrap w:val="0"/>
            <w:vAlign w:val="center"/>
          </w:tcPr>
          <w:p w14:paraId="6CE90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547" w:type="dxa"/>
            <w:gridSpan w:val="2"/>
            <w:noWrap w:val="0"/>
            <w:vAlign w:val="center"/>
          </w:tcPr>
          <w:p w14:paraId="7D2F1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noWrap w:val="0"/>
            <w:vAlign w:val="center"/>
          </w:tcPr>
          <w:p w14:paraId="4CE77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w:t>
            </w:r>
          </w:p>
        </w:tc>
      </w:tr>
      <w:tr w14:paraId="0484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534D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0C3A0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0C9A2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07691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6524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4F64D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1901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04E63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13D9F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7BC40B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9EABF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60B036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A9D4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5D5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12EDF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7572B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F2B0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7645D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0CB0A4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D2EE7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E6F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01BC59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11678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1829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1F78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279F9C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F4CD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bl>
    <w:p w14:paraId="516DBCB7">
      <w:pPr>
        <w:spacing w:line="360" w:lineRule="auto"/>
        <w:rPr>
          <w:rFonts w:hint="eastAsia" w:ascii="宋体" w:hAnsi="宋体" w:eastAsia="宋体" w:cs="宋体"/>
          <w:color w:val="auto"/>
          <w:highlight w:val="none"/>
        </w:rPr>
      </w:pPr>
    </w:p>
    <w:p w14:paraId="33DB9C0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15A3AC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1、已完成的类似工程应附中标通知书（如有）、合同协议书有关页面、工程竣工验收证明材料的扫描件。在建类似工程应附中标通知书（如有）、工程合同协议书有关页面扫描件。以上扫描件均为原件的扫描件</w:t>
      </w:r>
    </w:p>
    <w:p w14:paraId="720F5908">
      <w:pPr>
        <w:spacing w:before="120" w:beforeLines="50"/>
        <w:ind w:firstLine="420" w:firstLineChars="200"/>
        <w:rPr>
          <w:rFonts w:hint="eastAsia" w:ascii="宋体" w:hAnsi="宋体" w:eastAsia="宋体" w:cs="宋体"/>
          <w:color w:val="auto"/>
          <w:highlight w:val="none"/>
        </w:rPr>
      </w:pPr>
    </w:p>
    <w:p w14:paraId="3EB7D959">
      <w:pPr>
        <w:spacing w:line="360" w:lineRule="auto"/>
        <w:ind w:firstLine="525" w:firstLineChars="250"/>
        <w:rPr>
          <w:rFonts w:hint="eastAsia" w:ascii="宋体" w:hAnsi="宋体" w:eastAsia="宋体" w:cs="宋体"/>
          <w:color w:val="auto"/>
          <w:highlight w:val="none"/>
        </w:rPr>
      </w:pPr>
    </w:p>
    <w:p w14:paraId="7575E9D3">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37EF9DD">
      <w:pPr>
        <w:pStyle w:val="97"/>
        <w:jc w:val="center"/>
        <w:outlineLvl w:val="0"/>
        <w:rPr>
          <w:rFonts w:hint="eastAsia" w:ascii="宋体" w:hAnsi="宋体" w:eastAsia="宋体" w:cs="宋体"/>
          <w:b/>
          <w:bCs/>
          <w:color w:val="auto"/>
          <w:sz w:val="24"/>
          <w:szCs w:val="24"/>
          <w:highlight w:val="none"/>
        </w:rPr>
      </w:pPr>
      <w:bookmarkStart w:id="1357" w:name="_Toc28240"/>
      <w:bookmarkStart w:id="1358" w:name="_Toc173579007"/>
      <w:bookmarkStart w:id="1359" w:name="_Toc251052219"/>
      <w:bookmarkStart w:id="1360" w:name="_Toc153274949"/>
      <w:bookmarkStart w:id="1361" w:name="_Toc389065365"/>
      <w:bookmarkStart w:id="1362" w:name="_Toc172364027"/>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项目技术负责人简历表</w:t>
      </w:r>
      <w:bookmarkEnd w:id="1357"/>
      <w:bookmarkEnd w:id="1358"/>
      <w:bookmarkEnd w:id="1359"/>
      <w:bookmarkEnd w:id="1360"/>
      <w:bookmarkEnd w:id="1361"/>
      <w:bookmarkEnd w:id="1362"/>
    </w:p>
    <w:p w14:paraId="077AB9EB">
      <w:pPr>
        <w:pStyle w:val="97"/>
        <w:rPr>
          <w:rFonts w:hint="eastAsia" w:ascii="宋体" w:hAnsi="宋体" w:eastAsia="宋体" w:cs="宋体"/>
          <w:color w:val="auto"/>
          <w:highlight w:val="none"/>
          <w:u w:val="single"/>
        </w:rPr>
      </w:pPr>
    </w:p>
    <w:tbl>
      <w:tblPr>
        <w:tblStyle w:val="36"/>
        <w:tblpPr w:leftFromText="180" w:rightFromText="180" w:vertAnchor="text" w:horzAnchor="page" w:tblpX="1403" w:tblpY="3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CFE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3" w:type="dxa"/>
            <w:noWrap w:val="0"/>
            <w:vAlign w:val="center"/>
          </w:tcPr>
          <w:p w14:paraId="2589CA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3"/>
            <w:noWrap w:val="0"/>
            <w:vAlign w:val="center"/>
          </w:tcPr>
          <w:p w14:paraId="4131A4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2F15F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noWrap w:val="0"/>
            <w:vAlign w:val="center"/>
          </w:tcPr>
          <w:p w14:paraId="5469F0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2E5BB3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276" w:type="dxa"/>
            <w:noWrap w:val="0"/>
            <w:vAlign w:val="center"/>
          </w:tcPr>
          <w:p w14:paraId="308FE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B3D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83" w:type="dxa"/>
            <w:noWrap w:val="0"/>
            <w:vAlign w:val="center"/>
          </w:tcPr>
          <w:p w14:paraId="7585D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340" w:type="dxa"/>
            <w:gridSpan w:val="3"/>
            <w:noWrap w:val="0"/>
            <w:vAlign w:val="center"/>
          </w:tcPr>
          <w:p w14:paraId="67398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5557D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noWrap w:val="0"/>
            <w:vAlign w:val="center"/>
          </w:tcPr>
          <w:p w14:paraId="4DAE4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00DA0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276" w:type="dxa"/>
            <w:noWrap w:val="0"/>
            <w:vAlign w:val="center"/>
          </w:tcPr>
          <w:p w14:paraId="21D15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4D6E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23" w:type="dxa"/>
            <w:gridSpan w:val="4"/>
            <w:noWrap w:val="0"/>
            <w:vAlign w:val="center"/>
          </w:tcPr>
          <w:p w14:paraId="46D93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参加工作时间</w:t>
            </w:r>
          </w:p>
        </w:tc>
        <w:tc>
          <w:tcPr>
            <w:tcW w:w="1893" w:type="dxa"/>
            <w:gridSpan w:val="2"/>
            <w:noWrap w:val="0"/>
            <w:vAlign w:val="center"/>
          </w:tcPr>
          <w:p w14:paraId="4A5392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2693" w:type="dxa"/>
            <w:gridSpan w:val="4"/>
            <w:noWrap w:val="0"/>
            <w:vAlign w:val="center"/>
          </w:tcPr>
          <w:p w14:paraId="3095A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担任技术负责人年限</w:t>
            </w:r>
          </w:p>
        </w:tc>
        <w:tc>
          <w:tcPr>
            <w:tcW w:w="1276" w:type="dxa"/>
            <w:noWrap w:val="0"/>
            <w:vAlign w:val="center"/>
          </w:tcPr>
          <w:p w14:paraId="5AE11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027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285" w:type="dxa"/>
            <w:gridSpan w:val="11"/>
            <w:noWrap w:val="0"/>
            <w:vAlign w:val="center"/>
          </w:tcPr>
          <w:p w14:paraId="07A8BB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4136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47" w:type="dxa"/>
            <w:gridSpan w:val="2"/>
            <w:noWrap w:val="0"/>
            <w:vAlign w:val="center"/>
          </w:tcPr>
          <w:p w14:paraId="2F983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noWrap w:val="0"/>
            <w:vAlign w:val="center"/>
          </w:tcPr>
          <w:p w14:paraId="0E096E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547" w:type="dxa"/>
            <w:gridSpan w:val="2"/>
            <w:noWrap w:val="0"/>
            <w:vAlign w:val="center"/>
          </w:tcPr>
          <w:p w14:paraId="40D3B5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noWrap w:val="0"/>
            <w:vAlign w:val="center"/>
          </w:tcPr>
          <w:p w14:paraId="1BAB9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547" w:type="dxa"/>
            <w:gridSpan w:val="2"/>
            <w:noWrap w:val="0"/>
            <w:vAlign w:val="center"/>
          </w:tcPr>
          <w:p w14:paraId="4A2C2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noWrap w:val="0"/>
            <w:vAlign w:val="center"/>
          </w:tcPr>
          <w:p w14:paraId="4356D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w:t>
            </w:r>
          </w:p>
        </w:tc>
      </w:tr>
      <w:tr w14:paraId="00B7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47" w:type="dxa"/>
            <w:gridSpan w:val="2"/>
            <w:noWrap w:val="0"/>
            <w:vAlign w:val="center"/>
          </w:tcPr>
          <w:p w14:paraId="7DE0F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585D2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14536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295876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4E0E5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1D6DD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002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47" w:type="dxa"/>
            <w:gridSpan w:val="2"/>
            <w:noWrap w:val="0"/>
            <w:vAlign w:val="center"/>
          </w:tcPr>
          <w:p w14:paraId="6C5E68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3D1B8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14C2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20345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3C4122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4D4FFE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A79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47" w:type="dxa"/>
            <w:gridSpan w:val="2"/>
            <w:noWrap w:val="0"/>
            <w:vAlign w:val="center"/>
          </w:tcPr>
          <w:p w14:paraId="2E3BB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135FF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30597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0D27E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46F6C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62F26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F6A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47" w:type="dxa"/>
            <w:gridSpan w:val="2"/>
            <w:noWrap w:val="0"/>
            <w:vAlign w:val="center"/>
          </w:tcPr>
          <w:p w14:paraId="700C9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3AC06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DB66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623A8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4E823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0014E0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bl>
    <w:p w14:paraId="60AB409F">
      <w:pPr>
        <w:pStyle w:val="97"/>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（招标工程项目名称）     </w:t>
      </w:r>
      <w:r>
        <w:rPr>
          <w:rFonts w:hint="eastAsia" w:ascii="宋体" w:hAnsi="宋体" w:eastAsia="宋体" w:cs="宋体"/>
          <w:color w:val="auto"/>
          <w:highlight w:val="none"/>
        </w:rPr>
        <w:t xml:space="preserve"> 工程</w:t>
      </w:r>
    </w:p>
    <w:p w14:paraId="51B6138D">
      <w:pPr>
        <w:spacing w:line="360" w:lineRule="auto"/>
        <w:rPr>
          <w:rFonts w:hint="eastAsia" w:ascii="宋体" w:hAnsi="宋体" w:eastAsia="宋体" w:cs="宋体"/>
          <w:color w:val="auto"/>
          <w:highlight w:val="none"/>
        </w:rPr>
      </w:pPr>
    </w:p>
    <w:p w14:paraId="567B9C2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6CAC65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已完成的类似工程应附中标通知书（如有）、合同协议书有关页面、工程竣工验收证明材料的扫描件。在建类似工程应附中标通知书（如有）、工程合同协议书有关页面扫描件。以上扫描件均为原件的扫描件。</w:t>
      </w:r>
    </w:p>
    <w:p w14:paraId="5461015D">
      <w:pPr>
        <w:tabs>
          <w:tab w:val="left" w:pos="826"/>
        </w:tabs>
        <w:snapToGrid w:val="0"/>
        <w:ind w:firstLine="420" w:firstLineChars="200"/>
        <w:jc w:val="center"/>
        <w:outlineLvl w:val="0"/>
        <w:rPr>
          <w:rFonts w:hint="eastAsia" w:ascii="宋体" w:hAnsi="宋体" w:eastAsia="宋体" w:cs="宋体"/>
          <w:b/>
          <w:bCs/>
          <w:color w:val="auto"/>
          <w:sz w:val="24"/>
          <w:highlight w:val="none"/>
        </w:rPr>
      </w:pPr>
      <w:permStart w:id="0" w:edGrp="everyone"/>
      <w:permEnd w:id="0"/>
      <w:r>
        <w:rPr>
          <w:rFonts w:hint="eastAsia" w:ascii="宋体" w:hAnsi="宋体" w:eastAsia="宋体" w:cs="宋体"/>
          <w:color w:val="auto"/>
          <w:highlight w:val="none"/>
        </w:rPr>
        <w:br w:type="page"/>
      </w:r>
      <w:bookmarkStart w:id="1363" w:name="_Toc10254"/>
      <w:r>
        <w:rPr>
          <w:rFonts w:hint="eastAsia" w:ascii="宋体" w:hAnsi="宋体" w:eastAsia="宋体" w:cs="宋体"/>
          <w:b/>
          <w:bCs/>
          <w:color w:val="auto"/>
          <w:sz w:val="32"/>
          <w:szCs w:val="32"/>
          <w:highlight w:val="none"/>
        </w:rPr>
        <w:t>近 3 年已完成类似工程一览表</w:t>
      </w:r>
      <w:bookmarkEnd w:id="1363"/>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19ED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1" w:type="dxa"/>
            <w:noWrap w:val="0"/>
            <w:vAlign w:val="center"/>
          </w:tcPr>
          <w:p w14:paraId="01AA1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1" w:type="dxa"/>
            <w:noWrap w:val="0"/>
            <w:vAlign w:val="center"/>
          </w:tcPr>
          <w:p w14:paraId="77A2A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1417" w:type="dxa"/>
            <w:noWrap w:val="0"/>
            <w:vAlign w:val="center"/>
          </w:tcPr>
          <w:p w14:paraId="36999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工程名称</w:t>
            </w:r>
          </w:p>
          <w:p w14:paraId="2F63A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及建设地点</w:t>
            </w:r>
          </w:p>
        </w:tc>
        <w:tc>
          <w:tcPr>
            <w:tcW w:w="851" w:type="dxa"/>
            <w:noWrap w:val="0"/>
            <w:vAlign w:val="center"/>
          </w:tcPr>
          <w:p w14:paraId="66D07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结构</w:t>
            </w:r>
          </w:p>
          <w:p w14:paraId="038961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类型</w:t>
            </w:r>
          </w:p>
        </w:tc>
        <w:tc>
          <w:tcPr>
            <w:tcW w:w="992" w:type="dxa"/>
            <w:noWrap w:val="0"/>
            <w:vAlign w:val="center"/>
          </w:tcPr>
          <w:p w14:paraId="101923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w:t>
            </w:r>
          </w:p>
          <w:p w14:paraId="44DE3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规模</w:t>
            </w:r>
          </w:p>
        </w:tc>
        <w:tc>
          <w:tcPr>
            <w:tcW w:w="1134" w:type="dxa"/>
            <w:noWrap w:val="0"/>
            <w:vAlign w:val="center"/>
          </w:tcPr>
          <w:p w14:paraId="2A2546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合同金额</w:t>
            </w:r>
          </w:p>
          <w:p w14:paraId="723144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（万元）</w:t>
            </w:r>
          </w:p>
        </w:tc>
        <w:tc>
          <w:tcPr>
            <w:tcW w:w="1276" w:type="dxa"/>
            <w:noWrap w:val="0"/>
            <w:vAlign w:val="center"/>
          </w:tcPr>
          <w:p w14:paraId="561B6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竣工达到</w:t>
            </w:r>
          </w:p>
          <w:p w14:paraId="66C4B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1134" w:type="dxa"/>
            <w:noWrap w:val="0"/>
            <w:vAlign w:val="center"/>
          </w:tcPr>
          <w:p w14:paraId="690CA0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开竣工</w:t>
            </w:r>
          </w:p>
          <w:p w14:paraId="36F28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p>
        </w:tc>
      </w:tr>
      <w:tr w14:paraId="73FB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1" w:type="dxa"/>
            <w:noWrap w:val="0"/>
            <w:vAlign w:val="center"/>
          </w:tcPr>
          <w:p w14:paraId="6A066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008618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0E814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4A726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5F8EE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7F9AE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7BBFD2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51EDD1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4099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1" w:type="dxa"/>
            <w:noWrap w:val="0"/>
            <w:vAlign w:val="center"/>
          </w:tcPr>
          <w:p w14:paraId="54E9D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58BC1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6BE9A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3394E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050FA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549D7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19B16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7C0B2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0153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440D1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0C62A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26023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0F915F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45423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0B3FD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20794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6E77EE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4E7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3A21B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4659D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73841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345FD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5EC853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7CDBB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5FAE5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1C5AF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2EB0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11244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68235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11D79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2841C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70C750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064860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544017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2F362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bl>
    <w:p w14:paraId="4AAF6AAA">
      <w:pPr>
        <w:pStyle w:val="20"/>
        <w:spacing w:line="400" w:lineRule="exact"/>
        <w:ind w:left="1244" w:leftChars="364" w:hanging="480" w:hangingChars="150"/>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br w:type="page"/>
      </w:r>
    </w:p>
    <w:p w14:paraId="335377EA">
      <w:pPr>
        <w:pStyle w:val="20"/>
        <w:spacing w:line="400" w:lineRule="exact"/>
        <w:rPr>
          <w:rFonts w:hint="eastAsia" w:hAnsi="宋体" w:cs="宋体"/>
          <w:b/>
          <w:bCs/>
          <w:color w:val="auto"/>
          <w:sz w:val="28"/>
          <w:szCs w:val="28"/>
          <w:highlight w:val="none"/>
          <w:lang w:eastAsia="zh-CN"/>
        </w:rPr>
      </w:pPr>
    </w:p>
    <w:p w14:paraId="42DB773D">
      <w:pPr>
        <w:pStyle w:val="20"/>
        <w:spacing w:line="400" w:lineRule="exact"/>
        <w:ind w:left="0" w:leftChars="0" w:firstLine="0" w:firstLineChars="0"/>
        <w:jc w:val="center"/>
        <w:rPr>
          <w:rFonts w:hint="eastAsia" w:ascii="宋体" w:hAnsi="宋体" w:eastAsia="宋体" w:cs="宋体"/>
          <w:color w:val="auto"/>
          <w:highlight w:val="none"/>
        </w:rPr>
      </w:pPr>
      <w:r>
        <w:rPr>
          <w:rFonts w:hint="eastAsia" w:hAnsi="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认为必要提供或声明的文件资料</w:t>
      </w:r>
    </w:p>
    <w:p w14:paraId="166301E8">
      <w:pPr>
        <w:rPr>
          <w:rFonts w:hint="eastAsia"/>
          <w:color w:val="auto"/>
        </w:rPr>
      </w:pPr>
      <w:bookmarkStart w:id="1364" w:name="_Toc486923012"/>
      <w:bookmarkStart w:id="1365" w:name="_Toc239839920"/>
      <w:bookmarkStart w:id="1366" w:name="_Toc206525312"/>
      <w:bookmarkStart w:id="1367" w:name="_Toc205094828"/>
      <w:bookmarkStart w:id="1368" w:name="_Toc211355201"/>
      <w:bookmarkStart w:id="1369" w:name="_Toc210184913"/>
    </w:p>
    <w:p w14:paraId="0B943680">
      <w:pPr>
        <w:rPr>
          <w:rFonts w:hint="eastAsia"/>
          <w:color w:val="auto"/>
        </w:rPr>
      </w:pPr>
    </w:p>
    <w:p w14:paraId="225A9ED9">
      <w:pPr>
        <w:rPr>
          <w:rFonts w:hint="eastAsia"/>
          <w:color w:val="auto"/>
        </w:rPr>
      </w:pPr>
    </w:p>
    <w:p w14:paraId="21A996ED">
      <w:pPr>
        <w:rPr>
          <w:rFonts w:hint="eastAsia"/>
          <w:color w:val="auto"/>
        </w:rPr>
      </w:pPr>
    </w:p>
    <w:p w14:paraId="26D573D4">
      <w:pPr>
        <w:rPr>
          <w:rFonts w:hint="eastAsia"/>
          <w:color w:val="auto"/>
        </w:rPr>
      </w:pPr>
    </w:p>
    <w:p w14:paraId="72B3D07C">
      <w:pPr>
        <w:rPr>
          <w:rFonts w:hint="eastAsia"/>
          <w:color w:val="auto"/>
        </w:rPr>
      </w:pPr>
    </w:p>
    <w:p w14:paraId="75594E71">
      <w:pPr>
        <w:rPr>
          <w:rFonts w:hint="eastAsia"/>
          <w:color w:val="auto"/>
        </w:rPr>
      </w:pPr>
    </w:p>
    <w:p w14:paraId="42186030">
      <w:pPr>
        <w:rPr>
          <w:rFonts w:hint="eastAsia"/>
          <w:color w:val="auto"/>
        </w:rPr>
      </w:pPr>
    </w:p>
    <w:p w14:paraId="02ABEC17">
      <w:pPr>
        <w:rPr>
          <w:rFonts w:hint="eastAsia"/>
          <w:color w:val="auto"/>
        </w:rPr>
      </w:pPr>
    </w:p>
    <w:p w14:paraId="5D6159CF">
      <w:pPr>
        <w:pStyle w:val="3"/>
        <w:rPr>
          <w:rFonts w:hint="eastAsia"/>
          <w:color w:val="auto"/>
          <w:highlight w:val="none"/>
        </w:rPr>
      </w:pPr>
      <w:bookmarkStart w:id="1370" w:name="_Toc23314_WPSOffice_Level1"/>
      <w:r>
        <w:rPr>
          <w:rFonts w:hint="eastAsia"/>
          <w:color w:val="auto"/>
          <w:highlight w:val="none"/>
        </w:rPr>
        <w:br w:type="page"/>
      </w:r>
      <w:bookmarkStart w:id="1371" w:name="_Toc31198"/>
      <w:r>
        <w:rPr>
          <w:rFonts w:hint="eastAsia"/>
          <w:color w:val="auto"/>
          <w:highlight w:val="none"/>
        </w:rPr>
        <w:t>第七章   附件</w:t>
      </w:r>
      <w:bookmarkEnd w:id="1364"/>
      <w:bookmarkEnd w:id="1365"/>
      <w:bookmarkEnd w:id="1370"/>
      <w:bookmarkEnd w:id="1371"/>
    </w:p>
    <w:p w14:paraId="26F119DE">
      <w:pPr>
        <w:pStyle w:val="20"/>
        <w:spacing w:line="400" w:lineRule="exact"/>
        <w:rPr>
          <w:rFonts w:hint="eastAsia" w:ascii="宋体" w:hAnsi="宋体" w:eastAsia="宋体" w:cs="宋体"/>
          <w:color w:val="auto"/>
          <w:highlight w:val="none"/>
        </w:rPr>
      </w:pPr>
    </w:p>
    <w:p w14:paraId="5B6BF0B2">
      <w:pPr>
        <w:pStyle w:val="20"/>
        <w:spacing w:line="400" w:lineRule="exact"/>
        <w:rPr>
          <w:rFonts w:hint="eastAsia" w:ascii="宋体" w:hAnsi="宋体" w:eastAsia="宋体" w:cs="宋体"/>
          <w:color w:val="auto"/>
          <w:highlight w:val="none"/>
        </w:rPr>
      </w:pPr>
    </w:p>
    <w:p w14:paraId="20A98CA1">
      <w:pPr>
        <w:ind w:left="0" w:leftChars="0" w:firstLine="0" w:firstLineChars="0"/>
        <w:jc w:val="left"/>
        <w:rPr>
          <w:rFonts w:hint="eastAsia" w:eastAsia="宋体"/>
          <w:color w:val="auto"/>
          <w:highlight w:val="none"/>
          <w:lang w:val="en-US" w:eastAsia="zh-CN"/>
        </w:rPr>
      </w:pP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29692763">
      <w:pPr>
        <w:spacing w:line="588" w:lineRule="exact"/>
        <w:ind w:firstLine="2628" w:firstLineChars="900"/>
        <w:jc w:val="left"/>
        <w:rPr>
          <w:rFonts w:hint="eastAsia" w:ascii="宋体" w:hAnsi="宋体" w:cs="宋体"/>
          <w:b/>
          <w:color w:val="auto"/>
          <w:spacing w:val="6"/>
          <w:sz w:val="28"/>
          <w:szCs w:val="28"/>
          <w:highlight w:val="none"/>
          <w:lang w:eastAsia="zh-CN"/>
        </w:rPr>
      </w:pPr>
      <w:bookmarkStart w:id="1372" w:name="OLE_LINK13"/>
      <w:bookmarkStart w:id="1373" w:name="OLE_LINK14"/>
      <w:r>
        <w:rPr>
          <w:rFonts w:hint="eastAsia" w:ascii="宋体" w:hAnsi="宋体" w:cs="宋体"/>
          <w:b/>
          <w:color w:val="auto"/>
          <w:spacing w:val="6"/>
          <w:sz w:val="28"/>
          <w:szCs w:val="28"/>
          <w:highlight w:val="none"/>
          <w:lang w:val="en-US" w:eastAsia="zh-CN"/>
        </w:rPr>
        <w:t xml:space="preserve">中小企业声明函（工程、服务） </w:t>
      </w:r>
    </w:p>
    <w:p w14:paraId="6EDFD43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况如下：</w:t>
      </w:r>
    </w:p>
    <w:p w14:paraId="10DD1D9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1. （标的名称），属于（采购文件中明确的所属行业）；承建（承接）企业为（企业名称），从业人员</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人，营业收入为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万元，资产总额为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万元，属于（中型企业、小型企业、微型企业）； </w:t>
      </w:r>
    </w:p>
    <w:p w14:paraId="0733CAC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2. （标的名称），属于（采购文件中明确的所属行业）；承建（承接）企业为（企业名称），从业人员</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人，营业收入为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万元，资产总额为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万元，属于（中型企业、小型企业、微型企业）； </w:t>
      </w:r>
    </w:p>
    <w:p w14:paraId="3B34C82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w:t>
      </w:r>
    </w:p>
    <w:p w14:paraId="477A53A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以上企业，不属于大企业的分支机构，不存在控股股东为大企业的情形，也不存在与大企业的负责人为同一人的情形。</w:t>
      </w:r>
    </w:p>
    <w:p w14:paraId="27EC8B0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 xml:space="preserve">本企业对上述声明内容的真实性负责。如有虚假，将依法承担相应责任。 </w:t>
      </w:r>
    </w:p>
    <w:p w14:paraId="4211CA2A">
      <w:pPr>
        <w:spacing w:line="588" w:lineRule="exact"/>
        <w:ind w:firstLine="3996" w:firstLineChars="1800"/>
        <w:jc w:val="left"/>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企业名称（盖章）：</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w:t>
      </w:r>
    </w:p>
    <w:p w14:paraId="3A44D8B6">
      <w:pPr>
        <w:spacing w:line="588" w:lineRule="exact"/>
        <w:ind w:firstLine="5106" w:firstLineChars="2300"/>
        <w:jc w:val="left"/>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日 期：</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w:t>
      </w:r>
    </w:p>
    <w:p w14:paraId="11F52C15">
      <w:pPr>
        <w:spacing w:line="588" w:lineRule="exact"/>
        <w:jc w:val="left"/>
        <w:rPr>
          <w:rFonts w:hint="eastAsia" w:ascii="宋体" w:hAnsi="宋体" w:cs="宋体"/>
          <w:b w:val="0"/>
          <w:bCs/>
          <w:color w:val="auto"/>
          <w:spacing w:val="6"/>
          <w:sz w:val="18"/>
          <w:szCs w:val="18"/>
          <w:highlight w:val="none"/>
          <w:lang w:val="en-US" w:eastAsia="zh-CN"/>
        </w:rPr>
      </w:pPr>
    </w:p>
    <w:p w14:paraId="4588C981">
      <w:pPr>
        <w:spacing w:line="588" w:lineRule="exact"/>
        <w:jc w:val="left"/>
        <w:rPr>
          <w:rFonts w:hint="eastAsia" w:ascii="宋体" w:hAnsi="宋体" w:cs="宋体"/>
          <w:b w:val="0"/>
          <w:bCs/>
          <w:color w:val="auto"/>
          <w:spacing w:val="6"/>
          <w:sz w:val="18"/>
          <w:szCs w:val="18"/>
          <w:highlight w:val="none"/>
          <w:lang w:eastAsia="zh-CN"/>
        </w:rPr>
      </w:pPr>
      <w:r>
        <w:rPr>
          <w:rFonts w:hint="eastAsia" w:ascii="宋体" w:hAnsi="宋体" w:cs="宋体"/>
          <w:b w:val="0"/>
          <w:bCs/>
          <w:color w:val="auto"/>
          <w:spacing w:val="6"/>
          <w:sz w:val="18"/>
          <w:szCs w:val="18"/>
          <w:highlight w:val="none"/>
          <w:lang w:val="en-US" w:eastAsia="zh-CN"/>
        </w:rPr>
        <w:t>备注：1 从业人员、营业收入、资产总额填报上一年度数据，无上一年度数据的新成立企业可不填报。</w:t>
      </w:r>
    </w:p>
    <w:p w14:paraId="101BE280">
      <w:pPr>
        <w:spacing w:line="588" w:lineRule="exact"/>
        <w:jc w:val="left"/>
        <w:rPr>
          <w:rFonts w:hint="eastAsia" w:ascii="宋体" w:hAnsi="宋体" w:cs="宋体"/>
          <w:b w:val="0"/>
          <w:bCs/>
          <w:color w:val="auto"/>
          <w:spacing w:val="6"/>
          <w:sz w:val="18"/>
          <w:szCs w:val="18"/>
          <w:highlight w:val="none"/>
          <w:lang w:eastAsia="zh-CN"/>
        </w:rPr>
      </w:pPr>
    </w:p>
    <w:p w14:paraId="6926D5D7">
      <w:pPr>
        <w:pStyle w:val="6"/>
        <w:ind w:left="0" w:leftChars="0" w:firstLine="0" w:firstLineChars="0"/>
        <w:outlineLvl w:val="9"/>
        <w:rPr>
          <w:rFonts w:hint="eastAsia"/>
          <w:color w:val="auto"/>
          <w:lang w:eastAsia="zh-CN"/>
        </w:rPr>
      </w:pPr>
    </w:p>
    <w:p w14:paraId="0D1019D9">
      <w:pPr>
        <w:rPr>
          <w:rFonts w:hint="eastAsia"/>
          <w:color w:val="auto"/>
          <w:lang w:eastAsia="zh-CN"/>
        </w:rPr>
      </w:pPr>
    </w:p>
    <w:p w14:paraId="4DDA0E1E">
      <w:pPr>
        <w:pStyle w:val="3"/>
        <w:outlineLvl w:val="9"/>
        <w:rPr>
          <w:rFonts w:hint="eastAsia"/>
          <w:color w:val="auto"/>
          <w:lang w:eastAsia="zh-CN"/>
        </w:rPr>
      </w:pPr>
    </w:p>
    <w:p w14:paraId="11554FB5">
      <w:pPr>
        <w:spacing w:line="588" w:lineRule="exact"/>
        <w:jc w:val="left"/>
        <w:rPr>
          <w:rFonts w:hint="eastAsia"/>
          <w:color w:val="auto"/>
          <w:lang w:val="en-US" w:eastAsia="zh-CN"/>
        </w:rPr>
      </w:pPr>
      <w:r>
        <w:rPr>
          <w:rFonts w:hint="eastAsia" w:ascii="宋体" w:hAnsi="宋体" w:cs="宋体"/>
          <w:b/>
          <w:color w:val="auto"/>
          <w:spacing w:val="6"/>
          <w:sz w:val="28"/>
          <w:szCs w:val="28"/>
          <w:highlight w:val="none"/>
          <w:lang w:eastAsia="zh-CN"/>
        </w:rPr>
        <w:t>附件</w:t>
      </w:r>
      <w:r>
        <w:rPr>
          <w:rFonts w:hint="eastAsia" w:ascii="宋体" w:hAnsi="宋体" w:cs="宋体"/>
          <w:b/>
          <w:color w:val="auto"/>
          <w:spacing w:val="6"/>
          <w:sz w:val="28"/>
          <w:szCs w:val="28"/>
          <w:highlight w:val="none"/>
          <w:lang w:val="en-US" w:eastAsia="zh-CN"/>
        </w:rPr>
        <w:t>2</w:t>
      </w:r>
    </w:p>
    <w:p w14:paraId="479DAF09">
      <w:pPr>
        <w:spacing w:line="588"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残疾人福利性单位声明函</w:t>
      </w:r>
    </w:p>
    <w:bookmarkEnd w:id="1372"/>
    <w:bookmarkEnd w:id="1373"/>
    <w:p w14:paraId="782DCBDF">
      <w:pPr>
        <w:spacing w:line="588" w:lineRule="exact"/>
        <w:rPr>
          <w:rFonts w:hint="eastAsia" w:ascii="宋体" w:hAnsi="宋体" w:eastAsia="宋体" w:cs="宋体"/>
          <w:b/>
          <w:color w:val="auto"/>
          <w:spacing w:val="6"/>
          <w:sz w:val="30"/>
          <w:szCs w:val="30"/>
          <w:highlight w:val="none"/>
        </w:rPr>
      </w:pPr>
    </w:p>
    <w:p w14:paraId="2A5C8A37">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 141</w:t>
      </w:r>
      <w:r>
        <w:rPr>
          <w:rFonts w:hint="eastAsia" w:ascii="宋体" w:hAnsi="宋体" w:eastAsia="宋体" w:cs="宋体"/>
          <w:color w:val="auto"/>
          <w:spacing w:val="6"/>
          <w:sz w:val="21"/>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E83E1A">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0DA3EFA1">
      <w:pPr>
        <w:spacing w:line="588" w:lineRule="exact"/>
        <w:ind w:firstLine="444" w:firstLineChars="200"/>
        <w:rPr>
          <w:rFonts w:hint="eastAsia" w:ascii="宋体" w:hAnsi="宋体" w:eastAsia="宋体" w:cs="宋体"/>
          <w:color w:val="auto"/>
          <w:spacing w:val="6"/>
          <w:sz w:val="21"/>
          <w:szCs w:val="21"/>
          <w:highlight w:val="none"/>
        </w:rPr>
      </w:pPr>
    </w:p>
    <w:p w14:paraId="5C3F54DD">
      <w:pPr>
        <w:spacing w:line="588" w:lineRule="exact"/>
        <w:ind w:firstLine="444" w:firstLineChars="200"/>
        <w:rPr>
          <w:rFonts w:hint="eastAsia" w:ascii="宋体" w:hAnsi="宋体" w:eastAsia="宋体" w:cs="宋体"/>
          <w:color w:val="auto"/>
          <w:spacing w:val="6"/>
          <w:sz w:val="21"/>
          <w:szCs w:val="21"/>
          <w:highlight w:val="none"/>
        </w:rPr>
      </w:pPr>
    </w:p>
    <w:p w14:paraId="7682C6E6">
      <w:pPr>
        <w:tabs>
          <w:tab w:val="left" w:pos="4860"/>
        </w:tabs>
        <w:spacing w:line="588" w:lineRule="exact"/>
        <w:ind w:right="156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单位名称（盖章）：</w:t>
      </w:r>
    </w:p>
    <w:p w14:paraId="14326A34">
      <w:pPr>
        <w:jc w:val="both"/>
        <w:rPr>
          <w:rFonts w:hint="eastAsia" w:ascii="宋体" w:hAnsi="宋体" w:eastAsia="宋体" w:cs="宋体"/>
          <w:color w:val="auto"/>
          <w:spacing w:val="6"/>
          <w:sz w:val="21"/>
          <w:szCs w:val="21"/>
          <w:highlight w:val="none"/>
        </w:rPr>
      </w:pPr>
      <w:bookmarkStart w:id="1374" w:name="_Toc22985_WPSOffice_Level1"/>
      <w:bookmarkStart w:id="1375" w:name="_Toc6410_WPSOffice_Level1"/>
      <w:bookmarkStart w:id="1376" w:name="_Toc25669_WPSOffice_Level1"/>
      <w:bookmarkStart w:id="1377" w:name="_Toc191_WPSOffice_Level1"/>
      <w:bookmarkStart w:id="1378" w:name="_Toc23269_WPSOffice_Level1"/>
      <w:bookmarkStart w:id="1379" w:name="_Toc7024_WPSOffice_Level1"/>
    </w:p>
    <w:p w14:paraId="15214BA2">
      <w:pPr>
        <w:jc w:val="both"/>
        <w:rPr>
          <w:rFonts w:hint="eastAsia" w:ascii="宋体" w:hAnsi="宋体"/>
          <w:color w:val="auto"/>
          <w:szCs w:val="21"/>
          <w:highlight w:val="none"/>
          <w:shd w:val="clear" w:color="auto" w:fill="auto"/>
        </w:rPr>
        <w:sectPr>
          <w:footerReference r:id="rId12" w:type="default"/>
          <w:pgSz w:w="11906" w:h="16838"/>
          <w:pgMar w:top="1134" w:right="1361" w:bottom="1134" w:left="1361" w:header="567" w:footer="567" w:gutter="0"/>
          <w:pgNumType w:fmt="decimal"/>
          <w:cols w:space="720" w:num="1"/>
          <w:docGrid w:type="linesAndChars" w:linePitch="312" w:charSpace="0"/>
        </w:sectPr>
      </w:pPr>
      <w:r>
        <w:rPr>
          <w:rFonts w:hint="eastAsia" w:ascii="宋体" w:hAnsi="宋体" w:eastAsia="宋体" w:cs="宋体"/>
          <w:color w:val="auto"/>
          <w:spacing w:val="6"/>
          <w:sz w:val="21"/>
          <w:szCs w:val="21"/>
          <w:highlight w:val="none"/>
        </w:rPr>
        <w:t xml:space="preserve">日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期：</w:t>
      </w:r>
      <w:bookmarkEnd w:id="1374"/>
      <w:bookmarkEnd w:id="1375"/>
      <w:bookmarkEnd w:id="1376"/>
      <w:bookmarkEnd w:id="1377"/>
      <w:bookmarkEnd w:id="1378"/>
      <w:bookmarkEnd w:id="1379"/>
    </w:p>
    <w:bookmarkEnd w:id="1366"/>
    <w:bookmarkEnd w:id="1367"/>
    <w:bookmarkEnd w:id="1368"/>
    <w:bookmarkEnd w:id="1369"/>
    <w:p w14:paraId="111DDFB8">
      <w:pPr>
        <w:pStyle w:val="20"/>
        <w:snapToGrid w:val="0"/>
        <w:spacing w:before="120" w:after="120" w:line="320" w:lineRule="exact"/>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工程量清单</w:t>
      </w:r>
      <w:r>
        <w:rPr>
          <w:rFonts w:hint="eastAsia" w:ascii="宋体" w:hAnsi="宋体" w:eastAsia="宋体" w:cs="宋体"/>
          <w:color w:val="auto"/>
          <w:sz w:val="32"/>
          <w:szCs w:val="32"/>
          <w:highlight w:val="none"/>
          <w:lang w:eastAsia="zh-CN"/>
        </w:rPr>
        <w:t>、施工图纸</w:t>
      </w:r>
    </w:p>
    <w:p w14:paraId="48274CC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（另册发放）</w:t>
      </w:r>
    </w:p>
    <w:p w14:paraId="387B5112">
      <w:pPr>
        <w:ind w:left="0" w:leftChars="0" w:firstLine="0" w:firstLineChars="0"/>
        <w:rPr>
          <w:rFonts w:hint="eastAsia" w:ascii="宋体" w:hAnsi="宋体" w:eastAsia="宋体" w:cs="宋体"/>
          <w:color w:val="auto"/>
          <w:highlight w:val="none"/>
        </w:rPr>
      </w:pPr>
    </w:p>
    <w:p w14:paraId="5845997D">
      <w:pPr>
        <w:ind w:left="0" w:leftChars="0" w:firstLine="0" w:firstLineChars="0"/>
        <w:rPr>
          <w:rFonts w:hint="eastAsia" w:ascii="宋体" w:hAnsi="宋体" w:eastAsia="宋体" w:cs="宋体"/>
          <w:color w:val="auto"/>
          <w:highlight w:val="none"/>
        </w:rPr>
      </w:pPr>
    </w:p>
    <w:sectPr>
      <w:footerReference r:id="rId15" w:type="first"/>
      <w:headerReference r:id="rId13" w:type="default"/>
      <w:footerReference r:id="rId14" w:type="default"/>
      <w:pgSz w:w="11906" w:h="16838"/>
      <w:pgMar w:top="1247" w:right="1247" w:bottom="1418" w:left="1247" w:header="680" w:footer="851" w:gutter="0"/>
      <w:pgNumType w:fmt="decimal"/>
      <w:cols w:space="720" w:num="1"/>
      <w:titlePg/>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E0E985D-26E6-4109-8160-2CF48348AB64}"/>
  </w:font>
  <w:font w:name="Arial">
    <w:panose1 w:val="020B0604020202020204"/>
    <w:charset w:val="01"/>
    <w:family w:val="swiss"/>
    <w:pitch w:val="default"/>
    <w:sig w:usb0="E0002EFF" w:usb1="C000785B" w:usb2="00000009" w:usb3="00000000" w:csb0="400001FF" w:csb1="FFFF0000"/>
    <w:embedRegular r:id="rId2" w:fontKey="{A4F50A11-8236-4EE7-B1B4-71A8AC58EE3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3" w:fontKey="{EEA2146D-8B30-4C22-AA9C-64921063561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CC2DD6A0-4C36-47C2-BDEC-ED1C99948940}"/>
  </w:font>
  <w:font w:name="方正仿宋_GB2312">
    <w:panose1 w:val="02000000000000000000"/>
    <w:charset w:val="86"/>
    <w:family w:val="auto"/>
    <w:pitch w:val="default"/>
    <w:sig w:usb0="A00002BF" w:usb1="184F6CFA" w:usb2="00000012" w:usb3="00000000" w:csb0="00040001" w:csb1="00000000"/>
    <w:embedRegular r:id="rId5" w:fontKey="{28617947-9250-4699-83E4-6A71EAD161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CE9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9841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1FA0BE">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VyZTt8BAAC/AwAADgAAAAAA&#10;AAABACAAAAAeAQAAZHJzL2Uyb0RvYy54bWxQSwUGAAAAAAYABgBZAQAAbwUAAAAA&#10;">
              <v:fill on="f" focussize="0,0"/>
              <v:stroke on="f"/>
              <v:imagedata o:title=""/>
              <o:lock v:ext="edit" aspectratio="f"/>
              <v:textbox inset="0mm,0mm,0mm,0mm" style="mso-fit-shape-to-text:t;">
                <w:txbxContent>
                  <w:p w14:paraId="2B1FA0B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2FDD">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C4C34B">
                          <w:pPr>
                            <w:pStyle w:val="2"/>
                          </w:pPr>
                          <w:r>
                            <w:fldChar w:fldCharType="begin"/>
                          </w:r>
                          <w:r>
                            <w:instrText xml:space="preserve"> PAGE  \* MERGEFORMAT </w:instrText>
                          </w:r>
                          <w:r>
                            <w:fldChar w:fldCharType="separate"/>
                          </w:r>
                          <w:r>
                            <w:t>80</w:t>
                          </w:r>
                          <w:r>
                            <w:fldChar w:fldCharType="end"/>
                          </w:r>
                        </w:p>
                      </w:txbxContent>
                    </wps:txbx>
                    <wps:bodyPr vert="horz" wrap="none" lIns="0" tIns="0" rIns="0" bIns="0" anchor="t" anchorCtr="0" upright="0">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trReN8BAAC/AwAADgAAAAAA&#10;AAABACAAAAAeAQAAZHJzL2Uyb0RvYy54bWxQSwUGAAAAAAYABgBZAQAAbwUAAAAA&#10;">
              <v:fill on="f" focussize="0,0"/>
              <v:stroke on="f"/>
              <v:imagedata o:title=""/>
              <o:lock v:ext="edit" aspectratio="f"/>
              <v:textbox inset="0mm,0mm,0mm,0mm" style="mso-fit-shape-to-text:t;">
                <w:txbxContent>
                  <w:p w14:paraId="35C4C34B">
                    <w:pPr>
                      <w:pStyle w:val="2"/>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89E6">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C4A1C4">
                          <w:pPr>
                            <w:pStyle w:val="2"/>
                          </w:pPr>
                          <w:r>
                            <w:fldChar w:fldCharType="begin"/>
                          </w:r>
                          <w:r>
                            <w:instrText xml:space="preserve"> PAGE  \* MERGEFORMAT </w:instrText>
                          </w:r>
                          <w:r>
                            <w:fldChar w:fldCharType="separate"/>
                          </w:r>
                          <w:r>
                            <w:t>82</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Bk0t8BAAC/AwAADgAAAGRycy9lMm9Eb2MueG1srVPNjtMwEL4j8Q6W&#10;7zTZSqx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k1Z05YGvj5+7fzj1/nn1/Z&#10;8x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hBk0t8BAAC/AwAADgAAAAAA&#10;AAABACAAAAAeAQAAZHJzL2Uyb0RvYy54bWxQSwUGAAAAAAYABgBZAQAAbwUAAAAA&#10;">
              <v:fill on="f" focussize="0,0"/>
              <v:stroke on="f"/>
              <v:imagedata o:title=""/>
              <o:lock v:ext="edit" aspectratio="f"/>
              <v:textbox inset="0mm,0mm,0mm,0mm" style="mso-fit-shape-to-text:t;">
                <w:txbxContent>
                  <w:p w14:paraId="68C4A1C4">
                    <w:pPr>
                      <w:pStyle w:val="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32E9D">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29D77">
                          <w:pPr>
                            <w:pStyle w:val="2"/>
                          </w:pPr>
                          <w:r>
                            <w:fldChar w:fldCharType="begin"/>
                          </w:r>
                          <w:r>
                            <w:instrText xml:space="preserve"> PAGE  \* MERGEFORMAT </w:instrText>
                          </w:r>
                          <w:r>
                            <w:fldChar w:fldCharType="separate"/>
                          </w:r>
                          <w:r>
                            <w:t>85</w:t>
                          </w:r>
                          <w:r>
                            <w:fldChar w:fldCharType="end"/>
                          </w:r>
                        </w:p>
                      </w:txbxContent>
                    </wps:txbx>
                    <wps:bodyPr vert="horz" wrap="none" lIns="0" tIns="0" rIns="0" bIns="0" anchor="t" anchorCtr="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iesMk3gEAAL8DAAAOAAAAAAAA&#10;AAEAIAAAAB4BAABkcnMvZTJvRG9jLnhtbFBLBQYAAAAABgAGAFkBAABuBQAAAAA=&#10;">
              <v:fill on="f" focussize="0,0"/>
              <v:stroke on="f"/>
              <v:imagedata o:title=""/>
              <o:lock v:ext="edit" aspectratio="f"/>
              <v:textbox inset="0mm,0mm,0mm,0mm" style="mso-fit-shape-to-text:t;">
                <w:txbxContent>
                  <w:p w14:paraId="54C29D77">
                    <w:pPr>
                      <w:pStyle w:val="2"/>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2AA2">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6727F0">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P1A90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PYnbA08Mv3b5cfvy4/v7Kb&#10;ZdKnD1BR2n2gRBxe+YG2ZvYDORPtoY02/YkQozipe76qqwZkMl1ar9brkkKSYvOB8IuH6yECvlHe&#10;smTUPNL4sqri9A5wTJ1TUjXn77QxeYTG/eUgzOQpUu9jj8nCYT9MhPa+ORMfegdUp/PxC2c9bUHN&#10;HS09Z+atI5HTwsxGnI39bAgn6WLNkbPRfI3jYh1D1Icur1pqCsLLI1KnmUBqY6w9dUdzzRJMO5gW&#10;589zznp4d9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rD9QPdAQAAvwMAAA4AAAAAAAAA&#10;AQAgAAAAHgEAAGRycy9lMm9Eb2MueG1sUEsFBgAAAAAGAAYAWQEAAG0FAAAAAA==&#10;">
              <v:fill on="f" focussize="0,0"/>
              <v:stroke on="f"/>
              <v:imagedata o:title=""/>
              <o:lock v:ext="edit" aspectratio="f"/>
              <v:textbox inset="0mm,0mm,0mm,0mm" style="mso-fit-shape-to-text:t;">
                <w:txbxContent>
                  <w:p w14:paraId="306727F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30831">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4C09B5">
                          <w:pPr>
                            <w:pStyle w:val="2"/>
                          </w:pPr>
                          <w:r>
                            <w:fldChar w:fldCharType="begin"/>
                          </w:r>
                          <w:r>
                            <w:instrText xml:space="preserve"> PAGE  \* MERGEFORMAT </w:instrText>
                          </w:r>
                          <w:r>
                            <w:fldChar w:fldCharType="separate"/>
                          </w:r>
                          <w:r>
                            <w:t>91</w:t>
                          </w:r>
                          <w:r>
                            <w:fldChar w:fldCharType="end"/>
                          </w:r>
                        </w:p>
                      </w:txbxContent>
                    </wps:txbx>
                    <wps:bodyPr vert="horz" wrap="none" lIns="0" tIns="0" rIns="0" bIns="0" anchor="t" anchorCtr="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st/Tq3gEAAL8DAAAOAAAAAAAA&#10;AAEAIAAAAB4BAABkcnMvZTJvRG9jLnhtbFBLBQYAAAAABgAGAFkBAABuBQAAAAA=&#10;">
              <v:fill on="f" focussize="0,0"/>
              <v:stroke on="f"/>
              <v:imagedata o:title=""/>
              <o:lock v:ext="edit" aspectratio="f"/>
              <v:textbox inset="0mm,0mm,0mm,0mm" style="mso-fit-shape-to-text:t;">
                <w:txbxContent>
                  <w:p w14:paraId="304C09B5">
                    <w:pPr>
                      <w:pStyle w:val="2"/>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FBC7A">
    <w:pPr>
      <w:pStyle w:val="24"/>
    </w:pPr>
    <w:r>
      <w:rPr>
        <w:rFonts w:hint="eastAsia"/>
        <w:lang w:eastAsia="zh-CN"/>
      </w:rPr>
      <w:t>2019年高标准农田建设项目设计服务采购</w:t>
    </w:r>
    <w:r>
      <w:rPr>
        <w:rFonts w:hint="eastAsia"/>
      </w:rPr>
      <w:t>（</w:t>
    </w:r>
    <w:r>
      <w:rPr>
        <w:rFonts w:hint="eastAsia"/>
        <w:lang w:val="en-US" w:eastAsia="zh-CN"/>
      </w:rPr>
      <w:t>WZZC2019-C3-70056-GXCJ</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97C16">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7AA4">
    <w:pPr>
      <w:pStyle w:val="24"/>
      <w:jc w:val="both"/>
      <w:rPr>
        <w:b w:val="0"/>
        <w:bCs/>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1FE8">
    <w:pPr>
      <w:pStyle w:val="24"/>
    </w:pPr>
    <w:r>
      <w:rPr>
        <w:sz w:val="18"/>
      </w:rPr>
      <w:pict>
        <v:shape id="_x0000_s2111" o:spid="_x0000_s2111" o:spt="136" type="#_x0000_t136" style="position:absolute;left:0pt;height:54.35pt;width:572.7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广西建坤工程咨询有限公司" style="font-family:宋体;font-size:5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34E48"/>
    <w:multiLevelType w:val="singleLevel"/>
    <w:tmpl w:val="96234E48"/>
    <w:lvl w:ilvl="0" w:tentative="0">
      <w:start w:val="1"/>
      <w:numFmt w:val="decimal"/>
      <w:suff w:val="nothing"/>
      <w:lvlText w:val="（%1）"/>
      <w:lvlJc w:val="left"/>
    </w:lvl>
  </w:abstractNum>
  <w:abstractNum w:abstractNumId="1">
    <w:nsid w:val="A82A06EF"/>
    <w:multiLevelType w:val="singleLevel"/>
    <w:tmpl w:val="A82A06EF"/>
    <w:lvl w:ilvl="0" w:tentative="0">
      <w:start w:val="2"/>
      <w:numFmt w:val="decimal"/>
      <w:suff w:val="nothing"/>
      <w:lvlText w:val="%1、"/>
      <w:lvlJc w:val="left"/>
    </w:lvl>
  </w:abstractNum>
  <w:abstractNum w:abstractNumId="2">
    <w:nsid w:val="09DC7194"/>
    <w:multiLevelType w:val="multilevel"/>
    <w:tmpl w:val="09DC7194"/>
    <w:lvl w:ilvl="0" w:tentative="0">
      <w:start w:val="1"/>
      <w:numFmt w:val="decimal"/>
      <w:pStyle w:val="78"/>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5498E193"/>
    <w:multiLevelType w:val="singleLevel"/>
    <w:tmpl w:val="5498E193"/>
    <w:lvl w:ilvl="0" w:tentative="0">
      <w:start w:val="11"/>
      <w:numFmt w:val="decimal"/>
      <w:suff w:val="space"/>
      <w:lvlText w:val="%1."/>
      <w:lvlJc w:val="left"/>
    </w:lvl>
  </w:abstractNum>
  <w:abstractNum w:abstractNumId="4">
    <w:nsid w:val="618A4A69"/>
    <w:multiLevelType w:val="singleLevel"/>
    <w:tmpl w:val="618A4A69"/>
    <w:lvl w:ilvl="0" w:tentative="0">
      <w:start w:val="10"/>
      <w:numFmt w:val="decimal"/>
      <w:suff w:val="nothing"/>
      <w:lvlText w:val="%1．"/>
      <w:lvlJc w:val="left"/>
    </w:lvl>
  </w:abstractNum>
  <w:num w:numId="1">
    <w:abstractNumId w:val="2"/>
  </w:num>
  <w:num w:numId="2">
    <w:abstractNumId w:val="4"/>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YmMzY2UyNjlhMGMzOGJlOTI0MGFkMWJhODQ4ZTgifQ=="/>
  </w:docVars>
  <w:rsids>
    <w:rsidRoot w:val="00172A27"/>
    <w:rsid w:val="00000B42"/>
    <w:rsid w:val="00001079"/>
    <w:rsid w:val="000017B7"/>
    <w:rsid w:val="000018CD"/>
    <w:rsid w:val="00001AC4"/>
    <w:rsid w:val="00001C5C"/>
    <w:rsid w:val="0000227D"/>
    <w:rsid w:val="00003949"/>
    <w:rsid w:val="00003F4D"/>
    <w:rsid w:val="00005BF7"/>
    <w:rsid w:val="0000623B"/>
    <w:rsid w:val="00006643"/>
    <w:rsid w:val="000074D5"/>
    <w:rsid w:val="000076CD"/>
    <w:rsid w:val="000079C1"/>
    <w:rsid w:val="00007A7E"/>
    <w:rsid w:val="000107F7"/>
    <w:rsid w:val="0001105E"/>
    <w:rsid w:val="00011764"/>
    <w:rsid w:val="00011766"/>
    <w:rsid w:val="0001219A"/>
    <w:rsid w:val="0001220F"/>
    <w:rsid w:val="000125C2"/>
    <w:rsid w:val="000128B9"/>
    <w:rsid w:val="000134E6"/>
    <w:rsid w:val="0001398F"/>
    <w:rsid w:val="00013B5F"/>
    <w:rsid w:val="000158BE"/>
    <w:rsid w:val="00015B2A"/>
    <w:rsid w:val="00016379"/>
    <w:rsid w:val="00016380"/>
    <w:rsid w:val="0001794B"/>
    <w:rsid w:val="00017A2C"/>
    <w:rsid w:val="0002011F"/>
    <w:rsid w:val="00020F84"/>
    <w:rsid w:val="000213F1"/>
    <w:rsid w:val="00021848"/>
    <w:rsid w:val="00022104"/>
    <w:rsid w:val="000227E6"/>
    <w:rsid w:val="000241E3"/>
    <w:rsid w:val="00024ADC"/>
    <w:rsid w:val="00024F3C"/>
    <w:rsid w:val="00024FBE"/>
    <w:rsid w:val="00025766"/>
    <w:rsid w:val="000259EF"/>
    <w:rsid w:val="00025DCC"/>
    <w:rsid w:val="00026B40"/>
    <w:rsid w:val="00027084"/>
    <w:rsid w:val="000301A0"/>
    <w:rsid w:val="000302A3"/>
    <w:rsid w:val="0003068D"/>
    <w:rsid w:val="000308E0"/>
    <w:rsid w:val="000312E1"/>
    <w:rsid w:val="00033589"/>
    <w:rsid w:val="00033909"/>
    <w:rsid w:val="00033AEC"/>
    <w:rsid w:val="00033F96"/>
    <w:rsid w:val="000342D1"/>
    <w:rsid w:val="00034B6B"/>
    <w:rsid w:val="00034C7B"/>
    <w:rsid w:val="00035342"/>
    <w:rsid w:val="000355A5"/>
    <w:rsid w:val="000358FA"/>
    <w:rsid w:val="00036AA1"/>
    <w:rsid w:val="00036B70"/>
    <w:rsid w:val="00036FE3"/>
    <w:rsid w:val="00040692"/>
    <w:rsid w:val="00041F57"/>
    <w:rsid w:val="0004255E"/>
    <w:rsid w:val="000427C8"/>
    <w:rsid w:val="000427FE"/>
    <w:rsid w:val="00042809"/>
    <w:rsid w:val="0004304A"/>
    <w:rsid w:val="000430C9"/>
    <w:rsid w:val="000441AA"/>
    <w:rsid w:val="00044316"/>
    <w:rsid w:val="00044DE9"/>
    <w:rsid w:val="00045180"/>
    <w:rsid w:val="00045750"/>
    <w:rsid w:val="00045861"/>
    <w:rsid w:val="00046655"/>
    <w:rsid w:val="0004691F"/>
    <w:rsid w:val="000469D1"/>
    <w:rsid w:val="0004726B"/>
    <w:rsid w:val="000503CC"/>
    <w:rsid w:val="00050557"/>
    <w:rsid w:val="000506D2"/>
    <w:rsid w:val="0005188A"/>
    <w:rsid w:val="000519A4"/>
    <w:rsid w:val="00051A9C"/>
    <w:rsid w:val="000520A1"/>
    <w:rsid w:val="0005230D"/>
    <w:rsid w:val="0005275A"/>
    <w:rsid w:val="0005366C"/>
    <w:rsid w:val="00053AA2"/>
    <w:rsid w:val="000556AB"/>
    <w:rsid w:val="000564F8"/>
    <w:rsid w:val="00056E66"/>
    <w:rsid w:val="00057204"/>
    <w:rsid w:val="00057260"/>
    <w:rsid w:val="000572BD"/>
    <w:rsid w:val="00060190"/>
    <w:rsid w:val="000605B5"/>
    <w:rsid w:val="000606CA"/>
    <w:rsid w:val="00060B38"/>
    <w:rsid w:val="00061219"/>
    <w:rsid w:val="00062D52"/>
    <w:rsid w:val="00062D9D"/>
    <w:rsid w:val="0006309F"/>
    <w:rsid w:val="0006319D"/>
    <w:rsid w:val="000643A2"/>
    <w:rsid w:val="000657BA"/>
    <w:rsid w:val="00070404"/>
    <w:rsid w:val="00070F77"/>
    <w:rsid w:val="00071272"/>
    <w:rsid w:val="00071745"/>
    <w:rsid w:val="00072E6C"/>
    <w:rsid w:val="00073280"/>
    <w:rsid w:val="0007365D"/>
    <w:rsid w:val="00073C12"/>
    <w:rsid w:val="000740E1"/>
    <w:rsid w:val="00076A24"/>
    <w:rsid w:val="000772FC"/>
    <w:rsid w:val="00077943"/>
    <w:rsid w:val="00077B38"/>
    <w:rsid w:val="00077D4C"/>
    <w:rsid w:val="00080204"/>
    <w:rsid w:val="000803FE"/>
    <w:rsid w:val="00082F86"/>
    <w:rsid w:val="00083070"/>
    <w:rsid w:val="000831F5"/>
    <w:rsid w:val="00084884"/>
    <w:rsid w:val="000859EE"/>
    <w:rsid w:val="00085E91"/>
    <w:rsid w:val="00086AD6"/>
    <w:rsid w:val="00086BC8"/>
    <w:rsid w:val="000872CE"/>
    <w:rsid w:val="000872CF"/>
    <w:rsid w:val="000874F6"/>
    <w:rsid w:val="000876B6"/>
    <w:rsid w:val="00087DF4"/>
    <w:rsid w:val="000910F3"/>
    <w:rsid w:val="0009115A"/>
    <w:rsid w:val="000916E3"/>
    <w:rsid w:val="00092658"/>
    <w:rsid w:val="000926B1"/>
    <w:rsid w:val="00092B83"/>
    <w:rsid w:val="000939A4"/>
    <w:rsid w:val="000942C0"/>
    <w:rsid w:val="0009462C"/>
    <w:rsid w:val="000951A2"/>
    <w:rsid w:val="00095875"/>
    <w:rsid w:val="00096B9E"/>
    <w:rsid w:val="000A058C"/>
    <w:rsid w:val="000A0626"/>
    <w:rsid w:val="000A0962"/>
    <w:rsid w:val="000A10CF"/>
    <w:rsid w:val="000A15F7"/>
    <w:rsid w:val="000A1C17"/>
    <w:rsid w:val="000A2124"/>
    <w:rsid w:val="000A2BD3"/>
    <w:rsid w:val="000A3029"/>
    <w:rsid w:val="000A468A"/>
    <w:rsid w:val="000A4A2E"/>
    <w:rsid w:val="000A4B57"/>
    <w:rsid w:val="000A4D58"/>
    <w:rsid w:val="000A66CC"/>
    <w:rsid w:val="000A703C"/>
    <w:rsid w:val="000A7066"/>
    <w:rsid w:val="000A7156"/>
    <w:rsid w:val="000A7A56"/>
    <w:rsid w:val="000A7C07"/>
    <w:rsid w:val="000A7FD5"/>
    <w:rsid w:val="000B071A"/>
    <w:rsid w:val="000B07DD"/>
    <w:rsid w:val="000B2599"/>
    <w:rsid w:val="000B3369"/>
    <w:rsid w:val="000B34A1"/>
    <w:rsid w:val="000B3DD9"/>
    <w:rsid w:val="000B4664"/>
    <w:rsid w:val="000B4B43"/>
    <w:rsid w:val="000B4C39"/>
    <w:rsid w:val="000B580F"/>
    <w:rsid w:val="000B595F"/>
    <w:rsid w:val="000B63B7"/>
    <w:rsid w:val="000B6663"/>
    <w:rsid w:val="000B6CD3"/>
    <w:rsid w:val="000B70F8"/>
    <w:rsid w:val="000B7A81"/>
    <w:rsid w:val="000B7B23"/>
    <w:rsid w:val="000C0A20"/>
    <w:rsid w:val="000C0FE3"/>
    <w:rsid w:val="000C140E"/>
    <w:rsid w:val="000C180B"/>
    <w:rsid w:val="000C2689"/>
    <w:rsid w:val="000C26ED"/>
    <w:rsid w:val="000C2F92"/>
    <w:rsid w:val="000C3001"/>
    <w:rsid w:val="000C3177"/>
    <w:rsid w:val="000C346D"/>
    <w:rsid w:val="000C36BD"/>
    <w:rsid w:val="000C3FD9"/>
    <w:rsid w:val="000C46E4"/>
    <w:rsid w:val="000C529E"/>
    <w:rsid w:val="000C7815"/>
    <w:rsid w:val="000C7EB7"/>
    <w:rsid w:val="000D0272"/>
    <w:rsid w:val="000D0A20"/>
    <w:rsid w:val="000D22B4"/>
    <w:rsid w:val="000D3426"/>
    <w:rsid w:val="000D4FCC"/>
    <w:rsid w:val="000D5AD0"/>
    <w:rsid w:val="000D5D0A"/>
    <w:rsid w:val="000D6492"/>
    <w:rsid w:val="000D671A"/>
    <w:rsid w:val="000D6A40"/>
    <w:rsid w:val="000D6CE0"/>
    <w:rsid w:val="000D70C0"/>
    <w:rsid w:val="000D72B1"/>
    <w:rsid w:val="000D761F"/>
    <w:rsid w:val="000D777A"/>
    <w:rsid w:val="000E0885"/>
    <w:rsid w:val="000E090D"/>
    <w:rsid w:val="000E0E84"/>
    <w:rsid w:val="000E12A7"/>
    <w:rsid w:val="000E143D"/>
    <w:rsid w:val="000E1673"/>
    <w:rsid w:val="000E2233"/>
    <w:rsid w:val="000E2824"/>
    <w:rsid w:val="000E3B10"/>
    <w:rsid w:val="000E4F07"/>
    <w:rsid w:val="000E50A0"/>
    <w:rsid w:val="000E714F"/>
    <w:rsid w:val="000E7431"/>
    <w:rsid w:val="000E7938"/>
    <w:rsid w:val="000E7AC0"/>
    <w:rsid w:val="000E7E3A"/>
    <w:rsid w:val="000F021B"/>
    <w:rsid w:val="000F09A5"/>
    <w:rsid w:val="000F09E4"/>
    <w:rsid w:val="000F0D07"/>
    <w:rsid w:val="000F1252"/>
    <w:rsid w:val="000F21D5"/>
    <w:rsid w:val="000F379E"/>
    <w:rsid w:val="000F4175"/>
    <w:rsid w:val="000F4F5C"/>
    <w:rsid w:val="000F55F3"/>
    <w:rsid w:val="000F5976"/>
    <w:rsid w:val="000F5C96"/>
    <w:rsid w:val="000F6713"/>
    <w:rsid w:val="000F7311"/>
    <w:rsid w:val="000F7A31"/>
    <w:rsid w:val="000F7CD9"/>
    <w:rsid w:val="000F7E6C"/>
    <w:rsid w:val="0010010F"/>
    <w:rsid w:val="001009D6"/>
    <w:rsid w:val="00100BBB"/>
    <w:rsid w:val="0010126D"/>
    <w:rsid w:val="001014D0"/>
    <w:rsid w:val="00101882"/>
    <w:rsid w:val="001027F8"/>
    <w:rsid w:val="00103108"/>
    <w:rsid w:val="001031D6"/>
    <w:rsid w:val="001035C8"/>
    <w:rsid w:val="00103990"/>
    <w:rsid w:val="00103E90"/>
    <w:rsid w:val="00104AD2"/>
    <w:rsid w:val="00106513"/>
    <w:rsid w:val="0011048C"/>
    <w:rsid w:val="00110833"/>
    <w:rsid w:val="00110D49"/>
    <w:rsid w:val="00110E32"/>
    <w:rsid w:val="001113FD"/>
    <w:rsid w:val="00112D7D"/>
    <w:rsid w:val="00112D9A"/>
    <w:rsid w:val="00112EF2"/>
    <w:rsid w:val="00113125"/>
    <w:rsid w:val="00113B30"/>
    <w:rsid w:val="00113E16"/>
    <w:rsid w:val="00113FF4"/>
    <w:rsid w:val="00114DD5"/>
    <w:rsid w:val="00115F18"/>
    <w:rsid w:val="00116461"/>
    <w:rsid w:val="00117817"/>
    <w:rsid w:val="00117F97"/>
    <w:rsid w:val="00117FFC"/>
    <w:rsid w:val="0012003C"/>
    <w:rsid w:val="00120B56"/>
    <w:rsid w:val="00122185"/>
    <w:rsid w:val="00122381"/>
    <w:rsid w:val="001236C5"/>
    <w:rsid w:val="00123E9C"/>
    <w:rsid w:val="0012558C"/>
    <w:rsid w:val="0012578B"/>
    <w:rsid w:val="00126901"/>
    <w:rsid w:val="001270DE"/>
    <w:rsid w:val="00127253"/>
    <w:rsid w:val="001273A0"/>
    <w:rsid w:val="00127BE3"/>
    <w:rsid w:val="00127C05"/>
    <w:rsid w:val="00127C2D"/>
    <w:rsid w:val="001301DC"/>
    <w:rsid w:val="00130469"/>
    <w:rsid w:val="001312AA"/>
    <w:rsid w:val="001315FB"/>
    <w:rsid w:val="0013238B"/>
    <w:rsid w:val="001324DA"/>
    <w:rsid w:val="0013272E"/>
    <w:rsid w:val="001328E0"/>
    <w:rsid w:val="00132C41"/>
    <w:rsid w:val="00132F75"/>
    <w:rsid w:val="00133213"/>
    <w:rsid w:val="00133368"/>
    <w:rsid w:val="00133FEC"/>
    <w:rsid w:val="00134147"/>
    <w:rsid w:val="001358B2"/>
    <w:rsid w:val="001359F4"/>
    <w:rsid w:val="00135BE3"/>
    <w:rsid w:val="00136381"/>
    <w:rsid w:val="001364CF"/>
    <w:rsid w:val="001364DB"/>
    <w:rsid w:val="001408B7"/>
    <w:rsid w:val="00140B15"/>
    <w:rsid w:val="00141677"/>
    <w:rsid w:val="00142310"/>
    <w:rsid w:val="001424B3"/>
    <w:rsid w:val="00142A0B"/>
    <w:rsid w:val="00143272"/>
    <w:rsid w:val="00143329"/>
    <w:rsid w:val="0014415F"/>
    <w:rsid w:val="001443EC"/>
    <w:rsid w:val="00145797"/>
    <w:rsid w:val="0014631C"/>
    <w:rsid w:val="00146399"/>
    <w:rsid w:val="00146DEC"/>
    <w:rsid w:val="001471BA"/>
    <w:rsid w:val="0014725A"/>
    <w:rsid w:val="001502D5"/>
    <w:rsid w:val="00151BDB"/>
    <w:rsid w:val="00151DA4"/>
    <w:rsid w:val="0015244A"/>
    <w:rsid w:val="00153762"/>
    <w:rsid w:val="00153E13"/>
    <w:rsid w:val="00153F90"/>
    <w:rsid w:val="00154A5E"/>
    <w:rsid w:val="00154DA1"/>
    <w:rsid w:val="00155575"/>
    <w:rsid w:val="00155B16"/>
    <w:rsid w:val="001562D7"/>
    <w:rsid w:val="00156487"/>
    <w:rsid w:val="00156D2F"/>
    <w:rsid w:val="0015725B"/>
    <w:rsid w:val="00157D9B"/>
    <w:rsid w:val="0016268D"/>
    <w:rsid w:val="00163506"/>
    <w:rsid w:val="001635FF"/>
    <w:rsid w:val="00163956"/>
    <w:rsid w:val="00163A44"/>
    <w:rsid w:val="00163CE0"/>
    <w:rsid w:val="00164780"/>
    <w:rsid w:val="00164805"/>
    <w:rsid w:val="00165096"/>
    <w:rsid w:val="00165158"/>
    <w:rsid w:val="00165D6E"/>
    <w:rsid w:val="00166307"/>
    <w:rsid w:val="00166C51"/>
    <w:rsid w:val="0016710B"/>
    <w:rsid w:val="001676CD"/>
    <w:rsid w:val="00167F3E"/>
    <w:rsid w:val="00167F6D"/>
    <w:rsid w:val="00170779"/>
    <w:rsid w:val="00171AC2"/>
    <w:rsid w:val="00171D12"/>
    <w:rsid w:val="00172033"/>
    <w:rsid w:val="00172388"/>
    <w:rsid w:val="00172C29"/>
    <w:rsid w:val="00172DDE"/>
    <w:rsid w:val="00174392"/>
    <w:rsid w:val="00174791"/>
    <w:rsid w:val="001747C4"/>
    <w:rsid w:val="00176341"/>
    <w:rsid w:val="00176FE1"/>
    <w:rsid w:val="001774FB"/>
    <w:rsid w:val="001775B1"/>
    <w:rsid w:val="00177BF3"/>
    <w:rsid w:val="00177F6C"/>
    <w:rsid w:val="0018054F"/>
    <w:rsid w:val="001807B2"/>
    <w:rsid w:val="00180B52"/>
    <w:rsid w:val="00180D1F"/>
    <w:rsid w:val="00181171"/>
    <w:rsid w:val="00181D61"/>
    <w:rsid w:val="001826B1"/>
    <w:rsid w:val="00183F7E"/>
    <w:rsid w:val="00184283"/>
    <w:rsid w:val="001846B7"/>
    <w:rsid w:val="00186520"/>
    <w:rsid w:val="0018654F"/>
    <w:rsid w:val="001869B7"/>
    <w:rsid w:val="001869CF"/>
    <w:rsid w:val="0018733F"/>
    <w:rsid w:val="00187867"/>
    <w:rsid w:val="0019048B"/>
    <w:rsid w:val="00190971"/>
    <w:rsid w:val="00191DE2"/>
    <w:rsid w:val="0019207A"/>
    <w:rsid w:val="0019291D"/>
    <w:rsid w:val="00192A77"/>
    <w:rsid w:val="00193AB2"/>
    <w:rsid w:val="0019406E"/>
    <w:rsid w:val="00194D37"/>
    <w:rsid w:val="00194DCE"/>
    <w:rsid w:val="0019517E"/>
    <w:rsid w:val="001952E7"/>
    <w:rsid w:val="001958BD"/>
    <w:rsid w:val="00195B50"/>
    <w:rsid w:val="00195BFA"/>
    <w:rsid w:val="00196216"/>
    <w:rsid w:val="0019692F"/>
    <w:rsid w:val="00196EEC"/>
    <w:rsid w:val="001970E2"/>
    <w:rsid w:val="00197312"/>
    <w:rsid w:val="00197B93"/>
    <w:rsid w:val="001A02F1"/>
    <w:rsid w:val="001A0EA2"/>
    <w:rsid w:val="001A1162"/>
    <w:rsid w:val="001A1A46"/>
    <w:rsid w:val="001A2276"/>
    <w:rsid w:val="001A298E"/>
    <w:rsid w:val="001A300C"/>
    <w:rsid w:val="001A3050"/>
    <w:rsid w:val="001A46EA"/>
    <w:rsid w:val="001A47CF"/>
    <w:rsid w:val="001A5100"/>
    <w:rsid w:val="001A5FBA"/>
    <w:rsid w:val="001A7CF7"/>
    <w:rsid w:val="001A7FB1"/>
    <w:rsid w:val="001A7FB7"/>
    <w:rsid w:val="001B2D10"/>
    <w:rsid w:val="001B2F1C"/>
    <w:rsid w:val="001B3B7A"/>
    <w:rsid w:val="001B3BF3"/>
    <w:rsid w:val="001B4B67"/>
    <w:rsid w:val="001B4C2B"/>
    <w:rsid w:val="001B4C92"/>
    <w:rsid w:val="001B59EC"/>
    <w:rsid w:val="001B5C4B"/>
    <w:rsid w:val="001B65A9"/>
    <w:rsid w:val="001B77D8"/>
    <w:rsid w:val="001C01E4"/>
    <w:rsid w:val="001C0831"/>
    <w:rsid w:val="001C0883"/>
    <w:rsid w:val="001C0BB6"/>
    <w:rsid w:val="001C1666"/>
    <w:rsid w:val="001C3311"/>
    <w:rsid w:val="001C34BB"/>
    <w:rsid w:val="001C4D07"/>
    <w:rsid w:val="001C54B5"/>
    <w:rsid w:val="001C5BDF"/>
    <w:rsid w:val="001C7753"/>
    <w:rsid w:val="001C7AD6"/>
    <w:rsid w:val="001C7E6B"/>
    <w:rsid w:val="001D00DB"/>
    <w:rsid w:val="001D029B"/>
    <w:rsid w:val="001D14E8"/>
    <w:rsid w:val="001D182B"/>
    <w:rsid w:val="001D1A61"/>
    <w:rsid w:val="001D1B80"/>
    <w:rsid w:val="001D208E"/>
    <w:rsid w:val="001D2778"/>
    <w:rsid w:val="001D3772"/>
    <w:rsid w:val="001D3B88"/>
    <w:rsid w:val="001D3C03"/>
    <w:rsid w:val="001D436D"/>
    <w:rsid w:val="001D4F82"/>
    <w:rsid w:val="001D5D70"/>
    <w:rsid w:val="001D5DEC"/>
    <w:rsid w:val="001D6B9E"/>
    <w:rsid w:val="001D71A2"/>
    <w:rsid w:val="001D7C12"/>
    <w:rsid w:val="001D7C87"/>
    <w:rsid w:val="001D7D75"/>
    <w:rsid w:val="001E0833"/>
    <w:rsid w:val="001E102D"/>
    <w:rsid w:val="001E149C"/>
    <w:rsid w:val="001E1903"/>
    <w:rsid w:val="001E1C5B"/>
    <w:rsid w:val="001E2100"/>
    <w:rsid w:val="001E2CAB"/>
    <w:rsid w:val="001E2F0B"/>
    <w:rsid w:val="001E2F8C"/>
    <w:rsid w:val="001E3543"/>
    <w:rsid w:val="001E364F"/>
    <w:rsid w:val="001E40F5"/>
    <w:rsid w:val="001E415D"/>
    <w:rsid w:val="001E4B84"/>
    <w:rsid w:val="001E4C7C"/>
    <w:rsid w:val="001E5384"/>
    <w:rsid w:val="001E5C9B"/>
    <w:rsid w:val="001E61AD"/>
    <w:rsid w:val="001E6573"/>
    <w:rsid w:val="001E6E6E"/>
    <w:rsid w:val="001E7083"/>
    <w:rsid w:val="001E70F2"/>
    <w:rsid w:val="001E723B"/>
    <w:rsid w:val="001E76E1"/>
    <w:rsid w:val="001E7970"/>
    <w:rsid w:val="001F079E"/>
    <w:rsid w:val="001F0A2C"/>
    <w:rsid w:val="001F1240"/>
    <w:rsid w:val="001F280D"/>
    <w:rsid w:val="001F362B"/>
    <w:rsid w:val="001F3E51"/>
    <w:rsid w:val="001F40C6"/>
    <w:rsid w:val="001F59F4"/>
    <w:rsid w:val="001F711F"/>
    <w:rsid w:val="001F7B3C"/>
    <w:rsid w:val="0020058D"/>
    <w:rsid w:val="00200B9F"/>
    <w:rsid w:val="00200DC2"/>
    <w:rsid w:val="00201AE7"/>
    <w:rsid w:val="00201B7A"/>
    <w:rsid w:val="00203FD4"/>
    <w:rsid w:val="00203FE3"/>
    <w:rsid w:val="00204BB4"/>
    <w:rsid w:val="00204EC5"/>
    <w:rsid w:val="00206B9D"/>
    <w:rsid w:val="00206E1D"/>
    <w:rsid w:val="002071B1"/>
    <w:rsid w:val="00207BA6"/>
    <w:rsid w:val="002117E2"/>
    <w:rsid w:val="002124FA"/>
    <w:rsid w:val="002132D1"/>
    <w:rsid w:val="0021330A"/>
    <w:rsid w:val="002135E6"/>
    <w:rsid w:val="00213C94"/>
    <w:rsid w:val="00213D88"/>
    <w:rsid w:val="00214F22"/>
    <w:rsid w:val="00215B98"/>
    <w:rsid w:val="00215D33"/>
    <w:rsid w:val="00217D29"/>
    <w:rsid w:val="00217FC6"/>
    <w:rsid w:val="00221651"/>
    <w:rsid w:val="002216B5"/>
    <w:rsid w:val="00221BD7"/>
    <w:rsid w:val="00221CB9"/>
    <w:rsid w:val="00221F7E"/>
    <w:rsid w:val="002220B4"/>
    <w:rsid w:val="00222236"/>
    <w:rsid w:val="0022293A"/>
    <w:rsid w:val="00222DD4"/>
    <w:rsid w:val="00223373"/>
    <w:rsid w:val="002242F3"/>
    <w:rsid w:val="0022437F"/>
    <w:rsid w:val="002249FD"/>
    <w:rsid w:val="002260F1"/>
    <w:rsid w:val="002261E3"/>
    <w:rsid w:val="002265E8"/>
    <w:rsid w:val="00226B55"/>
    <w:rsid w:val="0023073C"/>
    <w:rsid w:val="002307E7"/>
    <w:rsid w:val="0023093E"/>
    <w:rsid w:val="00232603"/>
    <w:rsid w:val="00233ACB"/>
    <w:rsid w:val="00233DE7"/>
    <w:rsid w:val="00234569"/>
    <w:rsid w:val="00234647"/>
    <w:rsid w:val="002348F4"/>
    <w:rsid w:val="002366FF"/>
    <w:rsid w:val="00236C48"/>
    <w:rsid w:val="00236E9D"/>
    <w:rsid w:val="00237A85"/>
    <w:rsid w:val="00237D04"/>
    <w:rsid w:val="002409C2"/>
    <w:rsid w:val="00241A59"/>
    <w:rsid w:val="002423E7"/>
    <w:rsid w:val="00242677"/>
    <w:rsid w:val="00243FAC"/>
    <w:rsid w:val="00244776"/>
    <w:rsid w:val="00244D8D"/>
    <w:rsid w:val="00245745"/>
    <w:rsid w:val="00246000"/>
    <w:rsid w:val="002468E3"/>
    <w:rsid w:val="00246E0A"/>
    <w:rsid w:val="00247984"/>
    <w:rsid w:val="00247C59"/>
    <w:rsid w:val="00250225"/>
    <w:rsid w:val="002524C9"/>
    <w:rsid w:val="00253A35"/>
    <w:rsid w:val="00254299"/>
    <w:rsid w:val="00255CB0"/>
    <w:rsid w:val="00256B46"/>
    <w:rsid w:val="002570B5"/>
    <w:rsid w:val="002609C7"/>
    <w:rsid w:val="00260B0B"/>
    <w:rsid w:val="0026159A"/>
    <w:rsid w:val="00261871"/>
    <w:rsid w:val="00261AF2"/>
    <w:rsid w:val="00261B3D"/>
    <w:rsid w:val="00261C70"/>
    <w:rsid w:val="002626DC"/>
    <w:rsid w:val="00262CE8"/>
    <w:rsid w:val="00262E9A"/>
    <w:rsid w:val="00263D5F"/>
    <w:rsid w:val="00264AF2"/>
    <w:rsid w:val="0026530B"/>
    <w:rsid w:val="00265A9E"/>
    <w:rsid w:val="00270B26"/>
    <w:rsid w:val="00270C86"/>
    <w:rsid w:val="002710C1"/>
    <w:rsid w:val="0027144B"/>
    <w:rsid w:val="00271638"/>
    <w:rsid w:val="00271C78"/>
    <w:rsid w:val="002728E4"/>
    <w:rsid w:val="00272A60"/>
    <w:rsid w:val="00272CE6"/>
    <w:rsid w:val="00272F5B"/>
    <w:rsid w:val="00272F7E"/>
    <w:rsid w:val="00274308"/>
    <w:rsid w:val="002743D9"/>
    <w:rsid w:val="00275595"/>
    <w:rsid w:val="00275CB8"/>
    <w:rsid w:val="00275E91"/>
    <w:rsid w:val="00276B36"/>
    <w:rsid w:val="00280A5C"/>
    <w:rsid w:val="0028275A"/>
    <w:rsid w:val="0028281E"/>
    <w:rsid w:val="00282D0A"/>
    <w:rsid w:val="0028388B"/>
    <w:rsid w:val="0028452D"/>
    <w:rsid w:val="00285033"/>
    <w:rsid w:val="002856F3"/>
    <w:rsid w:val="002858AE"/>
    <w:rsid w:val="00285E84"/>
    <w:rsid w:val="00286095"/>
    <w:rsid w:val="00286160"/>
    <w:rsid w:val="00286D04"/>
    <w:rsid w:val="00287C00"/>
    <w:rsid w:val="00290B6A"/>
    <w:rsid w:val="00292D6E"/>
    <w:rsid w:val="00292F29"/>
    <w:rsid w:val="00293466"/>
    <w:rsid w:val="002944AC"/>
    <w:rsid w:val="0029457B"/>
    <w:rsid w:val="00295DD0"/>
    <w:rsid w:val="00296C20"/>
    <w:rsid w:val="00296EED"/>
    <w:rsid w:val="00296FC9"/>
    <w:rsid w:val="002970DC"/>
    <w:rsid w:val="00297129"/>
    <w:rsid w:val="00297818"/>
    <w:rsid w:val="00297873"/>
    <w:rsid w:val="00297A75"/>
    <w:rsid w:val="002A083F"/>
    <w:rsid w:val="002A0CA4"/>
    <w:rsid w:val="002A1698"/>
    <w:rsid w:val="002A16D5"/>
    <w:rsid w:val="002A282D"/>
    <w:rsid w:val="002A2D33"/>
    <w:rsid w:val="002A418E"/>
    <w:rsid w:val="002A4551"/>
    <w:rsid w:val="002A4BC7"/>
    <w:rsid w:val="002A5075"/>
    <w:rsid w:val="002A5BA8"/>
    <w:rsid w:val="002A5C26"/>
    <w:rsid w:val="002A5E3F"/>
    <w:rsid w:val="002A6610"/>
    <w:rsid w:val="002A6A0B"/>
    <w:rsid w:val="002A6B6B"/>
    <w:rsid w:val="002A7184"/>
    <w:rsid w:val="002A724C"/>
    <w:rsid w:val="002A7263"/>
    <w:rsid w:val="002B056D"/>
    <w:rsid w:val="002B0973"/>
    <w:rsid w:val="002B2AD2"/>
    <w:rsid w:val="002B32C0"/>
    <w:rsid w:val="002B35DD"/>
    <w:rsid w:val="002B37D0"/>
    <w:rsid w:val="002B3AC3"/>
    <w:rsid w:val="002B413A"/>
    <w:rsid w:val="002B4408"/>
    <w:rsid w:val="002B44D8"/>
    <w:rsid w:val="002B4A47"/>
    <w:rsid w:val="002B57B2"/>
    <w:rsid w:val="002B5CA2"/>
    <w:rsid w:val="002B5DC9"/>
    <w:rsid w:val="002B5FF6"/>
    <w:rsid w:val="002B69A5"/>
    <w:rsid w:val="002B73F1"/>
    <w:rsid w:val="002B7733"/>
    <w:rsid w:val="002C01CD"/>
    <w:rsid w:val="002C060E"/>
    <w:rsid w:val="002C0760"/>
    <w:rsid w:val="002C0775"/>
    <w:rsid w:val="002C0BD4"/>
    <w:rsid w:val="002C205D"/>
    <w:rsid w:val="002C2575"/>
    <w:rsid w:val="002C2AB4"/>
    <w:rsid w:val="002C2E29"/>
    <w:rsid w:val="002C3E3D"/>
    <w:rsid w:val="002C4028"/>
    <w:rsid w:val="002C41C0"/>
    <w:rsid w:val="002C421E"/>
    <w:rsid w:val="002C4792"/>
    <w:rsid w:val="002C48D4"/>
    <w:rsid w:val="002C4A6F"/>
    <w:rsid w:val="002C526B"/>
    <w:rsid w:val="002C5FCB"/>
    <w:rsid w:val="002C73DE"/>
    <w:rsid w:val="002C7406"/>
    <w:rsid w:val="002C796C"/>
    <w:rsid w:val="002C7C29"/>
    <w:rsid w:val="002D0103"/>
    <w:rsid w:val="002D07C7"/>
    <w:rsid w:val="002D2AFA"/>
    <w:rsid w:val="002D32B8"/>
    <w:rsid w:val="002D335A"/>
    <w:rsid w:val="002D3A70"/>
    <w:rsid w:val="002D3F07"/>
    <w:rsid w:val="002D4B4E"/>
    <w:rsid w:val="002D4EB5"/>
    <w:rsid w:val="002D5925"/>
    <w:rsid w:val="002D5B87"/>
    <w:rsid w:val="002D5D3A"/>
    <w:rsid w:val="002D72A8"/>
    <w:rsid w:val="002E0AC9"/>
    <w:rsid w:val="002E0B68"/>
    <w:rsid w:val="002E14A0"/>
    <w:rsid w:val="002E2FE6"/>
    <w:rsid w:val="002E32DB"/>
    <w:rsid w:val="002E3974"/>
    <w:rsid w:val="002E3DCC"/>
    <w:rsid w:val="002E49C0"/>
    <w:rsid w:val="002E4A56"/>
    <w:rsid w:val="002E5209"/>
    <w:rsid w:val="002E5BAA"/>
    <w:rsid w:val="002E5E09"/>
    <w:rsid w:val="002E5EDF"/>
    <w:rsid w:val="002E6922"/>
    <w:rsid w:val="002E6B68"/>
    <w:rsid w:val="002E786C"/>
    <w:rsid w:val="002E79F3"/>
    <w:rsid w:val="002F02AB"/>
    <w:rsid w:val="002F08CE"/>
    <w:rsid w:val="002F0BFA"/>
    <w:rsid w:val="002F10A1"/>
    <w:rsid w:val="002F208C"/>
    <w:rsid w:val="002F2A8C"/>
    <w:rsid w:val="002F2AF7"/>
    <w:rsid w:val="002F2C3D"/>
    <w:rsid w:val="002F30DB"/>
    <w:rsid w:val="002F4A0A"/>
    <w:rsid w:val="002F4AFE"/>
    <w:rsid w:val="002F5655"/>
    <w:rsid w:val="002F6673"/>
    <w:rsid w:val="002F6DE8"/>
    <w:rsid w:val="002F7ABC"/>
    <w:rsid w:val="002F7D9E"/>
    <w:rsid w:val="00300196"/>
    <w:rsid w:val="00300804"/>
    <w:rsid w:val="00300BDD"/>
    <w:rsid w:val="00300C42"/>
    <w:rsid w:val="003018AE"/>
    <w:rsid w:val="0030268F"/>
    <w:rsid w:val="003028CE"/>
    <w:rsid w:val="00302B6B"/>
    <w:rsid w:val="00302C71"/>
    <w:rsid w:val="003033C0"/>
    <w:rsid w:val="0030406A"/>
    <w:rsid w:val="00304EB3"/>
    <w:rsid w:val="00306272"/>
    <w:rsid w:val="00306577"/>
    <w:rsid w:val="0030676D"/>
    <w:rsid w:val="00306FBE"/>
    <w:rsid w:val="00307BB6"/>
    <w:rsid w:val="00307F67"/>
    <w:rsid w:val="00310199"/>
    <w:rsid w:val="0031068E"/>
    <w:rsid w:val="0031195D"/>
    <w:rsid w:val="00312267"/>
    <w:rsid w:val="00312906"/>
    <w:rsid w:val="00312A4C"/>
    <w:rsid w:val="00313450"/>
    <w:rsid w:val="003137B5"/>
    <w:rsid w:val="00313837"/>
    <w:rsid w:val="003141A0"/>
    <w:rsid w:val="003142FE"/>
    <w:rsid w:val="0031475E"/>
    <w:rsid w:val="00314771"/>
    <w:rsid w:val="00314BA2"/>
    <w:rsid w:val="003152F3"/>
    <w:rsid w:val="003156A2"/>
    <w:rsid w:val="0031635C"/>
    <w:rsid w:val="003166E4"/>
    <w:rsid w:val="00316889"/>
    <w:rsid w:val="003168B4"/>
    <w:rsid w:val="00316D08"/>
    <w:rsid w:val="00320442"/>
    <w:rsid w:val="00320D96"/>
    <w:rsid w:val="00321587"/>
    <w:rsid w:val="003215DE"/>
    <w:rsid w:val="0032173D"/>
    <w:rsid w:val="00321BFC"/>
    <w:rsid w:val="00321F14"/>
    <w:rsid w:val="00322798"/>
    <w:rsid w:val="003228F0"/>
    <w:rsid w:val="00323E15"/>
    <w:rsid w:val="00323E90"/>
    <w:rsid w:val="00324CEF"/>
    <w:rsid w:val="00324E9F"/>
    <w:rsid w:val="003250CA"/>
    <w:rsid w:val="00325C63"/>
    <w:rsid w:val="00325EC0"/>
    <w:rsid w:val="00326234"/>
    <w:rsid w:val="00326D03"/>
    <w:rsid w:val="00327048"/>
    <w:rsid w:val="0032780F"/>
    <w:rsid w:val="003307AE"/>
    <w:rsid w:val="00330D84"/>
    <w:rsid w:val="0033143C"/>
    <w:rsid w:val="00331A18"/>
    <w:rsid w:val="00331BE8"/>
    <w:rsid w:val="00331ECF"/>
    <w:rsid w:val="00332E72"/>
    <w:rsid w:val="003334F5"/>
    <w:rsid w:val="00333DAB"/>
    <w:rsid w:val="00333DB4"/>
    <w:rsid w:val="00333EBD"/>
    <w:rsid w:val="00334BE5"/>
    <w:rsid w:val="00335A70"/>
    <w:rsid w:val="0033661E"/>
    <w:rsid w:val="00336AF8"/>
    <w:rsid w:val="00336ED4"/>
    <w:rsid w:val="0033725B"/>
    <w:rsid w:val="00337DF6"/>
    <w:rsid w:val="003409D7"/>
    <w:rsid w:val="00341653"/>
    <w:rsid w:val="0034256E"/>
    <w:rsid w:val="00342715"/>
    <w:rsid w:val="00342BD4"/>
    <w:rsid w:val="003433A6"/>
    <w:rsid w:val="0034406D"/>
    <w:rsid w:val="0034457E"/>
    <w:rsid w:val="00344C4C"/>
    <w:rsid w:val="00345C92"/>
    <w:rsid w:val="00345CB7"/>
    <w:rsid w:val="00345F6C"/>
    <w:rsid w:val="0034739B"/>
    <w:rsid w:val="00350529"/>
    <w:rsid w:val="00350685"/>
    <w:rsid w:val="0035205B"/>
    <w:rsid w:val="003525E0"/>
    <w:rsid w:val="00352B02"/>
    <w:rsid w:val="00353457"/>
    <w:rsid w:val="0035359A"/>
    <w:rsid w:val="0035385A"/>
    <w:rsid w:val="003538CD"/>
    <w:rsid w:val="003545D7"/>
    <w:rsid w:val="00354CA7"/>
    <w:rsid w:val="00354D00"/>
    <w:rsid w:val="003550C2"/>
    <w:rsid w:val="0035524E"/>
    <w:rsid w:val="00355BA6"/>
    <w:rsid w:val="00356329"/>
    <w:rsid w:val="003564AC"/>
    <w:rsid w:val="00356637"/>
    <w:rsid w:val="00356852"/>
    <w:rsid w:val="00356D4A"/>
    <w:rsid w:val="003605E9"/>
    <w:rsid w:val="003607EE"/>
    <w:rsid w:val="003611E8"/>
    <w:rsid w:val="00361370"/>
    <w:rsid w:val="003616F3"/>
    <w:rsid w:val="00361CD6"/>
    <w:rsid w:val="00362597"/>
    <w:rsid w:val="00362749"/>
    <w:rsid w:val="003627E6"/>
    <w:rsid w:val="003628F1"/>
    <w:rsid w:val="00363CAA"/>
    <w:rsid w:val="003641B1"/>
    <w:rsid w:val="00364213"/>
    <w:rsid w:val="00365B69"/>
    <w:rsid w:val="00367367"/>
    <w:rsid w:val="00367719"/>
    <w:rsid w:val="00367CED"/>
    <w:rsid w:val="003702FB"/>
    <w:rsid w:val="0037039E"/>
    <w:rsid w:val="003705E3"/>
    <w:rsid w:val="003706E5"/>
    <w:rsid w:val="00370E0D"/>
    <w:rsid w:val="00370FDA"/>
    <w:rsid w:val="00370FE3"/>
    <w:rsid w:val="00371426"/>
    <w:rsid w:val="00371682"/>
    <w:rsid w:val="00371C58"/>
    <w:rsid w:val="003724C0"/>
    <w:rsid w:val="0037287A"/>
    <w:rsid w:val="003728A9"/>
    <w:rsid w:val="00372FA8"/>
    <w:rsid w:val="00372FD7"/>
    <w:rsid w:val="003730D0"/>
    <w:rsid w:val="003736AF"/>
    <w:rsid w:val="003747C8"/>
    <w:rsid w:val="003756C4"/>
    <w:rsid w:val="0037671D"/>
    <w:rsid w:val="00376B80"/>
    <w:rsid w:val="00376BB7"/>
    <w:rsid w:val="00377210"/>
    <w:rsid w:val="00377ECB"/>
    <w:rsid w:val="00377F63"/>
    <w:rsid w:val="003808D3"/>
    <w:rsid w:val="003808F7"/>
    <w:rsid w:val="00380C02"/>
    <w:rsid w:val="00380E84"/>
    <w:rsid w:val="00382427"/>
    <w:rsid w:val="00382F85"/>
    <w:rsid w:val="00383095"/>
    <w:rsid w:val="00384BE2"/>
    <w:rsid w:val="00384FD1"/>
    <w:rsid w:val="0038500C"/>
    <w:rsid w:val="00385291"/>
    <w:rsid w:val="00386469"/>
    <w:rsid w:val="00386484"/>
    <w:rsid w:val="00386D89"/>
    <w:rsid w:val="0038771C"/>
    <w:rsid w:val="00387E65"/>
    <w:rsid w:val="003907C6"/>
    <w:rsid w:val="00390813"/>
    <w:rsid w:val="00390E2B"/>
    <w:rsid w:val="003912DC"/>
    <w:rsid w:val="00391579"/>
    <w:rsid w:val="00391A20"/>
    <w:rsid w:val="003923E5"/>
    <w:rsid w:val="003924D4"/>
    <w:rsid w:val="00392C4E"/>
    <w:rsid w:val="00392E3A"/>
    <w:rsid w:val="00392F9F"/>
    <w:rsid w:val="00393E17"/>
    <w:rsid w:val="00394392"/>
    <w:rsid w:val="003954B8"/>
    <w:rsid w:val="003957BE"/>
    <w:rsid w:val="00396320"/>
    <w:rsid w:val="00397EDB"/>
    <w:rsid w:val="003A05A2"/>
    <w:rsid w:val="003A140F"/>
    <w:rsid w:val="003A153D"/>
    <w:rsid w:val="003A15F9"/>
    <w:rsid w:val="003A173A"/>
    <w:rsid w:val="003A2601"/>
    <w:rsid w:val="003A2952"/>
    <w:rsid w:val="003A2BA5"/>
    <w:rsid w:val="003A4BC9"/>
    <w:rsid w:val="003A5FEB"/>
    <w:rsid w:val="003A6FA6"/>
    <w:rsid w:val="003B0596"/>
    <w:rsid w:val="003B0892"/>
    <w:rsid w:val="003B0A9A"/>
    <w:rsid w:val="003B13DC"/>
    <w:rsid w:val="003B3568"/>
    <w:rsid w:val="003B46B0"/>
    <w:rsid w:val="003B4968"/>
    <w:rsid w:val="003B6077"/>
    <w:rsid w:val="003B64BB"/>
    <w:rsid w:val="003B6B94"/>
    <w:rsid w:val="003B6BE4"/>
    <w:rsid w:val="003B7E51"/>
    <w:rsid w:val="003C020C"/>
    <w:rsid w:val="003C05CC"/>
    <w:rsid w:val="003C07DC"/>
    <w:rsid w:val="003C16AB"/>
    <w:rsid w:val="003C2116"/>
    <w:rsid w:val="003C41C9"/>
    <w:rsid w:val="003C5970"/>
    <w:rsid w:val="003C5E11"/>
    <w:rsid w:val="003C630D"/>
    <w:rsid w:val="003C7877"/>
    <w:rsid w:val="003C7B3D"/>
    <w:rsid w:val="003D0506"/>
    <w:rsid w:val="003D0AD0"/>
    <w:rsid w:val="003D110F"/>
    <w:rsid w:val="003D1801"/>
    <w:rsid w:val="003D2B7A"/>
    <w:rsid w:val="003D30F9"/>
    <w:rsid w:val="003D3468"/>
    <w:rsid w:val="003D4228"/>
    <w:rsid w:val="003D438C"/>
    <w:rsid w:val="003D475E"/>
    <w:rsid w:val="003D549F"/>
    <w:rsid w:val="003D54FD"/>
    <w:rsid w:val="003D7B64"/>
    <w:rsid w:val="003E039E"/>
    <w:rsid w:val="003E0EE2"/>
    <w:rsid w:val="003E14A5"/>
    <w:rsid w:val="003E1B89"/>
    <w:rsid w:val="003E23C1"/>
    <w:rsid w:val="003E2B75"/>
    <w:rsid w:val="003E2D1A"/>
    <w:rsid w:val="003E2EAA"/>
    <w:rsid w:val="003E30E7"/>
    <w:rsid w:val="003E407D"/>
    <w:rsid w:val="003E4367"/>
    <w:rsid w:val="003E47C1"/>
    <w:rsid w:val="003E5418"/>
    <w:rsid w:val="003E541F"/>
    <w:rsid w:val="003E5655"/>
    <w:rsid w:val="003E5D12"/>
    <w:rsid w:val="003E5E75"/>
    <w:rsid w:val="003E60C9"/>
    <w:rsid w:val="003E61C7"/>
    <w:rsid w:val="003E72B5"/>
    <w:rsid w:val="003E78D5"/>
    <w:rsid w:val="003F10DC"/>
    <w:rsid w:val="003F1CEC"/>
    <w:rsid w:val="003F2080"/>
    <w:rsid w:val="003F25A3"/>
    <w:rsid w:val="003F2B76"/>
    <w:rsid w:val="003F338F"/>
    <w:rsid w:val="003F356A"/>
    <w:rsid w:val="003F4617"/>
    <w:rsid w:val="003F46B2"/>
    <w:rsid w:val="003F52E0"/>
    <w:rsid w:val="003F588A"/>
    <w:rsid w:val="003F5DE4"/>
    <w:rsid w:val="003F6CD2"/>
    <w:rsid w:val="003F7035"/>
    <w:rsid w:val="003F70D2"/>
    <w:rsid w:val="003F7707"/>
    <w:rsid w:val="0040033F"/>
    <w:rsid w:val="0040079B"/>
    <w:rsid w:val="004009E6"/>
    <w:rsid w:val="00400DD3"/>
    <w:rsid w:val="00401391"/>
    <w:rsid w:val="00401931"/>
    <w:rsid w:val="00403A24"/>
    <w:rsid w:val="00404185"/>
    <w:rsid w:val="00405782"/>
    <w:rsid w:val="00410365"/>
    <w:rsid w:val="004103F3"/>
    <w:rsid w:val="004106F9"/>
    <w:rsid w:val="00410DDD"/>
    <w:rsid w:val="004115C2"/>
    <w:rsid w:val="0041169A"/>
    <w:rsid w:val="004116CB"/>
    <w:rsid w:val="004127BE"/>
    <w:rsid w:val="00413EF4"/>
    <w:rsid w:val="0041414D"/>
    <w:rsid w:val="00414B86"/>
    <w:rsid w:val="00414DFD"/>
    <w:rsid w:val="004152F4"/>
    <w:rsid w:val="004161A3"/>
    <w:rsid w:val="004161BE"/>
    <w:rsid w:val="0041668E"/>
    <w:rsid w:val="00416CEA"/>
    <w:rsid w:val="004206D5"/>
    <w:rsid w:val="00420DEF"/>
    <w:rsid w:val="0042107E"/>
    <w:rsid w:val="00421098"/>
    <w:rsid w:val="00421353"/>
    <w:rsid w:val="004214A2"/>
    <w:rsid w:val="00421906"/>
    <w:rsid w:val="00421E6B"/>
    <w:rsid w:val="0042230A"/>
    <w:rsid w:val="00423301"/>
    <w:rsid w:val="00423DB6"/>
    <w:rsid w:val="00423ED7"/>
    <w:rsid w:val="004244C0"/>
    <w:rsid w:val="00424797"/>
    <w:rsid w:val="00424C08"/>
    <w:rsid w:val="00425259"/>
    <w:rsid w:val="0042576F"/>
    <w:rsid w:val="0042668C"/>
    <w:rsid w:val="00426901"/>
    <w:rsid w:val="00426C38"/>
    <w:rsid w:val="004271E3"/>
    <w:rsid w:val="004271F6"/>
    <w:rsid w:val="004273CF"/>
    <w:rsid w:val="00427698"/>
    <w:rsid w:val="00427C81"/>
    <w:rsid w:val="004300E3"/>
    <w:rsid w:val="00430848"/>
    <w:rsid w:val="004308D6"/>
    <w:rsid w:val="00430AC0"/>
    <w:rsid w:val="00430E49"/>
    <w:rsid w:val="0043148D"/>
    <w:rsid w:val="00431508"/>
    <w:rsid w:val="00431541"/>
    <w:rsid w:val="00431F97"/>
    <w:rsid w:val="0043294B"/>
    <w:rsid w:val="00433292"/>
    <w:rsid w:val="004332E6"/>
    <w:rsid w:val="00433812"/>
    <w:rsid w:val="00433BEA"/>
    <w:rsid w:val="00433C6A"/>
    <w:rsid w:val="00433FA1"/>
    <w:rsid w:val="00434356"/>
    <w:rsid w:val="00434744"/>
    <w:rsid w:val="00434B1A"/>
    <w:rsid w:val="00434B5B"/>
    <w:rsid w:val="00434CC0"/>
    <w:rsid w:val="0043503A"/>
    <w:rsid w:val="004354B6"/>
    <w:rsid w:val="004355C9"/>
    <w:rsid w:val="00435641"/>
    <w:rsid w:val="00436458"/>
    <w:rsid w:val="00436D5F"/>
    <w:rsid w:val="00437084"/>
    <w:rsid w:val="00437829"/>
    <w:rsid w:val="0044045D"/>
    <w:rsid w:val="0044057A"/>
    <w:rsid w:val="00442DB6"/>
    <w:rsid w:val="00444962"/>
    <w:rsid w:val="00444EF9"/>
    <w:rsid w:val="0044579C"/>
    <w:rsid w:val="00446204"/>
    <w:rsid w:val="00447EB9"/>
    <w:rsid w:val="004507FE"/>
    <w:rsid w:val="00451272"/>
    <w:rsid w:val="00451E05"/>
    <w:rsid w:val="00452206"/>
    <w:rsid w:val="0045222E"/>
    <w:rsid w:val="004529C7"/>
    <w:rsid w:val="00452AB5"/>
    <w:rsid w:val="00452CCA"/>
    <w:rsid w:val="00453090"/>
    <w:rsid w:val="004533CB"/>
    <w:rsid w:val="0045422B"/>
    <w:rsid w:val="0045477A"/>
    <w:rsid w:val="00455505"/>
    <w:rsid w:val="0045564A"/>
    <w:rsid w:val="0045572C"/>
    <w:rsid w:val="0045594F"/>
    <w:rsid w:val="0045618C"/>
    <w:rsid w:val="00456205"/>
    <w:rsid w:val="00456679"/>
    <w:rsid w:val="00456850"/>
    <w:rsid w:val="00460288"/>
    <w:rsid w:val="00460358"/>
    <w:rsid w:val="0046089D"/>
    <w:rsid w:val="0046109B"/>
    <w:rsid w:val="0046145C"/>
    <w:rsid w:val="0046234C"/>
    <w:rsid w:val="004627BB"/>
    <w:rsid w:val="00462D5F"/>
    <w:rsid w:val="00463B6A"/>
    <w:rsid w:val="004644B5"/>
    <w:rsid w:val="0046501A"/>
    <w:rsid w:val="004653AF"/>
    <w:rsid w:val="0046554D"/>
    <w:rsid w:val="00465642"/>
    <w:rsid w:val="00465C1A"/>
    <w:rsid w:val="004669F9"/>
    <w:rsid w:val="00466C5E"/>
    <w:rsid w:val="00466F39"/>
    <w:rsid w:val="0046717C"/>
    <w:rsid w:val="00471262"/>
    <w:rsid w:val="0047132F"/>
    <w:rsid w:val="0047390B"/>
    <w:rsid w:val="0047398F"/>
    <w:rsid w:val="00473D7F"/>
    <w:rsid w:val="00473E5C"/>
    <w:rsid w:val="00473F4C"/>
    <w:rsid w:val="00474924"/>
    <w:rsid w:val="004755EC"/>
    <w:rsid w:val="0047653E"/>
    <w:rsid w:val="0047784F"/>
    <w:rsid w:val="00477901"/>
    <w:rsid w:val="00480018"/>
    <w:rsid w:val="004802A7"/>
    <w:rsid w:val="00481B23"/>
    <w:rsid w:val="00481C7C"/>
    <w:rsid w:val="00481D42"/>
    <w:rsid w:val="00481EF2"/>
    <w:rsid w:val="00482080"/>
    <w:rsid w:val="00482FC8"/>
    <w:rsid w:val="00483206"/>
    <w:rsid w:val="0048388B"/>
    <w:rsid w:val="004842AD"/>
    <w:rsid w:val="00484F54"/>
    <w:rsid w:val="004860F7"/>
    <w:rsid w:val="004862FE"/>
    <w:rsid w:val="0048649E"/>
    <w:rsid w:val="00486935"/>
    <w:rsid w:val="0048728D"/>
    <w:rsid w:val="004873CF"/>
    <w:rsid w:val="004874F8"/>
    <w:rsid w:val="00487DB9"/>
    <w:rsid w:val="00487FC3"/>
    <w:rsid w:val="004905F1"/>
    <w:rsid w:val="00490F80"/>
    <w:rsid w:val="00491512"/>
    <w:rsid w:val="0049171E"/>
    <w:rsid w:val="0049225B"/>
    <w:rsid w:val="00492CA3"/>
    <w:rsid w:val="0049376E"/>
    <w:rsid w:val="00493F03"/>
    <w:rsid w:val="00494236"/>
    <w:rsid w:val="00494502"/>
    <w:rsid w:val="00494B7A"/>
    <w:rsid w:val="0049739F"/>
    <w:rsid w:val="004975B7"/>
    <w:rsid w:val="004A0B58"/>
    <w:rsid w:val="004A10CC"/>
    <w:rsid w:val="004A2FB8"/>
    <w:rsid w:val="004A3034"/>
    <w:rsid w:val="004A358D"/>
    <w:rsid w:val="004A42FB"/>
    <w:rsid w:val="004A5417"/>
    <w:rsid w:val="004A5B53"/>
    <w:rsid w:val="004A5EA4"/>
    <w:rsid w:val="004A7061"/>
    <w:rsid w:val="004A758D"/>
    <w:rsid w:val="004B001D"/>
    <w:rsid w:val="004B04F0"/>
    <w:rsid w:val="004B0B57"/>
    <w:rsid w:val="004B0FEE"/>
    <w:rsid w:val="004B1723"/>
    <w:rsid w:val="004B290F"/>
    <w:rsid w:val="004B4980"/>
    <w:rsid w:val="004B50EF"/>
    <w:rsid w:val="004B5583"/>
    <w:rsid w:val="004B566B"/>
    <w:rsid w:val="004B6326"/>
    <w:rsid w:val="004B66CC"/>
    <w:rsid w:val="004B69F3"/>
    <w:rsid w:val="004C0B2E"/>
    <w:rsid w:val="004C1721"/>
    <w:rsid w:val="004C1A1D"/>
    <w:rsid w:val="004C3B51"/>
    <w:rsid w:val="004C3F58"/>
    <w:rsid w:val="004C41EB"/>
    <w:rsid w:val="004C4B64"/>
    <w:rsid w:val="004C5413"/>
    <w:rsid w:val="004C55B0"/>
    <w:rsid w:val="004C59C3"/>
    <w:rsid w:val="004C5FA9"/>
    <w:rsid w:val="004C60CF"/>
    <w:rsid w:val="004C6429"/>
    <w:rsid w:val="004C6A88"/>
    <w:rsid w:val="004C7D6C"/>
    <w:rsid w:val="004D004C"/>
    <w:rsid w:val="004D0774"/>
    <w:rsid w:val="004D0D07"/>
    <w:rsid w:val="004D0E89"/>
    <w:rsid w:val="004D2B95"/>
    <w:rsid w:val="004D317E"/>
    <w:rsid w:val="004D3D5E"/>
    <w:rsid w:val="004D5F64"/>
    <w:rsid w:val="004D6332"/>
    <w:rsid w:val="004D6AEE"/>
    <w:rsid w:val="004D74D8"/>
    <w:rsid w:val="004E057A"/>
    <w:rsid w:val="004E0701"/>
    <w:rsid w:val="004E0C0C"/>
    <w:rsid w:val="004E3737"/>
    <w:rsid w:val="004E43D2"/>
    <w:rsid w:val="004E4631"/>
    <w:rsid w:val="004E529C"/>
    <w:rsid w:val="004E614B"/>
    <w:rsid w:val="004E7BB8"/>
    <w:rsid w:val="004E7CE8"/>
    <w:rsid w:val="004E7F94"/>
    <w:rsid w:val="004F110D"/>
    <w:rsid w:val="004F193A"/>
    <w:rsid w:val="004F25B4"/>
    <w:rsid w:val="004F25D5"/>
    <w:rsid w:val="004F3AE3"/>
    <w:rsid w:val="004F43D4"/>
    <w:rsid w:val="004F515D"/>
    <w:rsid w:val="004F5FAB"/>
    <w:rsid w:val="004F6C95"/>
    <w:rsid w:val="004F71EC"/>
    <w:rsid w:val="004F7836"/>
    <w:rsid w:val="004F7DFE"/>
    <w:rsid w:val="00500463"/>
    <w:rsid w:val="005005A9"/>
    <w:rsid w:val="00500A97"/>
    <w:rsid w:val="0050134F"/>
    <w:rsid w:val="00501BE5"/>
    <w:rsid w:val="005020B9"/>
    <w:rsid w:val="00502109"/>
    <w:rsid w:val="005026FB"/>
    <w:rsid w:val="0050276B"/>
    <w:rsid w:val="00502FD3"/>
    <w:rsid w:val="005033DF"/>
    <w:rsid w:val="005045F0"/>
    <w:rsid w:val="00504818"/>
    <w:rsid w:val="005052AA"/>
    <w:rsid w:val="0050559E"/>
    <w:rsid w:val="00505744"/>
    <w:rsid w:val="00505874"/>
    <w:rsid w:val="00505C6E"/>
    <w:rsid w:val="0050679F"/>
    <w:rsid w:val="00506DEC"/>
    <w:rsid w:val="00506F32"/>
    <w:rsid w:val="005079DB"/>
    <w:rsid w:val="00507DF8"/>
    <w:rsid w:val="00510B3C"/>
    <w:rsid w:val="00510D19"/>
    <w:rsid w:val="00510E06"/>
    <w:rsid w:val="005116D5"/>
    <w:rsid w:val="00511BA4"/>
    <w:rsid w:val="00511EF9"/>
    <w:rsid w:val="005131BA"/>
    <w:rsid w:val="00513521"/>
    <w:rsid w:val="00513CEB"/>
    <w:rsid w:val="00513FA3"/>
    <w:rsid w:val="005140E8"/>
    <w:rsid w:val="005146D8"/>
    <w:rsid w:val="00515891"/>
    <w:rsid w:val="00515D49"/>
    <w:rsid w:val="00516529"/>
    <w:rsid w:val="00516985"/>
    <w:rsid w:val="00516AE8"/>
    <w:rsid w:val="00516BAF"/>
    <w:rsid w:val="00517599"/>
    <w:rsid w:val="00517A8E"/>
    <w:rsid w:val="0052048A"/>
    <w:rsid w:val="005209D5"/>
    <w:rsid w:val="00520E98"/>
    <w:rsid w:val="00521988"/>
    <w:rsid w:val="00521FC3"/>
    <w:rsid w:val="00522207"/>
    <w:rsid w:val="0052221E"/>
    <w:rsid w:val="005222A9"/>
    <w:rsid w:val="00522F50"/>
    <w:rsid w:val="005236B8"/>
    <w:rsid w:val="00523B8B"/>
    <w:rsid w:val="0052472F"/>
    <w:rsid w:val="00525594"/>
    <w:rsid w:val="00525612"/>
    <w:rsid w:val="00525C1B"/>
    <w:rsid w:val="00525F89"/>
    <w:rsid w:val="00526A04"/>
    <w:rsid w:val="00526A8E"/>
    <w:rsid w:val="00527442"/>
    <w:rsid w:val="005322B2"/>
    <w:rsid w:val="005322F9"/>
    <w:rsid w:val="0053267A"/>
    <w:rsid w:val="005337CC"/>
    <w:rsid w:val="0053487E"/>
    <w:rsid w:val="0053524E"/>
    <w:rsid w:val="005357D3"/>
    <w:rsid w:val="00535B15"/>
    <w:rsid w:val="00537792"/>
    <w:rsid w:val="00540018"/>
    <w:rsid w:val="00540545"/>
    <w:rsid w:val="005413D4"/>
    <w:rsid w:val="00541746"/>
    <w:rsid w:val="005419CD"/>
    <w:rsid w:val="00541FF1"/>
    <w:rsid w:val="00542551"/>
    <w:rsid w:val="005435DC"/>
    <w:rsid w:val="00543BAB"/>
    <w:rsid w:val="00543C8A"/>
    <w:rsid w:val="00543DDC"/>
    <w:rsid w:val="00544BAD"/>
    <w:rsid w:val="00544D8A"/>
    <w:rsid w:val="00544DE3"/>
    <w:rsid w:val="00545368"/>
    <w:rsid w:val="00545490"/>
    <w:rsid w:val="00545714"/>
    <w:rsid w:val="00546088"/>
    <w:rsid w:val="00546B7D"/>
    <w:rsid w:val="00547312"/>
    <w:rsid w:val="00547FD5"/>
    <w:rsid w:val="0055040E"/>
    <w:rsid w:val="005511BD"/>
    <w:rsid w:val="005513EC"/>
    <w:rsid w:val="005524CD"/>
    <w:rsid w:val="00552676"/>
    <w:rsid w:val="00552798"/>
    <w:rsid w:val="00553AA5"/>
    <w:rsid w:val="005540BE"/>
    <w:rsid w:val="005546EA"/>
    <w:rsid w:val="0055506E"/>
    <w:rsid w:val="00555B37"/>
    <w:rsid w:val="0055604B"/>
    <w:rsid w:val="0055605D"/>
    <w:rsid w:val="00556A4E"/>
    <w:rsid w:val="0055708F"/>
    <w:rsid w:val="00557F00"/>
    <w:rsid w:val="00557F38"/>
    <w:rsid w:val="005614A1"/>
    <w:rsid w:val="005614D8"/>
    <w:rsid w:val="00562018"/>
    <w:rsid w:val="00562B96"/>
    <w:rsid w:val="00562C33"/>
    <w:rsid w:val="00562D31"/>
    <w:rsid w:val="00563888"/>
    <w:rsid w:val="00564507"/>
    <w:rsid w:val="005645E4"/>
    <w:rsid w:val="00564F57"/>
    <w:rsid w:val="00565370"/>
    <w:rsid w:val="0056579A"/>
    <w:rsid w:val="00565C1A"/>
    <w:rsid w:val="00565FA7"/>
    <w:rsid w:val="005661D0"/>
    <w:rsid w:val="00566245"/>
    <w:rsid w:val="005665F3"/>
    <w:rsid w:val="00566962"/>
    <w:rsid w:val="00567EA4"/>
    <w:rsid w:val="00570520"/>
    <w:rsid w:val="00571D6A"/>
    <w:rsid w:val="00571F81"/>
    <w:rsid w:val="0057256E"/>
    <w:rsid w:val="00572732"/>
    <w:rsid w:val="00572ABC"/>
    <w:rsid w:val="00573170"/>
    <w:rsid w:val="00573406"/>
    <w:rsid w:val="00573D41"/>
    <w:rsid w:val="00574B03"/>
    <w:rsid w:val="0057586D"/>
    <w:rsid w:val="00575DF7"/>
    <w:rsid w:val="00576255"/>
    <w:rsid w:val="00576761"/>
    <w:rsid w:val="00576FBA"/>
    <w:rsid w:val="005775F5"/>
    <w:rsid w:val="00577769"/>
    <w:rsid w:val="00577853"/>
    <w:rsid w:val="00581350"/>
    <w:rsid w:val="00581531"/>
    <w:rsid w:val="005817B0"/>
    <w:rsid w:val="00582C96"/>
    <w:rsid w:val="005831AF"/>
    <w:rsid w:val="005835AF"/>
    <w:rsid w:val="00583D50"/>
    <w:rsid w:val="00583EC3"/>
    <w:rsid w:val="00583FE6"/>
    <w:rsid w:val="00584C1E"/>
    <w:rsid w:val="0058563C"/>
    <w:rsid w:val="005860A5"/>
    <w:rsid w:val="00586152"/>
    <w:rsid w:val="005868C4"/>
    <w:rsid w:val="00586B5E"/>
    <w:rsid w:val="00586E9F"/>
    <w:rsid w:val="00586F1A"/>
    <w:rsid w:val="005870F5"/>
    <w:rsid w:val="00587923"/>
    <w:rsid w:val="0059011B"/>
    <w:rsid w:val="0059012C"/>
    <w:rsid w:val="00590584"/>
    <w:rsid w:val="0059064E"/>
    <w:rsid w:val="00590A4A"/>
    <w:rsid w:val="00591077"/>
    <w:rsid w:val="00591450"/>
    <w:rsid w:val="005915CF"/>
    <w:rsid w:val="005917E0"/>
    <w:rsid w:val="005918BF"/>
    <w:rsid w:val="00591EAE"/>
    <w:rsid w:val="0059224B"/>
    <w:rsid w:val="005924BF"/>
    <w:rsid w:val="00592B52"/>
    <w:rsid w:val="00593899"/>
    <w:rsid w:val="005951EE"/>
    <w:rsid w:val="00595A0A"/>
    <w:rsid w:val="005967A4"/>
    <w:rsid w:val="00596ED7"/>
    <w:rsid w:val="00597677"/>
    <w:rsid w:val="00597935"/>
    <w:rsid w:val="005A085B"/>
    <w:rsid w:val="005A0D48"/>
    <w:rsid w:val="005A1846"/>
    <w:rsid w:val="005A1A79"/>
    <w:rsid w:val="005A1BFF"/>
    <w:rsid w:val="005A2833"/>
    <w:rsid w:val="005A301B"/>
    <w:rsid w:val="005A3DB6"/>
    <w:rsid w:val="005A4481"/>
    <w:rsid w:val="005A466C"/>
    <w:rsid w:val="005A493D"/>
    <w:rsid w:val="005A65BE"/>
    <w:rsid w:val="005A6F53"/>
    <w:rsid w:val="005B0B1E"/>
    <w:rsid w:val="005B197F"/>
    <w:rsid w:val="005B2738"/>
    <w:rsid w:val="005B3954"/>
    <w:rsid w:val="005B3B50"/>
    <w:rsid w:val="005B4192"/>
    <w:rsid w:val="005B431B"/>
    <w:rsid w:val="005B4437"/>
    <w:rsid w:val="005B5384"/>
    <w:rsid w:val="005B594B"/>
    <w:rsid w:val="005B5BDE"/>
    <w:rsid w:val="005B6412"/>
    <w:rsid w:val="005C0076"/>
    <w:rsid w:val="005C1428"/>
    <w:rsid w:val="005C19C1"/>
    <w:rsid w:val="005C2F28"/>
    <w:rsid w:val="005C2FE8"/>
    <w:rsid w:val="005C5FCE"/>
    <w:rsid w:val="005C7110"/>
    <w:rsid w:val="005C7145"/>
    <w:rsid w:val="005C7358"/>
    <w:rsid w:val="005C7816"/>
    <w:rsid w:val="005C7AB2"/>
    <w:rsid w:val="005C7B7D"/>
    <w:rsid w:val="005D09BB"/>
    <w:rsid w:val="005D26B9"/>
    <w:rsid w:val="005D3781"/>
    <w:rsid w:val="005D3A0E"/>
    <w:rsid w:val="005D42BA"/>
    <w:rsid w:val="005D5454"/>
    <w:rsid w:val="005D5492"/>
    <w:rsid w:val="005D562F"/>
    <w:rsid w:val="005D5B76"/>
    <w:rsid w:val="005D5D52"/>
    <w:rsid w:val="005D5EBC"/>
    <w:rsid w:val="005D657E"/>
    <w:rsid w:val="005D76E5"/>
    <w:rsid w:val="005E02C3"/>
    <w:rsid w:val="005E0313"/>
    <w:rsid w:val="005E0324"/>
    <w:rsid w:val="005E0517"/>
    <w:rsid w:val="005E1824"/>
    <w:rsid w:val="005E1BF0"/>
    <w:rsid w:val="005E309C"/>
    <w:rsid w:val="005E340A"/>
    <w:rsid w:val="005E353F"/>
    <w:rsid w:val="005E393C"/>
    <w:rsid w:val="005E3E45"/>
    <w:rsid w:val="005E43F6"/>
    <w:rsid w:val="005E4C6A"/>
    <w:rsid w:val="005E4EC6"/>
    <w:rsid w:val="005E5A45"/>
    <w:rsid w:val="005E5B62"/>
    <w:rsid w:val="005E5C5E"/>
    <w:rsid w:val="005E6592"/>
    <w:rsid w:val="005E6F4A"/>
    <w:rsid w:val="005E7445"/>
    <w:rsid w:val="005F023D"/>
    <w:rsid w:val="005F09B5"/>
    <w:rsid w:val="005F10DA"/>
    <w:rsid w:val="005F1436"/>
    <w:rsid w:val="005F1E1D"/>
    <w:rsid w:val="005F2452"/>
    <w:rsid w:val="005F2A40"/>
    <w:rsid w:val="005F2E55"/>
    <w:rsid w:val="005F41E7"/>
    <w:rsid w:val="005F55A4"/>
    <w:rsid w:val="005F58E8"/>
    <w:rsid w:val="005F5C0D"/>
    <w:rsid w:val="005F6910"/>
    <w:rsid w:val="005F6D63"/>
    <w:rsid w:val="005F7144"/>
    <w:rsid w:val="005F721C"/>
    <w:rsid w:val="005F7A1C"/>
    <w:rsid w:val="005F7CDC"/>
    <w:rsid w:val="005F7D74"/>
    <w:rsid w:val="005F7E43"/>
    <w:rsid w:val="006007E4"/>
    <w:rsid w:val="006022BA"/>
    <w:rsid w:val="006028D2"/>
    <w:rsid w:val="006038D2"/>
    <w:rsid w:val="00604977"/>
    <w:rsid w:val="00604A7B"/>
    <w:rsid w:val="00604DEE"/>
    <w:rsid w:val="00604F9B"/>
    <w:rsid w:val="006054FB"/>
    <w:rsid w:val="00606371"/>
    <w:rsid w:val="00607060"/>
    <w:rsid w:val="006071C3"/>
    <w:rsid w:val="00607530"/>
    <w:rsid w:val="00607734"/>
    <w:rsid w:val="006079CC"/>
    <w:rsid w:val="00610250"/>
    <w:rsid w:val="0061090A"/>
    <w:rsid w:val="00611035"/>
    <w:rsid w:val="006120E2"/>
    <w:rsid w:val="00612459"/>
    <w:rsid w:val="00612A99"/>
    <w:rsid w:val="00612CDB"/>
    <w:rsid w:val="0061366E"/>
    <w:rsid w:val="006145DB"/>
    <w:rsid w:val="006146F6"/>
    <w:rsid w:val="006147D5"/>
    <w:rsid w:val="00614D51"/>
    <w:rsid w:val="00614F52"/>
    <w:rsid w:val="00615073"/>
    <w:rsid w:val="0061578F"/>
    <w:rsid w:val="00615E26"/>
    <w:rsid w:val="0061697E"/>
    <w:rsid w:val="00616BBA"/>
    <w:rsid w:val="00616DE8"/>
    <w:rsid w:val="00616E65"/>
    <w:rsid w:val="00617AD7"/>
    <w:rsid w:val="00617D6D"/>
    <w:rsid w:val="00620133"/>
    <w:rsid w:val="0062062F"/>
    <w:rsid w:val="006215AB"/>
    <w:rsid w:val="00622651"/>
    <w:rsid w:val="00622D7E"/>
    <w:rsid w:val="00623DD7"/>
    <w:rsid w:val="006243C1"/>
    <w:rsid w:val="00624449"/>
    <w:rsid w:val="00626B0D"/>
    <w:rsid w:val="00626D89"/>
    <w:rsid w:val="00630BF2"/>
    <w:rsid w:val="00630FE1"/>
    <w:rsid w:val="00631BA0"/>
    <w:rsid w:val="00632351"/>
    <w:rsid w:val="0063310B"/>
    <w:rsid w:val="00633612"/>
    <w:rsid w:val="006344FC"/>
    <w:rsid w:val="00634DDA"/>
    <w:rsid w:val="0063528A"/>
    <w:rsid w:val="00635B31"/>
    <w:rsid w:val="00635E8C"/>
    <w:rsid w:val="0063666B"/>
    <w:rsid w:val="006375C0"/>
    <w:rsid w:val="00637884"/>
    <w:rsid w:val="00640CBB"/>
    <w:rsid w:val="0064145B"/>
    <w:rsid w:val="006414E1"/>
    <w:rsid w:val="00641526"/>
    <w:rsid w:val="00641A54"/>
    <w:rsid w:val="006426C5"/>
    <w:rsid w:val="00642B4D"/>
    <w:rsid w:val="00643078"/>
    <w:rsid w:val="006430F7"/>
    <w:rsid w:val="00643865"/>
    <w:rsid w:val="00644B13"/>
    <w:rsid w:val="00644BD2"/>
    <w:rsid w:val="00644C7D"/>
    <w:rsid w:val="00645270"/>
    <w:rsid w:val="006457CF"/>
    <w:rsid w:val="006459F0"/>
    <w:rsid w:val="00645F24"/>
    <w:rsid w:val="006460EB"/>
    <w:rsid w:val="00646B68"/>
    <w:rsid w:val="00646E3E"/>
    <w:rsid w:val="006501C7"/>
    <w:rsid w:val="00650ADB"/>
    <w:rsid w:val="00651286"/>
    <w:rsid w:val="006518EE"/>
    <w:rsid w:val="00652150"/>
    <w:rsid w:val="00652203"/>
    <w:rsid w:val="0065290C"/>
    <w:rsid w:val="00653998"/>
    <w:rsid w:val="00654C14"/>
    <w:rsid w:val="00654E73"/>
    <w:rsid w:val="00655656"/>
    <w:rsid w:val="006557EB"/>
    <w:rsid w:val="00655C99"/>
    <w:rsid w:val="006564D8"/>
    <w:rsid w:val="00657367"/>
    <w:rsid w:val="006575A1"/>
    <w:rsid w:val="00657A1C"/>
    <w:rsid w:val="00657F37"/>
    <w:rsid w:val="006608F9"/>
    <w:rsid w:val="00660D03"/>
    <w:rsid w:val="00661667"/>
    <w:rsid w:val="00661E1B"/>
    <w:rsid w:val="0066259D"/>
    <w:rsid w:val="006630E4"/>
    <w:rsid w:val="006634E6"/>
    <w:rsid w:val="006636D9"/>
    <w:rsid w:val="00663CDD"/>
    <w:rsid w:val="00663CE4"/>
    <w:rsid w:val="00666049"/>
    <w:rsid w:val="006662F7"/>
    <w:rsid w:val="00666BF5"/>
    <w:rsid w:val="00667342"/>
    <w:rsid w:val="006675EF"/>
    <w:rsid w:val="0066781D"/>
    <w:rsid w:val="0067034A"/>
    <w:rsid w:val="00672209"/>
    <w:rsid w:val="006722F3"/>
    <w:rsid w:val="006736EC"/>
    <w:rsid w:val="00674565"/>
    <w:rsid w:val="00674A48"/>
    <w:rsid w:val="00674E9F"/>
    <w:rsid w:val="00675761"/>
    <w:rsid w:val="006757D3"/>
    <w:rsid w:val="006759FD"/>
    <w:rsid w:val="00675A36"/>
    <w:rsid w:val="00677B00"/>
    <w:rsid w:val="006818B4"/>
    <w:rsid w:val="006818DF"/>
    <w:rsid w:val="006826AA"/>
    <w:rsid w:val="00683348"/>
    <w:rsid w:val="00683416"/>
    <w:rsid w:val="00683D7D"/>
    <w:rsid w:val="00683E4A"/>
    <w:rsid w:val="00684257"/>
    <w:rsid w:val="006845A4"/>
    <w:rsid w:val="006847CD"/>
    <w:rsid w:val="0068594F"/>
    <w:rsid w:val="00685C09"/>
    <w:rsid w:val="00686085"/>
    <w:rsid w:val="00686AA0"/>
    <w:rsid w:val="006871D5"/>
    <w:rsid w:val="006876C2"/>
    <w:rsid w:val="00687E03"/>
    <w:rsid w:val="00687FAA"/>
    <w:rsid w:val="00687FE7"/>
    <w:rsid w:val="0069045D"/>
    <w:rsid w:val="006922E6"/>
    <w:rsid w:val="00692C87"/>
    <w:rsid w:val="00692ED6"/>
    <w:rsid w:val="006936A4"/>
    <w:rsid w:val="00694398"/>
    <w:rsid w:val="00694D20"/>
    <w:rsid w:val="006950D8"/>
    <w:rsid w:val="006953B4"/>
    <w:rsid w:val="00695981"/>
    <w:rsid w:val="00695AC3"/>
    <w:rsid w:val="00695EFD"/>
    <w:rsid w:val="00696D79"/>
    <w:rsid w:val="006A0F20"/>
    <w:rsid w:val="006A268E"/>
    <w:rsid w:val="006A290F"/>
    <w:rsid w:val="006A2DE6"/>
    <w:rsid w:val="006A340A"/>
    <w:rsid w:val="006A3425"/>
    <w:rsid w:val="006A3EBE"/>
    <w:rsid w:val="006A41B3"/>
    <w:rsid w:val="006A4346"/>
    <w:rsid w:val="006A5459"/>
    <w:rsid w:val="006B09C3"/>
    <w:rsid w:val="006B1786"/>
    <w:rsid w:val="006B1FAD"/>
    <w:rsid w:val="006B21B7"/>
    <w:rsid w:val="006B27D4"/>
    <w:rsid w:val="006B2976"/>
    <w:rsid w:val="006B2AE5"/>
    <w:rsid w:val="006B394E"/>
    <w:rsid w:val="006B45C9"/>
    <w:rsid w:val="006B4BD0"/>
    <w:rsid w:val="006B5511"/>
    <w:rsid w:val="006B5A2C"/>
    <w:rsid w:val="006B6AA3"/>
    <w:rsid w:val="006B6EF0"/>
    <w:rsid w:val="006B76E8"/>
    <w:rsid w:val="006B7C73"/>
    <w:rsid w:val="006B7E57"/>
    <w:rsid w:val="006B7F29"/>
    <w:rsid w:val="006C0083"/>
    <w:rsid w:val="006C08CE"/>
    <w:rsid w:val="006C1E2D"/>
    <w:rsid w:val="006C2FEE"/>
    <w:rsid w:val="006C3018"/>
    <w:rsid w:val="006C3483"/>
    <w:rsid w:val="006C4EC1"/>
    <w:rsid w:val="006C656B"/>
    <w:rsid w:val="006C7127"/>
    <w:rsid w:val="006C7C97"/>
    <w:rsid w:val="006D14F5"/>
    <w:rsid w:val="006D156D"/>
    <w:rsid w:val="006D1580"/>
    <w:rsid w:val="006D17D5"/>
    <w:rsid w:val="006D1D1A"/>
    <w:rsid w:val="006D2035"/>
    <w:rsid w:val="006D2C6F"/>
    <w:rsid w:val="006D307C"/>
    <w:rsid w:val="006D3DBA"/>
    <w:rsid w:val="006D4BE6"/>
    <w:rsid w:val="006D4D15"/>
    <w:rsid w:val="006D5E6F"/>
    <w:rsid w:val="006D6060"/>
    <w:rsid w:val="006D6476"/>
    <w:rsid w:val="006D6806"/>
    <w:rsid w:val="006D6EA7"/>
    <w:rsid w:val="006D71FF"/>
    <w:rsid w:val="006D74AA"/>
    <w:rsid w:val="006D784E"/>
    <w:rsid w:val="006E086F"/>
    <w:rsid w:val="006E10A3"/>
    <w:rsid w:val="006E1398"/>
    <w:rsid w:val="006E14A4"/>
    <w:rsid w:val="006E1972"/>
    <w:rsid w:val="006E23C0"/>
    <w:rsid w:val="006E251A"/>
    <w:rsid w:val="006E2633"/>
    <w:rsid w:val="006E3192"/>
    <w:rsid w:val="006E3ED7"/>
    <w:rsid w:val="006E463D"/>
    <w:rsid w:val="006E4702"/>
    <w:rsid w:val="006E542A"/>
    <w:rsid w:val="006E659F"/>
    <w:rsid w:val="006E7703"/>
    <w:rsid w:val="006E7A09"/>
    <w:rsid w:val="006F0EC7"/>
    <w:rsid w:val="006F124A"/>
    <w:rsid w:val="006F161E"/>
    <w:rsid w:val="006F2880"/>
    <w:rsid w:val="006F2C6F"/>
    <w:rsid w:val="006F35E7"/>
    <w:rsid w:val="006F3D5D"/>
    <w:rsid w:val="006F4237"/>
    <w:rsid w:val="006F4EA4"/>
    <w:rsid w:val="006F53BB"/>
    <w:rsid w:val="006F5428"/>
    <w:rsid w:val="006F5633"/>
    <w:rsid w:val="006F5F28"/>
    <w:rsid w:val="006F62E9"/>
    <w:rsid w:val="006F6529"/>
    <w:rsid w:val="006F6643"/>
    <w:rsid w:val="006F6681"/>
    <w:rsid w:val="006F6972"/>
    <w:rsid w:val="006F6C78"/>
    <w:rsid w:val="006F71D1"/>
    <w:rsid w:val="006F7499"/>
    <w:rsid w:val="006F764C"/>
    <w:rsid w:val="006F7B47"/>
    <w:rsid w:val="007004FA"/>
    <w:rsid w:val="00701624"/>
    <w:rsid w:val="007019F2"/>
    <w:rsid w:val="00701DA9"/>
    <w:rsid w:val="00704CE7"/>
    <w:rsid w:val="00704F2D"/>
    <w:rsid w:val="00705015"/>
    <w:rsid w:val="00705083"/>
    <w:rsid w:val="0070592D"/>
    <w:rsid w:val="007060DB"/>
    <w:rsid w:val="00706290"/>
    <w:rsid w:val="00706412"/>
    <w:rsid w:val="007074D9"/>
    <w:rsid w:val="0071032A"/>
    <w:rsid w:val="00710B96"/>
    <w:rsid w:val="00711345"/>
    <w:rsid w:val="00711DBE"/>
    <w:rsid w:val="00712C82"/>
    <w:rsid w:val="0071317C"/>
    <w:rsid w:val="00714937"/>
    <w:rsid w:val="00715D38"/>
    <w:rsid w:val="0071637C"/>
    <w:rsid w:val="00716870"/>
    <w:rsid w:val="00716EBE"/>
    <w:rsid w:val="00717142"/>
    <w:rsid w:val="00717884"/>
    <w:rsid w:val="00717D03"/>
    <w:rsid w:val="00721DDC"/>
    <w:rsid w:val="00722396"/>
    <w:rsid w:val="00722B19"/>
    <w:rsid w:val="0072301C"/>
    <w:rsid w:val="0072393D"/>
    <w:rsid w:val="00724A6A"/>
    <w:rsid w:val="007253D0"/>
    <w:rsid w:val="00725A1C"/>
    <w:rsid w:val="0072604D"/>
    <w:rsid w:val="00726420"/>
    <w:rsid w:val="00726495"/>
    <w:rsid w:val="0072658F"/>
    <w:rsid w:val="00727272"/>
    <w:rsid w:val="0073027F"/>
    <w:rsid w:val="00730370"/>
    <w:rsid w:val="00730C7B"/>
    <w:rsid w:val="00731E64"/>
    <w:rsid w:val="00732384"/>
    <w:rsid w:val="0073254C"/>
    <w:rsid w:val="007330C7"/>
    <w:rsid w:val="00733149"/>
    <w:rsid w:val="007332EA"/>
    <w:rsid w:val="0073394F"/>
    <w:rsid w:val="00734110"/>
    <w:rsid w:val="00734141"/>
    <w:rsid w:val="00734FCE"/>
    <w:rsid w:val="00735399"/>
    <w:rsid w:val="007357D6"/>
    <w:rsid w:val="007358EF"/>
    <w:rsid w:val="00735C1E"/>
    <w:rsid w:val="007369AE"/>
    <w:rsid w:val="007370CF"/>
    <w:rsid w:val="00740E4A"/>
    <w:rsid w:val="0074311B"/>
    <w:rsid w:val="00743C3B"/>
    <w:rsid w:val="0074406D"/>
    <w:rsid w:val="00745197"/>
    <w:rsid w:val="0074739D"/>
    <w:rsid w:val="007475D4"/>
    <w:rsid w:val="007477E5"/>
    <w:rsid w:val="00747A46"/>
    <w:rsid w:val="00747CF4"/>
    <w:rsid w:val="0075099B"/>
    <w:rsid w:val="00751BAE"/>
    <w:rsid w:val="007525FD"/>
    <w:rsid w:val="00752B6D"/>
    <w:rsid w:val="00752EEE"/>
    <w:rsid w:val="00754156"/>
    <w:rsid w:val="0075649F"/>
    <w:rsid w:val="00756531"/>
    <w:rsid w:val="007569D3"/>
    <w:rsid w:val="00756D89"/>
    <w:rsid w:val="00756F70"/>
    <w:rsid w:val="00756FD6"/>
    <w:rsid w:val="0075714D"/>
    <w:rsid w:val="007577AE"/>
    <w:rsid w:val="00760CFA"/>
    <w:rsid w:val="007628DE"/>
    <w:rsid w:val="0076413C"/>
    <w:rsid w:val="0076455B"/>
    <w:rsid w:val="00765418"/>
    <w:rsid w:val="00765A4D"/>
    <w:rsid w:val="00765AE1"/>
    <w:rsid w:val="00765C31"/>
    <w:rsid w:val="00766684"/>
    <w:rsid w:val="00766B17"/>
    <w:rsid w:val="00766FE7"/>
    <w:rsid w:val="0076789E"/>
    <w:rsid w:val="00767DF7"/>
    <w:rsid w:val="00767F25"/>
    <w:rsid w:val="00770E7B"/>
    <w:rsid w:val="0077141A"/>
    <w:rsid w:val="00771491"/>
    <w:rsid w:val="00771868"/>
    <w:rsid w:val="00771CA5"/>
    <w:rsid w:val="00772069"/>
    <w:rsid w:val="0077229B"/>
    <w:rsid w:val="007775C3"/>
    <w:rsid w:val="00777B7D"/>
    <w:rsid w:val="00780202"/>
    <w:rsid w:val="00780C26"/>
    <w:rsid w:val="00781103"/>
    <w:rsid w:val="00782F43"/>
    <w:rsid w:val="0078341A"/>
    <w:rsid w:val="00783454"/>
    <w:rsid w:val="00783B1A"/>
    <w:rsid w:val="00784276"/>
    <w:rsid w:val="00784801"/>
    <w:rsid w:val="00784E59"/>
    <w:rsid w:val="00785076"/>
    <w:rsid w:val="007862EF"/>
    <w:rsid w:val="0078643F"/>
    <w:rsid w:val="00786502"/>
    <w:rsid w:val="00786AF5"/>
    <w:rsid w:val="00786B92"/>
    <w:rsid w:val="007872BE"/>
    <w:rsid w:val="00787C94"/>
    <w:rsid w:val="00787E74"/>
    <w:rsid w:val="007902FE"/>
    <w:rsid w:val="00791D2F"/>
    <w:rsid w:val="00791E9D"/>
    <w:rsid w:val="00792B9C"/>
    <w:rsid w:val="007940A0"/>
    <w:rsid w:val="0079420D"/>
    <w:rsid w:val="00794900"/>
    <w:rsid w:val="00794B0B"/>
    <w:rsid w:val="0079557C"/>
    <w:rsid w:val="007958FB"/>
    <w:rsid w:val="0079620A"/>
    <w:rsid w:val="007966B6"/>
    <w:rsid w:val="00796EA8"/>
    <w:rsid w:val="00796EA9"/>
    <w:rsid w:val="00797196"/>
    <w:rsid w:val="007975F0"/>
    <w:rsid w:val="00797E1A"/>
    <w:rsid w:val="007A086D"/>
    <w:rsid w:val="007A12EC"/>
    <w:rsid w:val="007A185D"/>
    <w:rsid w:val="007A1985"/>
    <w:rsid w:val="007A1B2B"/>
    <w:rsid w:val="007A1C3D"/>
    <w:rsid w:val="007A20B9"/>
    <w:rsid w:val="007A25E1"/>
    <w:rsid w:val="007A30ED"/>
    <w:rsid w:val="007A351D"/>
    <w:rsid w:val="007A433B"/>
    <w:rsid w:val="007A4BAC"/>
    <w:rsid w:val="007A4C85"/>
    <w:rsid w:val="007A5203"/>
    <w:rsid w:val="007A523B"/>
    <w:rsid w:val="007A6020"/>
    <w:rsid w:val="007A645B"/>
    <w:rsid w:val="007A66B4"/>
    <w:rsid w:val="007A67CA"/>
    <w:rsid w:val="007A7292"/>
    <w:rsid w:val="007A74DF"/>
    <w:rsid w:val="007A7B1B"/>
    <w:rsid w:val="007B02AD"/>
    <w:rsid w:val="007B071D"/>
    <w:rsid w:val="007B0FF5"/>
    <w:rsid w:val="007B134A"/>
    <w:rsid w:val="007B13F4"/>
    <w:rsid w:val="007B1D23"/>
    <w:rsid w:val="007B2993"/>
    <w:rsid w:val="007B2F02"/>
    <w:rsid w:val="007B3F56"/>
    <w:rsid w:val="007B6153"/>
    <w:rsid w:val="007B6420"/>
    <w:rsid w:val="007B71CD"/>
    <w:rsid w:val="007C0AF7"/>
    <w:rsid w:val="007C0B6B"/>
    <w:rsid w:val="007C1866"/>
    <w:rsid w:val="007C1A96"/>
    <w:rsid w:val="007C2A23"/>
    <w:rsid w:val="007C2C5E"/>
    <w:rsid w:val="007C2D0F"/>
    <w:rsid w:val="007C3D13"/>
    <w:rsid w:val="007C4183"/>
    <w:rsid w:val="007C4850"/>
    <w:rsid w:val="007C4A34"/>
    <w:rsid w:val="007C4EDA"/>
    <w:rsid w:val="007C5AD5"/>
    <w:rsid w:val="007C5B4E"/>
    <w:rsid w:val="007C7D0B"/>
    <w:rsid w:val="007D01D4"/>
    <w:rsid w:val="007D069D"/>
    <w:rsid w:val="007D0AAC"/>
    <w:rsid w:val="007D3CA5"/>
    <w:rsid w:val="007D431E"/>
    <w:rsid w:val="007D4E2C"/>
    <w:rsid w:val="007D5056"/>
    <w:rsid w:val="007D5E2F"/>
    <w:rsid w:val="007D65D0"/>
    <w:rsid w:val="007D6601"/>
    <w:rsid w:val="007D6CE6"/>
    <w:rsid w:val="007D6F01"/>
    <w:rsid w:val="007D7B2C"/>
    <w:rsid w:val="007E11F3"/>
    <w:rsid w:val="007E1305"/>
    <w:rsid w:val="007E19F3"/>
    <w:rsid w:val="007E290D"/>
    <w:rsid w:val="007E365B"/>
    <w:rsid w:val="007E3F30"/>
    <w:rsid w:val="007E489E"/>
    <w:rsid w:val="007E4973"/>
    <w:rsid w:val="007E4B98"/>
    <w:rsid w:val="007E5A2D"/>
    <w:rsid w:val="007E6431"/>
    <w:rsid w:val="007E680F"/>
    <w:rsid w:val="007E6AB3"/>
    <w:rsid w:val="007E72E7"/>
    <w:rsid w:val="007E7B76"/>
    <w:rsid w:val="007E7D29"/>
    <w:rsid w:val="007F014F"/>
    <w:rsid w:val="007F08E6"/>
    <w:rsid w:val="007F0C62"/>
    <w:rsid w:val="007F11F6"/>
    <w:rsid w:val="007F17E2"/>
    <w:rsid w:val="007F1DA9"/>
    <w:rsid w:val="007F23EB"/>
    <w:rsid w:val="007F2B45"/>
    <w:rsid w:val="007F2E08"/>
    <w:rsid w:val="007F345D"/>
    <w:rsid w:val="007F3867"/>
    <w:rsid w:val="007F390C"/>
    <w:rsid w:val="007F4267"/>
    <w:rsid w:val="007F431F"/>
    <w:rsid w:val="007F4C5B"/>
    <w:rsid w:val="007F5125"/>
    <w:rsid w:val="007F5246"/>
    <w:rsid w:val="007F74A5"/>
    <w:rsid w:val="008004F0"/>
    <w:rsid w:val="00801D5F"/>
    <w:rsid w:val="00801FC5"/>
    <w:rsid w:val="00801FC9"/>
    <w:rsid w:val="008022AD"/>
    <w:rsid w:val="00802386"/>
    <w:rsid w:val="008030A8"/>
    <w:rsid w:val="008034E4"/>
    <w:rsid w:val="00803AB1"/>
    <w:rsid w:val="00804490"/>
    <w:rsid w:val="00806324"/>
    <w:rsid w:val="00807592"/>
    <w:rsid w:val="00810884"/>
    <w:rsid w:val="00810975"/>
    <w:rsid w:val="00810FD6"/>
    <w:rsid w:val="00811185"/>
    <w:rsid w:val="00812234"/>
    <w:rsid w:val="0081426E"/>
    <w:rsid w:val="00816106"/>
    <w:rsid w:val="00816CFD"/>
    <w:rsid w:val="00817C85"/>
    <w:rsid w:val="008210EA"/>
    <w:rsid w:val="008213C6"/>
    <w:rsid w:val="008214A2"/>
    <w:rsid w:val="00821DBC"/>
    <w:rsid w:val="00821F62"/>
    <w:rsid w:val="0082216B"/>
    <w:rsid w:val="0082284B"/>
    <w:rsid w:val="00822F65"/>
    <w:rsid w:val="00823854"/>
    <w:rsid w:val="00823CAC"/>
    <w:rsid w:val="00823EFC"/>
    <w:rsid w:val="00824BEA"/>
    <w:rsid w:val="0082624E"/>
    <w:rsid w:val="00827089"/>
    <w:rsid w:val="00827A30"/>
    <w:rsid w:val="00831102"/>
    <w:rsid w:val="0083188F"/>
    <w:rsid w:val="00832345"/>
    <w:rsid w:val="008327AB"/>
    <w:rsid w:val="00832E85"/>
    <w:rsid w:val="008331ED"/>
    <w:rsid w:val="0083386F"/>
    <w:rsid w:val="00833A9F"/>
    <w:rsid w:val="00833FB4"/>
    <w:rsid w:val="0083408D"/>
    <w:rsid w:val="008345BE"/>
    <w:rsid w:val="008351D2"/>
    <w:rsid w:val="00835A5C"/>
    <w:rsid w:val="008361E0"/>
    <w:rsid w:val="00836730"/>
    <w:rsid w:val="008367F7"/>
    <w:rsid w:val="00836C60"/>
    <w:rsid w:val="0083775B"/>
    <w:rsid w:val="00837B8B"/>
    <w:rsid w:val="00840161"/>
    <w:rsid w:val="00840601"/>
    <w:rsid w:val="00841350"/>
    <w:rsid w:val="00841712"/>
    <w:rsid w:val="00841939"/>
    <w:rsid w:val="0084227C"/>
    <w:rsid w:val="00842929"/>
    <w:rsid w:val="00842C2A"/>
    <w:rsid w:val="008433C0"/>
    <w:rsid w:val="00843A27"/>
    <w:rsid w:val="00844968"/>
    <w:rsid w:val="00844E48"/>
    <w:rsid w:val="00844E56"/>
    <w:rsid w:val="00845140"/>
    <w:rsid w:val="008468AC"/>
    <w:rsid w:val="008468C0"/>
    <w:rsid w:val="00846A4B"/>
    <w:rsid w:val="00847DAC"/>
    <w:rsid w:val="0085027A"/>
    <w:rsid w:val="008505D6"/>
    <w:rsid w:val="008509BA"/>
    <w:rsid w:val="00850ED3"/>
    <w:rsid w:val="00850F20"/>
    <w:rsid w:val="0085249C"/>
    <w:rsid w:val="00852E63"/>
    <w:rsid w:val="00853268"/>
    <w:rsid w:val="008533CD"/>
    <w:rsid w:val="008533F6"/>
    <w:rsid w:val="008542C1"/>
    <w:rsid w:val="0085478F"/>
    <w:rsid w:val="008547D8"/>
    <w:rsid w:val="008549CF"/>
    <w:rsid w:val="00854DB1"/>
    <w:rsid w:val="00854E54"/>
    <w:rsid w:val="00855BB0"/>
    <w:rsid w:val="00855EC1"/>
    <w:rsid w:val="00855F44"/>
    <w:rsid w:val="00856AD1"/>
    <w:rsid w:val="00857F37"/>
    <w:rsid w:val="008612A3"/>
    <w:rsid w:val="008614B9"/>
    <w:rsid w:val="00861F59"/>
    <w:rsid w:val="00862237"/>
    <w:rsid w:val="00862485"/>
    <w:rsid w:val="008626B4"/>
    <w:rsid w:val="00862BA0"/>
    <w:rsid w:val="00862D26"/>
    <w:rsid w:val="0086374B"/>
    <w:rsid w:val="0086378A"/>
    <w:rsid w:val="0086404E"/>
    <w:rsid w:val="00864C39"/>
    <w:rsid w:val="0086539B"/>
    <w:rsid w:val="00866159"/>
    <w:rsid w:val="008671C4"/>
    <w:rsid w:val="008715E3"/>
    <w:rsid w:val="0087176A"/>
    <w:rsid w:val="008718D4"/>
    <w:rsid w:val="00871F4A"/>
    <w:rsid w:val="0087230C"/>
    <w:rsid w:val="008734A3"/>
    <w:rsid w:val="00876B82"/>
    <w:rsid w:val="00877CBF"/>
    <w:rsid w:val="0088035E"/>
    <w:rsid w:val="008804E1"/>
    <w:rsid w:val="00880D80"/>
    <w:rsid w:val="00880E79"/>
    <w:rsid w:val="008810D1"/>
    <w:rsid w:val="008822A9"/>
    <w:rsid w:val="0088316C"/>
    <w:rsid w:val="00883589"/>
    <w:rsid w:val="00884385"/>
    <w:rsid w:val="00884A14"/>
    <w:rsid w:val="008855AC"/>
    <w:rsid w:val="00885666"/>
    <w:rsid w:val="00885B8D"/>
    <w:rsid w:val="00885D29"/>
    <w:rsid w:val="00886406"/>
    <w:rsid w:val="0088690E"/>
    <w:rsid w:val="00886C84"/>
    <w:rsid w:val="00887FC5"/>
    <w:rsid w:val="0089054F"/>
    <w:rsid w:val="00890836"/>
    <w:rsid w:val="008913DB"/>
    <w:rsid w:val="00891995"/>
    <w:rsid w:val="00891A8E"/>
    <w:rsid w:val="00891B64"/>
    <w:rsid w:val="00891DBE"/>
    <w:rsid w:val="00891EE3"/>
    <w:rsid w:val="00892D38"/>
    <w:rsid w:val="00892F1E"/>
    <w:rsid w:val="00893061"/>
    <w:rsid w:val="008930A6"/>
    <w:rsid w:val="00893C0A"/>
    <w:rsid w:val="00893D39"/>
    <w:rsid w:val="00894510"/>
    <w:rsid w:val="00894DFF"/>
    <w:rsid w:val="0089528D"/>
    <w:rsid w:val="00895999"/>
    <w:rsid w:val="0089628C"/>
    <w:rsid w:val="00896890"/>
    <w:rsid w:val="00897409"/>
    <w:rsid w:val="008974DA"/>
    <w:rsid w:val="00897560"/>
    <w:rsid w:val="008A0AC2"/>
    <w:rsid w:val="008A1016"/>
    <w:rsid w:val="008A2680"/>
    <w:rsid w:val="008A360E"/>
    <w:rsid w:val="008A382F"/>
    <w:rsid w:val="008A4F48"/>
    <w:rsid w:val="008A5A9C"/>
    <w:rsid w:val="008A7C1B"/>
    <w:rsid w:val="008A7D73"/>
    <w:rsid w:val="008A7E14"/>
    <w:rsid w:val="008A7F6A"/>
    <w:rsid w:val="008B0874"/>
    <w:rsid w:val="008B1EF0"/>
    <w:rsid w:val="008B26A0"/>
    <w:rsid w:val="008B2B3C"/>
    <w:rsid w:val="008B2BAC"/>
    <w:rsid w:val="008B2F99"/>
    <w:rsid w:val="008B49F4"/>
    <w:rsid w:val="008B4C05"/>
    <w:rsid w:val="008B57EA"/>
    <w:rsid w:val="008B655A"/>
    <w:rsid w:val="008B7D40"/>
    <w:rsid w:val="008C0DDF"/>
    <w:rsid w:val="008C11E0"/>
    <w:rsid w:val="008C2186"/>
    <w:rsid w:val="008C2668"/>
    <w:rsid w:val="008C2DBA"/>
    <w:rsid w:val="008C380A"/>
    <w:rsid w:val="008C3850"/>
    <w:rsid w:val="008C3975"/>
    <w:rsid w:val="008C3F93"/>
    <w:rsid w:val="008C44F7"/>
    <w:rsid w:val="008C49EA"/>
    <w:rsid w:val="008C5313"/>
    <w:rsid w:val="008C78B9"/>
    <w:rsid w:val="008D0B2E"/>
    <w:rsid w:val="008D0B50"/>
    <w:rsid w:val="008D18D6"/>
    <w:rsid w:val="008D1A40"/>
    <w:rsid w:val="008D3681"/>
    <w:rsid w:val="008D4286"/>
    <w:rsid w:val="008D4455"/>
    <w:rsid w:val="008D4B51"/>
    <w:rsid w:val="008D4ED1"/>
    <w:rsid w:val="008D53DF"/>
    <w:rsid w:val="008D55B0"/>
    <w:rsid w:val="008D58BF"/>
    <w:rsid w:val="008D651B"/>
    <w:rsid w:val="008D6540"/>
    <w:rsid w:val="008D74F3"/>
    <w:rsid w:val="008E0B29"/>
    <w:rsid w:val="008E0D62"/>
    <w:rsid w:val="008E2259"/>
    <w:rsid w:val="008E2707"/>
    <w:rsid w:val="008E28E1"/>
    <w:rsid w:val="008E29A3"/>
    <w:rsid w:val="008E2DB8"/>
    <w:rsid w:val="008E42A0"/>
    <w:rsid w:val="008E48F9"/>
    <w:rsid w:val="008E4F3B"/>
    <w:rsid w:val="008E524F"/>
    <w:rsid w:val="008E53D4"/>
    <w:rsid w:val="008E551E"/>
    <w:rsid w:val="008E5894"/>
    <w:rsid w:val="008E699C"/>
    <w:rsid w:val="008E6C0F"/>
    <w:rsid w:val="008E7636"/>
    <w:rsid w:val="008F056D"/>
    <w:rsid w:val="008F18F8"/>
    <w:rsid w:val="008F2D39"/>
    <w:rsid w:val="008F2D7C"/>
    <w:rsid w:val="008F3254"/>
    <w:rsid w:val="008F3D6A"/>
    <w:rsid w:val="008F425B"/>
    <w:rsid w:val="008F440F"/>
    <w:rsid w:val="008F451B"/>
    <w:rsid w:val="008F4CD3"/>
    <w:rsid w:val="008F567A"/>
    <w:rsid w:val="008F61D0"/>
    <w:rsid w:val="008F7793"/>
    <w:rsid w:val="0090052E"/>
    <w:rsid w:val="00900F8E"/>
    <w:rsid w:val="0090119A"/>
    <w:rsid w:val="009022EC"/>
    <w:rsid w:val="009025A8"/>
    <w:rsid w:val="00902CB9"/>
    <w:rsid w:val="0090328B"/>
    <w:rsid w:val="0090410D"/>
    <w:rsid w:val="009045BE"/>
    <w:rsid w:val="0090499B"/>
    <w:rsid w:val="00905371"/>
    <w:rsid w:val="00905405"/>
    <w:rsid w:val="0090604B"/>
    <w:rsid w:val="00906955"/>
    <w:rsid w:val="00906A19"/>
    <w:rsid w:val="00906E3A"/>
    <w:rsid w:val="00906F80"/>
    <w:rsid w:val="009072E1"/>
    <w:rsid w:val="00907464"/>
    <w:rsid w:val="00907543"/>
    <w:rsid w:val="00907B13"/>
    <w:rsid w:val="0091046B"/>
    <w:rsid w:val="00910AB9"/>
    <w:rsid w:val="00910F83"/>
    <w:rsid w:val="009119E6"/>
    <w:rsid w:val="00911F39"/>
    <w:rsid w:val="009121F9"/>
    <w:rsid w:val="009126F7"/>
    <w:rsid w:val="009133D7"/>
    <w:rsid w:val="00914144"/>
    <w:rsid w:val="009142A3"/>
    <w:rsid w:val="00914C70"/>
    <w:rsid w:val="009153FF"/>
    <w:rsid w:val="009157B0"/>
    <w:rsid w:val="00915E87"/>
    <w:rsid w:val="0091750E"/>
    <w:rsid w:val="009176FD"/>
    <w:rsid w:val="009178B3"/>
    <w:rsid w:val="00917DFF"/>
    <w:rsid w:val="0092038F"/>
    <w:rsid w:val="00920D31"/>
    <w:rsid w:val="00922C85"/>
    <w:rsid w:val="00924E16"/>
    <w:rsid w:val="0092512E"/>
    <w:rsid w:val="009262F3"/>
    <w:rsid w:val="00926620"/>
    <w:rsid w:val="00926BF8"/>
    <w:rsid w:val="00927667"/>
    <w:rsid w:val="00927DBC"/>
    <w:rsid w:val="009302BD"/>
    <w:rsid w:val="009317BD"/>
    <w:rsid w:val="009320B6"/>
    <w:rsid w:val="00932220"/>
    <w:rsid w:val="00932420"/>
    <w:rsid w:val="00932D79"/>
    <w:rsid w:val="00933E6B"/>
    <w:rsid w:val="00933EF9"/>
    <w:rsid w:val="00934131"/>
    <w:rsid w:val="00934FD5"/>
    <w:rsid w:val="00935758"/>
    <w:rsid w:val="00935F27"/>
    <w:rsid w:val="00936173"/>
    <w:rsid w:val="00936A79"/>
    <w:rsid w:val="00936F93"/>
    <w:rsid w:val="00937DBE"/>
    <w:rsid w:val="00937EDA"/>
    <w:rsid w:val="0094017F"/>
    <w:rsid w:val="00941368"/>
    <w:rsid w:val="009427EE"/>
    <w:rsid w:val="00942EAF"/>
    <w:rsid w:val="00942FEA"/>
    <w:rsid w:val="0094324A"/>
    <w:rsid w:val="00943EFE"/>
    <w:rsid w:val="0094407E"/>
    <w:rsid w:val="00944A1C"/>
    <w:rsid w:val="00944A4F"/>
    <w:rsid w:val="00945356"/>
    <w:rsid w:val="009462C8"/>
    <w:rsid w:val="00946677"/>
    <w:rsid w:val="009467B2"/>
    <w:rsid w:val="00946DE4"/>
    <w:rsid w:val="0094765E"/>
    <w:rsid w:val="0094778F"/>
    <w:rsid w:val="0094797C"/>
    <w:rsid w:val="00947B64"/>
    <w:rsid w:val="00950C61"/>
    <w:rsid w:val="0095282A"/>
    <w:rsid w:val="009546FC"/>
    <w:rsid w:val="009562C3"/>
    <w:rsid w:val="009575B8"/>
    <w:rsid w:val="0096018A"/>
    <w:rsid w:val="00960987"/>
    <w:rsid w:val="00960F3A"/>
    <w:rsid w:val="0096159F"/>
    <w:rsid w:val="0096298D"/>
    <w:rsid w:val="00962E35"/>
    <w:rsid w:val="00963F42"/>
    <w:rsid w:val="00964FC8"/>
    <w:rsid w:val="0096685C"/>
    <w:rsid w:val="00966E51"/>
    <w:rsid w:val="0096763C"/>
    <w:rsid w:val="009706B4"/>
    <w:rsid w:val="00970926"/>
    <w:rsid w:val="00970A8D"/>
    <w:rsid w:val="00970B7D"/>
    <w:rsid w:val="0097179E"/>
    <w:rsid w:val="00972D90"/>
    <w:rsid w:val="00973A91"/>
    <w:rsid w:val="00973B66"/>
    <w:rsid w:val="0097437F"/>
    <w:rsid w:val="00975542"/>
    <w:rsid w:val="0097568E"/>
    <w:rsid w:val="00976046"/>
    <w:rsid w:val="0097646D"/>
    <w:rsid w:val="00976CDD"/>
    <w:rsid w:val="00976E77"/>
    <w:rsid w:val="009773EA"/>
    <w:rsid w:val="009779DC"/>
    <w:rsid w:val="0098087A"/>
    <w:rsid w:val="00980FFE"/>
    <w:rsid w:val="0098229D"/>
    <w:rsid w:val="0098243A"/>
    <w:rsid w:val="009826B1"/>
    <w:rsid w:val="0098323D"/>
    <w:rsid w:val="009840CD"/>
    <w:rsid w:val="009846FE"/>
    <w:rsid w:val="0098486E"/>
    <w:rsid w:val="009848F2"/>
    <w:rsid w:val="009851A3"/>
    <w:rsid w:val="00985E3E"/>
    <w:rsid w:val="0098627B"/>
    <w:rsid w:val="00986888"/>
    <w:rsid w:val="00986F45"/>
    <w:rsid w:val="0098704C"/>
    <w:rsid w:val="009903F4"/>
    <w:rsid w:val="009909B1"/>
    <w:rsid w:val="00991652"/>
    <w:rsid w:val="00991A48"/>
    <w:rsid w:val="009920F2"/>
    <w:rsid w:val="00993349"/>
    <w:rsid w:val="00993A13"/>
    <w:rsid w:val="00993DA0"/>
    <w:rsid w:val="00994175"/>
    <w:rsid w:val="00995662"/>
    <w:rsid w:val="00995C60"/>
    <w:rsid w:val="00995D19"/>
    <w:rsid w:val="0099639D"/>
    <w:rsid w:val="0099653E"/>
    <w:rsid w:val="00996808"/>
    <w:rsid w:val="0099712E"/>
    <w:rsid w:val="00997311"/>
    <w:rsid w:val="00997675"/>
    <w:rsid w:val="00997BBF"/>
    <w:rsid w:val="00997C87"/>
    <w:rsid w:val="00997D89"/>
    <w:rsid w:val="00997E7F"/>
    <w:rsid w:val="00997ECD"/>
    <w:rsid w:val="009A0F21"/>
    <w:rsid w:val="009A1009"/>
    <w:rsid w:val="009A1DEA"/>
    <w:rsid w:val="009A34A2"/>
    <w:rsid w:val="009A3891"/>
    <w:rsid w:val="009A4368"/>
    <w:rsid w:val="009A5EB0"/>
    <w:rsid w:val="009A719A"/>
    <w:rsid w:val="009A76C1"/>
    <w:rsid w:val="009A7DDD"/>
    <w:rsid w:val="009B00B4"/>
    <w:rsid w:val="009B0773"/>
    <w:rsid w:val="009B0864"/>
    <w:rsid w:val="009B08FB"/>
    <w:rsid w:val="009B0E08"/>
    <w:rsid w:val="009B1FA1"/>
    <w:rsid w:val="009B2CAB"/>
    <w:rsid w:val="009B2F8C"/>
    <w:rsid w:val="009B3647"/>
    <w:rsid w:val="009B3FE5"/>
    <w:rsid w:val="009B42E7"/>
    <w:rsid w:val="009B44E5"/>
    <w:rsid w:val="009B487D"/>
    <w:rsid w:val="009B4DED"/>
    <w:rsid w:val="009B57B1"/>
    <w:rsid w:val="009B5DE1"/>
    <w:rsid w:val="009B5DEB"/>
    <w:rsid w:val="009B66DB"/>
    <w:rsid w:val="009B675C"/>
    <w:rsid w:val="009B73E6"/>
    <w:rsid w:val="009B796C"/>
    <w:rsid w:val="009B7C91"/>
    <w:rsid w:val="009B7D40"/>
    <w:rsid w:val="009C14D3"/>
    <w:rsid w:val="009C1678"/>
    <w:rsid w:val="009C1B26"/>
    <w:rsid w:val="009C2FD8"/>
    <w:rsid w:val="009C391D"/>
    <w:rsid w:val="009C4DD7"/>
    <w:rsid w:val="009C50FD"/>
    <w:rsid w:val="009C51D0"/>
    <w:rsid w:val="009C66D9"/>
    <w:rsid w:val="009C7FBE"/>
    <w:rsid w:val="009D009A"/>
    <w:rsid w:val="009D01F6"/>
    <w:rsid w:val="009D0628"/>
    <w:rsid w:val="009D0D0C"/>
    <w:rsid w:val="009D0DAC"/>
    <w:rsid w:val="009D0E22"/>
    <w:rsid w:val="009D1585"/>
    <w:rsid w:val="009D1731"/>
    <w:rsid w:val="009D2058"/>
    <w:rsid w:val="009D2082"/>
    <w:rsid w:val="009D31FE"/>
    <w:rsid w:val="009D3751"/>
    <w:rsid w:val="009D395A"/>
    <w:rsid w:val="009D41AC"/>
    <w:rsid w:val="009D46D8"/>
    <w:rsid w:val="009D4BC5"/>
    <w:rsid w:val="009D5B63"/>
    <w:rsid w:val="009D7B20"/>
    <w:rsid w:val="009E0151"/>
    <w:rsid w:val="009E0609"/>
    <w:rsid w:val="009E1BC8"/>
    <w:rsid w:val="009E24D0"/>
    <w:rsid w:val="009E2614"/>
    <w:rsid w:val="009E309E"/>
    <w:rsid w:val="009E3BA2"/>
    <w:rsid w:val="009E3DE2"/>
    <w:rsid w:val="009E4222"/>
    <w:rsid w:val="009E4329"/>
    <w:rsid w:val="009E4673"/>
    <w:rsid w:val="009E48B7"/>
    <w:rsid w:val="009E4989"/>
    <w:rsid w:val="009E4D75"/>
    <w:rsid w:val="009E5537"/>
    <w:rsid w:val="009E5875"/>
    <w:rsid w:val="009E5A50"/>
    <w:rsid w:val="009E6283"/>
    <w:rsid w:val="009E6E17"/>
    <w:rsid w:val="009E6E1C"/>
    <w:rsid w:val="009E7216"/>
    <w:rsid w:val="009E7640"/>
    <w:rsid w:val="009E7EC1"/>
    <w:rsid w:val="009E7FAA"/>
    <w:rsid w:val="009F0114"/>
    <w:rsid w:val="009F0E89"/>
    <w:rsid w:val="009F12D7"/>
    <w:rsid w:val="009F1818"/>
    <w:rsid w:val="009F18A2"/>
    <w:rsid w:val="009F1955"/>
    <w:rsid w:val="009F19A0"/>
    <w:rsid w:val="009F19FC"/>
    <w:rsid w:val="009F224E"/>
    <w:rsid w:val="009F2895"/>
    <w:rsid w:val="009F2E96"/>
    <w:rsid w:val="009F3637"/>
    <w:rsid w:val="009F429C"/>
    <w:rsid w:val="009F4623"/>
    <w:rsid w:val="009F6215"/>
    <w:rsid w:val="009F6C5A"/>
    <w:rsid w:val="009F72BB"/>
    <w:rsid w:val="00A0075A"/>
    <w:rsid w:val="00A01CA4"/>
    <w:rsid w:val="00A02049"/>
    <w:rsid w:val="00A02512"/>
    <w:rsid w:val="00A02DCC"/>
    <w:rsid w:val="00A03286"/>
    <w:rsid w:val="00A03725"/>
    <w:rsid w:val="00A03A6F"/>
    <w:rsid w:val="00A03A79"/>
    <w:rsid w:val="00A043A1"/>
    <w:rsid w:val="00A04B3D"/>
    <w:rsid w:val="00A04C4A"/>
    <w:rsid w:val="00A0550E"/>
    <w:rsid w:val="00A055C7"/>
    <w:rsid w:val="00A05B08"/>
    <w:rsid w:val="00A05C7D"/>
    <w:rsid w:val="00A063AD"/>
    <w:rsid w:val="00A066EA"/>
    <w:rsid w:val="00A06A43"/>
    <w:rsid w:val="00A06B42"/>
    <w:rsid w:val="00A076E0"/>
    <w:rsid w:val="00A07814"/>
    <w:rsid w:val="00A07FF0"/>
    <w:rsid w:val="00A101EA"/>
    <w:rsid w:val="00A10A39"/>
    <w:rsid w:val="00A11D85"/>
    <w:rsid w:val="00A13C6E"/>
    <w:rsid w:val="00A13E06"/>
    <w:rsid w:val="00A147B4"/>
    <w:rsid w:val="00A14ADD"/>
    <w:rsid w:val="00A14E0B"/>
    <w:rsid w:val="00A174C1"/>
    <w:rsid w:val="00A179D3"/>
    <w:rsid w:val="00A205E3"/>
    <w:rsid w:val="00A21071"/>
    <w:rsid w:val="00A21337"/>
    <w:rsid w:val="00A213DF"/>
    <w:rsid w:val="00A23C29"/>
    <w:rsid w:val="00A246F0"/>
    <w:rsid w:val="00A25289"/>
    <w:rsid w:val="00A252CA"/>
    <w:rsid w:val="00A25817"/>
    <w:rsid w:val="00A27854"/>
    <w:rsid w:val="00A27AE3"/>
    <w:rsid w:val="00A27FB1"/>
    <w:rsid w:val="00A300C0"/>
    <w:rsid w:val="00A3077F"/>
    <w:rsid w:val="00A309FC"/>
    <w:rsid w:val="00A30CBC"/>
    <w:rsid w:val="00A31508"/>
    <w:rsid w:val="00A319D0"/>
    <w:rsid w:val="00A31DDC"/>
    <w:rsid w:val="00A32933"/>
    <w:rsid w:val="00A3323A"/>
    <w:rsid w:val="00A336FB"/>
    <w:rsid w:val="00A33866"/>
    <w:rsid w:val="00A3395C"/>
    <w:rsid w:val="00A33F3E"/>
    <w:rsid w:val="00A34470"/>
    <w:rsid w:val="00A34494"/>
    <w:rsid w:val="00A34B28"/>
    <w:rsid w:val="00A35D10"/>
    <w:rsid w:val="00A360ED"/>
    <w:rsid w:val="00A364F7"/>
    <w:rsid w:val="00A36765"/>
    <w:rsid w:val="00A3764D"/>
    <w:rsid w:val="00A37C53"/>
    <w:rsid w:val="00A4000E"/>
    <w:rsid w:val="00A40C47"/>
    <w:rsid w:val="00A40DE2"/>
    <w:rsid w:val="00A413E4"/>
    <w:rsid w:val="00A4188A"/>
    <w:rsid w:val="00A41EEF"/>
    <w:rsid w:val="00A42C39"/>
    <w:rsid w:val="00A43452"/>
    <w:rsid w:val="00A436E3"/>
    <w:rsid w:val="00A43AC9"/>
    <w:rsid w:val="00A4403C"/>
    <w:rsid w:val="00A45592"/>
    <w:rsid w:val="00A46158"/>
    <w:rsid w:val="00A461CD"/>
    <w:rsid w:val="00A464A8"/>
    <w:rsid w:val="00A46639"/>
    <w:rsid w:val="00A47981"/>
    <w:rsid w:val="00A50AEB"/>
    <w:rsid w:val="00A5169E"/>
    <w:rsid w:val="00A523C4"/>
    <w:rsid w:val="00A523DB"/>
    <w:rsid w:val="00A53643"/>
    <w:rsid w:val="00A53BFD"/>
    <w:rsid w:val="00A54263"/>
    <w:rsid w:val="00A54EE7"/>
    <w:rsid w:val="00A56749"/>
    <w:rsid w:val="00A57443"/>
    <w:rsid w:val="00A57AC4"/>
    <w:rsid w:val="00A57BFA"/>
    <w:rsid w:val="00A57F4D"/>
    <w:rsid w:val="00A60E5C"/>
    <w:rsid w:val="00A61601"/>
    <w:rsid w:val="00A61881"/>
    <w:rsid w:val="00A61BA8"/>
    <w:rsid w:val="00A6236A"/>
    <w:rsid w:val="00A62A60"/>
    <w:rsid w:val="00A62CA9"/>
    <w:rsid w:val="00A62CE7"/>
    <w:rsid w:val="00A63140"/>
    <w:rsid w:val="00A64206"/>
    <w:rsid w:val="00A64554"/>
    <w:rsid w:val="00A64837"/>
    <w:rsid w:val="00A653D1"/>
    <w:rsid w:val="00A66E39"/>
    <w:rsid w:val="00A671C5"/>
    <w:rsid w:val="00A671D7"/>
    <w:rsid w:val="00A67D35"/>
    <w:rsid w:val="00A7079D"/>
    <w:rsid w:val="00A70C52"/>
    <w:rsid w:val="00A70F8A"/>
    <w:rsid w:val="00A71524"/>
    <w:rsid w:val="00A71AE2"/>
    <w:rsid w:val="00A71D29"/>
    <w:rsid w:val="00A71E3A"/>
    <w:rsid w:val="00A722BD"/>
    <w:rsid w:val="00A7252E"/>
    <w:rsid w:val="00A72968"/>
    <w:rsid w:val="00A72E0D"/>
    <w:rsid w:val="00A73B21"/>
    <w:rsid w:val="00A750A0"/>
    <w:rsid w:val="00A75C08"/>
    <w:rsid w:val="00A75D23"/>
    <w:rsid w:val="00A7637D"/>
    <w:rsid w:val="00A7679A"/>
    <w:rsid w:val="00A76DD9"/>
    <w:rsid w:val="00A77824"/>
    <w:rsid w:val="00A7790C"/>
    <w:rsid w:val="00A8023F"/>
    <w:rsid w:val="00A80DB3"/>
    <w:rsid w:val="00A81073"/>
    <w:rsid w:val="00A810A7"/>
    <w:rsid w:val="00A812AD"/>
    <w:rsid w:val="00A81A0C"/>
    <w:rsid w:val="00A81A29"/>
    <w:rsid w:val="00A81D35"/>
    <w:rsid w:val="00A81F26"/>
    <w:rsid w:val="00A81F76"/>
    <w:rsid w:val="00A8217E"/>
    <w:rsid w:val="00A82453"/>
    <w:rsid w:val="00A82457"/>
    <w:rsid w:val="00A82B18"/>
    <w:rsid w:val="00A83039"/>
    <w:rsid w:val="00A83293"/>
    <w:rsid w:val="00A83C3C"/>
    <w:rsid w:val="00A83E6B"/>
    <w:rsid w:val="00A843D9"/>
    <w:rsid w:val="00A858D8"/>
    <w:rsid w:val="00A86383"/>
    <w:rsid w:val="00A8682F"/>
    <w:rsid w:val="00A86B3A"/>
    <w:rsid w:val="00A86E60"/>
    <w:rsid w:val="00A87171"/>
    <w:rsid w:val="00A8777F"/>
    <w:rsid w:val="00A87AA7"/>
    <w:rsid w:val="00A910F3"/>
    <w:rsid w:val="00A92763"/>
    <w:rsid w:val="00A927D4"/>
    <w:rsid w:val="00A92978"/>
    <w:rsid w:val="00A937D3"/>
    <w:rsid w:val="00A93C5F"/>
    <w:rsid w:val="00A94695"/>
    <w:rsid w:val="00A94D92"/>
    <w:rsid w:val="00A961DA"/>
    <w:rsid w:val="00A963D7"/>
    <w:rsid w:val="00A9698F"/>
    <w:rsid w:val="00A96D40"/>
    <w:rsid w:val="00A970DB"/>
    <w:rsid w:val="00AA0C77"/>
    <w:rsid w:val="00AA2E42"/>
    <w:rsid w:val="00AA3930"/>
    <w:rsid w:val="00AA41FF"/>
    <w:rsid w:val="00AA4F38"/>
    <w:rsid w:val="00AA4FE9"/>
    <w:rsid w:val="00AA6296"/>
    <w:rsid w:val="00AA6B2A"/>
    <w:rsid w:val="00AB0DB0"/>
    <w:rsid w:val="00AB1546"/>
    <w:rsid w:val="00AB1A38"/>
    <w:rsid w:val="00AB34D0"/>
    <w:rsid w:val="00AB360D"/>
    <w:rsid w:val="00AB3ED5"/>
    <w:rsid w:val="00AB42D5"/>
    <w:rsid w:val="00AB47F5"/>
    <w:rsid w:val="00AB521F"/>
    <w:rsid w:val="00AB5EAD"/>
    <w:rsid w:val="00AB5F49"/>
    <w:rsid w:val="00AB69F5"/>
    <w:rsid w:val="00AB6C76"/>
    <w:rsid w:val="00AC0431"/>
    <w:rsid w:val="00AC099D"/>
    <w:rsid w:val="00AC112B"/>
    <w:rsid w:val="00AC18BA"/>
    <w:rsid w:val="00AC2993"/>
    <w:rsid w:val="00AC3EA1"/>
    <w:rsid w:val="00AC4204"/>
    <w:rsid w:val="00AC4B87"/>
    <w:rsid w:val="00AC5D3B"/>
    <w:rsid w:val="00AC5FDA"/>
    <w:rsid w:val="00AC638D"/>
    <w:rsid w:val="00AC6747"/>
    <w:rsid w:val="00AC67BF"/>
    <w:rsid w:val="00AC6B28"/>
    <w:rsid w:val="00AC6E3A"/>
    <w:rsid w:val="00AC72A6"/>
    <w:rsid w:val="00AD0196"/>
    <w:rsid w:val="00AD0348"/>
    <w:rsid w:val="00AD095A"/>
    <w:rsid w:val="00AD0F6A"/>
    <w:rsid w:val="00AD151F"/>
    <w:rsid w:val="00AD190E"/>
    <w:rsid w:val="00AD1C8B"/>
    <w:rsid w:val="00AD1D99"/>
    <w:rsid w:val="00AD34A1"/>
    <w:rsid w:val="00AD38A6"/>
    <w:rsid w:val="00AD3FF9"/>
    <w:rsid w:val="00AD47D5"/>
    <w:rsid w:val="00AD5117"/>
    <w:rsid w:val="00AD57AE"/>
    <w:rsid w:val="00AD5B3D"/>
    <w:rsid w:val="00AD603B"/>
    <w:rsid w:val="00AD675B"/>
    <w:rsid w:val="00AD6A35"/>
    <w:rsid w:val="00AD7393"/>
    <w:rsid w:val="00AE1326"/>
    <w:rsid w:val="00AE1FED"/>
    <w:rsid w:val="00AE202E"/>
    <w:rsid w:val="00AE2077"/>
    <w:rsid w:val="00AE256A"/>
    <w:rsid w:val="00AE2EB7"/>
    <w:rsid w:val="00AE3756"/>
    <w:rsid w:val="00AE3DFA"/>
    <w:rsid w:val="00AE4F4F"/>
    <w:rsid w:val="00AE5816"/>
    <w:rsid w:val="00AE73E3"/>
    <w:rsid w:val="00AF01B2"/>
    <w:rsid w:val="00AF13B1"/>
    <w:rsid w:val="00AF1626"/>
    <w:rsid w:val="00AF333F"/>
    <w:rsid w:val="00AF3867"/>
    <w:rsid w:val="00AF3CFB"/>
    <w:rsid w:val="00AF4383"/>
    <w:rsid w:val="00AF544E"/>
    <w:rsid w:val="00AF62D6"/>
    <w:rsid w:val="00AF6569"/>
    <w:rsid w:val="00AF65FB"/>
    <w:rsid w:val="00AF7213"/>
    <w:rsid w:val="00AF72D0"/>
    <w:rsid w:val="00B00713"/>
    <w:rsid w:val="00B01074"/>
    <w:rsid w:val="00B02714"/>
    <w:rsid w:val="00B03C1D"/>
    <w:rsid w:val="00B04F3E"/>
    <w:rsid w:val="00B0559E"/>
    <w:rsid w:val="00B06570"/>
    <w:rsid w:val="00B074BF"/>
    <w:rsid w:val="00B10D62"/>
    <w:rsid w:val="00B11085"/>
    <w:rsid w:val="00B11155"/>
    <w:rsid w:val="00B1174A"/>
    <w:rsid w:val="00B11979"/>
    <w:rsid w:val="00B1374E"/>
    <w:rsid w:val="00B14964"/>
    <w:rsid w:val="00B14D8B"/>
    <w:rsid w:val="00B15B0F"/>
    <w:rsid w:val="00B16913"/>
    <w:rsid w:val="00B16B81"/>
    <w:rsid w:val="00B16F7C"/>
    <w:rsid w:val="00B173E5"/>
    <w:rsid w:val="00B217DE"/>
    <w:rsid w:val="00B21BE4"/>
    <w:rsid w:val="00B22B2B"/>
    <w:rsid w:val="00B23B66"/>
    <w:rsid w:val="00B23EAE"/>
    <w:rsid w:val="00B24CF1"/>
    <w:rsid w:val="00B252A7"/>
    <w:rsid w:val="00B2568A"/>
    <w:rsid w:val="00B25C28"/>
    <w:rsid w:val="00B25DEC"/>
    <w:rsid w:val="00B26E9A"/>
    <w:rsid w:val="00B278F3"/>
    <w:rsid w:val="00B3011B"/>
    <w:rsid w:val="00B30CDD"/>
    <w:rsid w:val="00B31008"/>
    <w:rsid w:val="00B319CF"/>
    <w:rsid w:val="00B31DEC"/>
    <w:rsid w:val="00B31E1D"/>
    <w:rsid w:val="00B33316"/>
    <w:rsid w:val="00B3378E"/>
    <w:rsid w:val="00B337BA"/>
    <w:rsid w:val="00B34452"/>
    <w:rsid w:val="00B3460F"/>
    <w:rsid w:val="00B3559D"/>
    <w:rsid w:val="00B37567"/>
    <w:rsid w:val="00B377C2"/>
    <w:rsid w:val="00B37CC3"/>
    <w:rsid w:val="00B37D90"/>
    <w:rsid w:val="00B37F07"/>
    <w:rsid w:val="00B40083"/>
    <w:rsid w:val="00B405EA"/>
    <w:rsid w:val="00B4099E"/>
    <w:rsid w:val="00B40D3C"/>
    <w:rsid w:val="00B4108B"/>
    <w:rsid w:val="00B4115A"/>
    <w:rsid w:val="00B41681"/>
    <w:rsid w:val="00B41E64"/>
    <w:rsid w:val="00B42114"/>
    <w:rsid w:val="00B4264A"/>
    <w:rsid w:val="00B4298F"/>
    <w:rsid w:val="00B447E5"/>
    <w:rsid w:val="00B44CB7"/>
    <w:rsid w:val="00B44DE7"/>
    <w:rsid w:val="00B455C2"/>
    <w:rsid w:val="00B4594B"/>
    <w:rsid w:val="00B45B92"/>
    <w:rsid w:val="00B468AE"/>
    <w:rsid w:val="00B46C4D"/>
    <w:rsid w:val="00B47868"/>
    <w:rsid w:val="00B47FEA"/>
    <w:rsid w:val="00B50031"/>
    <w:rsid w:val="00B5066B"/>
    <w:rsid w:val="00B50C82"/>
    <w:rsid w:val="00B51399"/>
    <w:rsid w:val="00B5150E"/>
    <w:rsid w:val="00B52396"/>
    <w:rsid w:val="00B52CB9"/>
    <w:rsid w:val="00B53DAE"/>
    <w:rsid w:val="00B5420D"/>
    <w:rsid w:val="00B54362"/>
    <w:rsid w:val="00B549E1"/>
    <w:rsid w:val="00B54C5E"/>
    <w:rsid w:val="00B56C0B"/>
    <w:rsid w:val="00B57643"/>
    <w:rsid w:val="00B60660"/>
    <w:rsid w:val="00B62305"/>
    <w:rsid w:val="00B624DF"/>
    <w:rsid w:val="00B62C21"/>
    <w:rsid w:val="00B63138"/>
    <w:rsid w:val="00B6316B"/>
    <w:rsid w:val="00B63178"/>
    <w:rsid w:val="00B6503F"/>
    <w:rsid w:val="00B652D3"/>
    <w:rsid w:val="00B656F4"/>
    <w:rsid w:val="00B6581D"/>
    <w:rsid w:val="00B65A2D"/>
    <w:rsid w:val="00B66483"/>
    <w:rsid w:val="00B66782"/>
    <w:rsid w:val="00B67443"/>
    <w:rsid w:val="00B679BC"/>
    <w:rsid w:val="00B67C7C"/>
    <w:rsid w:val="00B70954"/>
    <w:rsid w:val="00B71E9E"/>
    <w:rsid w:val="00B72EB9"/>
    <w:rsid w:val="00B74BDE"/>
    <w:rsid w:val="00B75E23"/>
    <w:rsid w:val="00B76BA6"/>
    <w:rsid w:val="00B77425"/>
    <w:rsid w:val="00B77631"/>
    <w:rsid w:val="00B8052B"/>
    <w:rsid w:val="00B80EB2"/>
    <w:rsid w:val="00B80EC7"/>
    <w:rsid w:val="00B811D4"/>
    <w:rsid w:val="00B81A05"/>
    <w:rsid w:val="00B81BBD"/>
    <w:rsid w:val="00B82342"/>
    <w:rsid w:val="00B825C2"/>
    <w:rsid w:val="00B833EF"/>
    <w:rsid w:val="00B8386F"/>
    <w:rsid w:val="00B838A2"/>
    <w:rsid w:val="00B83BCC"/>
    <w:rsid w:val="00B83D42"/>
    <w:rsid w:val="00B84D0E"/>
    <w:rsid w:val="00B84FF4"/>
    <w:rsid w:val="00B85E9A"/>
    <w:rsid w:val="00B85EC1"/>
    <w:rsid w:val="00B85F9C"/>
    <w:rsid w:val="00B87CBB"/>
    <w:rsid w:val="00B904A7"/>
    <w:rsid w:val="00B914D1"/>
    <w:rsid w:val="00B91D8C"/>
    <w:rsid w:val="00B92221"/>
    <w:rsid w:val="00B922C7"/>
    <w:rsid w:val="00B9233A"/>
    <w:rsid w:val="00B924E9"/>
    <w:rsid w:val="00B925F4"/>
    <w:rsid w:val="00B9399B"/>
    <w:rsid w:val="00B939F4"/>
    <w:rsid w:val="00B940F6"/>
    <w:rsid w:val="00B94B9F"/>
    <w:rsid w:val="00B95D88"/>
    <w:rsid w:val="00B96001"/>
    <w:rsid w:val="00B964D1"/>
    <w:rsid w:val="00B97019"/>
    <w:rsid w:val="00B976F1"/>
    <w:rsid w:val="00BA0B2D"/>
    <w:rsid w:val="00BA0CE7"/>
    <w:rsid w:val="00BA1464"/>
    <w:rsid w:val="00BA1842"/>
    <w:rsid w:val="00BA1CF3"/>
    <w:rsid w:val="00BA1E46"/>
    <w:rsid w:val="00BA1EA8"/>
    <w:rsid w:val="00BA2247"/>
    <w:rsid w:val="00BA2CD5"/>
    <w:rsid w:val="00BA2D47"/>
    <w:rsid w:val="00BA4007"/>
    <w:rsid w:val="00BA4769"/>
    <w:rsid w:val="00BA47D6"/>
    <w:rsid w:val="00BA4A1E"/>
    <w:rsid w:val="00BA4A8D"/>
    <w:rsid w:val="00BA4B84"/>
    <w:rsid w:val="00BA4ED7"/>
    <w:rsid w:val="00BA5B98"/>
    <w:rsid w:val="00BA5CEA"/>
    <w:rsid w:val="00BA6525"/>
    <w:rsid w:val="00BA6A13"/>
    <w:rsid w:val="00BA6FFB"/>
    <w:rsid w:val="00BA718D"/>
    <w:rsid w:val="00BA7EF0"/>
    <w:rsid w:val="00BB0729"/>
    <w:rsid w:val="00BB07BA"/>
    <w:rsid w:val="00BB1D3B"/>
    <w:rsid w:val="00BB2406"/>
    <w:rsid w:val="00BB304C"/>
    <w:rsid w:val="00BB3234"/>
    <w:rsid w:val="00BB3AB9"/>
    <w:rsid w:val="00BB691F"/>
    <w:rsid w:val="00BB7860"/>
    <w:rsid w:val="00BC020A"/>
    <w:rsid w:val="00BC0D0E"/>
    <w:rsid w:val="00BC0FB9"/>
    <w:rsid w:val="00BC154D"/>
    <w:rsid w:val="00BC35EC"/>
    <w:rsid w:val="00BC3836"/>
    <w:rsid w:val="00BC45A7"/>
    <w:rsid w:val="00BC5319"/>
    <w:rsid w:val="00BC665A"/>
    <w:rsid w:val="00BC6BA8"/>
    <w:rsid w:val="00BC710B"/>
    <w:rsid w:val="00BC7CFD"/>
    <w:rsid w:val="00BD058C"/>
    <w:rsid w:val="00BD1519"/>
    <w:rsid w:val="00BD2771"/>
    <w:rsid w:val="00BD2BC9"/>
    <w:rsid w:val="00BD3A41"/>
    <w:rsid w:val="00BD4056"/>
    <w:rsid w:val="00BD4127"/>
    <w:rsid w:val="00BD449A"/>
    <w:rsid w:val="00BD576B"/>
    <w:rsid w:val="00BD5A3F"/>
    <w:rsid w:val="00BD6DA7"/>
    <w:rsid w:val="00BD6F8A"/>
    <w:rsid w:val="00BD7C6F"/>
    <w:rsid w:val="00BE034B"/>
    <w:rsid w:val="00BE0A18"/>
    <w:rsid w:val="00BE14A3"/>
    <w:rsid w:val="00BE17A4"/>
    <w:rsid w:val="00BE22B6"/>
    <w:rsid w:val="00BE2526"/>
    <w:rsid w:val="00BE2CC5"/>
    <w:rsid w:val="00BE44B2"/>
    <w:rsid w:val="00BE5000"/>
    <w:rsid w:val="00BE5099"/>
    <w:rsid w:val="00BE5318"/>
    <w:rsid w:val="00BE5919"/>
    <w:rsid w:val="00BE59C0"/>
    <w:rsid w:val="00BE6337"/>
    <w:rsid w:val="00BE69C4"/>
    <w:rsid w:val="00BE6A57"/>
    <w:rsid w:val="00BE6E84"/>
    <w:rsid w:val="00BE748A"/>
    <w:rsid w:val="00BE7C11"/>
    <w:rsid w:val="00BE7FF2"/>
    <w:rsid w:val="00BF0227"/>
    <w:rsid w:val="00BF1A62"/>
    <w:rsid w:val="00BF25B5"/>
    <w:rsid w:val="00BF2C4C"/>
    <w:rsid w:val="00BF36F5"/>
    <w:rsid w:val="00BF386D"/>
    <w:rsid w:val="00BF3A62"/>
    <w:rsid w:val="00BF3CD8"/>
    <w:rsid w:val="00BF5EDD"/>
    <w:rsid w:val="00BF5FAC"/>
    <w:rsid w:val="00BF6330"/>
    <w:rsid w:val="00BF6703"/>
    <w:rsid w:val="00BF6952"/>
    <w:rsid w:val="00BF6BB2"/>
    <w:rsid w:val="00BF6DF8"/>
    <w:rsid w:val="00BF7D20"/>
    <w:rsid w:val="00C0096A"/>
    <w:rsid w:val="00C00BBA"/>
    <w:rsid w:val="00C01376"/>
    <w:rsid w:val="00C028AA"/>
    <w:rsid w:val="00C04764"/>
    <w:rsid w:val="00C056FB"/>
    <w:rsid w:val="00C05716"/>
    <w:rsid w:val="00C05A60"/>
    <w:rsid w:val="00C06F82"/>
    <w:rsid w:val="00C07450"/>
    <w:rsid w:val="00C074DD"/>
    <w:rsid w:val="00C07720"/>
    <w:rsid w:val="00C07B21"/>
    <w:rsid w:val="00C07F6C"/>
    <w:rsid w:val="00C10426"/>
    <w:rsid w:val="00C104B9"/>
    <w:rsid w:val="00C104D0"/>
    <w:rsid w:val="00C1117C"/>
    <w:rsid w:val="00C11A80"/>
    <w:rsid w:val="00C11BE2"/>
    <w:rsid w:val="00C1235F"/>
    <w:rsid w:val="00C123E3"/>
    <w:rsid w:val="00C13992"/>
    <w:rsid w:val="00C13E47"/>
    <w:rsid w:val="00C13F7E"/>
    <w:rsid w:val="00C14A17"/>
    <w:rsid w:val="00C14F32"/>
    <w:rsid w:val="00C1557C"/>
    <w:rsid w:val="00C15D98"/>
    <w:rsid w:val="00C15F15"/>
    <w:rsid w:val="00C164F1"/>
    <w:rsid w:val="00C1654F"/>
    <w:rsid w:val="00C16FF1"/>
    <w:rsid w:val="00C17D2A"/>
    <w:rsid w:val="00C20061"/>
    <w:rsid w:val="00C2025C"/>
    <w:rsid w:val="00C20F9C"/>
    <w:rsid w:val="00C21506"/>
    <w:rsid w:val="00C21D2B"/>
    <w:rsid w:val="00C22600"/>
    <w:rsid w:val="00C2339E"/>
    <w:rsid w:val="00C23FD1"/>
    <w:rsid w:val="00C2503F"/>
    <w:rsid w:val="00C2590F"/>
    <w:rsid w:val="00C26380"/>
    <w:rsid w:val="00C265F1"/>
    <w:rsid w:val="00C268A6"/>
    <w:rsid w:val="00C26FFE"/>
    <w:rsid w:val="00C27C00"/>
    <w:rsid w:val="00C315A8"/>
    <w:rsid w:val="00C325F0"/>
    <w:rsid w:val="00C32A39"/>
    <w:rsid w:val="00C3395B"/>
    <w:rsid w:val="00C3408D"/>
    <w:rsid w:val="00C34A58"/>
    <w:rsid w:val="00C3602C"/>
    <w:rsid w:val="00C360AC"/>
    <w:rsid w:val="00C36A4F"/>
    <w:rsid w:val="00C373B8"/>
    <w:rsid w:val="00C37651"/>
    <w:rsid w:val="00C37678"/>
    <w:rsid w:val="00C37CFA"/>
    <w:rsid w:val="00C40773"/>
    <w:rsid w:val="00C410E8"/>
    <w:rsid w:val="00C429FA"/>
    <w:rsid w:val="00C42A9F"/>
    <w:rsid w:val="00C44BBE"/>
    <w:rsid w:val="00C45712"/>
    <w:rsid w:val="00C462F4"/>
    <w:rsid w:val="00C46FC3"/>
    <w:rsid w:val="00C474DB"/>
    <w:rsid w:val="00C4759E"/>
    <w:rsid w:val="00C47D10"/>
    <w:rsid w:val="00C50095"/>
    <w:rsid w:val="00C505C9"/>
    <w:rsid w:val="00C50D32"/>
    <w:rsid w:val="00C50D77"/>
    <w:rsid w:val="00C50D99"/>
    <w:rsid w:val="00C51255"/>
    <w:rsid w:val="00C518E6"/>
    <w:rsid w:val="00C51F38"/>
    <w:rsid w:val="00C5338D"/>
    <w:rsid w:val="00C5368A"/>
    <w:rsid w:val="00C54295"/>
    <w:rsid w:val="00C544F8"/>
    <w:rsid w:val="00C545AF"/>
    <w:rsid w:val="00C5499F"/>
    <w:rsid w:val="00C54C99"/>
    <w:rsid w:val="00C54D4F"/>
    <w:rsid w:val="00C554FD"/>
    <w:rsid w:val="00C5640A"/>
    <w:rsid w:val="00C56458"/>
    <w:rsid w:val="00C57C31"/>
    <w:rsid w:val="00C57EA5"/>
    <w:rsid w:val="00C60E58"/>
    <w:rsid w:val="00C6164D"/>
    <w:rsid w:val="00C61A90"/>
    <w:rsid w:val="00C61F66"/>
    <w:rsid w:val="00C62C5E"/>
    <w:rsid w:val="00C634C4"/>
    <w:rsid w:val="00C63A09"/>
    <w:rsid w:val="00C63D3A"/>
    <w:rsid w:val="00C643CA"/>
    <w:rsid w:val="00C64581"/>
    <w:rsid w:val="00C64C10"/>
    <w:rsid w:val="00C64D07"/>
    <w:rsid w:val="00C65B37"/>
    <w:rsid w:val="00C662ED"/>
    <w:rsid w:val="00C663C1"/>
    <w:rsid w:val="00C667FC"/>
    <w:rsid w:val="00C66A27"/>
    <w:rsid w:val="00C66D34"/>
    <w:rsid w:val="00C70606"/>
    <w:rsid w:val="00C70861"/>
    <w:rsid w:val="00C70FD2"/>
    <w:rsid w:val="00C71160"/>
    <w:rsid w:val="00C7119F"/>
    <w:rsid w:val="00C71707"/>
    <w:rsid w:val="00C7187F"/>
    <w:rsid w:val="00C71C7F"/>
    <w:rsid w:val="00C72315"/>
    <w:rsid w:val="00C72989"/>
    <w:rsid w:val="00C73805"/>
    <w:rsid w:val="00C73C83"/>
    <w:rsid w:val="00C73F55"/>
    <w:rsid w:val="00C740A6"/>
    <w:rsid w:val="00C744F8"/>
    <w:rsid w:val="00C7458D"/>
    <w:rsid w:val="00C747D0"/>
    <w:rsid w:val="00C74BFB"/>
    <w:rsid w:val="00C74C09"/>
    <w:rsid w:val="00C74D00"/>
    <w:rsid w:val="00C752CC"/>
    <w:rsid w:val="00C776B4"/>
    <w:rsid w:val="00C77B13"/>
    <w:rsid w:val="00C77B2B"/>
    <w:rsid w:val="00C800E2"/>
    <w:rsid w:val="00C80297"/>
    <w:rsid w:val="00C802C7"/>
    <w:rsid w:val="00C80AD9"/>
    <w:rsid w:val="00C817B8"/>
    <w:rsid w:val="00C81889"/>
    <w:rsid w:val="00C81932"/>
    <w:rsid w:val="00C82574"/>
    <w:rsid w:val="00C82DC1"/>
    <w:rsid w:val="00C83CD5"/>
    <w:rsid w:val="00C84482"/>
    <w:rsid w:val="00C848F5"/>
    <w:rsid w:val="00C84ECE"/>
    <w:rsid w:val="00C854B3"/>
    <w:rsid w:val="00C854DA"/>
    <w:rsid w:val="00C855C1"/>
    <w:rsid w:val="00C85B76"/>
    <w:rsid w:val="00C862DD"/>
    <w:rsid w:val="00C87104"/>
    <w:rsid w:val="00C90388"/>
    <w:rsid w:val="00C91488"/>
    <w:rsid w:val="00C923F2"/>
    <w:rsid w:val="00C92447"/>
    <w:rsid w:val="00C92BBC"/>
    <w:rsid w:val="00C9308D"/>
    <w:rsid w:val="00C934CF"/>
    <w:rsid w:val="00C9423A"/>
    <w:rsid w:val="00C94D6B"/>
    <w:rsid w:val="00C966B5"/>
    <w:rsid w:val="00CA0830"/>
    <w:rsid w:val="00CA08AD"/>
    <w:rsid w:val="00CA097E"/>
    <w:rsid w:val="00CA1571"/>
    <w:rsid w:val="00CA171E"/>
    <w:rsid w:val="00CA2D7A"/>
    <w:rsid w:val="00CA34E3"/>
    <w:rsid w:val="00CA46EB"/>
    <w:rsid w:val="00CA5A1C"/>
    <w:rsid w:val="00CB0655"/>
    <w:rsid w:val="00CB1027"/>
    <w:rsid w:val="00CB1B3F"/>
    <w:rsid w:val="00CB200E"/>
    <w:rsid w:val="00CB2CAD"/>
    <w:rsid w:val="00CB2EA9"/>
    <w:rsid w:val="00CB32CC"/>
    <w:rsid w:val="00CB3BC7"/>
    <w:rsid w:val="00CB4DB8"/>
    <w:rsid w:val="00CB4EE1"/>
    <w:rsid w:val="00CB5559"/>
    <w:rsid w:val="00CB6BBD"/>
    <w:rsid w:val="00CB6CD2"/>
    <w:rsid w:val="00CC0724"/>
    <w:rsid w:val="00CC0CB5"/>
    <w:rsid w:val="00CC110F"/>
    <w:rsid w:val="00CC15D0"/>
    <w:rsid w:val="00CC23C8"/>
    <w:rsid w:val="00CC30D2"/>
    <w:rsid w:val="00CC3F30"/>
    <w:rsid w:val="00CC428D"/>
    <w:rsid w:val="00CC44B3"/>
    <w:rsid w:val="00CC5117"/>
    <w:rsid w:val="00CC5EFA"/>
    <w:rsid w:val="00CC60F6"/>
    <w:rsid w:val="00CC6632"/>
    <w:rsid w:val="00CC6EC0"/>
    <w:rsid w:val="00CC7CE1"/>
    <w:rsid w:val="00CC7F28"/>
    <w:rsid w:val="00CD0926"/>
    <w:rsid w:val="00CD11D0"/>
    <w:rsid w:val="00CD13BC"/>
    <w:rsid w:val="00CD2175"/>
    <w:rsid w:val="00CD2340"/>
    <w:rsid w:val="00CD2474"/>
    <w:rsid w:val="00CD2A07"/>
    <w:rsid w:val="00CD2B88"/>
    <w:rsid w:val="00CD2F03"/>
    <w:rsid w:val="00CD3497"/>
    <w:rsid w:val="00CD3901"/>
    <w:rsid w:val="00CD3A98"/>
    <w:rsid w:val="00CD3F35"/>
    <w:rsid w:val="00CD4DB2"/>
    <w:rsid w:val="00CD589D"/>
    <w:rsid w:val="00CD6B36"/>
    <w:rsid w:val="00CD7A07"/>
    <w:rsid w:val="00CE00B5"/>
    <w:rsid w:val="00CE03EF"/>
    <w:rsid w:val="00CE04EF"/>
    <w:rsid w:val="00CE170F"/>
    <w:rsid w:val="00CE27C4"/>
    <w:rsid w:val="00CE2DAE"/>
    <w:rsid w:val="00CE2FE0"/>
    <w:rsid w:val="00CE4005"/>
    <w:rsid w:val="00CE455C"/>
    <w:rsid w:val="00CE4CF6"/>
    <w:rsid w:val="00CE5506"/>
    <w:rsid w:val="00CE553C"/>
    <w:rsid w:val="00CE67BC"/>
    <w:rsid w:val="00CE6CF0"/>
    <w:rsid w:val="00CE71F1"/>
    <w:rsid w:val="00CF0E39"/>
    <w:rsid w:val="00CF1CBE"/>
    <w:rsid w:val="00CF2F20"/>
    <w:rsid w:val="00CF3225"/>
    <w:rsid w:val="00CF38E3"/>
    <w:rsid w:val="00CF3BF7"/>
    <w:rsid w:val="00CF6C85"/>
    <w:rsid w:val="00D0035F"/>
    <w:rsid w:val="00D003A0"/>
    <w:rsid w:val="00D00471"/>
    <w:rsid w:val="00D00CEC"/>
    <w:rsid w:val="00D0102F"/>
    <w:rsid w:val="00D016EF"/>
    <w:rsid w:val="00D028CF"/>
    <w:rsid w:val="00D02C4B"/>
    <w:rsid w:val="00D036B9"/>
    <w:rsid w:val="00D03BBD"/>
    <w:rsid w:val="00D04CA0"/>
    <w:rsid w:val="00D04DB9"/>
    <w:rsid w:val="00D066E4"/>
    <w:rsid w:val="00D06DF5"/>
    <w:rsid w:val="00D10FFC"/>
    <w:rsid w:val="00D11CD7"/>
    <w:rsid w:val="00D12110"/>
    <w:rsid w:val="00D124CE"/>
    <w:rsid w:val="00D129F9"/>
    <w:rsid w:val="00D12D47"/>
    <w:rsid w:val="00D12F43"/>
    <w:rsid w:val="00D1301B"/>
    <w:rsid w:val="00D13A0A"/>
    <w:rsid w:val="00D13FE3"/>
    <w:rsid w:val="00D14FE7"/>
    <w:rsid w:val="00D1503E"/>
    <w:rsid w:val="00D164DE"/>
    <w:rsid w:val="00D17142"/>
    <w:rsid w:val="00D175E6"/>
    <w:rsid w:val="00D202E6"/>
    <w:rsid w:val="00D204CD"/>
    <w:rsid w:val="00D206F1"/>
    <w:rsid w:val="00D20CF8"/>
    <w:rsid w:val="00D2148F"/>
    <w:rsid w:val="00D21567"/>
    <w:rsid w:val="00D21970"/>
    <w:rsid w:val="00D22790"/>
    <w:rsid w:val="00D2352F"/>
    <w:rsid w:val="00D23D7D"/>
    <w:rsid w:val="00D2442A"/>
    <w:rsid w:val="00D24F70"/>
    <w:rsid w:val="00D2521F"/>
    <w:rsid w:val="00D254C4"/>
    <w:rsid w:val="00D25575"/>
    <w:rsid w:val="00D2774F"/>
    <w:rsid w:val="00D30A3E"/>
    <w:rsid w:val="00D30BA2"/>
    <w:rsid w:val="00D30CF8"/>
    <w:rsid w:val="00D31127"/>
    <w:rsid w:val="00D31E2C"/>
    <w:rsid w:val="00D32151"/>
    <w:rsid w:val="00D32B52"/>
    <w:rsid w:val="00D3303F"/>
    <w:rsid w:val="00D332B7"/>
    <w:rsid w:val="00D334CB"/>
    <w:rsid w:val="00D33CD3"/>
    <w:rsid w:val="00D348A5"/>
    <w:rsid w:val="00D34FF2"/>
    <w:rsid w:val="00D35236"/>
    <w:rsid w:val="00D35C2A"/>
    <w:rsid w:val="00D366DA"/>
    <w:rsid w:val="00D369F2"/>
    <w:rsid w:val="00D36E80"/>
    <w:rsid w:val="00D36FD4"/>
    <w:rsid w:val="00D375AA"/>
    <w:rsid w:val="00D4001D"/>
    <w:rsid w:val="00D4020F"/>
    <w:rsid w:val="00D40F91"/>
    <w:rsid w:val="00D411CC"/>
    <w:rsid w:val="00D4126F"/>
    <w:rsid w:val="00D41B4A"/>
    <w:rsid w:val="00D41FE2"/>
    <w:rsid w:val="00D425AB"/>
    <w:rsid w:val="00D42613"/>
    <w:rsid w:val="00D42835"/>
    <w:rsid w:val="00D436C2"/>
    <w:rsid w:val="00D43737"/>
    <w:rsid w:val="00D4420E"/>
    <w:rsid w:val="00D4507A"/>
    <w:rsid w:val="00D4533F"/>
    <w:rsid w:val="00D4573D"/>
    <w:rsid w:val="00D464CA"/>
    <w:rsid w:val="00D47426"/>
    <w:rsid w:val="00D475FD"/>
    <w:rsid w:val="00D47634"/>
    <w:rsid w:val="00D50115"/>
    <w:rsid w:val="00D50210"/>
    <w:rsid w:val="00D50F71"/>
    <w:rsid w:val="00D53795"/>
    <w:rsid w:val="00D5403C"/>
    <w:rsid w:val="00D555F2"/>
    <w:rsid w:val="00D56778"/>
    <w:rsid w:val="00D5688F"/>
    <w:rsid w:val="00D57413"/>
    <w:rsid w:val="00D600A7"/>
    <w:rsid w:val="00D6024E"/>
    <w:rsid w:val="00D61779"/>
    <w:rsid w:val="00D61EB1"/>
    <w:rsid w:val="00D62EB5"/>
    <w:rsid w:val="00D630E8"/>
    <w:rsid w:val="00D632AA"/>
    <w:rsid w:val="00D63A12"/>
    <w:rsid w:val="00D63FB4"/>
    <w:rsid w:val="00D6404D"/>
    <w:rsid w:val="00D644A8"/>
    <w:rsid w:val="00D657AB"/>
    <w:rsid w:val="00D6667E"/>
    <w:rsid w:val="00D66A3A"/>
    <w:rsid w:val="00D66EA3"/>
    <w:rsid w:val="00D67936"/>
    <w:rsid w:val="00D67DE0"/>
    <w:rsid w:val="00D67E6E"/>
    <w:rsid w:val="00D702C4"/>
    <w:rsid w:val="00D71755"/>
    <w:rsid w:val="00D71775"/>
    <w:rsid w:val="00D719EB"/>
    <w:rsid w:val="00D72252"/>
    <w:rsid w:val="00D7289C"/>
    <w:rsid w:val="00D72C08"/>
    <w:rsid w:val="00D7337C"/>
    <w:rsid w:val="00D73B18"/>
    <w:rsid w:val="00D7427D"/>
    <w:rsid w:val="00D742F3"/>
    <w:rsid w:val="00D74A4F"/>
    <w:rsid w:val="00D74AC4"/>
    <w:rsid w:val="00D750E2"/>
    <w:rsid w:val="00D763E4"/>
    <w:rsid w:val="00D766F7"/>
    <w:rsid w:val="00D76872"/>
    <w:rsid w:val="00D76B2C"/>
    <w:rsid w:val="00D76BA0"/>
    <w:rsid w:val="00D77543"/>
    <w:rsid w:val="00D77E13"/>
    <w:rsid w:val="00D77E3E"/>
    <w:rsid w:val="00D80661"/>
    <w:rsid w:val="00D818DC"/>
    <w:rsid w:val="00D81A05"/>
    <w:rsid w:val="00D84155"/>
    <w:rsid w:val="00D8461F"/>
    <w:rsid w:val="00D84F64"/>
    <w:rsid w:val="00D8503A"/>
    <w:rsid w:val="00D853A7"/>
    <w:rsid w:val="00D85AB0"/>
    <w:rsid w:val="00D86939"/>
    <w:rsid w:val="00D870B4"/>
    <w:rsid w:val="00D873C5"/>
    <w:rsid w:val="00D87422"/>
    <w:rsid w:val="00D87ABC"/>
    <w:rsid w:val="00D90AF2"/>
    <w:rsid w:val="00D91B18"/>
    <w:rsid w:val="00D927DD"/>
    <w:rsid w:val="00D93246"/>
    <w:rsid w:val="00D93750"/>
    <w:rsid w:val="00D93CCA"/>
    <w:rsid w:val="00D94119"/>
    <w:rsid w:val="00D9412E"/>
    <w:rsid w:val="00D94191"/>
    <w:rsid w:val="00D94236"/>
    <w:rsid w:val="00D94304"/>
    <w:rsid w:val="00D94E6B"/>
    <w:rsid w:val="00D9520F"/>
    <w:rsid w:val="00D9661B"/>
    <w:rsid w:val="00D972EF"/>
    <w:rsid w:val="00DA011D"/>
    <w:rsid w:val="00DA0426"/>
    <w:rsid w:val="00DA0613"/>
    <w:rsid w:val="00DA0B72"/>
    <w:rsid w:val="00DA19F6"/>
    <w:rsid w:val="00DA1ABD"/>
    <w:rsid w:val="00DA210C"/>
    <w:rsid w:val="00DA295F"/>
    <w:rsid w:val="00DA2E8C"/>
    <w:rsid w:val="00DA3248"/>
    <w:rsid w:val="00DA32EC"/>
    <w:rsid w:val="00DA3A98"/>
    <w:rsid w:val="00DA3F24"/>
    <w:rsid w:val="00DA477A"/>
    <w:rsid w:val="00DA4925"/>
    <w:rsid w:val="00DA5C09"/>
    <w:rsid w:val="00DA5D8D"/>
    <w:rsid w:val="00DA6647"/>
    <w:rsid w:val="00DA6B49"/>
    <w:rsid w:val="00DA6BB2"/>
    <w:rsid w:val="00DA7037"/>
    <w:rsid w:val="00DA759F"/>
    <w:rsid w:val="00DA7615"/>
    <w:rsid w:val="00DA7740"/>
    <w:rsid w:val="00DA7AD5"/>
    <w:rsid w:val="00DA7B83"/>
    <w:rsid w:val="00DA7FCF"/>
    <w:rsid w:val="00DB01FE"/>
    <w:rsid w:val="00DB0884"/>
    <w:rsid w:val="00DB08D0"/>
    <w:rsid w:val="00DB0FAE"/>
    <w:rsid w:val="00DB110D"/>
    <w:rsid w:val="00DB11A1"/>
    <w:rsid w:val="00DB11EE"/>
    <w:rsid w:val="00DB1262"/>
    <w:rsid w:val="00DB15CA"/>
    <w:rsid w:val="00DB1849"/>
    <w:rsid w:val="00DB18D2"/>
    <w:rsid w:val="00DB20D9"/>
    <w:rsid w:val="00DB29FE"/>
    <w:rsid w:val="00DB2BA9"/>
    <w:rsid w:val="00DB2CBF"/>
    <w:rsid w:val="00DB3043"/>
    <w:rsid w:val="00DB334F"/>
    <w:rsid w:val="00DB33BF"/>
    <w:rsid w:val="00DB3B5E"/>
    <w:rsid w:val="00DB3F2F"/>
    <w:rsid w:val="00DB4B48"/>
    <w:rsid w:val="00DB53DC"/>
    <w:rsid w:val="00DB56AC"/>
    <w:rsid w:val="00DB5865"/>
    <w:rsid w:val="00DB5CE1"/>
    <w:rsid w:val="00DB5D9C"/>
    <w:rsid w:val="00DB68AB"/>
    <w:rsid w:val="00DB731E"/>
    <w:rsid w:val="00DB778F"/>
    <w:rsid w:val="00DC0131"/>
    <w:rsid w:val="00DC0192"/>
    <w:rsid w:val="00DC0356"/>
    <w:rsid w:val="00DC049A"/>
    <w:rsid w:val="00DC0903"/>
    <w:rsid w:val="00DC18D5"/>
    <w:rsid w:val="00DC1D61"/>
    <w:rsid w:val="00DC20F6"/>
    <w:rsid w:val="00DC216E"/>
    <w:rsid w:val="00DC2D3B"/>
    <w:rsid w:val="00DC3B24"/>
    <w:rsid w:val="00DC3C85"/>
    <w:rsid w:val="00DC54BC"/>
    <w:rsid w:val="00DC556C"/>
    <w:rsid w:val="00DC5C4E"/>
    <w:rsid w:val="00DC6E84"/>
    <w:rsid w:val="00DC7094"/>
    <w:rsid w:val="00DD1BF6"/>
    <w:rsid w:val="00DD2269"/>
    <w:rsid w:val="00DD2751"/>
    <w:rsid w:val="00DD33E9"/>
    <w:rsid w:val="00DD3C62"/>
    <w:rsid w:val="00DD3F77"/>
    <w:rsid w:val="00DD46F6"/>
    <w:rsid w:val="00DD4EF1"/>
    <w:rsid w:val="00DD5129"/>
    <w:rsid w:val="00DD55D8"/>
    <w:rsid w:val="00DD5D18"/>
    <w:rsid w:val="00DD69CF"/>
    <w:rsid w:val="00DD6CF8"/>
    <w:rsid w:val="00DD7E42"/>
    <w:rsid w:val="00DE038F"/>
    <w:rsid w:val="00DE0C39"/>
    <w:rsid w:val="00DE17AF"/>
    <w:rsid w:val="00DE1BC0"/>
    <w:rsid w:val="00DE322F"/>
    <w:rsid w:val="00DE360C"/>
    <w:rsid w:val="00DE3982"/>
    <w:rsid w:val="00DE41A9"/>
    <w:rsid w:val="00DE43F3"/>
    <w:rsid w:val="00DE45E5"/>
    <w:rsid w:val="00DE4621"/>
    <w:rsid w:val="00DE548A"/>
    <w:rsid w:val="00DE5BA6"/>
    <w:rsid w:val="00DE5FC1"/>
    <w:rsid w:val="00DE648B"/>
    <w:rsid w:val="00DE6A35"/>
    <w:rsid w:val="00DE6A80"/>
    <w:rsid w:val="00DE6E10"/>
    <w:rsid w:val="00DE7029"/>
    <w:rsid w:val="00DE7EBC"/>
    <w:rsid w:val="00DF001C"/>
    <w:rsid w:val="00DF0DFC"/>
    <w:rsid w:val="00DF116D"/>
    <w:rsid w:val="00DF1855"/>
    <w:rsid w:val="00DF37CF"/>
    <w:rsid w:val="00DF3EB3"/>
    <w:rsid w:val="00DF4FC4"/>
    <w:rsid w:val="00DF59CB"/>
    <w:rsid w:val="00DF781E"/>
    <w:rsid w:val="00E0001C"/>
    <w:rsid w:val="00E01D56"/>
    <w:rsid w:val="00E022AA"/>
    <w:rsid w:val="00E027FF"/>
    <w:rsid w:val="00E0287A"/>
    <w:rsid w:val="00E02D5B"/>
    <w:rsid w:val="00E02D69"/>
    <w:rsid w:val="00E03184"/>
    <w:rsid w:val="00E031CF"/>
    <w:rsid w:val="00E03641"/>
    <w:rsid w:val="00E03D00"/>
    <w:rsid w:val="00E0401F"/>
    <w:rsid w:val="00E04D4E"/>
    <w:rsid w:val="00E04DF9"/>
    <w:rsid w:val="00E0505E"/>
    <w:rsid w:val="00E05586"/>
    <w:rsid w:val="00E056C8"/>
    <w:rsid w:val="00E05B34"/>
    <w:rsid w:val="00E064AD"/>
    <w:rsid w:val="00E079BB"/>
    <w:rsid w:val="00E10328"/>
    <w:rsid w:val="00E112A5"/>
    <w:rsid w:val="00E1223A"/>
    <w:rsid w:val="00E12588"/>
    <w:rsid w:val="00E1265B"/>
    <w:rsid w:val="00E128E1"/>
    <w:rsid w:val="00E12FD9"/>
    <w:rsid w:val="00E13F0F"/>
    <w:rsid w:val="00E14184"/>
    <w:rsid w:val="00E1491D"/>
    <w:rsid w:val="00E15176"/>
    <w:rsid w:val="00E1578B"/>
    <w:rsid w:val="00E1616B"/>
    <w:rsid w:val="00E16C17"/>
    <w:rsid w:val="00E170CB"/>
    <w:rsid w:val="00E170CE"/>
    <w:rsid w:val="00E17179"/>
    <w:rsid w:val="00E21B06"/>
    <w:rsid w:val="00E2360A"/>
    <w:rsid w:val="00E23CCC"/>
    <w:rsid w:val="00E24038"/>
    <w:rsid w:val="00E24C1F"/>
    <w:rsid w:val="00E24C21"/>
    <w:rsid w:val="00E2565E"/>
    <w:rsid w:val="00E30497"/>
    <w:rsid w:val="00E312A7"/>
    <w:rsid w:val="00E31F8C"/>
    <w:rsid w:val="00E32687"/>
    <w:rsid w:val="00E32B59"/>
    <w:rsid w:val="00E33017"/>
    <w:rsid w:val="00E33089"/>
    <w:rsid w:val="00E349BE"/>
    <w:rsid w:val="00E375EA"/>
    <w:rsid w:val="00E37A52"/>
    <w:rsid w:val="00E37BFF"/>
    <w:rsid w:val="00E37CB9"/>
    <w:rsid w:val="00E37EAE"/>
    <w:rsid w:val="00E37FCE"/>
    <w:rsid w:val="00E40936"/>
    <w:rsid w:val="00E41601"/>
    <w:rsid w:val="00E416AF"/>
    <w:rsid w:val="00E41798"/>
    <w:rsid w:val="00E42CD2"/>
    <w:rsid w:val="00E435A2"/>
    <w:rsid w:val="00E43AAF"/>
    <w:rsid w:val="00E43D53"/>
    <w:rsid w:val="00E44701"/>
    <w:rsid w:val="00E455E9"/>
    <w:rsid w:val="00E45773"/>
    <w:rsid w:val="00E45E69"/>
    <w:rsid w:val="00E46187"/>
    <w:rsid w:val="00E4771B"/>
    <w:rsid w:val="00E47DA3"/>
    <w:rsid w:val="00E500CA"/>
    <w:rsid w:val="00E5010A"/>
    <w:rsid w:val="00E51EE5"/>
    <w:rsid w:val="00E538F0"/>
    <w:rsid w:val="00E548AA"/>
    <w:rsid w:val="00E54AB2"/>
    <w:rsid w:val="00E54C37"/>
    <w:rsid w:val="00E5608F"/>
    <w:rsid w:val="00E56A47"/>
    <w:rsid w:val="00E57351"/>
    <w:rsid w:val="00E57995"/>
    <w:rsid w:val="00E602F6"/>
    <w:rsid w:val="00E60DF9"/>
    <w:rsid w:val="00E626F0"/>
    <w:rsid w:val="00E636AB"/>
    <w:rsid w:val="00E64209"/>
    <w:rsid w:val="00E647FB"/>
    <w:rsid w:val="00E64D9F"/>
    <w:rsid w:val="00E65409"/>
    <w:rsid w:val="00E656EA"/>
    <w:rsid w:val="00E662EF"/>
    <w:rsid w:val="00E6632E"/>
    <w:rsid w:val="00E66445"/>
    <w:rsid w:val="00E66688"/>
    <w:rsid w:val="00E669A3"/>
    <w:rsid w:val="00E67043"/>
    <w:rsid w:val="00E67091"/>
    <w:rsid w:val="00E6761D"/>
    <w:rsid w:val="00E67B3F"/>
    <w:rsid w:val="00E70F90"/>
    <w:rsid w:val="00E71417"/>
    <w:rsid w:val="00E719C9"/>
    <w:rsid w:val="00E72760"/>
    <w:rsid w:val="00E73106"/>
    <w:rsid w:val="00E7329C"/>
    <w:rsid w:val="00E73A99"/>
    <w:rsid w:val="00E74554"/>
    <w:rsid w:val="00E755D6"/>
    <w:rsid w:val="00E76C7E"/>
    <w:rsid w:val="00E77513"/>
    <w:rsid w:val="00E77D74"/>
    <w:rsid w:val="00E805DF"/>
    <w:rsid w:val="00E817B8"/>
    <w:rsid w:val="00E817D4"/>
    <w:rsid w:val="00E81E11"/>
    <w:rsid w:val="00E82626"/>
    <w:rsid w:val="00E827B9"/>
    <w:rsid w:val="00E82A96"/>
    <w:rsid w:val="00E82D97"/>
    <w:rsid w:val="00E83CF8"/>
    <w:rsid w:val="00E843A5"/>
    <w:rsid w:val="00E8498B"/>
    <w:rsid w:val="00E8588C"/>
    <w:rsid w:val="00E86531"/>
    <w:rsid w:val="00E866A7"/>
    <w:rsid w:val="00E877DD"/>
    <w:rsid w:val="00E878CE"/>
    <w:rsid w:val="00E912FB"/>
    <w:rsid w:val="00E9186E"/>
    <w:rsid w:val="00E92CCE"/>
    <w:rsid w:val="00E92F8B"/>
    <w:rsid w:val="00E93434"/>
    <w:rsid w:val="00E93529"/>
    <w:rsid w:val="00E93762"/>
    <w:rsid w:val="00E943E4"/>
    <w:rsid w:val="00E94BDD"/>
    <w:rsid w:val="00E94C0D"/>
    <w:rsid w:val="00E952F0"/>
    <w:rsid w:val="00E957B5"/>
    <w:rsid w:val="00E95D35"/>
    <w:rsid w:val="00E9642C"/>
    <w:rsid w:val="00E96E67"/>
    <w:rsid w:val="00E9777A"/>
    <w:rsid w:val="00E9783E"/>
    <w:rsid w:val="00E97949"/>
    <w:rsid w:val="00E97FA8"/>
    <w:rsid w:val="00EA1059"/>
    <w:rsid w:val="00EA1A3F"/>
    <w:rsid w:val="00EA1AF9"/>
    <w:rsid w:val="00EA2A9D"/>
    <w:rsid w:val="00EA2B80"/>
    <w:rsid w:val="00EA30B0"/>
    <w:rsid w:val="00EA3142"/>
    <w:rsid w:val="00EA48E5"/>
    <w:rsid w:val="00EA55F8"/>
    <w:rsid w:val="00EA5992"/>
    <w:rsid w:val="00EA748E"/>
    <w:rsid w:val="00EA7756"/>
    <w:rsid w:val="00EB0C3E"/>
    <w:rsid w:val="00EB1149"/>
    <w:rsid w:val="00EB115B"/>
    <w:rsid w:val="00EB1D49"/>
    <w:rsid w:val="00EB1E22"/>
    <w:rsid w:val="00EB219F"/>
    <w:rsid w:val="00EB2B2D"/>
    <w:rsid w:val="00EB32F4"/>
    <w:rsid w:val="00EB4B48"/>
    <w:rsid w:val="00EB6C3E"/>
    <w:rsid w:val="00EB7CB2"/>
    <w:rsid w:val="00EB7EB3"/>
    <w:rsid w:val="00EC0175"/>
    <w:rsid w:val="00EC12E0"/>
    <w:rsid w:val="00EC1F59"/>
    <w:rsid w:val="00EC2911"/>
    <w:rsid w:val="00EC39AF"/>
    <w:rsid w:val="00EC517A"/>
    <w:rsid w:val="00EC694F"/>
    <w:rsid w:val="00EC6A6F"/>
    <w:rsid w:val="00EC77D5"/>
    <w:rsid w:val="00ED01C2"/>
    <w:rsid w:val="00ED1AC5"/>
    <w:rsid w:val="00ED1E45"/>
    <w:rsid w:val="00ED1F8F"/>
    <w:rsid w:val="00ED2B88"/>
    <w:rsid w:val="00ED3DDB"/>
    <w:rsid w:val="00ED4C31"/>
    <w:rsid w:val="00ED50A6"/>
    <w:rsid w:val="00ED5F7D"/>
    <w:rsid w:val="00ED62E9"/>
    <w:rsid w:val="00ED6DB9"/>
    <w:rsid w:val="00ED7128"/>
    <w:rsid w:val="00EE0205"/>
    <w:rsid w:val="00EE1523"/>
    <w:rsid w:val="00EE1690"/>
    <w:rsid w:val="00EE1C45"/>
    <w:rsid w:val="00EE1FD0"/>
    <w:rsid w:val="00EE2443"/>
    <w:rsid w:val="00EE2715"/>
    <w:rsid w:val="00EE29FE"/>
    <w:rsid w:val="00EE3510"/>
    <w:rsid w:val="00EE3A91"/>
    <w:rsid w:val="00EE3BF0"/>
    <w:rsid w:val="00EE4497"/>
    <w:rsid w:val="00EE53E0"/>
    <w:rsid w:val="00EE54BA"/>
    <w:rsid w:val="00EE5AA2"/>
    <w:rsid w:val="00EE5CE9"/>
    <w:rsid w:val="00EE6383"/>
    <w:rsid w:val="00EE696D"/>
    <w:rsid w:val="00EE6D2C"/>
    <w:rsid w:val="00EE7200"/>
    <w:rsid w:val="00EE7A20"/>
    <w:rsid w:val="00EF0355"/>
    <w:rsid w:val="00EF0757"/>
    <w:rsid w:val="00EF0CA5"/>
    <w:rsid w:val="00EF0E2E"/>
    <w:rsid w:val="00EF25F9"/>
    <w:rsid w:val="00EF2A82"/>
    <w:rsid w:val="00EF334C"/>
    <w:rsid w:val="00EF3759"/>
    <w:rsid w:val="00EF3FC9"/>
    <w:rsid w:val="00EF49B2"/>
    <w:rsid w:val="00EF63B7"/>
    <w:rsid w:val="00EF6478"/>
    <w:rsid w:val="00EF68A8"/>
    <w:rsid w:val="00EF7381"/>
    <w:rsid w:val="00EF77EF"/>
    <w:rsid w:val="00EF7CB3"/>
    <w:rsid w:val="00EF7D4F"/>
    <w:rsid w:val="00EF7D86"/>
    <w:rsid w:val="00F02258"/>
    <w:rsid w:val="00F02300"/>
    <w:rsid w:val="00F035C8"/>
    <w:rsid w:val="00F045D1"/>
    <w:rsid w:val="00F04D0F"/>
    <w:rsid w:val="00F05253"/>
    <w:rsid w:val="00F05426"/>
    <w:rsid w:val="00F05CEB"/>
    <w:rsid w:val="00F06C8D"/>
    <w:rsid w:val="00F06DDD"/>
    <w:rsid w:val="00F0749F"/>
    <w:rsid w:val="00F100AA"/>
    <w:rsid w:val="00F106DB"/>
    <w:rsid w:val="00F117E2"/>
    <w:rsid w:val="00F11D66"/>
    <w:rsid w:val="00F11E78"/>
    <w:rsid w:val="00F1240E"/>
    <w:rsid w:val="00F131AE"/>
    <w:rsid w:val="00F14075"/>
    <w:rsid w:val="00F15A5F"/>
    <w:rsid w:val="00F15CE2"/>
    <w:rsid w:val="00F1619F"/>
    <w:rsid w:val="00F16DDD"/>
    <w:rsid w:val="00F17D3F"/>
    <w:rsid w:val="00F20859"/>
    <w:rsid w:val="00F20E13"/>
    <w:rsid w:val="00F23337"/>
    <w:rsid w:val="00F243F7"/>
    <w:rsid w:val="00F24ADE"/>
    <w:rsid w:val="00F24BB5"/>
    <w:rsid w:val="00F250F0"/>
    <w:rsid w:val="00F26A00"/>
    <w:rsid w:val="00F26BC9"/>
    <w:rsid w:val="00F2704C"/>
    <w:rsid w:val="00F2739F"/>
    <w:rsid w:val="00F27982"/>
    <w:rsid w:val="00F30595"/>
    <w:rsid w:val="00F309F6"/>
    <w:rsid w:val="00F311F3"/>
    <w:rsid w:val="00F31A0D"/>
    <w:rsid w:val="00F31E41"/>
    <w:rsid w:val="00F31F09"/>
    <w:rsid w:val="00F32433"/>
    <w:rsid w:val="00F32DF4"/>
    <w:rsid w:val="00F34994"/>
    <w:rsid w:val="00F34F4F"/>
    <w:rsid w:val="00F371C0"/>
    <w:rsid w:val="00F417ED"/>
    <w:rsid w:val="00F41D0A"/>
    <w:rsid w:val="00F42D4A"/>
    <w:rsid w:val="00F4301A"/>
    <w:rsid w:val="00F43589"/>
    <w:rsid w:val="00F43F5B"/>
    <w:rsid w:val="00F44462"/>
    <w:rsid w:val="00F44DEF"/>
    <w:rsid w:val="00F44E29"/>
    <w:rsid w:val="00F45068"/>
    <w:rsid w:val="00F453A3"/>
    <w:rsid w:val="00F45556"/>
    <w:rsid w:val="00F470EB"/>
    <w:rsid w:val="00F47C15"/>
    <w:rsid w:val="00F47EA0"/>
    <w:rsid w:val="00F51611"/>
    <w:rsid w:val="00F516D3"/>
    <w:rsid w:val="00F52AC4"/>
    <w:rsid w:val="00F52DD2"/>
    <w:rsid w:val="00F53274"/>
    <w:rsid w:val="00F538B9"/>
    <w:rsid w:val="00F53961"/>
    <w:rsid w:val="00F53D7F"/>
    <w:rsid w:val="00F53FAD"/>
    <w:rsid w:val="00F55407"/>
    <w:rsid w:val="00F57B14"/>
    <w:rsid w:val="00F57EBE"/>
    <w:rsid w:val="00F57FD8"/>
    <w:rsid w:val="00F602D6"/>
    <w:rsid w:val="00F60AD5"/>
    <w:rsid w:val="00F61839"/>
    <w:rsid w:val="00F62635"/>
    <w:rsid w:val="00F627A1"/>
    <w:rsid w:val="00F62DD3"/>
    <w:rsid w:val="00F63D46"/>
    <w:rsid w:val="00F65CCD"/>
    <w:rsid w:val="00F65E34"/>
    <w:rsid w:val="00F65F1D"/>
    <w:rsid w:val="00F66239"/>
    <w:rsid w:val="00F66798"/>
    <w:rsid w:val="00F669D5"/>
    <w:rsid w:val="00F66AF6"/>
    <w:rsid w:val="00F66CF0"/>
    <w:rsid w:val="00F7003C"/>
    <w:rsid w:val="00F70065"/>
    <w:rsid w:val="00F7017E"/>
    <w:rsid w:val="00F70384"/>
    <w:rsid w:val="00F70455"/>
    <w:rsid w:val="00F70656"/>
    <w:rsid w:val="00F70CCA"/>
    <w:rsid w:val="00F721FC"/>
    <w:rsid w:val="00F727F3"/>
    <w:rsid w:val="00F7298C"/>
    <w:rsid w:val="00F72DF1"/>
    <w:rsid w:val="00F743ED"/>
    <w:rsid w:val="00F7451C"/>
    <w:rsid w:val="00F749F9"/>
    <w:rsid w:val="00F752AC"/>
    <w:rsid w:val="00F75EED"/>
    <w:rsid w:val="00F7683B"/>
    <w:rsid w:val="00F775DC"/>
    <w:rsid w:val="00F77C8D"/>
    <w:rsid w:val="00F8067F"/>
    <w:rsid w:val="00F80B07"/>
    <w:rsid w:val="00F80DDA"/>
    <w:rsid w:val="00F8105D"/>
    <w:rsid w:val="00F816B7"/>
    <w:rsid w:val="00F818A3"/>
    <w:rsid w:val="00F81AA4"/>
    <w:rsid w:val="00F827D7"/>
    <w:rsid w:val="00F82B34"/>
    <w:rsid w:val="00F83ED4"/>
    <w:rsid w:val="00F84054"/>
    <w:rsid w:val="00F84EC6"/>
    <w:rsid w:val="00F850AE"/>
    <w:rsid w:val="00F85A83"/>
    <w:rsid w:val="00F86268"/>
    <w:rsid w:val="00F90305"/>
    <w:rsid w:val="00F903DD"/>
    <w:rsid w:val="00F904B3"/>
    <w:rsid w:val="00F9050E"/>
    <w:rsid w:val="00F906D7"/>
    <w:rsid w:val="00F91F2F"/>
    <w:rsid w:val="00F91FBF"/>
    <w:rsid w:val="00F9206A"/>
    <w:rsid w:val="00F9305A"/>
    <w:rsid w:val="00F948EA"/>
    <w:rsid w:val="00F94ABA"/>
    <w:rsid w:val="00F94AD5"/>
    <w:rsid w:val="00F95B94"/>
    <w:rsid w:val="00F95D90"/>
    <w:rsid w:val="00F95DA7"/>
    <w:rsid w:val="00F960D8"/>
    <w:rsid w:val="00F961E6"/>
    <w:rsid w:val="00F96268"/>
    <w:rsid w:val="00F963C4"/>
    <w:rsid w:val="00F9695E"/>
    <w:rsid w:val="00F971B9"/>
    <w:rsid w:val="00F97EE6"/>
    <w:rsid w:val="00FA1283"/>
    <w:rsid w:val="00FA2A77"/>
    <w:rsid w:val="00FA2F5E"/>
    <w:rsid w:val="00FA317F"/>
    <w:rsid w:val="00FA3728"/>
    <w:rsid w:val="00FA39C7"/>
    <w:rsid w:val="00FA428A"/>
    <w:rsid w:val="00FA7F9E"/>
    <w:rsid w:val="00FB00EA"/>
    <w:rsid w:val="00FB0542"/>
    <w:rsid w:val="00FB08D9"/>
    <w:rsid w:val="00FB1BA5"/>
    <w:rsid w:val="00FB1D74"/>
    <w:rsid w:val="00FB1FED"/>
    <w:rsid w:val="00FB24C7"/>
    <w:rsid w:val="00FB300E"/>
    <w:rsid w:val="00FB3E11"/>
    <w:rsid w:val="00FB3FD3"/>
    <w:rsid w:val="00FB4440"/>
    <w:rsid w:val="00FB4472"/>
    <w:rsid w:val="00FB473E"/>
    <w:rsid w:val="00FB4EAD"/>
    <w:rsid w:val="00FB4F5C"/>
    <w:rsid w:val="00FB581F"/>
    <w:rsid w:val="00FB5BDA"/>
    <w:rsid w:val="00FB5D2F"/>
    <w:rsid w:val="00FB618E"/>
    <w:rsid w:val="00FB6B84"/>
    <w:rsid w:val="00FB6DD2"/>
    <w:rsid w:val="00FB6F32"/>
    <w:rsid w:val="00FB712A"/>
    <w:rsid w:val="00FB735A"/>
    <w:rsid w:val="00FC2253"/>
    <w:rsid w:val="00FC2A62"/>
    <w:rsid w:val="00FC3536"/>
    <w:rsid w:val="00FC479C"/>
    <w:rsid w:val="00FC4FEB"/>
    <w:rsid w:val="00FC5233"/>
    <w:rsid w:val="00FC578D"/>
    <w:rsid w:val="00FC5A9F"/>
    <w:rsid w:val="00FC7B7A"/>
    <w:rsid w:val="00FD03C3"/>
    <w:rsid w:val="00FD0C4D"/>
    <w:rsid w:val="00FD11D5"/>
    <w:rsid w:val="00FD194D"/>
    <w:rsid w:val="00FD35B5"/>
    <w:rsid w:val="00FD371B"/>
    <w:rsid w:val="00FD48F7"/>
    <w:rsid w:val="00FD59AE"/>
    <w:rsid w:val="00FD60AF"/>
    <w:rsid w:val="00FD6157"/>
    <w:rsid w:val="00FD6DFC"/>
    <w:rsid w:val="00FE08A6"/>
    <w:rsid w:val="00FE0BF9"/>
    <w:rsid w:val="00FE20EC"/>
    <w:rsid w:val="00FE2288"/>
    <w:rsid w:val="00FE2A50"/>
    <w:rsid w:val="00FE2B44"/>
    <w:rsid w:val="00FE2E9E"/>
    <w:rsid w:val="00FE3E08"/>
    <w:rsid w:val="00FE5F7C"/>
    <w:rsid w:val="00FE63DA"/>
    <w:rsid w:val="00FE6443"/>
    <w:rsid w:val="00FE687B"/>
    <w:rsid w:val="00FE6E6E"/>
    <w:rsid w:val="00FE76B3"/>
    <w:rsid w:val="00FF1728"/>
    <w:rsid w:val="00FF19B3"/>
    <w:rsid w:val="00FF1ED1"/>
    <w:rsid w:val="00FF1ED5"/>
    <w:rsid w:val="00FF2C50"/>
    <w:rsid w:val="00FF49D5"/>
    <w:rsid w:val="00FF4A7E"/>
    <w:rsid w:val="00FF54FE"/>
    <w:rsid w:val="00FF5E72"/>
    <w:rsid w:val="00FF61D3"/>
    <w:rsid w:val="00FF61DB"/>
    <w:rsid w:val="00FF65D4"/>
    <w:rsid w:val="00FF67F0"/>
    <w:rsid w:val="00FF6B94"/>
    <w:rsid w:val="012714FC"/>
    <w:rsid w:val="014C2EC4"/>
    <w:rsid w:val="01611D93"/>
    <w:rsid w:val="01986716"/>
    <w:rsid w:val="01BE1D4E"/>
    <w:rsid w:val="01CF71D0"/>
    <w:rsid w:val="01D05963"/>
    <w:rsid w:val="0203704B"/>
    <w:rsid w:val="026D0DB9"/>
    <w:rsid w:val="028272D1"/>
    <w:rsid w:val="02C00BC2"/>
    <w:rsid w:val="03007D5D"/>
    <w:rsid w:val="030A0A53"/>
    <w:rsid w:val="0336465F"/>
    <w:rsid w:val="035B21BE"/>
    <w:rsid w:val="03882F3E"/>
    <w:rsid w:val="03D03706"/>
    <w:rsid w:val="03EA459F"/>
    <w:rsid w:val="03EE6096"/>
    <w:rsid w:val="04111815"/>
    <w:rsid w:val="044E591C"/>
    <w:rsid w:val="045115AA"/>
    <w:rsid w:val="04747E8F"/>
    <w:rsid w:val="048B4AB6"/>
    <w:rsid w:val="049A24F8"/>
    <w:rsid w:val="04BA42E4"/>
    <w:rsid w:val="04C3596D"/>
    <w:rsid w:val="04C577D7"/>
    <w:rsid w:val="04DA2804"/>
    <w:rsid w:val="05225EA6"/>
    <w:rsid w:val="05366B6E"/>
    <w:rsid w:val="05896285"/>
    <w:rsid w:val="058E6966"/>
    <w:rsid w:val="05D5433A"/>
    <w:rsid w:val="061850D0"/>
    <w:rsid w:val="061F5B13"/>
    <w:rsid w:val="062B1F86"/>
    <w:rsid w:val="063127B9"/>
    <w:rsid w:val="063B74FA"/>
    <w:rsid w:val="06E836D2"/>
    <w:rsid w:val="070F3D3A"/>
    <w:rsid w:val="07395993"/>
    <w:rsid w:val="075C5614"/>
    <w:rsid w:val="07754F2A"/>
    <w:rsid w:val="0808754A"/>
    <w:rsid w:val="08254E3F"/>
    <w:rsid w:val="082E4B1D"/>
    <w:rsid w:val="08585771"/>
    <w:rsid w:val="08863262"/>
    <w:rsid w:val="08B84ACC"/>
    <w:rsid w:val="090A0F45"/>
    <w:rsid w:val="090A5C5C"/>
    <w:rsid w:val="091343F8"/>
    <w:rsid w:val="09414A5B"/>
    <w:rsid w:val="09850725"/>
    <w:rsid w:val="099F3059"/>
    <w:rsid w:val="09DF3670"/>
    <w:rsid w:val="09F408B5"/>
    <w:rsid w:val="09F424D0"/>
    <w:rsid w:val="0A243A0F"/>
    <w:rsid w:val="0A4762B1"/>
    <w:rsid w:val="0A70669D"/>
    <w:rsid w:val="0BA70BF2"/>
    <w:rsid w:val="0BB90E94"/>
    <w:rsid w:val="0BD7795F"/>
    <w:rsid w:val="0BE7448A"/>
    <w:rsid w:val="0C110F9C"/>
    <w:rsid w:val="0C284607"/>
    <w:rsid w:val="0C486F1A"/>
    <w:rsid w:val="0C832911"/>
    <w:rsid w:val="0CFA5B9C"/>
    <w:rsid w:val="0D1A5D6B"/>
    <w:rsid w:val="0D583C4A"/>
    <w:rsid w:val="0D65639E"/>
    <w:rsid w:val="0D6A0ACC"/>
    <w:rsid w:val="0DB94E10"/>
    <w:rsid w:val="0DE757F2"/>
    <w:rsid w:val="0E2D69C3"/>
    <w:rsid w:val="0E4C2BD4"/>
    <w:rsid w:val="0E527116"/>
    <w:rsid w:val="0E6A6868"/>
    <w:rsid w:val="0E6C4435"/>
    <w:rsid w:val="0ECC7CCA"/>
    <w:rsid w:val="0ED85CB9"/>
    <w:rsid w:val="0EE02FCE"/>
    <w:rsid w:val="0EE96807"/>
    <w:rsid w:val="0F244AF8"/>
    <w:rsid w:val="0F342C44"/>
    <w:rsid w:val="0F44355D"/>
    <w:rsid w:val="0F4F1F71"/>
    <w:rsid w:val="0F5014F6"/>
    <w:rsid w:val="0F790846"/>
    <w:rsid w:val="0F90365B"/>
    <w:rsid w:val="0F960E90"/>
    <w:rsid w:val="0FC7699A"/>
    <w:rsid w:val="0FD97362"/>
    <w:rsid w:val="0FFC0663"/>
    <w:rsid w:val="0FFF66C8"/>
    <w:rsid w:val="102E69FB"/>
    <w:rsid w:val="102F7F82"/>
    <w:rsid w:val="10563548"/>
    <w:rsid w:val="10630C4B"/>
    <w:rsid w:val="106947A1"/>
    <w:rsid w:val="10780010"/>
    <w:rsid w:val="109004C9"/>
    <w:rsid w:val="109E7005"/>
    <w:rsid w:val="10A37ED5"/>
    <w:rsid w:val="110616B3"/>
    <w:rsid w:val="111E0D6A"/>
    <w:rsid w:val="112A1BBF"/>
    <w:rsid w:val="11422C49"/>
    <w:rsid w:val="124F4B69"/>
    <w:rsid w:val="13012D68"/>
    <w:rsid w:val="13067FA8"/>
    <w:rsid w:val="133B0905"/>
    <w:rsid w:val="134C6B75"/>
    <w:rsid w:val="137114D5"/>
    <w:rsid w:val="13C51BA5"/>
    <w:rsid w:val="14152EC3"/>
    <w:rsid w:val="148A4A1E"/>
    <w:rsid w:val="14942059"/>
    <w:rsid w:val="14953E86"/>
    <w:rsid w:val="14A174B2"/>
    <w:rsid w:val="14CD5F76"/>
    <w:rsid w:val="150C1B45"/>
    <w:rsid w:val="151350A2"/>
    <w:rsid w:val="151F06B9"/>
    <w:rsid w:val="15326B5E"/>
    <w:rsid w:val="15446EDC"/>
    <w:rsid w:val="15B530EB"/>
    <w:rsid w:val="15C97F83"/>
    <w:rsid w:val="15E20E88"/>
    <w:rsid w:val="161658B7"/>
    <w:rsid w:val="161D544B"/>
    <w:rsid w:val="16386068"/>
    <w:rsid w:val="16980C71"/>
    <w:rsid w:val="16A1569F"/>
    <w:rsid w:val="16A31F56"/>
    <w:rsid w:val="17441C32"/>
    <w:rsid w:val="179C4150"/>
    <w:rsid w:val="17BF60B6"/>
    <w:rsid w:val="17CC4678"/>
    <w:rsid w:val="17CE6B73"/>
    <w:rsid w:val="18136F0B"/>
    <w:rsid w:val="183A54FD"/>
    <w:rsid w:val="1854565B"/>
    <w:rsid w:val="18684E87"/>
    <w:rsid w:val="18721A75"/>
    <w:rsid w:val="18962EA1"/>
    <w:rsid w:val="18DF7BC6"/>
    <w:rsid w:val="1903089F"/>
    <w:rsid w:val="197255A1"/>
    <w:rsid w:val="198E6D07"/>
    <w:rsid w:val="198F2332"/>
    <w:rsid w:val="19AD7F51"/>
    <w:rsid w:val="19ED68DF"/>
    <w:rsid w:val="19EE6FFC"/>
    <w:rsid w:val="1A010608"/>
    <w:rsid w:val="1A701839"/>
    <w:rsid w:val="1A821653"/>
    <w:rsid w:val="1A8C5F81"/>
    <w:rsid w:val="1A915232"/>
    <w:rsid w:val="1AA85ED5"/>
    <w:rsid w:val="1ACA0A14"/>
    <w:rsid w:val="1B242D92"/>
    <w:rsid w:val="1B3A5FAC"/>
    <w:rsid w:val="1B3F3A4B"/>
    <w:rsid w:val="1B505390"/>
    <w:rsid w:val="1B6B1BB6"/>
    <w:rsid w:val="1B801B7B"/>
    <w:rsid w:val="1BC90FC9"/>
    <w:rsid w:val="1BE14F55"/>
    <w:rsid w:val="1C085625"/>
    <w:rsid w:val="1C2B5A39"/>
    <w:rsid w:val="1C3C322C"/>
    <w:rsid w:val="1C583F48"/>
    <w:rsid w:val="1CC43098"/>
    <w:rsid w:val="1CEC4EC6"/>
    <w:rsid w:val="1CFB4347"/>
    <w:rsid w:val="1D2A6470"/>
    <w:rsid w:val="1D5408E6"/>
    <w:rsid w:val="1DCE1CA7"/>
    <w:rsid w:val="1DDF6DC9"/>
    <w:rsid w:val="1E38491D"/>
    <w:rsid w:val="1E51598A"/>
    <w:rsid w:val="1E521D75"/>
    <w:rsid w:val="1E5A5A85"/>
    <w:rsid w:val="1E610C10"/>
    <w:rsid w:val="1E7169CA"/>
    <w:rsid w:val="1E94276A"/>
    <w:rsid w:val="1E956CD4"/>
    <w:rsid w:val="1F2640D9"/>
    <w:rsid w:val="1F4B4494"/>
    <w:rsid w:val="1F4E3450"/>
    <w:rsid w:val="1FA84E00"/>
    <w:rsid w:val="1FBD2C53"/>
    <w:rsid w:val="1FEC429F"/>
    <w:rsid w:val="2067014D"/>
    <w:rsid w:val="20DD5635"/>
    <w:rsid w:val="20F15B6E"/>
    <w:rsid w:val="21075493"/>
    <w:rsid w:val="2113458D"/>
    <w:rsid w:val="21407E98"/>
    <w:rsid w:val="21D631B4"/>
    <w:rsid w:val="21E501B9"/>
    <w:rsid w:val="222B197D"/>
    <w:rsid w:val="225D3122"/>
    <w:rsid w:val="22B27601"/>
    <w:rsid w:val="22E27085"/>
    <w:rsid w:val="23173BB6"/>
    <w:rsid w:val="234D0402"/>
    <w:rsid w:val="2367479A"/>
    <w:rsid w:val="2389396B"/>
    <w:rsid w:val="23B13EA8"/>
    <w:rsid w:val="23DD66CA"/>
    <w:rsid w:val="24384AF8"/>
    <w:rsid w:val="2461629F"/>
    <w:rsid w:val="24923ECC"/>
    <w:rsid w:val="24C7786B"/>
    <w:rsid w:val="24CB221C"/>
    <w:rsid w:val="24E11DB6"/>
    <w:rsid w:val="25322E4B"/>
    <w:rsid w:val="25483A67"/>
    <w:rsid w:val="25901B88"/>
    <w:rsid w:val="25B01D02"/>
    <w:rsid w:val="25E61770"/>
    <w:rsid w:val="26103DCC"/>
    <w:rsid w:val="262411FD"/>
    <w:rsid w:val="26B04614"/>
    <w:rsid w:val="26DA35CA"/>
    <w:rsid w:val="26F66651"/>
    <w:rsid w:val="27267890"/>
    <w:rsid w:val="273915BC"/>
    <w:rsid w:val="273D2FFD"/>
    <w:rsid w:val="278579C7"/>
    <w:rsid w:val="27F74D59"/>
    <w:rsid w:val="28564BB0"/>
    <w:rsid w:val="28A075FF"/>
    <w:rsid w:val="28BA1793"/>
    <w:rsid w:val="28BE7A85"/>
    <w:rsid w:val="28CD36A6"/>
    <w:rsid w:val="28DF2189"/>
    <w:rsid w:val="28E96B48"/>
    <w:rsid w:val="290B6444"/>
    <w:rsid w:val="29163397"/>
    <w:rsid w:val="29191116"/>
    <w:rsid w:val="294367BA"/>
    <w:rsid w:val="29607024"/>
    <w:rsid w:val="29756D22"/>
    <w:rsid w:val="29775CDF"/>
    <w:rsid w:val="29C55868"/>
    <w:rsid w:val="2A113AD8"/>
    <w:rsid w:val="2A153379"/>
    <w:rsid w:val="2A21763D"/>
    <w:rsid w:val="2A540C36"/>
    <w:rsid w:val="2AA5068E"/>
    <w:rsid w:val="2ADE5454"/>
    <w:rsid w:val="2B0D4423"/>
    <w:rsid w:val="2B274FA3"/>
    <w:rsid w:val="2B361BCB"/>
    <w:rsid w:val="2B4A3852"/>
    <w:rsid w:val="2BC76C50"/>
    <w:rsid w:val="2C284F37"/>
    <w:rsid w:val="2C8156C5"/>
    <w:rsid w:val="2CCC1518"/>
    <w:rsid w:val="2CD46F60"/>
    <w:rsid w:val="2CD60AF4"/>
    <w:rsid w:val="2DDA2B62"/>
    <w:rsid w:val="2E2B1F81"/>
    <w:rsid w:val="2EAC037F"/>
    <w:rsid w:val="2EBB2FB9"/>
    <w:rsid w:val="2EE70D5C"/>
    <w:rsid w:val="2F0C0095"/>
    <w:rsid w:val="2F3F71B5"/>
    <w:rsid w:val="2F515D7F"/>
    <w:rsid w:val="2F7F31BC"/>
    <w:rsid w:val="2F972DDE"/>
    <w:rsid w:val="2FD53088"/>
    <w:rsid w:val="2FDB28BA"/>
    <w:rsid w:val="300631C6"/>
    <w:rsid w:val="30437CB0"/>
    <w:rsid w:val="305A41B4"/>
    <w:rsid w:val="308276D4"/>
    <w:rsid w:val="30A44079"/>
    <w:rsid w:val="312F7B34"/>
    <w:rsid w:val="313C6BC3"/>
    <w:rsid w:val="31485247"/>
    <w:rsid w:val="315873DC"/>
    <w:rsid w:val="31887D0A"/>
    <w:rsid w:val="319C3841"/>
    <w:rsid w:val="31A21DDA"/>
    <w:rsid w:val="31AC5437"/>
    <w:rsid w:val="3218450F"/>
    <w:rsid w:val="32405FD5"/>
    <w:rsid w:val="333C78A5"/>
    <w:rsid w:val="338B4C3D"/>
    <w:rsid w:val="338C2A24"/>
    <w:rsid w:val="33C71E7E"/>
    <w:rsid w:val="33DD272F"/>
    <w:rsid w:val="33E859AE"/>
    <w:rsid w:val="34C649AF"/>
    <w:rsid w:val="35136097"/>
    <w:rsid w:val="3533560E"/>
    <w:rsid w:val="35A02A77"/>
    <w:rsid w:val="35A3428A"/>
    <w:rsid w:val="35A42797"/>
    <w:rsid w:val="35F77046"/>
    <w:rsid w:val="360B1939"/>
    <w:rsid w:val="36675A28"/>
    <w:rsid w:val="36BD4D2D"/>
    <w:rsid w:val="37126814"/>
    <w:rsid w:val="37460914"/>
    <w:rsid w:val="37512C09"/>
    <w:rsid w:val="37622232"/>
    <w:rsid w:val="37676AF2"/>
    <w:rsid w:val="377C5434"/>
    <w:rsid w:val="37865F89"/>
    <w:rsid w:val="37881C80"/>
    <w:rsid w:val="37AE302E"/>
    <w:rsid w:val="37C77B9C"/>
    <w:rsid w:val="382C0DAD"/>
    <w:rsid w:val="384639AE"/>
    <w:rsid w:val="38A0312A"/>
    <w:rsid w:val="38D91874"/>
    <w:rsid w:val="391E3BBF"/>
    <w:rsid w:val="398E7DE9"/>
    <w:rsid w:val="39AA33F2"/>
    <w:rsid w:val="39C22F4F"/>
    <w:rsid w:val="39D32C64"/>
    <w:rsid w:val="39FE71F7"/>
    <w:rsid w:val="3A7C1749"/>
    <w:rsid w:val="3AAE0EB3"/>
    <w:rsid w:val="3AB02FA5"/>
    <w:rsid w:val="3ABF633F"/>
    <w:rsid w:val="3AFC66CC"/>
    <w:rsid w:val="3B0E3B6F"/>
    <w:rsid w:val="3B225704"/>
    <w:rsid w:val="3B335F90"/>
    <w:rsid w:val="3B823188"/>
    <w:rsid w:val="3B952221"/>
    <w:rsid w:val="3BE768BF"/>
    <w:rsid w:val="3C2A4D9B"/>
    <w:rsid w:val="3C863ABB"/>
    <w:rsid w:val="3CB42363"/>
    <w:rsid w:val="3CBB635D"/>
    <w:rsid w:val="3CEE4E4D"/>
    <w:rsid w:val="3D380709"/>
    <w:rsid w:val="3D842F74"/>
    <w:rsid w:val="3DA053ED"/>
    <w:rsid w:val="3DFC0732"/>
    <w:rsid w:val="3E276FE8"/>
    <w:rsid w:val="3E4017F9"/>
    <w:rsid w:val="3E7C00E1"/>
    <w:rsid w:val="3EC86B10"/>
    <w:rsid w:val="3F1955BD"/>
    <w:rsid w:val="3F555A9E"/>
    <w:rsid w:val="3F746C97"/>
    <w:rsid w:val="3FED48A8"/>
    <w:rsid w:val="40643756"/>
    <w:rsid w:val="410D3F6B"/>
    <w:rsid w:val="411469FA"/>
    <w:rsid w:val="41186C65"/>
    <w:rsid w:val="415A68C0"/>
    <w:rsid w:val="41705EEE"/>
    <w:rsid w:val="419E342A"/>
    <w:rsid w:val="41C77226"/>
    <w:rsid w:val="42963E62"/>
    <w:rsid w:val="4323666E"/>
    <w:rsid w:val="434D4AAF"/>
    <w:rsid w:val="439773C9"/>
    <w:rsid w:val="44147CE9"/>
    <w:rsid w:val="44172279"/>
    <w:rsid w:val="443B5F5B"/>
    <w:rsid w:val="443B69BD"/>
    <w:rsid w:val="44650B13"/>
    <w:rsid w:val="44D02976"/>
    <w:rsid w:val="450F21A0"/>
    <w:rsid w:val="452A6789"/>
    <w:rsid w:val="453B063C"/>
    <w:rsid w:val="453F7FA2"/>
    <w:rsid w:val="45737D85"/>
    <w:rsid w:val="458063FD"/>
    <w:rsid w:val="45BB4289"/>
    <w:rsid w:val="45C37D79"/>
    <w:rsid w:val="45F21FD0"/>
    <w:rsid w:val="46463CF7"/>
    <w:rsid w:val="46607D66"/>
    <w:rsid w:val="466C7B3E"/>
    <w:rsid w:val="46A25248"/>
    <w:rsid w:val="46C6265C"/>
    <w:rsid w:val="46CA44E4"/>
    <w:rsid w:val="46CC558A"/>
    <w:rsid w:val="47134B09"/>
    <w:rsid w:val="47290367"/>
    <w:rsid w:val="475A438F"/>
    <w:rsid w:val="47963CE5"/>
    <w:rsid w:val="47C564F4"/>
    <w:rsid w:val="48241BBA"/>
    <w:rsid w:val="482E4C62"/>
    <w:rsid w:val="484E2432"/>
    <w:rsid w:val="48811006"/>
    <w:rsid w:val="48DC4D0D"/>
    <w:rsid w:val="492F6498"/>
    <w:rsid w:val="4981092F"/>
    <w:rsid w:val="498648B4"/>
    <w:rsid w:val="49986AFE"/>
    <w:rsid w:val="49A05D40"/>
    <w:rsid w:val="49B4660E"/>
    <w:rsid w:val="49FC736A"/>
    <w:rsid w:val="4A413DA7"/>
    <w:rsid w:val="4A4C7894"/>
    <w:rsid w:val="4A7A2B22"/>
    <w:rsid w:val="4ADD433C"/>
    <w:rsid w:val="4B310B92"/>
    <w:rsid w:val="4BA24F4D"/>
    <w:rsid w:val="4C15001A"/>
    <w:rsid w:val="4C18118F"/>
    <w:rsid w:val="4C85554C"/>
    <w:rsid w:val="4D1B61B8"/>
    <w:rsid w:val="4D4670E7"/>
    <w:rsid w:val="4D8A70B4"/>
    <w:rsid w:val="4E0A35FF"/>
    <w:rsid w:val="4E3B0BC7"/>
    <w:rsid w:val="4E570788"/>
    <w:rsid w:val="4E651DDA"/>
    <w:rsid w:val="4EA91A38"/>
    <w:rsid w:val="4EBA7F0B"/>
    <w:rsid w:val="4ED556F7"/>
    <w:rsid w:val="4F421934"/>
    <w:rsid w:val="4F662339"/>
    <w:rsid w:val="4FAD5FDA"/>
    <w:rsid w:val="501176D2"/>
    <w:rsid w:val="505E1082"/>
    <w:rsid w:val="507B64D7"/>
    <w:rsid w:val="50851BF1"/>
    <w:rsid w:val="50AE0D3D"/>
    <w:rsid w:val="50AF426F"/>
    <w:rsid w:val="50F106BA"/>
    <w:rsid w:val="516F3A6B"/>
    <w:rsid w:val="522F4A6B"/>
    <w:rsid w:val="524624B8"/>
    <w:rsid w:val="526B1AA4"/>
    <w:rsid w:val="52A40686"/>
    <w:rsid w:val="536149BA"/>
    <w:rsid w:val="536441A1"/>
    <w:rsid w:val="538A7353"/>
    <w:rsid w:val="5395046A"/>
    <w:rsid w:val="53A0201B"/>
    <w:rsid w:val="53B760BB"/>
    <w:rsid w:val="53DB1DCB"/>
    <w:rsid w:val="53DC1D4A"/>
    <w:rsid w:val="540261DB"/>
    <w:rsid w:val="541E7CCE"/>
    <w:rsid w:val="543B42DA"/>
    <w:rsid w:val="547F35F6"/>
    <w:rsid w:val="54BB5338"/>
    <w:rsid w:val="54D76241"/>
    <w:rsid w:val="54E648F2"/>
    <w:rsid w:val="55244261"/>
    <w:rsid w:val="552F36E0"/>
    <w:rsid w:val="55651011"/>
    <w:rsid w:val="5566427E"/>
    <w:rsid w:val="559E0F7F"/>
    <w:rsid w:val="55D43813"/>
    <w:rsid w:val="55F15DF7"/>
    <w:rsid w:val="56182DA0"/>
    <w:rsid w:val="561D2654"/>
    <w:rsid w:val="562D0B2C"/>
    <w:rsid w:val="564410B2"/>
    <w:rsid w:val="56B73D78"/>
    <w:rsid w:val="56E3499B"/>
    <w:rsid w:val="56F42740"/>
    <w:rsid w:val="571452A4"/>
    <w:rsid w:val="571B4B2B"/>
    <w:rsid w:val="571C450E"/>
    <w:rsid w:val="572F2D75"/>
    <w:rsid w:val="575470E8"/>
    <w:rsid w:val="57580312"/>
    <w:rsid w:val="576236B7"/>
    <w:rsid w:val="579D5278"/>
    <w:rsid w:val="57B572B3"/>
    <w:rsid w:val="57C125F9"/>
    <w:rsid w:val="57CB213D"/>
    <w:rsid w:val="57D62FA2"/>
    <w:rsid w:val="58350C88"/>
    <w:rsid w:val="586266E8"/>
    <w:rsid w:val="58BF442F"/>
    <w:rsid w:val="58F07335"/>
    <w:rsid w:val="59276984"/>
    <w:rsid w:val="5931782F"/>
    <w:rsid w:val="593C3984"/>
    <w:rsid w:val="595B7377"/>
    <w:rsid w:val="59856036"/>
    <w:rsid w:val="59CE0A74"/>
    <w:rsid w:val="59FF1EBE"/>
    <w:rsid w:val="5A0148B9"/>
    <w:rsid w:val="5A053111"/>
    <w:rsid w:val="5A126D51"/>
    <w:rsid w:val="5A236E98"/>
    <w:rsid w:val="5B3B1680"/>
    <w:rsid w:val="5B5120B3"/>
    <w:rsid w:val="5B950720"/>
    <w:rsid w:val="5C147E12"/>
    <w:rsid w:val="5C4046A8"/>
    <w:rsid w:val="5C435506"/>
    <w:rsid w:val="5C482B00"/>
    <w:rsid w:val="5C4D7E94"/>
    <w:rsid w:val="5C9665C7"/>
    <w:rsid w:val="5CB5757E"/>
    <w:rsid w:val="5CC40D44"/>
    <w:rsid w:val="5CF27722"/>
    <w:rsid w:val="5D05758B"/>
    <w:rsid w:val="5D06147B"/>
    <w:rsid w:val="5D4627C6"/>
    <w:rsid w:val="5D9201A5"/>
    <w:rsid w:val="5DBC5230"/>
    <w:rsid w:val="5DD558FF"/>
    <w:rsid w:val="5DFF31F3"/>
    <w:rsid w:val="5E145FB2"/>
    <w:rsid w:val="5E1E017B"/>
    <w:rsid w:val="5E740865"/>
    <w:rsid w:val="5E7A1D05"/>
    <w:rsid w:val="5EB822A5"/>
    <w:rsid w:val="5EBD7112"/>
    <w:rsid w:val="5ED349F1"/>
    <w:rsid w:val="5EFF7612"/>
    <w:rsid w:val="5F0665A9"/>
    <w:rsid w:val="5F435C39"/>
    <w:rsid w:val="5F4649EC"/>
    <w:rsid w:val="5FDF6E3E"/>
    <w:rsid w:val="60160BA6"/>
    <w:rsid w:val="601D1FBA"/>
    <w:rsid w:val="60565191"/>
    <w:rsid w:val="60E20749"/>
    <w:rsid w:val="60F75322"/>
    <w:rsid w:val="611E1462"/>
    <w:rsid w:val="617C2399"/>
    <w:rsid w:val="61927759"/>
    <w:rsid w:val="61B56F70"/>
    <w:rsid w:val="61E823CE"/>
    <w:rsid w:val="625914E7"/>
    <w:rsid w:val="62662A7E"/>
    <w:rsid w:val="62696516"/>
    <w:rsid w:val="628C53AA"/>
    <w:rsid w:val="62B63E30"/>
    <w:rsid w:val="63443EAF"/>
    <w:rsid w:val="636B11F8"/>
    <w:rsid w:val="63B422D6"/>
    <w:rsid w:val="645C6023"/>
    <w:rsid w:val="646E362B"/>
    <w:rsid w:val="647C00A7"/>
    <w:rsid w:val="64A60A34"/>
    <w:rsid w:val="64D37AEB"/>
    <w:rsid w:val="64EF1A39"/>
    <w:rsid w:val="64FB04D0"/>
    <w:rsid w:val="656228CB"/>
    <w:rsid w:val="658B5BFF"/>
    <w:rsid w:val="65916256"/>
    <w:rsid w:val="65AC2E3D"/>
    <w:rsid w:val="65BB6A09"/>
    <w:rsid w:val="65DB7987"/>
    <w:rsid w:val="65F0083E"/>
    <w:rsid w:val="66AF703A"/>
    <w:rsid w:val="67083030"/>
    <w:rsid w:val="670A0D1B"/>
    <w:rsid w:val="674800E8"/>
    <w:rsid w:val="67A144A3"/>
    <w:rsid w:val="67AE1466"/>
    <w:rsid w:val="67B00B92"/>
    <w:rsid w:val="67C551CB"/>
    <w:rsid w:val="67D23D98"/>
    <w:rsid w:val="67DC5FAF"/>
    <w:rsid w:val="67DD4B2A"/>
    <w:rsid w:val="6824077E"/>
    <w:rsid w:val="683D5FF4"/>
    <w:rsid w:val="68401EED"/>
    <w:rsid w:val="684C63AF"/>
    <w:rsid w:val="685F0FF0"/>
    <w:rsid w:val="68822A9D"/>
    <w:rsid w:val="68EE4EA1"/>
    <w:rsid w:val="69063805"/>
    <w:rsid w:val="694830D9"/>
    <w:rsid w:val="694E7460"/>
    <w:rsid w:val="69546791"/>
    <w:rsid w:val="69811B9F"/>
    <w:rsid w:val="69C1455B"/>
    <w:rsid w:val="6A0C106E"/>
    <w:rsid w:val="6A1A2308"/>
    <w:rsid w:val="6A273589"/>
    <w:rsid w:val="6A425544"/>
    <w:rsid w:val="6A4E5001"/>
    <w:rsid w:val="6A7554EE"/>
    <w:rsid w:val="6A8028BD"/>
    <w:rsid w:val="6AAE1B5E"/>
    <w:rsid w:val="6ADC17CB"/>
    <w:rsid w:val="6AF25E21"/>
    <w:rsid w:val="6B0338A0"/>
    <w:rsid w:val="6B4D7570"/>
    <w:rsid w:val="6BC564BB"/>
    <w:rsid w:val="6BE6386F"/>
    <w:rsid w:val="6C1226E1"/>
    <w:rsid w:val="6C953C26"/>
    <w:rsid w:val="6D0F00BD"/>
    <w:rsid w:val="6D261422"/>
    <w:rsid w:val="6D284B95"/>
    <w:rsid w:val="6D60277E"/>
    <w:rsid w:val="6D825678"/>
    <w:rsid w:val="6D9415B3"/>
    <w:rsid w:val="6DE64D17"/>
    <w:rsid w:val="6DE8749A"/>
    <w:rsid w:val="6E142DD4"/>
    <w:rsid w:val="6E187176"/>
    <w:rsid w:val="6E1D4F6D"/>
    <w:rsid w:val="6E32076F"/>
    <w:rsid w:val="6E4B2E0A"/>
    <w:rsid w:val="6E500FA4"/>
    <w:rsid w:val="6E5F02CF"/>
    <w:rsid w:val="6E81624D"/>
    <w:rsid w:val="6EDB34ED"/>
    <w:rsid w:val="6F8D6C03"/>
    <w:rsid w:val="6F9C351D"/>
    <w:rsid w:val="6FA7375B"/>
    <w:rsid w:val="6FA758AC"/>
    <w:rsid w:val="6FB64B62"/>
    <w:rsid w:val="6FDB2AC1"/>
    <w:rsid w:val="6FE86250"/>
    <w:rsid w:val="70E17DF2"/>
    <w:rsid w:val="71072137"/>
    <w:rsid w:val="713701BB"/>
    <w:rsid w:val="714B1C66"/>
    <w:rsid w:val="717D0366"/>
    <w:rsid w:val="71AC1B68"/>
    <w:rsid w:val="71FC385D"/>
    <w:rsid w:val="71FE1BB5"/>
    <w:rsid w:val="722A3062"/>
    <w:rsid w:val="72640662"/>
    <w:rsid w:val="72671C77"/>
    <w:rsid w:val="72D80D10"/>
    <w:rsid w:val="72DB7464"/>
    <w:rsid w:val="73441CC9"/>
    <w:rsid w:val="73A27C4D"/>
    <w:rsid w:val="73B00FDB"/>
    <w:rsid w:val="73D862F2"/>
    <w:rsid w:val="74207C19"/>
    <w:rsid w:val="74896E6E"/>
    <w:rsid w:val="74BE54FB"/>
    <w:rsid w:val="74C06E1E"/>
    <w:rsid w:val="74FC03EF"/>
    <w:rsid w:val="750156B8"/>
    <w:rsid w:val="75205EC8"/>
    <w:rsid w:val="754F6BEF"/>
    <w:rsid w:val="755D2144"/>
    <w:rsid w:val="75A76CF1"/>
    <w:rsid w:val="75B4608A"/>
    <w:rsid w:val="761A433A"/>
    <w:rsid w:val="7621528F"/>
    <w:rsid w:val="768F3585"/>
    <w:rsid w:val="76AE2071"/>
    <w:rsid w:val="76DA3D87"/>
    <w:rsid w:val="76F357A8"/>
    <w:rsid w:val="770433FA"/>
    <w:rsid w:val="77473162"/>
    <w:rsid w:val="77C40CC4"/>
    <w:rsid w:val="78250553"/>
    <w:rsid w:val="782B6E14"/>
    <w:rsid w:val="787E163C"/>
    <w:rsid w:val="78824C95"/>
    <w:rsid w:val="78A00F00"/>
    <w:rsid w:val="78CE2353"/>
    <w:rsid w:val="78F009B8"/>
    <w:rsid w:val="79015978"/>
    <w:rsid w:val="79111522"/>
    <w:rsid w:val="79677B15"/>
    <w:rsid w:val="7A7A7AB8"/>
    <w:rsid w:val="7A9A74F5"/>
    <w:rsid w:val="7AFD6804"/>
    <w:rsid w:val="7B0E36A9"/>
    <w:rsid w:val="7B3E7442"/>
    <w:rsid w:val="7B827B66"/>
    <w:rsid w:val="7BAE260E"/>
    <w:rsid w:val="7BBB5EC9"/>
    <w:rsid w:val="7BBF22A1"/>
    <w:rsid w:val="7BEC66C9"/>
    <w:rsid w:val="7C077F40"/>
    <w:rsid w:val="7C727ADF"/>
    <w:rsid w:val="7CBC04A3"/>
    <w:rsid w:val="7D5B01BE"/>
    <w:rsid w:val="7D7F4786"/>
    <w:rsid w:val="7D982312"/>
    <w:rsid w:val="7DDD162D"/>
    <w:rsid w:val="7E8F4979"/>
    <w:rsid w:val="7E950081"/>
    <w:rsid w:val="7EA832D9"/>
    <w:rsid w:val="7EB3006D"/>
    <w:rsid w:val="7ED071FA"/>
    <w:rsid w:val="7EEB3E75"/>
    <w:rsid w:val="7F455864"/>
    <w:rsid w:val="7F67394D"/>
    <w:rsid w:val="7FCC66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exact"/>
      <w:ind w:firstLine="1456"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240" w:lineRule="auto"/>
      <w:jc w:val="center"/>
      <w:outlineLvl w:val="0"/>
    </w:pPr>
    <w:rPr>
      <w:b/>
      <w:sz w:val="36"/>
    </w:rPr>
  </w:style>
  <w:style w:type="paragraph" w:styleId="4">
    <w:name w:val="heading 2"/>
    <w:basedOn w:val="1"/>
    <w:next w:val="1"/>
    <w:link w:val="47"/>
    <w:qFormat/>
    <w:uiPriority w:val="9"/>
    <w:pPr>
      <w:keepNext/>
      <w:keepLines/>
      <w:spacing w:before="100" w:after="100" w:line="360" w:lineRule="auto"/>
      <w:outlineLvl w:val="1"/>
    </w:pPr>
    <w:rPr>
      <w:rFonts w:ascii="Arial" w:hAnsi="Arial" w:eastAsia="黑体"/>
      <w:b/>
      <w:bCs/>
      <w:sz w:val="30"/>
      <w:szCs w:val="32"/>
    </w:rPr>
  </w:style>
  <w:style w:type="paragraph" w:styleId="5">
    <w:name w:val="heading 3"/>
    <w:basedOn w:val="1"/>
    <w:next w:val="1"/>
    <w:link w:val="48"/>
    <w:qFormat/>
    <w:uiPriority w:val="0"/>
    <w:pPr>
      <w:keepNext/>
      <w:keepLines/>
      <w:spacing w:before="60" w:after="60" w:line="360" w:lineRule="auto"/>
      <w:outlineLvl w:val="2"/>
    </w:pPr>
    <w:rPr>
      <w:rFonts w:ascii="Times New Roman" w:hAnsi="Times New Roman"/>
      <w:b/>
      <w:bCs/>
      <w:sz w:val="28"/>
      <w:szCs w:val="32"/>
    </w:rPr>
  </w:style>
  <w:style w:type="paragraph" w:styleId="6">
    <w:name w:val="heading 4"/>
    <w:basedOn w:val="1"/>
    <w:next w:val="1"/>
    <w:link w:val="49"/>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7">
    <w:name w:val="heading 5"/>
    <w:basedOn w:val="1"/>
    <w:next w:val="1"/>
    <w:link w:val="5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5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52"/>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53"/>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5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38">
    <w:name w:val="Default Paragraph Font"/>
    <w:semiHidden/>
    <w:qFormat/>
    <w:uiPriority w:val="0"/>
  </w:style>
  <w:style w:type="table" w:default="1" w:styleId="36">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宋体" w:hAnsi="Courier New"/>
      <w:sz w:val="18"/>
      <w:szCs w:val="20"/>
    </w:rPr>
  </w:style>
  <w:style w:type="paragraph" w:styleId="12">
    <w:name w:val="Normal Indent"/>
    <w:basedOn w:val="1"/>
    <w:link w:val="55"/>
    <w:qFormat/>
    <w:uiPriority w:val="0"/>
    <w:pPr>
      <w:ind w:firstLine="420"/>
    </w:pPr>
    <w:rPr>
      <w:szCs w:val="20"/>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56"/>
    <w:semiHidden/>
    <w:qFormat/>
    <w:uiPriority w:val="0"/>
    <w:pPr>
      <w:jc w:val="left"/>
    </w:pPr>
  </w:style>
  <w:style w:type="paragraph" w:styleId="16">
    <w:name w:val="Body Text"/>
    <w:basedOn w:val="1"/>
    <w:next w:val="1"/>
    <w:link w:val="57"/>
    <w:qFormat/>
    <w:uiPriority w:val="0"/>
    <w:pPr>
      <w:spacing w:after="120"/>
    </w:pPr>
  </w:style>
  <w:style w:type="paragraph" w:styleId="17">
    <w:name w:val="Body Text Indent"/>
    <w:basedOn w:val="1"/>
    <w:qFormat/>
    <w:uiPriority w:val="0"/>
    <w:pPr>
      <w:spacing w:line="200" w:lineRule="exact"/>
      <w:ind w:firstLine="301"/>
    </w:pPr>
    <w:rPr>
      <w:rFonts w:ascii="宋体" w:hAnsi="Courier New"/>
      <w:spacing w:val="-4"/>
      <w:sz w:val="18"/>
      <w:szCs w:val="20"/>
    </w:rPr>
  </w:style>
  <w:style w:type="paragraph" w:styleId="18">
    <w:name w:val="Block Text"/>
    <w:basedOn w:val="1"/>
    <w:unhideWhenUsed/>
    <w:qFormat/>
    <w:uiPriority w:val="99"/>
    <w:pPr>
      <w:spacing w:after="120" w:afterLines="0" w:afterAutospacing="0"/>
      <w:ind w:left="1440" w:leftChars="700" w:rightChars="700"/>
    </w:pPr>
  </w:style>
  <w:style w:type="paragraph" w:styleId="19">
    <w:name w:val="toc 3"/>
    <w:basedOn w:val="1"/>
    <w:next w:val="1"/>
    <w:semiHidden/>
    <w:qFormat/>
    <w:uiPriority w:val="0"/>
    <w:pPr>
      <w:ind w:left="840" w:leftChars="400"/>
    </w:pPr>
  </w:style>
  <w:style w:type="paragraph" w:styleId="20">
    <w:name w:val="Plain Text"/>
    <w:basedOn w:val="1"/>
    <w:link w:val="46"/>
    <w:qFormat/>
    <w:uiPriority w:val="0"/>
    <w:rPr>
      <w:rFonts w:hint="eastAsia" w:ascii="宋体" w:hAnsi="Courier New"/>
      <w:szCs w:val="21"/>
    </w:rPr>
  </w:style>
  <w:style w:type="paragraph" w:styleId="21">
    <w:name w:val="Date"/>
    <w:basedOn w:val="1"/>
    <w:next w:val="1"/>
    <w:link w:val="58"/>
    <w:qFormat/>
    <w:uiPriority w:val="0"/>
    <w:pPr>
      <w:ind w:left="100" w:leftChars="2500"/>
    </w:pPr>
  </w:style>
  <w:style w:type="paragraph" w:styleId="22">
    <w:name w:val="Body Text Indent 2"/>
    <w:basedOn w:val="1"/>
    <w:qFormat/>
    <w:uiPriority w:val="0"/>
    <w:pPr>
      <w:spacing w:after="120" w:line="480" w:lineRule="auto"/>
      <w:ind w:left="420" w:leftChars="200"/>
    </w:pPr>
    <w:rPr>
      <w:kern w:val="0"/>
      <w:sz w:val="20"/>
    </w:rPr>
  </w:style>
  <w:style w:type="paragraph" w:styleId="23">
    <w:name w:val="Balloon Text"/>
    <w:basedOn w:val="1"/>
    <w:semiHidden/>
    <w:qFormat/>
    <w:uiPriority w:val="0"/>
    <w:rPr>
      <w:sz w:val="18"/>
      <w:szCs w:val="18"/>
    </w:rPr>
  </w:style>
  <w:style w:type="paragraph" w:styleId="24">
    <w:name w:val="header"/>
    <w:basedOn w:val="1"/>
    <w:link w:val="59"/>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5">
    <w:name w:val="toc 1"/>
    <w:basedOn w:val="1"/>
    <w:next w:val="1"/>
    <w:semiHidden/>
    <w:qFormat/>
    <w:uiPriority w:val="0"/>
    <w:pPr>
      <w:tabs>
        <w:tab w:val="right" w:leader="dot" w:pos="8820"/>
      </w:tabs>
      <w:ind w:left="540"/>
      <w:jc w:val="left"/>
    </w:pPr>
    <w:rPr>
      <w:rFonts w:ascii="宋体" w:hAnsi="宋体"/>
      <w:b/>
      <w:bCs/>
      <w:caps/>
      <w:szCs w:val="21"/>
    </w:rPr>
  </w:style>
  <w:style w:type="paragraph" w:styleId="26">
    <w:name w:val="index heading"/>
    <w:basedOn w:val="1"/>
    <w:next w:val="27"/>
    <w:qFormat/>
    <w:uiPriority w:val="0"/>
    <w:rPr>
      <w:szCs w:val="21"/>
    </w:rPr>
  </w:style>
  <w:style w:type="paragraph" w:styleId="27">
    <w:name w:val="index 1"/>
    <w:basedOn w:val="1"/>
    <w:next w:val="1"/>
    <w:semiHidden/>
    <w:qFormat/>
    <w:uiPriority w:val="0"/>
    <w:pPr>
      <w:spacing w:line="360" w:lineRule="auto"/>
    </w:pPr>
    <w:rPr>
      <w:rFonts w:ascii="宋体" w:hAnsi="宋体"/>
      <w:bCs/>
      <w:szCs w:val="21"/>
    </w:rPr>
  </w:style>
  <w:style w:type="paragraph" w:styleId="28">
    <w:name w:val="Body Text Indent 3"/>
    <w:basedOn w:val="1"/>
    <w:link w:val="60"/>
    <w:qFormat/>
    <w:uiPriority w:val="0"/>
    <w:pPr>
      <w:spacing w:after="120"/>
      <w:ind w:left="420" w:leftChars="200"/>
    </w:pPr>
    <w:rPr>
      <w:sz w:val="16"/>
      <w:szCs w:val="16"/>
    </w:rPr>
  </w:style>
  <w:style w:type="paragraph" w:styleId="29">
    <w:name w:val="toc 2"/>
    <w:basedOn w:val="1"/>
    <w:next w:val="1"/>
    <w:semiHidden/>
    <w:qFormat/>
    <w:uiPriority w:val="0"/>
    <w:pPr>
      <w:tabs>
        <w:tab w:val="right" w:leader="dot" w:pos="8280"/>
      </w:tabs>
      <w:spacing w:line="320" w:lineRule="exact"/>
      <w:ind w:left="1080"/>
      <w:jc w:val="left"/>
    </w:pPr>
    <w:rPr>
      <w:rFonts w:ascii="宋体" w:hAnsi="宋体"/>
      <w:smallCaps/>
      <w:szCs w:val="21"/>
    </w:rPr>
  </w:style>
  <w:style w:type="paragraph" w:styleId="30">
    <w:name w:val="Body Text 2"/>
    <w:basedOn w:val="1"/>
    <w:qFormat/>
    <w:uiPriority w:val="0"/>
    <w:pPr>
      <w:spacing w:after="120" w:line="480" w:lineRule="auto"/>
    </w:pPr>
  </w:style>
  <w:style w:type="paragraph" w:styleId="31">
    <w:name w:val="HTML Preformatted"/>
    <w:basedOn w:val="1"/>
    <w:link w:val="6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annotation subject"/>
    <w:basedOn w:val="15"/>
    <w:next w:val="15"/>
    <w:semiHidden/>
    <w:qFormat/>
    <w:uiPriority w:val="0"/>
    <w:rPr>
      <w:b/>
      <w:bCs/>
    </w:rPr>
  </w:style>
  <w:style w:type="paragraph" w:styleId="34">
    <w:name w:val="Body Text First Indent"/>
    <w:basedOn w:val="16"/>
    <w:qFormat/>
    <w:uiPriority w:val="0"/>
    <w:pPr>
      <w:ind w:firstLine="420" w:firstLineChars="100"/>
    </w:pPr>
  </w:style>
  <w:style w:type="paragraph" w:styleId="35">
    <w:name w:val="Body Text First Indent 2"/>
    <w:basedOn w:val="17"/>
    <w:qFormat/>
    <w:uiPriority w:val="0"/>
    <w:pPr>
      <w:widowControl/>
      <w:spacing w:after="0" w:line="360" w:lineRule="auto"/>
      <w:ind w:left="-358" w:leftChars="-128" w:firstLine="560" w:firstLineChars="200"/>
      <w:jc w:val="left"/>
    </w:pPr>
    <w:rPr>
      <w:sz w:val="28"/>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575656"/>
      <w:u w:val="none"/>
    </w:rPr>
  </w:style>
  <w:style w:type="character" w:styleId="42">
    <w:name w:val="Emphasis"/>
    <w:basedOn w:val="38"/>
    <w:qFormat/>
    <w:uiPriority w:val="0"/>
    <w:rPr>
      <w:i/>
    </w:rPr>
  </w:style>
  <w:style w:type="character" w:styleId="43">
    <w:name w:val="Hyperlink"/>
    <w:qFormat/>
    <w:uiPriority w:val="0"/>
    <w:rPr>
      <w:color w:val="575656"/>
      <w:u w:val="none"/>
    </w:rPr>
  </w:style>
  <w:style w:type="character" w:styleId="44">
    <w:name w:val="annotation reference"/>
    <w:semiHidden/>
    <w:qFormat/>
    <w:uiPriority w:val="0"/>
    <w:rPr>
      <w:sz w:val="21"/>
      <w:szCs w:val="21"/>
    </w:rPr>
  </w:style>
  <w:style w:type="character" w:styleId="45">
    <w:name w:val="HTML Sample"/>
    <w:basedOn w:val="38"/>
    <w:qFormat/>
    <w:uiPriority w:val="0"/>
    <w:rPr>
      <w:rFonts w:ascii="Courier New" w:hAnsi="Courier New"/>
    </w:rPr>
  </w:style>
  <w:style w:type="character" w:customStyle="1" w:styleId="46">
    <w:name w:val="纯文本 Char"/>
    <w:link w:val="20"/>
    <w:qFormat/>
    <w:uiPriority w:val="0"/>
    <w:rPr>
      <w:rFonts w:hint="eastAsia" w:ascii="宋体" w:hAnsi="Courier New" w:eastAsia="宋体" w:cs="Courier New"/>
      <w:kern w:val="2"/>
      <w:sz w:val="21"/>
      <w:szCs w:val="21"/>
    </w:rPr>
  </w:style>
  <w:style w:type="character" w:customStyle="1" w:styleId="47">
    <w:name w:val="标题 2 Char"/>
    <w:link w:val="4"/>
    <w:qFormat/>
    <w:uiPriority w:val="9"/>
    <w:rPr>
      <w:rFonts w:ascii="Arial" w:hAnsi="Arial" w:eastAsia="黑体"/>
      <w:b/>
      <w:bCs/>
      <w:kern w:val="2"/>
      <w:sz w:val="30"/>
      <w:szCs w:val="32"/>
    </w:rPr>
  </w:style>
  <w:style w:type="character" w:customStyle="1" w:styleId="48">
    <w:name w:val="标题 3 Char"/>
    <w:link w:val="5"/>
    <w:semiHidden/>
    <w:qFormat/>
    <w:uiPriority w:val="0"/>
    <w:rPr>
      <w:rFonts w:ascii="Times New Roman" w:hAnsi="Times New Roman" w:eastAsia="宋体"/>
      <w:b/>
      <w:bCs/>
      <w:kern w:val="2"/>
      <w:sz w:val="28"/>
      <w:szCs w:val="32"/>
    </w:rPr>
  </w:style>
  <w:style w:type="character" w:customStyle="1" w:styleId="49">
    <w:name w:val="标题 4 Char"/>
    <w:link w:val="6"/>
    <w:qFormat/>
    <w:uiPriority w:val="0"/>
    <w:rPr>
      <w:rFonts w:ascii="Arial" w:hAnsi="Arial" w:eastAsia="黑体"/>
      <w:b/>
      <w:bCs/>
      <w:kern w:val="2"/>
      <w:sz w:val="28"/>
      <w:szCs w:val="28"/>
    </w:rPr>
  </w:style>
  <w:style w:type="character" w:customStyle="1" w:styleId="50">
    <w:name w:val="标题 5 Char"/>
    <w:link w:val="7"/>
    <w:qFormat/>
    <w:uiPriority w:val="0"/>
    <w:rPr>
      <w:b/>
      <w:bCs/>
      <w:kern w:val="2"/>
      <w:sz w:val="28"/>
      <w:szCs w:val="28"/>
    </w:rPr>
  </w:style>
  <w:style w:type="character" w:customStyle="1" w:styleId="51">
    <w:name w:val="标题 6 Char"/>
    <w:link w:val="8"/>
    <w:qFormat/>
    <w:uiPriority w:val="0"/>
    <w:rPr>
      <w:rFonts w:ascii="Arial" w:hAnsi="Arial" w:eastAsia="黑体"/>
      <w:b/>
      <w:bCs/>
      <w:kern w:val="2"/>
      <w:sz w:val="24"/>
      <w:szCs w:val="24"/>
    </w:rPr>
  </w:style>
  <w:style w:type="character" w:customStyle="1" w:styleId="52">
    <w:name w:val="标题 7 Char"/>
    <w:link w:val="9"/>
    <w:qFormat/>
    <w:uiPriority w:val="0"/>
    <w:rPr>
      <w:b/>
      <w:bCs/>
      <w:kern w:val="2"/>
      <w:sz w:val="24"/>
      <w:szCs w:val="24"/>
    </w:rPr>
  </w:style>
  <w:style w:type="character" w:customStyle="1" w:styleId="53">
    <w:name w:val="标题 8 Char"/>
    <w:link w:val="10"/>
    <w:qFormat/>
    <w:uiPriority w:val="0"/>
    <w:rPr>
      <w:rFonts w:ascii="Arial" w:hAnsi="Arial" w:eastAsia="黑体"/>
      <w:kern w:val="2"/>
      <w:sz w:val="24"/>
      <w:szCs w:val="24"/>
    </w:rPr>
  </w:style>
  <w:style w:type="character" w:customStyle="1" w:styleId="54">
    <w:name w:val="标题 9 Char"/>
    <w:link w:val="11"/>
    <w:qFormat/>
    <w:uiPriority w:val="0"/>
    <w:rPr>
      <w:rFonts w:ascii="Arial" w:hAnsi="Arial" w:eastAsia="黑体"/>
      <w:kern w:val="2"/>
      <w:sz w:val="21"/>
      <w:szCs w:val="21"/>
    </w:rPr>
  </w:style>
  <w:style w:type="character" w:customStyle="1" w:styleId="55">
    <w:name w:val="正文缩进 Char"/>
    <w:link w:val="12"/>
    <w:qFormat/>
    <w:uiPriority w:val="0"/>
    <w:rPr>
      <w:rFonts w:eastAsia="宋体"/>
      <w:kern w:val="2"/>
      <w:sz w:val="21"/>
      <w:lang w:val="en-US" w:eastAsia="zh-CN" w:bidi="ar-SA"/>
    </w:rPr>
  </w:style>
  <w:style w:type="character" w:customStyle="1" w:styleId="56">
    <w:name w:val="批注文字 Char"/>
    <w:link w:val="15"/>
    <w:qFormat/>
    <w:uiPriority w:val="0"/>
    <w:rPr>
      <w:rFonts w:eastAsia="宋体"/>
      <w:kern w:val="2"/>
      <w:sz w:val="21"/>
      <w:szCs w:val="24"/>
      <w:lang w:val="en-US" w:eastAsia="zh-CN" w:bidi="ar-SA"/>
    </w:rPr>
  </w:style>
  <w:style w:type="character" w:customStyle="1" w:styleId="57">
    <w:name w:val="正文文本 Char"/>
    <w:link w:val="16"/>
    <w:qFormat/>
    <w:uiPriority w:val="0"/>
    <w:rPr>
      <w:kern w:val="2"/>
      <w:sz w:val="21"/>
      <w:szCs w:val="24"/>
    </w:rPr>
  </w:style>
  <w:style w:type="character" w:customStyle="1" w:styleId="58">
    <w:name w:val="日期 Char"/>
    <w:link w:val="21"/>
    <w:semiHidden/>
    <w:qFormat/>
    <w:locked/>
    <w:uiPriority w:val="0"/>
    <w:rPr>
      <w:rFonts w:eastAsia="宋体"/>
      <w:kern w:val="2"/>
      <w:sz w:val="21"/>
      <w:szCs w:val="24"/>
      <w:lang w:val="en-US" w:eastAsia="zh-CN" w:bidi="ar-SA"/>
    </w:rPr>
  </w:style>
  <w:style w:type="character" w:customStyle="1" w:styleId="59">
    <w:name w:val="页眉 Char"/>
    <w:link w:val="24"/>
    <w:qFormat/>
    <w:uiPriority w:val="0"/>
    <w:rPr>
      <w:rFonts w:ascii="宋体" w:hAnsi="Courier New" w:eastAsia="宋体"/>
      <w:kern w:val="2"/>
      <w:sz w:val="18"/>
      <w:lang w:val="en-US" w:eastAsia="zh-CN" w:bidi="ar-SA"/>
    </w:rPr>
  </w:style>
  <w:style w:type="character" w:customStyle="1" w:styleId="60">
    <w:name w:val="正文文本缩进 3 Char"/>
    <w:link w:val="28"/>
    <w:qFormat/>
    <w:uiPriority w:val="0"/>
    <w:rPr>
      <w:rFonts w:eastAsia="宋体"/>
      <w:kern w:val="2"/>
      <w:sz w:val="16"/>
      <w:szCs w:val="16"/>
      <w:lang w:val="en-US" w:eastAsia="zh-CN" w:bidi="ar-SA"/>
    </w:rPr>
  </w:style>
  <w:style w:type="character" w:customStyle="1" w:styleId="61">
    <w:name w:val="HTML 预设格式 Char"/>
    <w:link w:val="31"/>
    <w:qFormat/>
    <w:uiPriority w:val="0"/>
    <w:rPr>
      <w:rFonts w:ascii="黑体" w:hAnsi="Courier New" w:eastAsia="黑体" w:cs="Courier New"/>
      <w:lang w:val="en-US" w:eastAsia="zh-CN" w:bidi="ar-SA"/>
    </w:rPr>
  </w:style>
  <w:style w:type="paragraph" w:customStyle="1" w:styleId="62">
    <w:name w:val="TOC 标题2"/>
    <w:next w:val="1"/>
    <w:qFormat/>
    <w:uiPriority w:val="0"/>
    <w:pPr>
      <w:wordWrap w:val="0"/>
    </w:pPr>
    <w:rPr>
      <w:rFonts w:ascii="Times New Roman" w:hAnsi="Times New Roman" w:eastAsia="宋体" w:cs="Times New Roman"/>
      <w:sz w:val="32"/>
      <w:szCs w:val="22"/>
      <w:lang w:val="en-US" w:eastAsia="zh-CN" w:bidi="ar-SA"/>
    </w:rPr>
  </w:style>
  <w:style w:type="paragraph" w:customStyle="1" w:styleId="63">
    <w:name w:val="目录 42"/>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64">
    <w:name w:val="表格文字"/>
    <w:basedOn w:val="1"/>
    <w:qFormat/>
    <w:uiPriority w:val="0"/>
    <w:pPr>
      <w:adjustRightInd w:val="0"/>
      <w:spacing w:line="420" w:lineRule="atLeast"/>
      <w:jc w:val="left"/>
      <w:textAlignment w:val="baseline"/>
    </w:pPr>
    <w:rPr>
      <w:kern w:val="0"/>
      <w:szCs w:val="20"/>
    </w:rPr>
  </w:style>
  <w:style w:type="character" w:customStyle="1" w:styleId="65">
    <w:name w:val=" Char Char18"/>
    <w:qFormat/>
    <w:locked/>
    <w:uiPriority w:val="0"/>
    <w:rPr>
      <w:rFonts w:ascii="宋体" w:hAnsi="Courier New" w:eastAsia="宋体"/>
      <w:kern w:val="2"/>
      <w:sz w:val="21"/>
      <w:lang w:val="en-US" w:eastAsia="zh-CN" w:bidi="ar-SA"/>
    </w:rPr>
  </w:style>
  <w:style w:type="character" w:customStyle="1" w:styleId="66">
    <w:name w:val="正文文本 Char1"/>
    <w:qFormat/>
    <w:uiPriority w:val="0"/>
    <w:rPr>
      <w:kern w:val="2"/>
      <w:sz w:val="21"/>
      <w:szCs w:val="24"/>
    </w:rPr>
  </w:style>
  <w:style w:type="character" w:customStyle="1" w:styleId="67">
    <w:name w:val=" Char Char"/>
    <w:qFormat/>
    <w:uiPriority w:val="0"/>
    <w:rPr>
      <w:rFonts w:eastAsia="宋体"/>
      <w:kern w:val="2"/>
      <w:sz w:val="21"/>
      <w:szCs w:val="24"/>
      <w:lang w:val="en-US" w:eastAsia="zh-CN" w:bidi="ar-SA"/>
    </w:rPr>
  </w:style>
  <w:style w:type="character" w:customStyle="1" w:styleId="68">
    <w:name w:val=" Char Char2"/>
    <w:qFormat/>
    <w:uiPriority w:val="0"/>
    <w:rPr>
      <w:rFonts w:ascii="宋体" w:hAnsi="Courier New" w:eastAsia="宋体"/>
      <w:kern w:val="2"/>
      <w:sz w:val="21"/>
      <w:lang w:val="en-US" w:eastAsia="zh-CN" w:bidi="ar-SA"/>
    </w:rPr>
  </w:style>
  <w:style w:type="character" w:customStyle="1" w:styleId="69">
    <w:name w:val="apple-converted-space"/>
    <w:basedOn w:val="38"/>
    <w:qFormat/>
    <w:uiPriority w:val="0"/>
  </w:style>
  <w:style w:type="character" w:customStyle="1" w:styleId="70">
    <w:name w:val="105v1"/>
    <w:qFormat/>
    <w:uiPriority w:val="0"/>
    <w:rPr>
      <w:rFonts w:hint="default" w:ascii="黑体" w:hAnsi="黑体"/>
      <w:sz w:val="21"/>
      <w:szCs w:val="21"/>
    </w:rPr>
  </w:style>
  <w:style w:type="character" w:customStyle="1" w:styleId="71">
    <w:name w:val="普通文字 Char Char2"/>
    <w:qFormat/>
    <w:uiPriority w:val="0"/>
    <w:rPr>
      <w:rFonts w:ascii="宋体" w:hAnsi="Courier New" w:eastAsia="宋体"/>
      <w:kern w:val="2"/>
      <w:sz w:val="21"/>
      <w:lang w:val="en-US" w:eastAsia="zh-CN" w:bidi="ar-SA"/>
    </w:rPr>
  </w:style>
  <w:style w:type="character" w:customStyle="1" w:styleId="72">
    <w:name w:val=" Char Char21"/>
    <w:qFormat/>
    <w:uiPriority w:val="0"/>
    <w:rPr>
      <w:rFonts w:eastAsia="宋体"/>
      <w:kern w:val="2"/>
      <w:sz w:val="21"/>
      <w:lang w:val="en-US" w:eastAsia="zh-CN" w:bidi="ar-SA"/>
    </w:rPr>
  </w:style>
  <w:style w:type="character" w:customStyle="1" w:styleId="73">
    <w:name w:val="纯文本 Char1"/>
    <w:qFormat/>
    <w:locked/>
    <w:uiPriority w:val="0"/>
    <w:rPr>
      <w:rFonts w:ascii="宋体" w:hAnsi="Courier New" w:eastAsia="宋体"/>
      <w:kern w:val="2"/>
      <w:sz w:val="21"/>
      <w:lang w:val="en-US" w:eastAsia="zh-CN" w:bidi="ar-SA"/>
    </w:rPr>
  </w:style>
  <w:style w:type="character" w:customStyle="1" w:styleId="74">
    <w:name w:val="htd0"/>
    <w:basedOn w:val="38"/>
    <w:qFormat/>
    <w:uiPriority w:val="0"/>
  </w:style>
  <w:style w:type="paragraph" w:customStyle="1" w:styleId="75">
    <w:name w:val=" Char2 Char Char Char"/>
    <w:basedOn w:val="1"/>
    <w:qFormat/>
    <w:uiPriority w:val="0"/>
    <w:rPr>
      <w:rFonts w:ascii="Tahoma" w:hAnsi="Tahoma"/>
      <w:sz w:val="24"/>
      <w:szCs w:val="20"/>
    </w:rPr>
  </w:style>
  <w:style w:type="paragraph" w:customStyle="1" w:styleId="76">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 Char Char Char Char"/>
    <w:basedOn w:val="1"/>
    <w:qFormat/>
    <w:uiPriority w:val="0"/>
    <w:rPr>
      <w:rFonts w:ascii="Tahoma" w:hAnsi="Tahoma"/>
      <w:sz w:val="24"/>
      <w:szCs w:val="20"/>
    </w:rPr>
  </w:style>
  <w:style w:type="paragraph" w:customStyle="1" w:styleId="78">
    <w:name w:val="样式1"/>
    <w:basedOn w:val="1"/>
    <w:qFormat/>
    <w:uiPriority w:val="0"/>
    <w:pPr>
      <w:numPr>
        <w:ilvl w:val="0"/>
        <w:numId w:val="1"/>
      </w:numPr>
      <w:adjustRightInd w:val="0"/>
    </w:pPr>
    <w:rPr>
      <w:rFonts w:ascii="宋体" w:hAnsi="宋体"/>
      <w:kern w:val="0"/>
      <w:szCs w:val="21"/>
    </w:rPr>
  </w:style>
  <w:style w:type="paragraph" w:customStyle="1" w:styleId="79">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0">
    <w:name w:val="Char Char Char Char"/>
    <w:basedOn w:val="1"/>
    <w:qFormat/>
    <w:uiPriority w:val="0"/>
    <w:rPr>
      <w:rFonts w:ascii="Tahoma" w:hAnsi="Tahoma"/>
      <w:sz w:val="24"/>
      <w:szCs w:val="20"/>
    </w:rPr>
  </w:style>
  <w:style w:type="paragraph" w:customStyle="1" w:styleId="81">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_Style 76"/>
    <w:basedOn w:val="1"/>
    <w:qFormat/>
    <w:uiPriority w:val="0"/>
    <w:pPr>
      <w:tabs>
        <w:tab w:val="left" w:pos="360"/>
      </w:tabs>
      <w:spacing w:line="360" w:lineRule="auto"/>
      <w:ind w:left="482" w:firstLine="200" w:firstLineChars="200"/>
    </w:pPr>
    <w:rPr>
      <w:rFonts w:ascii="宋体"/>
      <w:sz w:val="24"/>
    </w:rPr>
  </w:style>
  <w:style w:type="paragraph" w:customStyle="1" w:styleId="83">
    <w:name w:val="图"/>
    <w:basedOn w:val="1"/>
    <w:qFormat/>
    <w:uiPriority w:val="0"/>
    <w:pPr>
      <w:keepNext/>
      <w:adjustRightInd w:val="0"/>
      <w:spacing w:before="60" w:after="60" w:line="300" w:lineRule="auto"/>
      <w:jc w:val="center"/>
      <w:textAlignment w:val="center"/>
    </w:pPr>
    <w:rPr>
      <w:spacing w:val="20"/>
      <w:kern w:val="0"/>
      <w:sz w:val="24"/>
    </w:rPr>
  </w:style>
  <w:style w:type="paragraph" w:customStyle="1" w:styleId="8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5">
    <w:name w:val="List Paragraph1"/>
    <w:qFormat/>
    <w:uiPriority w:val="0"/>
    <w:pPr>
      <w:ind w:firstLine="420" w:firstLineChars="200"/>
    </w:pPr>
    <w:rPr>
      <w:rFonts w:ascii="Times New Roman" w:hAnsi="Times New Roman" w:eastAsia="宋体" w:cs="Times New Roman"/>
      <w:lang w:val="en-US" w:eastAsia="zh-CN" w:bidi="ar-SA"/>
    </w:rPr>
  </w:style>
  <w:style w:type="paragraph" w:customStyle="1" w:styleId="86">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WPSOffice手动目录 1"/>
    <w:qFormat/>
    <w:uiPriority w:val="0"/>
    <w:pPr>
      <w:ind w:leftChars="0"/>
    </w:pPr>
    <w:rPr>
      <w:rFonts w:ascii="Times New Roman" w:hAnsi="Times New Roman" w:eastAsia="宋体" w:cs="Times New Roman"/>
      <w:sz w:val="20"/>
      <w:szCs w:val="20"/>
    </w:rPr>
  </w:style>
  <w:style w:type="paragraph" w:customStyle="1" w:styleId="8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9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0"/>
    </w:rPr>
  </w:style>
  <w:style w:type="paragraph" w:customStyle="1" w:styleId="91">
    <w:name w:val="List Paragraph"/>
    <w:basedOn w:val="1"/>
    <w:qFormat/>
    <w:uiPriority w:val="0"/>
    <w:pPr>
      <w:spacing w:line="360" w:lineRule="auto"/>
      <w:ind w:firstLine="420" w:firstLineChars="200"/>
    </w:pPr>
    <w:rPr>
      <w:rFonts w:ascii="宋体" w:hAnsi="宋体" w:cs="宋体"/>
      <w:sz w:val="24"/>
    </w:rPr>
  </w:style>
  <w:style w:type="paragraph" w:customStyle="1" w:styleId="92">
    <w:name w:val="_Style 5"/>
    <w:basedOn w:val="1"/>
    <w:qFormat/>
    <w:uiPriority w:val="0"/>
    <w:pPr>
      <w:tabs>
        <w:tab w:val="left" w:pos="360"/>
      </w:tabs>
      <w:spacing w:line="360" w:lineRule="auto"/>
      <w:ind w:left="482" w:firstLine="200" w:firstLineChars="200"/>
    </w:pPr>
  </w:style>
  <w:style w:type="paragraph" w:customStyle="1" w:styleId="93">
    <w:name w:val="2"/>
    <w:basedOn w:val="1"/>
    <w:next w:val="20"/>
    <w:qFormat/>
    <w:uiPriority w:val="0"/>
    <w:rPr>
      <w:rFonts w:ascii="宋体" w:hAnsi="Courier New"/>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5">
    <w:name w:val="1"/>
    <w:basedOn w:val="1"/>
    <w:qFormat/>
    <w:uiPriority w:val="0"/>
    <w:pPr>
      <w:widowControl/>
      <w:spacing w:before="100" w:beforeAutospacing="1" w:after="100" w:afterAutospacing="1"/>
      <w:jc w:val="left"/>
    </w:pPr>
    <w:rPr>
      <w:rFonts w:ascii="宋体" w:hAnsi="宋体" w:cs="宋体"/>
      <w:kern w:val="0"/>
      <w:sz w:val="24"/>
    </w:rPr>
  </w:style>
  <w:style w:type="paragraph" w:styleId="96">
    <w:name w:val="No Spacing"/>
    <w:qFormat/>
    <w:uiPriority w:val="0"/>
    <w:pPr>
      <w:widowControl w:val="0"/>
      <w:adjustRightInd w:val="0"/>
      <w:snapToGrid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7">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8">
    <w:name w:val="列出段落1"/>
    <w:basedOn w:val="1"/>
    <w:qFormat/>
    <w:uiPriority w:val="0"/>
    <w:pPr>
      <w:ind w:firstLine="420" w:firstLineChars="200"/>
    </w:pPr>
  </w:style>
  <w:style w:type="paragraph" w:customStyle="1" w:styleId="99">
    <w:name w:val=" Char"/>
    <w:basedOn w:val="1"/>
    <w:qFormat/>
    <w:uiPriority w:val="0"/>
    <w:pPr>
      <w:widowControl/>
      <w:spacing w:after="160" w:line="240" w:lineRule="exact"/>
      <w:jc w:val="left"/>
    </w:pPr>
    <w:rPr>
      <w:rFonts w:ascii="Verdana" w:hAnsi="Verdana"/>
      <w:kern w:val="0"/>
      <w:szCs w:val="20"/>
      <w:lang w:eastAsia="en-US"/>
    </w:rPr>
  </w:style>
  <w:style w:type="paragraph" w:customStyle="1" w:styleId="100">
    <w:name w:val="题注5"/>
    <w:basedOn w:val="1"/>
    <w:next w:val="13"/>
    <w:qFormat/>
    <w:uiPriority w:val="0"/>
    <w:pPr>
      <w:jc w:val="center"/>
    </w:pPr>
    <w:rPr>
      <w:b/>
      <w:bCs/>
      <w:color w:val="000000"/>
      <w:sz w:val="24"/>
    </w:rPr>
  </w:style>
  <w:style w:type="paragraph" w:customStyle="1" w:styleId="101">
    <w:name w:val="Char Char"/>
    <w:basedOn w:val="1"/>
    <w:qFormat/>
    <w:uiPriority w:val="0"/>
    <w:rPr>
      <w:rFonts w:ascii="仿宋_GB2312" w:eastAsia="仿宋_GB2312"/>
      <w:b/>
      <w:sz w:val="32"/>
      <w:szCs w:val="32"/>
    </w:rPr>
  </w:style>
  <w:style w:type="paragraph" w:customStyle="1" w:styleId="102">
    <w:name w:val="Table Paragraph"/>
    <w:basedOn w:val="1"/>
    <w:qFormat/>
    <w:uiPriority w:val="1"/>
  </w:style>
  <w:style w:type="character" w:customStyle="1" w:styleId="10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21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广西中意招标造价咨询有限公司</Company>
  <Pages>91</Pages>
  <Words>52262</Words>
  <Characters>54460</Characters>
  <Lines>393</Lines>
  <Paragraphs>110</Paragraphs>
  <TotalTime>104</TotalTime>
  <ScaleCrop>false</ScaleCrop>
  <LinksUpToDate>false</LinksUpToDate>
  <CharactersWithSpaces>61467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2022-07-19T07:27:00Z</dcterms:created>
  <dc:creator>admin</dc:creator>
  <cp:lastModifiedBy>Administrator</cp:lastModifiedBy>
  <cp:lastPrinted>2023-03-07T02:39:00Z</cp:lastPrinted>
  <dcterms:modified xsi:type="dcterms:W3CDTF">2025-12-29T03:55:31Z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9C072EC4CE81447299B5945DE688BE3B_13</vt:lpwstr>
  </property>
  <property fmtid="{D5CDD505-2E9C-101B-9397-08002B2CF9AE}" pid="4" name="KSOTemplateDocerSaveRecord">
    <vt:lpwstr>eyJoZGlkIjoiMGViYzY0M2VmMTBiY2RhMDVkMTBjMTI0YjQ3OTRiNWQiLCJ1c2VySWQiOiI2MjM0NzgzODcifQ==</vt:lpwstr>
  </property>
</Properties>
</file>