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E2C28">
      <w:pPr>
        <w:jc w:val="center"/>
        <w:rPr>
          <w:rFonts w:hint="eastAsia" w:ascii="宋体" w:hAnsi="宋体" w:eastAsia="宋体" w:cs="宋体"/>
          <w:b/>
          <w:sz w:val="84"/>
          <w:lang w:eastAsia="zh-CN"/>
        </w:rPr>
      </w:pPr>
      <w:r>
        <w:rPr>
          <w:rFonts w:hint="eastAsia" w:ascii="宋体" w:hAnsi="宋体" w:cs="宋体"/>
          <w:b/>
          <w:bCs/>
          <w:sz w:val="52"/>
          <w:szCs w:val="52"/>
          <w:lang w:eastAsia="zh-CN"/>
        </w:rPr>
        <w:t>广西丰泰工程项目管理有限公司</w:t>
      </w:r>
    </w:p>
    <w:p w14:paraId="40714C93">
      <w:pPr>
        <w:jc w:val="center"/>
        <w:rPr>
          <w:rFonts w:hint="eastAsia" w:ascii="宋体" w:hAnsi="宋体" w:cs="宋体"/>
          <w:b/>
          <w:sz w:val="84"/>
        </w:rPr>
      </w:pPr>
    </w:p>
    <w:p w14:paraId="1E225575">
      <w:pPr>
        <w:jc w:val="center"/>
        <w:rPr>
          <w:rFonts w:hint="eastAsia" w:ascii="宋体" w:hAnsi="宋体" w:cs="宋体"/>
          <w:b/>
          <w:bCs/>
          <w:sz w:val="48"/>
          <w:szCs w:val="48"/>
        </w:rPr>
      </w:pPr>
      <w:r>
        <w:rPr>
          <w:rFonts w:hint="eastAsia" w:ascii="宋体" w:hAnsi="宋体" w:cs="宋体"/>
          <w:b/>
          <w:sz w:val="84"/>
        </w:rPr>
        <w:t>竞争性谈判文件</w:t>
      </w:r>
    </w:p>
    <w:p w14:paraId="5A017766">
      <w:pPr>
        <w:tabs>
          <w:tab w:val="left" w:pos="0"/>
        </w:tabs>
        <w:jc w:val="center"/>
        <w:rPr>
          <w:rFonts w:hint="eastAsia" w:ascii="宋体" w:hAnsi="宋体" w:cs="宋体"/>
          <w:b/>
          <w:bCs/>
          <w:sz w:val="30"/>
          <w:szCs w:val="30"/>
        </w:rPr>
      </w:pPr>
      <w:r>
        <w:rPr>
          <w:rFonts w:hint="eastAsia" w:ascii="宋体" w:hAnsi="宋体" w:cs="宋体"/>
          <w:b/>
          <w:bCs/>
          <w:sz w:val="30"/>
          <w:szCs w:val="30"/>
          <w:lang w:bidi="ar"/>
        </w:rPr>
        <w:t>（全流程电子化评标）</w:t>
      </w:r>
    </w:p>
    <w:p w14:paraId="14DFEC59">
      <w:pPr>
        <w:rPr>
          <w:rFonts w:hint="eastAsia" w:ascii="宋体" w:hAnsi="宋体" w:cs="宋体"/>
          <w:b/>
          <w:bCs/>
          <w:sz w:val="32"/>
        </w:rPr>
      </w:pPr>
      <w:r>
        <w:rPr>
          <w:rFonts w:hint="eastAsia" w:ascii="宋体" w:hAnsi="宋体" w:cs="宋体"/>
          <w:b/>
          <w:bCs/>
          <w:sz w:val="32"/>
        </w:rPr>
        <w:t xml:space="preserve">              </w:t>
      </w:r>
    </w:p>
    <w:p w14:paraId="19F642D3">
      <w:pPr>
        <w:rPr>
          <w:rFonts w:hint="eastAsia" w:ascii="宋体" w:hAnsi="宋体" w:cs="宋体"/>
          <w:b/>
          <w:bCs/>
          <w:sz w:val="32"/>
        </w:rPr>
      </w:pPr>
    </w:p>
    <w:p w14:paraId="75F148CE">
      <w:pPr>
        <w:rPr>
          <w:rFonts w:hint="eastAsia" w:ascii="宋体" w:hAnsi="宋体" w:cs="宋体"/>
          <w:b/>
          <w:bCs/>
          <w:sz w:val="32"/>
        </w:rPr>
      </w:pPr>
    </w:p>
    <w:p w14:paraId="102D7D37">
      <w:pPr>
        <w:rPr>
          <w:rFonts w:hint="eastAsia" w:ascii="宋体" w:hAnsi="宋体" w:cs="宋体"/>
          <w:b/>
          <w:bCs/>
          <w:sz w:val="32"/>
        </w:rPr>
      </w:pPr>
    </w:p>
    <w:p w14:paraId="07337004">
      <w:pPr>
        <w:rPr>
          <w:rFonts w:hint="eastAsia" w:ascii="宋体" w:hAnsi="宋体" w:cs="宋体"/>
          <w:b/>
          <w:bCs/>
          <w:sz w:val="32"/>
        </w:rPr>
      </w:pPr>
    </w:p>
    <w:p w14:paraId="087A547F">
      <w:pPr>
        <w:rPr>
          <w:rFonts w:hint="eastAsia" w:ascii="宋体" w:hAnsi="宋体" w:cs="宋体"/>
          <w:b/>
          <w:bCs/>
          <w:sz w:val="32"/>
        </w:rPr>
      </w:pPr>
    </w:p>
    <w:p w14:paraId="0BC636C1">
      <w:pPr>
        <w:rPr>
          <w:rFonts w:hint="eastAsia" w:ascii="宋体" w:hAnsi="宋体" w:cs="宋体"/>
          <w:b/>
          <w:bCs/>
          <w:sz w:val="32"/>
        </w:rPr>
      </w:pPr>
    </w:p>
    <w:p w14:paraId="019BFB46">
      <w:pPr>
        <w:spacing w:line="360" w:lineRule="auto"/>
        <w:ind w:firstLine="643" w:firstLineChars="200"/>
        <w:rPr>
          <w:rFonts w:hint="eastAsia" w:ascii="宋体" w:hAnsi="宋体" w:eastAsia="宋体" w:cs="宋体"/>
          <w:b/>
          <w:bCs/>
          <w:sz w:val="32"/>
          <w:szCs w:val="32"/>
          <w:lang w:eastAsia="zh-CN"/>
        </w:rPr>
      </w:pPr>
      <w:r>
        <w:rPr>
          <w:rFonts w:hint="eastAsia" w:ascii="宋体" w:hAnsi="宋体" w:cs="宋体"/>
          <w:b/>
          <w:bCs/>
          <w:sz w:val="32"/>
          <w:szCs w:val="32"/>
        </w:rPr>
        <w:t>项目名称：</w:t>
      </w:r>
      <w:r>
        <w:rPr>
          <w:rFonts w:hint="eastAsia" w:ascii="宋体" w:hAnsi="宋体" w:cs="宋体"/>
          <w:b/>
          <w:bCs/>
          <w:sz w:val="32"/>
          <w:szCs w:val="32"/>
          <w:lang w:eastAsia="zh-CN"/>
        </w:rPr>
        <w:t>电子支气管内窥镜采购项目</w:t>
      </w:r>
    </w:p>
    <w:p w14:paraId="33358975">
      <w:pPr>
        <w:spacing w:line="360" w:lineRule="auto"/>
        <w:ind w:firstLine="643" w:firstLineChars="200"/>
        <w:rPr>
          <w:rFonts w:hint="eastAsia" w:ascii="宋体" w:hAnsi="宋体" w:eastAsia="宋体" w:cs="宋体"/>
          <w:b/>
          <w:bCs/>
          <w:color w:val="FF0000"/>
          <w:sz w:val="32"/>
          <w:szCs w:val="32"/>
          <w:lang w:eastAsia="zh-CN"/>
        </w:rPr>
      </w:pPr>
      <w:r>
        <w:rPr>
          <w:rFonts w:hint="eastAsia" w:ascii="宋体" w:hAnsi="宋体" w:cs="宋体"/>
          <w:b/>
          <w:bCs/>
          <w:sz w:val="32"/>
          <w:szCs w:val="32"/>
        </w:rPr>
        <w:t>项目</w:t>
      </w:r>
      <w:r>
        <w:rPr>
          <w:rFonts w:hint="eastAsia" w:ascii="宋体" w:hAnsi="宋体" w:cs="宋体"/>
          <w:b/>
          <w:bCs/>
          <w:color w:val="0C0C0C"/>
          <w:sz w:val="32"/>
          <w:szCs w:val="32"/>
        </w:rPr>
        <w:t>编号：QZZC2026-J1-990076-GXFT</w:t>
      </w:r>
      <w:r>
        <w:rPr>
          <w:rFonts w:hint="eastAsia" w:ascii="宋体" w:hAnsi="宋体" w:cs="宋体"/>
          <w:b/>
          <w:bCs/>
          <w:color w:val="auto"/>
          <w:sz w:val="32"/>
          <w:szCs w:val="32"/>
          <w:lang w:val="en-US" w:eastAsia="zh-CN"/>
        </w:rPr>
        <w:t xml:space="preserve"> </w:t>
      </w:r>
    </w:p>
    <w:p w14:paraId="022DEA07">
      <w:pPr>
        <w:spacing w:line="700" w:lineRule="exact"/>
        <w:ind w:firstLine="643" w:firstLineChars="200"/>
        <w:rPr>
          <w:rFonts w:hint="eastAsia" w:ascii="宋体" w:hAnsi="宋体" w:cs="宋体"/>
          <w:b/>
          <w:sz w:val="32"/>
          <w:szCs w:val="21"/>
        </w:rPr>
      </w:pPr>
      <w:r>
        <w:rPr>
          <w:rFonts w:hint="eastAsia" w:ascii="宋体" w:hAnsi="宋体" w:cs="宋体"/>
          <w:b/>
          <w:sz w:val="32"/>
          <w:szCs w:val="21"/>
        </w:rPr>
        <w:t>采购人：钦州市第一人民医院</w:t>
      </w:r>
    </w:p>
    <w:p w14:paraId="3CA0C293">
      <w:pPr>
        <w:spacing w:line="700" w:lineRule="exact"/>
        <w:ind w:firstLine="643" w:firstLineChars="200"/>
        <w:rPr>
          <w:rFonts w:hint="eastAsia" w:ascii="宋体" w:hAnsi="宋体" w:eastAsia="宋体" w:cs="宋体"/>
          <w:b/>
          <w:sz w:val="32"/>
          <w:szCs w:val="21"/>
          <w:lang w:eastAsia="zh-CN"/>
        </w:rPr>
      </w:pPr>
      <w:r>
        <w:rPr>
          <w:rFonts w:hint="eastAsia" w:ascii="宋体" w:hAnsi="宋体" w:cs="宋体"/>
          <w:b/>
          <w:sz w:val="32"/>
          <w:szCs w:val="21"/>
        </w:rPr>
        <w:t>采购代理机构：</w:t>
      </w:r>
      <w:r>
        <w:rPr>
          <w:rFonts w:hint="eastAsia" w:ascii="宋体" w:hAnsi="宋体" w:cs="宋体"/>
          <w:b/>
          <w:sz w:val="32"/>
          <w:szCs w:val="21"/>
          <w:lang w:eastAsia="zh-CN"/>
        </w:rPr>
        <w:t>广西丰泰工程项目管理有限公司</w:t>
      </w:r>
    </w:p>
    <w:p w14:paraId="5D779904">
      <w:pPr>
        <w:spacing w:line="700" w:lineRule="exact"/>
        <w:ind w:firstLine="643" w:firstLineChars="200"/>
        <w:jc w:val="both"/>
        <w:rPr>
          <w:rFonts w:hint="eastAsia" w:ascii="宋体" w:hAnsi="宋体" w:cs="宋体"/>
          <w:b/>
          <w:sz w:val="32"/>
          <w:szCs w:val="21"/>
        </w:rPr>
      </w:pPr>
    </w:p>
    <w:p w14:paraId="3D95EFE4">
      <w:pPr>
        <w:spacing w:line="700" w:lineRule="exact"/>
        <w:ind w:firstLine="643" w:firstLineChars="200"/>
        <w:jc w:val="both"/>
        <w:rPr>
          <w:rFonts w:hint="eastAsia" w:ascii="宋体" w:hAnsi="宋体" w:cs="宋体"/>
          <w:b/>
          <w:sz w:val="32"/>
          <w:szCs w:val="21"/>
        </w:rPr>
      </w:pPr>
    </w:p>
    <w:p w14:paraId="0768E10A">
      <w:pPr>
        <w:spacing w:line="700" w:lineRule="exact"/>
        <w:ind w:firstLine="643" w:firstLineChars="200"/>
        <w:jc w:val="both"/>
        <w:rPr>
          <w:rFonts w:hint="eastAsia" w:ascii="宋体" w:hAnsi="宋体" w:cs="宋体"/>
          <w:b/>
          <w:sz w:val="32"/>
          <w:szCs w:val="21"/>
        </w:rPr>
      </w:pPr>
    </w:p>
    <w:p w14:paraId="6EA8CD19">
      <w:pPr>
        <w:spacing w:line="700" w:lineRule="exact"/>
        <w:ind w:firstLine="643" w:firstLineChars="200"/>
        <w:jc w:val="center"/>
        <w:rPr>
          <w:rFonts w:hint="eastAsia" w:ascii="宋体" w:hAnsi="宋体" w:cs="宋体"/>
          <w:b/>
          <w:sz w:val="44"/>
          <w:szCs w:val="44"/>
        </w:rPr>
      </w:pPr>
      <w:r>
        <w:rPr>
          <w:rFonts w:hint="eastAsia" w:ascii="宋体" w:hAnsi="宋体" w:cs="宋体"/>
          <w:b/>
          <w:sz w:val="32"/>
          <w:szCs w:val="21"/>
        </w:rPr>
        <w:t>202</w:t>
      </w:r>
      <w:r>
        <w:rPr>
          <w:rFonts w:hint="eastAsia" w:ascii="宋体" w:hAnsi="宋体" w:cs="宋体"/>
          <w:b/>
          <w:sz w:val="32"/>
          <w:szCs w:val="21"/>
          <w:lang w:val="en-US" w:eastAsia="zh-CN"/>
        </w:rPr>
        <w:t>6</w:t>
      </w:r>
      <w:r>
        <w:rPr>
          <w:rFonts w:hint="eastAsia" w:ascii="宋体" w:hAnsi="宋体" w:cs="宋体"/>
          <w:b/>
          <w:sz w:val="32"/>
          <w:szCs w:val="21"/>
        </w:rPr>
        <w:t>年</w:t>
      </w:r>
      <w:r>
        <w:rPr>
          <w:rFonts w:hint="eastAsia" w:ascii="宋体" w:hAnsi="宋体" w:cs="宋体"/>
          <w:b/>
          <w:sz w:val="32"/>
          <w:szCs w:val="21"/>
          <w:lang w:val="en-US" w:eastAsia="zh-CN"/>
        </w:rPr>
        <w:t>04</w:t>
      </w:r>
      <w:r>
        <w:rPr>
          <w:rFonts w:hint="eastAsia" w:ascii="宋体" w:hAnsi="宋体" w:cs="宋体"/>
          <w:b/>
          <w:sz w:val="32"/>
          <w:szCs w:val="21"/>
        </w:rPr>
        <w:t>月</w:t>
      </w:r>
    </w:p>
    <w:p w14:paraId="1F3A5D6B">
      <w:pPr>
        <w:spacing w:line="360" w:lineRule="auto"/>
        <w:jc w:val="center"/>
        <w:rPr>
          <w:rFonts w:hint="eastAsia" w:ascii="宋体" w:hAnsi="宋体" w:cs="宋体"/>
          <w:b/>
          <w:sz w:val="44"/>
          <w:szCs w:val="44"/>
        </w:rPr>
        <w:sectPr>
          <w:headerReference r:id="rId3" w:type="default"/>
          <w:pgSz w:w="11906" w:h="16838"/>
          <w:pgMar w:top="1440" w:right="1440" w:bottom="1440" w:left="1587" w:header="851" w:footer="992" w:gutter="0"/>
          <w:pgNumType w:start="0"/>
          <w:cols w:space="720" w:num="1"/>
          <w:titlePg/>
          <w:docGrid w:type="lines" w:linePitch="312" w:charSpace="0"/>
        </w:sectPr>
      </w:pPr>
    </w:p>
    <w:p w14:paraId="59CAB48C">
      <w:pPr>
        <w:spacing w:line="360" w:lineRule="auto"/>
        <w:jc w:val="center"/>
        <w:rPr>
          <w:rFonts w:hint="eastAsia" w:ascii="宋体" w:hAnsi="宋体" w:cs="宋体"/>
          <w:b/>
          <w:sz w:val="44"/>
          <w:szCs w:val="44"/>
        </w:rPr>
      </w:pPr>
      <w:r>
        <w:rPr>
          <w:rFonts w:hint="eastAsia" w:ascii="宋体" w:hAnsi="宋体" w:cs="宋体"/>
          <w:b/>
          <w:sz w:val="44"/>
          <w:szCs w:val="44"/>
        </w:rPr>
        <w:t>目  录</w:t>
      </w:r>
    </w:p>
    <w:p w14:paraId="108CB25A">
      <w:pPr>
        <w:spacing w:line="400" w:lineRule="exact"/>
        <w:jc w:val="center"/>
        <w:rPr>
          <w:rFonts w:hint="eastAsia" w:ascii="宋体" w:hAnsi="宋体" w:cs="宋体"/>
          <w:b/>
          <w:sz w:val="44"/>
          <w:szCs w:val="44"/>
        </w:rPr>
      </w:pPr>
    </w:p>
    <w:p w14:paraId="2784239F">
      <w:pPr>
        <w:pStyle w:val="23"/>
        <w:tabs>
          <w:tab w:val="right" w:leader="dot" w:pos="8879"/>
        </w:tabs>
        <w:spacing w:line="600" w:lineRule="auto"/>
        <w:rPr>
          <w:rFonts w:hint="eastAsia" w:ascii="宋体" w:hAnsi="宋体" w:cs="宋体"/>
          <w:sz w:val="28"/>
          <w:szCs w:val="28"/>
        </w:rPr>
      </w:pPr>
      <w:r>
        <w:rPr>
          <w:rFonts w:hint="eastAsia" w:ascii="宋体" w:hAnsi="宋体" w:cs="宋体"/>
          <w:b/>
          <w:sz w:val="24"/>
        </w:rPr>
        <w:fldChar w:fldCharType="begin"/>
      </w:r>
      <w:r>
        <w:rPr>
          <w:rFonts w:hint="eastAsia" w:ascii="宋体" w:hAnsi="宋体" w:cs="宋体"/>
          <w:b/>
          <w:sz w:val="24"/>
        </w:rPr>
        <w:instrText xml:space="preserve"> TOC \o "1-3" \h \z \u </w:instrText>
      </w:r>
      <w:r>
        <w:rPr>
          <w:rFonts w:hint="eastAsia" w:ascii="宋体" w:hAnsi="宋体" w:cs="宋体"/>
          <w:b/>
          <w:sz w:val="24"/>
        </w:rPr>
        <w:fldChar w:fldCharType="separate"/>
      </w:r>
      <w:r>
        <w:rPr>
          <w:rFonts w:hint="eastAsia" w:ascii="宋体" w:hAnsi="宋体" w:cs="宋体"/>
          <w:b/>
          <w:bCs/>
          <w:sz w:val="28"/>
          <w:szCs w:val="28"/>
        </w:rPr>
        <w:fldChar w:fldCharType="begin"/>
      </w:r>
      <w:r>
        <w:rPr>
          <w:rFonts w:hint="eastAsia" w:ascii="宋体" w:hAnsi="宋体" w:cs="宋体"/>
          <w:b/>
          <w:bCs/>
          <w:sz w:val="28"/>
          <w:szCs w:val="28"/>
        </w:rPr>
        <w:instrText xml:space="preserve"> HYPERLINK \l _Toc22803 </w:instrText>
      </w:r>
      <w:r>
        <w:rPr>
          <w:rFonts w:hint="eastAsia" w:ascii="宋体" w:hAnsi="宋体" w:cs="宋体"/>
          <w:b/>
          <w:bCs/>
          <w:sz w:val="28"/>
          <w:szCs w:val="28"/>
        </w:rPr>
        <w:fldChar w:fldCharType="separate"/>
      </w:r>
      <w:r>
        <w:rPr>
          <w:rFonts w:hint="eastAsia" w:ascii="宋体" w:hAnsi="宋体" w:cs="宋体"/>
          <w:b/>
          <w:bCs/>
          <w:sz w:val="28"/>
          <w:szCs w:val="28"/>
        </w:rPr>
        <w:t>第一章 竞争性谈判公告</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_Toc22803 \h </w:instrText>
      </w:r>
      <w:r>
        <w:rPr>
          <w:rFonts w:hint="eastAsia" w:ascii="宋体" w:hAnsi="宋体" w:cs="宋体"/>
          <w:b/>
          <w:bCs/>
          <w:sz w:val="28"/>
          <w:szCs w:val="28"/>
        </w:rPr>
        <w:fldChar w:fldCharType="separate"/>
      </w:r>
      <w:r>
        <w:rPr>
          <w:rFonts w:hint="eastAsia" w:ascii="宋体" w:hAnsi="宋体" w:cs="宋体"/>
          <w:b/>
          <w:bCs/>
          <w:sz w:val="28"/>
          <w:szCs w:val="28"/>
        </w:rPr>
        <w:t>2</w:t>
      </w:r>
      <w:r>
        <w:rPr>
          <w:rFonts w:hint="eastAsia" w:ascii="宋体" w:hAnsi="宋体" w:cs="宋体"/>
          <w:b/>
          <w:bCs/>
          <w:sz w:val="28"/>
          <w:szCs w:val="28"/>
        </w:rPr>
        <w:fldChar w:fldCharType="end"/>
      </w:r>
      <w:r>
        <w:rPr>
          <w:rFonts w:hint="eastAsia" w:ascii="宋体" w:hAnsi="宋体" w:cs="宋体"/>
          <w:b/>
          <w:bCs/>
          <w:sz w:val="28"/>
          <w:szCs w:val="28"/>
        </w:rPr>
        <w:fldChar w:fldCharType="end"/>
      </w:r>
    </w:p>
    <w:p w14:paraId="45605C7D">
      <w:pPr>
        <w:pStyle w:val="23"/>
        <w:tabs>
          <w:tab w:val="right" w:leader="dot" w:pos="8879"/>
        </w:tabs>
        <w:spacing w:line="600" w:lineRule="auto"/>
        <w:rPr>
          <w:rFonts w:hint="eastAsia" w:ascii="宋体" w:hAnsi="宋体" w:cs="宋体"/>
          <w:b/>
          <w:bCs/>
          <w:sz w:val="28"/>
          <w:szCs w:val="28"/>
        </w:rPr>
      </w:pPr>
      <w:r>
        <w:rPr>
          <w:rFonts w:hint="eastAsia" w:ascii="宋体" w:hAnsi="宋体" w:cs="宋体"/>
          <w:b/>
          <w:bCs/>
          <w:sz w:val="28"/>
          <w:szCs w:val="28"/>
        </w:rPr>
        <w:fldChar w:fldCharType="begin"/>
      </w:r>
      <w:r>
        <w:rPr>
          <w:rFonts w:hint="eastAsia" w:ascii="宋体" w:hAnsi="宋体" w:cs="宋体"/>
          <w:b/>
          <w:bCs/>
          <w:sz w:val="28"/>
          <w:szCs w:val="28"/>
        </w:rPr>
        <w:instrText xml:space="preserve"> HYPERLINK \l _Toc1150 </w:instrText>
      </w:r>
      <w:r>
        <w:rPr>
          <w:rFonts w:hint="eastAsia" w:ascii="宋体" w:hAnsi="宋体" w:cs="宋体"/>
          <w:b/>
          <w:bCs/>
          <w:sz w:val="28"/>
          <w:szCs w:val="28"/>
        </w:rPr>
        <w:fldChar w:fldCharType="separate"/>
      </w:r>
      <w:r>
        <w:rPr>
          <w:rFonts w:hint="eastAsia" w:ascii="宋体" w:hAnsi="宋体" w:cs="宋体"/>
          <w:b/>
          <w:bCs/>
          <w:sz w:val="28"/>
          <w:szCs w:val="28"/>
        </w:rPr>
        <w:t>第二章 供应商须知</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_Toc1150 \h </w:instrText>
      </w:r>
      <w:r>
        <w:rPr>
          <w:rFonts w:hint="eastAsia" w:ascii="宋体" w:hAnsi="宋体" w:cs="宋体"/>
          <w:b/>
          <w:bCs/>
          <w:sz w:val="28"/>
          <w:szCs w:val="28"/>
        </w:rPr>
        <w:fldChar w:fldCharType="separate"/>
      </w:r>
      <w:r>
        <w:rPr>
          <w:rFonts w:hint="eastAsia" w:ascii="宋体" w:hAnsi="宋体" w:cs="宋体"/>
          <w:b/>
          <w:bCs/>
          <w:sz w:val="28"/>
          <w:szCs w:val="28"/>
        </w:rPr>
        <w:t>6</w:t>
      </w:r>
      <w:r>
        <w:rPr>
          <w:rFonts w:hint="eastAsia" w:ascii="宋体" w:hAnsi="宋体" w:cs="宋体"/>
          <w:b/>
          <w:bCs/>
          <w:sz w:val="28"/>
          <w:szCs w:val="28"/>
        </w:rPr>
        <w:fldChar w:fldCharType="end"/>
      </w:r>
      <w:r>
        <w:rPr>
          <w:rFonts w:hint="eastAsia" w:ascii="宋体" w:hAnsi="宋体" w:cs="宋体"/>
          <w:b/>
          <w:bCs/>
          <w:sz w:val="28"/>
          <w:szCs w:val="28"/>
        </w:rPr>
        <w:fldChar w:fldCharType="end"/>
      </w:r>
    </w:p>
    <w:p w14:paraId="001434C4">
      <w:pPr>
        <w:pStyle w:val="23"/>
        <w:tabs>
          <w:tab w:val="right" w:leader="dot" w:pos="8879"/>
        </w:tabs>
        <w:spacing w:line="600" w:lineRule="auto"/>
        <w:rPr>
          <w:rFonts w:hint="eastAsia" w:ascii="宋体" w:hAnsi="宋体" w:eastAsia="宋体" w:cs="宋体"/>
          <w:b/>
          <w:bCs/>
          <w:sz w:val="28"/>
          <w:szCs w:val="28"/>
          <w:lang w:val="en-US" w:eastAsia="zh-CN"/>
        </w:rPr>
      </w:pPr>
      <w:r>
        <w:rPr>
          <w:rFonts w:hint="eastAsia" w:ascii="宋体" w:hAnsi="宋体" w:cs="宋体"/>
          <w:b/>
          <w:bCs/>
          <w:sz w:val="28"/>
          <w:szCs w:val="28"/>
        </w:rPr>
        <w:fldChar w:fldCharType="begin"/>
      </w:r>
      <w:r>
        <w:rPr>
          <w:rFonts w:hint="eastAsia" w:ascii="宋体" w:hAnsi="宋体" w:cs="宋体"/>
          <w:b/>
          <w:bCs/>
          <w:sz w:val="28"/>
          <w:szCs w:val="28"/>
        </w:rPr>
        <w:instrText xml:space="preserve"> HYPERLINK \l _Toc26149 </w:instrText>
      </w:r>
      <w:r>
        <w:rPr>
          <w:rFonts w:hint="eastAsia" w:ascii="宋体" w:hAnsi="宋体" w:cs="宋体"/>
          <w:b/>
          <w:bCs/>
          <w:sz w:val="28"/>
          <w:szCs w:val="28"/>
        </w:rPr>
        <w:fldChar w:fldCharType="separate"/>
      </w:r>
      <w:r>
        <w:rPr>
          <w:rFonts w:hint="eastAsia" w:ascii="宋体" w:hAnsi="宋体" w:cs="宋体"/>
          <w:b/>
          <w:bCs/>
          <w:sz w:val="28"/>
          <w:szCs w:val="28"/>
        </w:rPr>
        <w:t>第三章 采购需求</w:t>
      </w:r>
      <w:r>
        <w:rPr>
          <w:rFonts w:hint="eastAsia" w:ascii="宋体" w:hAnsi="宋体" w:cs="宋体"/>
          <w:b/>
          <w:bCs/>
          <w:sz w:val="28"/>
          <w:szCs w:val="28"/>
        </w:rPr>
        <w:tab/>
      </w:r>
      <w:r>
        <w:rPr>
          <w:rFonts w:hint="eastAsia" w:ascii="宋体" w:hAnsi="宋体" w:cs="宋体"/>
          <w:b/>
          <w:bCs/>
          <w:sz w:val="28"/>
          <w:szCs w:val="28"/>
          <w:lang w:val="en-US" w:eastAsia="zh-CN"/>
        </w:rPr>
        <w:t>2</w:t>
      </w:r>
      <w:r>
        <w:rPr>
          <w:rFonts w:hint="eastAsia" w:ascii="宋体" w:hAnsi="宋体" w:cs="宋体"/>
          <w:b/>
          <w:bCs/>
          <w:sz w:val="28"/>
          <w:szCs w:val="28"/>
        </w:rPr>
        <w:fldChar w:fldCharType="end"/>
      </w:r>
      <w:r>
        <w:rPr>
          <w:rFonts w:hint="eastAsia" w:ascii="宋体" w:hAnsi="宋体" w:cs="宋体"/>
          <w:b/>
          <w:bCs/>
          <w:sz w:val="28"/>
          <w:szCs w:val="28"/>
          <w:lang w:val="en-US" w:eastAsia="zh-CN"/>
        </w:rPr>
        <w:t>4</w:t>
      </w:r>
    </w:p>
    <w:p w14:paraId="68A30EE2">
      <w:pPr>
        <w:pStyle w:val="24"/>
        <w:tabs>
          <w:tab w:val="right" w:leader="dot" w:pos="8879"/>
          <w:tab w:val="clear" w:pos="8296"/>
        </w:tabs>
        <w:spacing w:line="600" w:lineRule="auto"/>
        <w:ind w:left="0" w:leftChars="0"/>
        <w:rPr>
          <w:rFonts w:hint="eastAsia" w:ascii="宋体" w:hAnsi="宋体" w:eastAsia="宋体" w:cs="宋体"/>
          <w:b/>
          <w:bCs/>
          <w:sz w:val="28"/>
          <w:szCs w:val="28"/>
          <w:lang w:val="en-US" w:eastAsia="zh-CN"/>
        </w:rPr>
      </w:pPr>
      <w:r>
        <w:rPr>
          <w:rFonts w:hint="eastAsia" w:ascii="宋体" w:hAnsi="宋体" w:cs="宋体"/>
          <w:b/>
          <w:bCs/>
          <w:sz w:val="28"/>
          <w:szCs w:val="28"/>
        </w:rPr>
        <w:fldChar w:fldCharType="begin"/>
      </w:r>
      <w:r>
        <w:rPr>
          <w:rFonts w:hint="eastAsia" w:ascii="宋体" w:hAnsi="宋体" w:cs="宋体"/>
          <w:b/>
          <w:bCs/>
          <w:sz w:val="28"/>
          <w:szCs w:val="28"/>
        </w:rPr>
        <w:instrText xml:space="preserve"> HYPERLINK \l _Toc21830 </w:instrText>
      </w:r>
      <w:r>
        <w:rPr>
          <w:rFonts w:hint="eastAsia" w:ascii="宋体" w:hAnsi="宋体" w:cs="宋体"/>
          <w:b/>
          <w:bCs/>
          <w:sz w:val="28"/>
          <w:szCs w:val="28"/>
        </w:rPr>
        <w:fldChar w:fldCharType="separate"/>
      </w:r>
      <w:r>
        <w:rPr>
          <w:rFonts w:hint="eastAsia" w:ascii="宋体" w:hAnsi="宋体" w:cs="宋体"/>
          <w:b/>
          <w:bCs/>
          <w:sz w:val="28"/>
          <w:szCs w:val="28"/>
        </w:rPr>
        <w:t>第四章 评审程序和评定成交的标准</w:t>
      </w:r>
      <w:r>
        <w:rPr>
          <w:rFonts w:hint="eastAsia" w:ascii="宋体" w:hAnsi="宋体" w:cs="宋体"/>
          <w:b/>
          <w:bCs/>
          <w:sz w:val="28"/>
          <w:szCs w:val="28"/>
        </w:rPr>
        <w:tab/>
      </w:r>
      <w:r>
        <w:rPr>
          <w:rFonts w:hint="eastAsia" w:ascii="宋体" w:hAnsi="宋体" w:cs="宋体"/>
          <w:b/>
          <w:bCs/>
          <w:sz w:val="28"/>
          <w:szCs w:val="28"/>
          <w:lang w:val="en-US" w:eastAsia="zh-CN"/>
        </w:rPr>
        <w:t>3</w:t>
      </w:r>
      <w:r>
        <w:rPr>
          <w:rFonts w:hint="eastAsia" w:ascii="宋体" w:hAnsi="宋体" w:cs="宋体"/>
          <w:b/>
          <w:bCs/>
          <w:sz w:val="28"/>
          <w:szCs w:val="28"/>
        </w:rPr>
        <w:fldChar w:fldCharType="end"/>
      </w:r>
      <w:r>
        <w:rPr>
          <w:rFonts w:hint="eastAsia" w:ascii="宋体" w:hAnsi="宋体" w:cs="宋体"/>
          <w:b/>
          <w:bCs/>
          <w:sz w:val="28"/>
          <w:szCs w:val="28"/>
          <w:lang w:val="en-US" w:eastAsia="zh-CN"/>
        </w:rPr>
        <w:t>9</w:t>
      </w:r>
    </w:p>
    <w:p w14:paraId="7C9F0451">
      <w:pPr>
        <w:pStyle w:val="23"/>
        <w:tabs>
          <w:tab w:val="right" w:leader="dot" w:pos="8879"/>
        </w:tabs>
        <w:spacing w:line="600" w:lineRule="auto"/>
        <w:rPr>
          <w:rFonts w:hint="eastAsia" w:ascii="宋体" w:hAnsi="宋体" w:eastAsia="宋体" w:cs="宋体"/>
          <w:b/>
          <w:bCs/>
          <w:sz w:val="28"/>
          <w:szCs w:val="28"/>
          <w:lang w:val="en-US" w:eastAsia="zh-CN"/>
        </w:rPr>
      </w:pPr>
      <w:r>
        <w:rPr>
          <w:rFonts w:hint="eastAsia" w:ascii="宋体" w:hAnsi="宋体" w:cs="宋体"/>
          <w:b/>
          <w:bCs/>
          <w:sz w:val="28"/>
          <w:szCs w:val="28"/>
        </w:rPr>
        <w:fldChar w:fldCharType="begin"/>
      </w:r>
      <w:r>
        <w:rPr>
          <w:rFonts w:hint="eastAsia" w:ascii="宋体" w:hAnsi="宋体" w:cs="宋体"/>
          <w:b/>
          <w:bCs/>
          <w:sz w:val="28"/>
          <w:szCs w:val="28"/>
        </w:rPr>
        <w:instrText xml:space="preserve"> HYPERLINK \l _Toc26514 </w:instrText>
      </w:r>
      <w:r>
        <w:rPr>
          <w:rFonts w:hint="eastAsia" w:ascii="宋体" w:hAnsi="宋体" w:cs="宋体"/>
          <w:b/>
          <w:bCs/>
          <w:sz w:val="28"/>
          <w:szCs w:val="28"/>
        </w:rPr>
        <w:fldChar w:fldCharType="separate"/>
      </w:r>
      <w:r>
        <w:rPr>
          <w:rFonts w:hint="eastAsia" w:ascii="宋体" w:hAnsi="宋体" w:cs="宋体"/>
          <w:b/>
          <w:bCs/>
          <w:sz w:val="28"/>
          <w:szCs w:val="28"/>
        </w:rPr>
        <w:t>第五章 响应文件格式</w:t>
      </w:r>
      <w:r>
        <w:rPr>
          <w:rFonts w:hint="eastAsia" w:ascii="宋体" w:hAnsi="宋体" w:cs="宋体"/>
          <w:b/>
          <w:bCs/>
          <w:sz w:val="28"/>
          <w:szCs w:val="28"/>
        </w:rPr>
        <w:tab/>
      </w:r>
      <w:r>
        <w:rPr>
          <w:rFonts w:hint="eastAsia" w:ascii="宋体" w:hAnsi="宋体" w:cs="宋体"/>
          <w:b/>
          <w:bCs/>
          <w:sz w:val="28"/>
          <w:szCs w:val="28"/>
          <w:lang w:val="en-US" w:eastAsia="zh-CN"/>
        </w:rPr>
        <w:t>4</w:t>
      </w:r>
      <w:r>
        <w:rPr>
          <w:rFonts w:hint="eastAsia" w:ascii="宋体" w:hAnsi="宋体" w:cs="宋体"/>
          <w:b/>
          <w:bCs/>
          <w:sz w:val="28"/>
          <w:szCs w:val="28"/>
        </w:rPr>
        <w:fldChar w:fldCharType="end"/>
      </w:r>
      <w:r>
        <w:rPr>
          <w:rFonts w:hint="eastAsia" w:ascii="宋体" w:hAnsi="宋体" w:cs="宋体"/>
          <w:b/>
          <w:bCs/>
          <w:sz w:val="28"/>
          <w:szCs w:val="28"/>
          <w:lang w:val="en-US" w:eastAsia="zh-CN"/>
        </w:rPr>
        <w:t>5</w:t>
      </w:r>
    </w:p>
    <w:p w14:paraId="17CA6872">
      <w:pPr>
        <w:pStyle w:val="24"/>
        <w:tabs>
          <w:tab w:val="right" w:leader="dot" w:pos="8879"/>
          <w:tab w:val="clear" w:pos="8296"/>
        </w:tabs>
        <w:spacing w:line="600" w:lineRule="auto"/>
        <w:ind w:left="0" w:leftChars="0"/>
        <w:rPr>
          <w:rFonts w:hint="eastAsia" w:ascii="宋体" w:hAnsi="宋体" w:eastAsia="宋体" w:cs="宋体"/>
          <w:lang w:val="en-US" w:eastAsia="zh-CN"/>
        </w:rPr>
      </w:pPr>
      <w:r>
        <w:rPr>
          <w:rFonts w:hint="eastAsia" w:ascii="宋体" w:hAnsi="宋体" w:cs="宋体"/>
          <w:b/>
          <w:bCs/>
          <w:sz w:val="28"/>
          <w:szCs w:val="28"/>
        </w:rPr>
        <w:fldChar w:fldCharType="begin"/>
      </w:r>
      <w:r>
        <w:rPr>
          <w:rFonts w:hint="eastAsia" w:ascii="宋体" w:hAnsi="宋体" w:cs="宋体"/>
          <w:b/>
          <w:bCs/>
          <w:sz w:val="28"/>
          <w:szCs w:val="28"/>
        </w:rPr>
        <w:instrText xml:space="preserve"> HYPERLINK \l _Toc32215 </w:instrText>
      </w:r>
      <w:r>
        <w:rPr>
          <w:rFonts w:hint="eastAsia" w:ascii="宋体" w:hAnsi="宋体" w:cs="宋体"/>
          <w:b/>
          <w:bCs/>
          <w:sz w:val="28"/>
          <w:szCs w:val="28"/>
        </w:rPr>
        <w:fldChar w:fldCharType="separate"/>
      </w:r>
      <w:r>
        <w:rPr>
          <w:rFonts w:hint="eastAsia" w:ascii="宋体" w:hAnsi="宋体" w:cs="宋体"/>
          <w:b/>
          <w:bCs/>
          <w:sz w:val="28"/>
          <w:szCs w:val="28"/>
        </w:rPr>
        <w:t>第六章 广西壮族自治区政府采购合同（格式）</w:t>
      </w:r>
      <w:r>
        <w:rPr>
          <w:rFonts w:hint="eastAsia" w:ascii="宋体" w:hAnsi="宋体" w:cs="宋体"/>
          <w:b/>
          <w:bCs/>
          <w:sz w:val="28"/>
          <w:szCs w:val="28"/>
        </w:rPr>
        <w:tab/>
      </w:r>
      <w:r>
        <w:rPr>
          <w:rFonts w:hint="eastAsia" w:ascii="宋体" w:hAnsi="宋体" w:cs="宋体"/>
          <w:b/>
          <w:bCs/>
          <w:sz w:val="28"/>
          <w:szCs w:val="28"/>
          <w:lang w:val="en-US" w:eastAsia="zh-CN"/>
        </w:rPr>
        <w:t>7</w:t>
      </w:r>
      <w:r>
        <w:rPr>
          <w:rFonts w:hint="eastAsia" w:ascii="宋体" w:hAnsi="宋体" w:cs="宋体"/>
          <w:b/>
          <w:bCs/>
          <w:sz w:val="28"/>
          <w:szCs w:val="28"/>
        </w:rPr>
        <w:fldChar w:fldCharType="end"/>
      </w:r>
      <w:r>
        <w:rPr>
          <w:rFonts w:hint="eastAsia" w:ascii="宋体" w:hAnsi="宋体" w:cs="宋体"/>
          <w:b/>
          <w:bCs/>
          <w:sz w:val="28"/>
          <w:szCs w:val="28"/>
          <w:lang w:val="en-US" w:eastAsia="zh-CN"/>
        </w:rPr>
        <w:t>0</w:t>
      </w:r>
    </w:p>
    <w:p w14:paraId="0D6249C5">
      <w:pPr>
        <w:pStyle w:val="24"/>
        <w:tabs>
          <w:tab w:val="right" w:leader="dot" w:pos="8879"/>
          <w:tab w:val="clear" w:pos="8296"/>
        </w:tabs>
        <w:rPr>
          <w:rFonts w:hint="eastAsia" w:ascii="宋体" w:hAnsi="宋体" w:cs="宋体"/>
        </w:rPr>
      </w:pPr>
    </w:p>
    <w:p w14:paraId="2EC3F37E">
      <w:pPr>
        <w:pStyle w:val="24"/>
        <w:tabs>
          <w:tab w:val="right" w:leader="dot" w:pos="8931"/>
          <w:tab w:val="clear" w:pos="8296"/>
        </w:tabs>
        <w:snapToGrid w:val="0"/>
        <w:spacing w:line="480" w:lineRule="auto"/>
        <w:ind w:left="0" w:leftChars="0"/>
        <w:rPr>
          <w:rFonts w:hint="eastAsia" w:ascii="宋体" w:hAnsi="宋体" w:cs="宋体"/>
          <w:b/>
          <w:sz w:val="24"/>
        </w:rPr>
      </w:pPr>
      <w:r>
        <w:rPr>
          <w:rFonts w:hint="eastAsia" w:ascii="宋体" w:hAnsi="宋体" w:cs="宋体"/>
        </w:rPr>
        <w:fldChar w:fldCharType="end"/>
      </w:r>
    </w:p>
    <w:p w14:paraId="20F742F7">
      <w:pPr>
        <w:spacing w:line="400" w:lineRule="exact"/>
        <w:jc w:val="left"/>
        <w:rPr>
          <w:rFonts w:hint="eastAsia" w:ascii="宋体" w:hAnsi="宋体" w:cs="宋体"/>
          <w:b/>
          <w:sz w:val="32"/>
          <w:szCs w:val="32"/>
        </w:rPr>
      </w:pPr>
    </w:p>
    <w:p w14:paraId="6B2A4AC3">
      <w:pPr>
        <w:spacing w:line="400" w:lineRule="exact"/>
        <w:jc w:val="center"/>
        <w:rPr>
          <w:rFonts w:hint="eastAsia" w:ascii="宋体" w:hAnsi="宋体" w:cs="宋体"/>
          <w:b/>
          <w:sz w:val="32"/>
          <w:szCs w:val="32"/>
        </w:rPr>
      </w:pPr>
    </w:p>
    <w:p w14:paraId="10413D7E">
      <w:pPr>
        <w:spacing w:line="400" w:lineRule="exact"/>
        <w:jc w:val="center"/>
        <w:rPr>
          <w:rFonts w:hint="eastAsia" w:ascii="宋体" w:hAnsi="宋体" w:cs="宋体"/>
          <w:b/>
          <w:sz w:val="32"/>
          <w:szCs w:val="32"/>
        </w:rPr>
      </w:pPr>
    </w:p>
    <w:p w14:paraId="63660AFF">
      <w:pPr>
        <w:spacing w:line="400" w:lineRule="exact"/>
        <w:jc w:val="center"/>
        <w:rPr>
          <w:rFonts w:hint="eastAsia" w:ascii="宋体" w:hAnsi="宋体" w:cs="宋体"/>
          <w:b/>
          <w:sz w:val="32"/>
          <w:szCs w:val="32"/>
        </w:rPr>
      </w:pPr>
    </w:p>
    <w:p w14:paraId="1FBDDF5A">
      <w:pPr>
        <w:spacing w:line="400" w:lineRule="exact"/>
        <w:jc w:val="center"/>
        <w:rPr>
          <w:rFonts w:hint="eastAsia" w:ascii="宋体" w:hAnsi="宋体" w:cs="宋体"/>
          <w:b/>
          <w:sz w:val="32"/>
          <w:szCs w:val="32"/>
        </w:rPr>
      </w:pPr>
    </w:p>
    <w:p w14:paraId="11F7B037">
      <w:pPr>
        <w:spacing w:line="400" w:lineRule="exact"/>
        <w:rPr>
          <w:rFonts w:hint="eastAsia" w:ascii="宋体" w:hAnsi="宋体" w:cs="宋体"/>
          <w:b/>
          <w:sz w:val="32"/>
          <w:szCs w:val="32"/>
        </w:rPr>
        <w:sectPr>
          <w:footerReference r:id="rId5" w:type="first"/>
          <w:footerReference r:id="rId4" w:type="default"/>
          <w:pgSz w:w="11906" w:h="16838"/>
          <w:pgMar w:top="1440" w:right="1440" w:bottom="1440" w:left="1587" w:header="851" w:footer="992" w:gutter="0"/>
          <w:pgNumType w:start="1"/>
          <w:cols w:space="720" w:num="1"/>
          <w:docGrid w:type="lines" w:linePitch="312" w:charSpace="0"/>
        </w:sectPr>
      </w:pPr>
    </w:p>
    <w:p w14:paraId="6944B3BB">
      <w:pPr>
        <w:numPr>
          <w:ilvl w:val="0"/>
          <w:numId w:val="2"/>
        </w:numPr>
        <w:spacing w:line="600" w:lineRule="exact"/>
        <w:jc w:val="center"/>
        <w:outlineLvl w:val="0"/>
        <w:rPr>
          <w:rFonts w:hint="eastAsia" w:ascii="宋体" w:hAnsi="宋体" w:cs="宋体"/>
          <w:b/>
          <w:sz w:val="36"/>
          <w:szCs w:val="36"/>
        </w:rPr>
      </w:pPr>
      <w:bookmarkStart w:id="0" w:name="_Toc22803"/>
      <w:r>
        <w:rPr>
          <w:rFonts w:hint="eastAsia" w:ascii="宋体" w:hAnsi="宋体" w:cs="宋体"/>
          <w:b/>
          <w:sz w:val="36"/>
          <w:szCs w:val="36"/>
        </w:rPr>
        <w:t>竞争性谈判公告</w:t>
      </w:r>
      <w:bookmarkEnd w:id="0"/>
    </w:p>
    <w:p w14:paraId="3B249DF3">
      <w:pPr>
        <w:spacing w:line="350" w:lineRule="exact"/>
        <w:jc w:val="center"/>
        <w:rPr>
          <w:rFonts w:hint="eastAsia" w:ascii="宋体" w:hAnsi="宋体" w:cs="宋体"/>
          <w:b/>
          <w:color w:val="auto"/>
          <w:szCs w:val="21"/>
        </w:rPr>
      </w:pPr>
      <w:r>
        <w:rPr>
          <w:rFonts w:hint="eastAsia" w:ascii="宋体" w:hAnsi="宋体" w:cs="宋体"/>
          <w:b/>
          <w:szCs w:val="21"/>
          <w:lang w:eastAsia="zh-CN"/>
        </w:rPr>
        <w:t>广西丰泰工程项目管理有限公司</w:t>
      </w:r>
      <w:r>
        <w:rPr>
          <w:rFonts w:hint="eastAsia" w:ascii="宋体" w:hAnsi="宋体" w:cs="宋体"/>
          <w:b/>
          <w:color w:val="auto"/>
          <w:szCs w:val="21"/>
        </w:rPr>
        <w:t>关于</w:t>
      </w:r>
      <w:bookmarkStart w:id="1" w:name="OLE_LINK32"/>
      <w:r>
        <w:rPr>
          <w:rFonts w:hint="eastAsia" w:ascii="宋体" w:hAnsi="宋体" w:cs="宋体"/>
          <w:b/>
          <w:color w:val="auto"/>
          <w:szCs w:val="21"/>
          <w:lang w:eastAsia="zh-CN"/>
        </w:rPr>
        <w:t>电子支气管内窥镜采购项目</w:t>
      </w:r>
      <w:r>
        <w:rPr>
          <w:rFonts w:hint="eastAsia" w:ascii="宋体" w:hAnsi="宋体" w:cs="宋体"/>
          <w:b/>
          <w:color w:val="auto"/>
          <w:szCs w:val="21"/>
        </w:rPr>
        <w:t>（项目编号：QZZC2026-J1-990076-GXFT）</w:t>
      </w:r>
      <w:bookmarkEnd w:id="1"/>
    </w:p>
    <w:p w14:paraId="14F6F518">
      <w:pPr>
        <w:spacing w:line="350" w:lineRule="exact"/>
        <w:jc w:val="center"/>
        <w:rPr>
          <w:rFonts w:hint="eastAsia" w:ascii="宋体" w:hAnsi="宋体" w:cs="宋体"/>
          <w:color w:val="auto"/>
          <w:szCs w:val="21"/>
        </w:rPr>
      </w:pPr>
      <w:r>
        <w:rPr>
          <w:rFonts w:hint="eastAsia" w:ascii="宋体" w:hAnsi="宋体" w:cs="宋体"/>
          <w:b/>
          <w:color w:val="auto"/>
          <w:szCs w:val="21"/>
        </w:rPr>
        <w:t>竞争性谈判公告</w:t>
      </w:r>
    </w:p>
    <w:p w14:paraId="109FDD14">
      <w:pPr>
        <w:pBdr>
          <w:top w:val="single" w:color="auto" w:sz="4" w:space="1"/>
          <w:left w:val="single" w:color="auto" w:sz="4" w:space="4"/>
          <w:bottom w:val="single" w:color="auto" w:sz="4" w:space="1"/>
          <w:right w:val="single" w:color="auto" w:sz="4" w:space="4"/>
        </w:pBdr>
        <w:spacing w:line="360" w:lineRule="exact"/>
        <w:rPr>
          <w:rFonts w:hint="eastAsia" w:ascii="宋体" w:hAnsi="宋体" w:cs="宋体"/>
          <w:b/>
          <w:bCs/>
          <w:color w:val="auto"/>
          <w:szCs w:val="21"/>
        </w:rPr>
      </w:pPr>
      <w:r>
        <w:rPr>
          <w:rFonts w:hint="eastAsia" w:ascii="宋体" w:hAnsi="宋体" w:cs="宋体"/>
          <w:b/>
          <w:bCs/>
          <w:color w:val="auto"/>
          <w:szCs w:val="21"/>
        </w:rPr>
        <w:t>项目概况</w:t>
      </w:r>
    </w:p>
    <w:p w14:paraId="6C65D40B">
      <w:pPr>
        <w:pBdr>
          <w:top w:val="single" w:color="auto" w:sz="4" w:space="1"/>
          <w:left w:val="single" w:color="auto" w:sz="4" w:space="4"/>
          <w:bottom w:val="single" w:color="auto" w:sz="4" w:space="1"/>
          <w:right w:val="single" w:color="auto" w:sz="4" w:space="4"/>
        </w:pBdr>
        <w:spacing w:line="360" w:lineRule="exact"/>
        <w:ind w:firstLine="420" w:firstLineChars="200"/>
        <w:rPr>
          <w:rFonts w:hint="eastAsia" w:ascii="宋体" w:hAnsi="宋体" w:cs="宋体"/>
          <w:color w:val="auto"/>
          <w:szCs w:val="21"/>
        </w:rPr>
      </w:pPr>
      <w:r>
        <w:rPr>
          <w:rFonts w:hint="eastAsia" w:ascii="宋体" w:hAnsi="宋体" w:cs="宋体"/>
          <w:color w:val="auto"/>
          <w:szCs w:val="21"/>
          <w:u w:val="single"/>
          <w:lang w:eastAsia="zh-CN"/>
        </w:rPr>
        <w:t>电子支气管内窥镜采购项目</w:t>
      </w:r>
      <w:r>
        <w:rPr>
          <w:rFonts w:hint="eastAsia" w:ascii="宋体" w:hAnsi="宋体" w:cs="宋体"/>
          <w:color w:val="auto"/>
          <w:szCs w:val="21"/>
        </w:rPr>
        <w:t>项目的潜在供应商应在</w:t>
      </w:r>
      <w:r>
        <w:rPr>
          <w:rFonts w:hint="eastAsia" w:ascii="宋体" w:hAnsi="宋体" w:cs="宋体"/>
          <w:color w:val="auto"/>
          <w:szCs w:val="21"/>
          <w:lang w:eastAsia="zh-CN"/>
        </w:rPr>
        <w:t>广西政府采购云平台（https://login.gcy.zfcg.gxzf.gov.cn/user-login/#/login）</w:t>
      </w:r>
      <w:r>
        <w:rPr>
          <w:rFonts w:hint="eastAsia" w:ascii="宋体" w:hAnsi="宋体" w:cs="宋体"/>
          <w:color w:val="auto"/>
          <w:szCs w:val="21"/>
        </w:rPr>
        <w:t>免费下载获取采购文件，并于</w:t>
      </w:r>
      <w:r>
        <w:rPr>
          <w:rFonts w:hint="eastAsia" w:ascii="宋体" w:hAnsi="宋体" w:cs="宋体"/>
          <w:color w:val="auto"/>
          <w:szCs w:val="21"/>
          <w:u w:val="single"/>
        </w:rPr>
        <w:t>202</w:t>
      </w:r>
      <w:r>
        <w:rPr>
          <w:rFonts w:hint="eastAsia" w:ascii="宋体" w:hAnsi="宋体" w:cs="宋体"/>
          <w:color w:val="auto"/>
          <w:szCs w:val="21"/>
          <w:u w:val="single"/>
          <w:lang w:val="en-US" w:eastAsia="zh-CN"/>
        </w:rPr>
        <w:t>6</w:t>
      </w:r>
      <w:r>
        <w:rPr>
          <w:rFonts w:hint="eastAsia" w:ascii="宋体" w:hAnsi="宋体" w:cs="宋体"/>
          <w:color w:val="auto"/>
          <w:szCs w:val="21"/>
          <w:u w:val="single"/>
        </w:rPr>
        <w:t>年</w:t>
      </w:r>
      <w:r>
        <w:rPr>
          <w:rFonts w:hint="eastAsia" w:ascii="宋体" w:hAnsi="宋体" w:cs="宋体"/>
          <w:color w:val="auto"/>
          <w:szCs w:val="21"/>
          <w:u w:val="single"/>
          <w:lang w:val="en-US" w:eastAsia="zh-CN"/>
        </w:rPr>
        <w:t>4</w:t>
      </w:r>
      <w:r>
        <w:rPr>
          <w:rFonts w:hint="eastAsia" w:ascii="宋体" w:hAnsi="宋体" w:cs="宋体"/>
          <w:color w:val="auto"/>
          <w:szCs w:val="21"/>
          <w:u w:val="single"/>
        </w:rPr>
        <w:t>月</w:t>
      </w:r>
      <w:r>
        <w:rPr>
          <w:rFonts w:hint="eastAsia" w:ascii="宋体" w:hAnsi="宋体" w:cs="宋体"/>
          <w:color w:val="auto"/>
          <w:szCs w:val="21"/>
          <w:u w:val="single"/>
          <w:lang w:val="en-US" w:eastAsia="zh-CN"/>
        </w:rPr>
        <w:t>9</w:t>
      </w:r>
      <w:r>
        <w:rPr>
          <w:rFonts w:hint="eastAsia" w:ascii="宋体" w:hAnsi="宋体" w:cs="宋体"/>
          <w:color w:val="auto"/>
          <w:szCs w:val="21"/>
          <w:u w:val="single"/>
        </w:rPr>
        <w:t>日</w:t>
      </w:r>
      <w:r>
        <w:rPr>
          <w:rFonts w:hint="eastAsia" w:ascii="宋体" w:hAnsi="宋体" w:cs="宋体"/>
          <w:color w:val="auto"/>
          <w:szCs w:val="21"/>
          <w:u w:val="single"/>
          <w:lang w:val="en-US" w:eastAsia="zh-CN"/>
        </w:rPr>
        <w:t>09</w:t>
      </w:r>
      <w:r>
        <w:rPr>
          <w:rFonts w:hint="eastAsia" w:ascii="宋体" w:hAnsi="宋体" w:cs="宋体"/>
          <w:color w:val="auto"/>
          <w:szCs w:val="21"/>
          <w:u w:val="single"/>
        </w:rPr>
        <w:t>时</w:t>
      </w:r>
      <w:r>
        <w:rPr>
          <w:rFonts w:hint="eastAsia" w:ascii="宋体" w:hAnsi="宋体" w:cs="宋体"/>
          <w:color w:val="auto"/>
          <w:szCs w:val="21"/>
          <w:u w:val="single"/>
          <w:lang w:val="en-US" w:eastAsia="zh-CN"/>
        </w:rPr>
        <w:t>30</w:t>
      </w:r>
      <w:r>
        <w:rPr>
          <w:rFonts w:hint="eastAsia" w:ascii="宋体" w:hAnsi="宋体" w:cs="宋体"/>
          <w:color w:val="auto"/>
          <w:szCs w:val="21"/>
          <w:u w:val="single"/>
        </w:rPr>
        <w:t>分</w:t>
      </w:r>
      <w:r>
        <w:rPr>
          <w:rFonts w:hint="eastAsia" w:ascii="宋体" w:hAnsi="宋体" w:cs="宋体"/>
          <w:color w:val="auto"/>
          <w:szCs w:val="21"/>
        </w:rPr>
        <w:t>（北京时间）前提交响应文件。</w:t>
      </w:r>
    </w:p>
    <w:p w14:paraId="5DF98299">
      <w:pPr>
        <w:spacing w:line="500" w:lineRule="exact"/>
        <w:outlineLvl w:val="1"/>
        <w:rPr>
          <w:rFonts w:hint="eastAsia" w:ascii="宋体" w:hAnsi="宋体" w:cs="宋体"/>
          <w:b/>
          <w:color w:val="auto"/>
          <w:szCs w:val="21"/>
        </w:rPr>
      </w:pPr>
      <w:bookmarkStart w:id="2" w:name="_Toc1417"/>
      <w:bookmarkStart w:id="3" w:name="_Toc28359002"/>
      <w:bookmarkStart w:id="4" w:name="_Toc28359079"/>
      <w:bookmarkStart w:id="5" w:name="_Toc14458"/>
      <w:bookmarkStart w:id="6" w:name="_Toc35393621"/>
      <w:bookmarkStart w:id="7" w:name="_Toc35393790"/>
      <w:bookmarkStart w:id="8" w:name="_Hlk24379207"/>
      <w:r>
        <w:rPr>
          <w:rFonts w:hint="eastAsia" w:ascii="宋体" w:hAnsi="宋体" w:cs="宋体"/>
          <w:b/>
          <w:color w:val="auto"/>
          <w:szCs w:val="21"/>
        </w:rPr>
        <w:t>一、项目基本情况</w:t>
      </w:r>
      <w:bookmarkEnd w:id="2"/>
      <w:bookmarkEnd w:id="3"/>
      <w:bookmarkEnd w:id="4"/>
      <w:bookmarkEnd w:id="5"/>
      <w:bookmarkEnd w:id="6"/>
      <w:bookmarkEnd w:id="7"/>
    </w:p>
    <w:p w14:paraId="3624F646">
      <w:pPr>
        <w:spacing w:line="420" w:lineRule="exact"/>
        <w:ind w:firstLine="420" w:firstLineChars="200"/>
        <w:rPr>
          <w:rFonts w:hint="eastAsia" w:ascii="宋体" w:hAnsi="宋体" w:eastAsia="宋体" w:cs="宋体"/>
          <w:color w:val="auto"/>
          <w:szCs w:val="21"/>
          <w:lang w:eastAsia="zh-CN"/>
        </w:rPr>
      </w:pPr>
      <w:r>
        <w:rPr>
          <w:rFonts w:hint="eastAsia" w:ascii="宋体" w:hAnsi="宋体" w:cs="宋体"/>
          <w:color w:val="auto"/>
          <w:szCs w:val="21"/>
        </w:rPr>
        <w:t>1.项目编号：QZZC2026-J1-990076-GXFT</w:t>
      </w:r>
      <w:r>
        <w:rPr>
          <w:rFonts w:hint="eastAsia" w:ascii="宋体" w:hAnsi="宋体" w:cs="宋体"/>
          <w:color w:val="auto"/>
          <w:kern w:val="0"/>
          <w:szCs w:val="21"/>
          <w:lang w:val="en-US" w:eastAsia="zh-CN"/>
        </w:rPr>
        <w:t xml:space="preserve"> </w:t>
      </w:r>
    </w:p>
    <w:p w14:paraId="1F774396">
      <w:pPr>
        <w:spacing w:line="420" w:lineRule="exact"/>
        <w:ind w:firstLine="420" w:firstLineChars="200"/>
        <w:rPr>
          <w:rFonts w:hint="eastAsia" w:ascii="宋体" w:hAnsi="宋体" w:eastAsia="宋体" w:cs="宋体"/>
          <w:szCs w:val="21"/>
          <w:lang w:eastAsia="zh-CN"/>
        </w:rPr>
      </w:pPr>
      <w:r>
        <w:rPr>
          <w:rFonts w:hint="eastAsia" w:ascii="宋体" w:hAnsi="宋体" w:cs="宋体"/>
          <w:szCs w:val="21"/>
        </w:rPr>
        <w:t>2.项</w:t>
      </w:r>
      <w:r>
        <w:rPr>
          <w:rFonts w:hint="eastAsia" w:ascii="宋体" w:hAnsi="宋体" w:cs="宋体"/>
          <w:color w:val="auto"/>
          <w:szCs w:val="21"/>
        </w:rPr>
        <w:t>目名称：</w:t>
      </w:r>
      <w:r>
        <w:rPr>
          <w:rFonts w:hint="eastAsia" w:ascii="宋体" w:hAnsi="宋体" w:cs="宋体"/>
          <w:color w:val="auto"/>
          <w:szCs w:val="21"/>
          <w:lang w:eastAsia="zh-CN"/>
        </w:rPr>
        <w:t>电子支气管内窥镜采购项目</w:t>
      </w:r>
    </w:p>
    <w:p w14:paraId="388F2F2F">
      <w:pPr>
        <w:spacing w:line="420" w:lineRule="exact"/>
        <w:ind w:firstLine="420" w:firstLineChars="200"/>
        <w:rPr>
          <w:rFonts w:hint="eastAsia" w:ascii="宋体" w:hAnsi="宋体" w:cs="宋体"/>
          <w:szCs w:val="21"/>
        </w:rPr>
      </w:pPr>
      <w:r>
        <w:rPr>
          <w:rFonts w:hint="eastAsia" w:ascii="宋体" w:hAnsi="宋体" w:cs="宋体"/>
          <w:szCs w:val="21"/>
        </w:rPr>
        <w:t>3.采购方式：竞争性谈判</w:t>
      </w:r>
    </w:p>
    <w:bookmarkEnd w:id="8"/>
    <w:p w14:paraId="1AAC81EB">
      <w:pPr>
        <w:spacing w:line="420" w:lineRule="exact"/>
        <w:ind w:firstLine="420" w:firstLineChars="200"/>
        <w:rPr>
          <w:rFonts w:hint="eastAsia" w:ascii="宋体" w:hAnsi="宋体" w:cs="宋体"/>
          <w:color w:val="000000"/>
          <w:szCs w:val="21"/>
        </w:rPr>
      </w:pPr>
      <w:r>
        <w:rPr>
          <w:rFonts w:hint="eastAsia" w:ascii="宋体" w:hAnsi="宋体" w:cs="宋体"/>
          <w:color w:val="000000"/>
          <w:szCs w:val="21"/>
        </w:rPr>
        <w:t>4.预算金额：</w:t>
      </w:r>
      <w:r>
        <w:rPr>
          <w:rFonts w:hint="eastAsia" w:ascii="宋体" w:hAnsi="宋体" w:cs="宋体"/>
          <w:color w:val="000000"/>
          <w:szCs w:val="21"/>
          <w:lang w:eastAsia="zh-CN"/>
        </w:rPr>
        <w:t>人民币</w:t>
      </w:r>
      <w:r>
        <w:rPr>
          <w:rFonts w:hint="eastAsia" w:ascii="宋体" w:hAnsi="宋体" w:cs="宋体"/>
          <w:color w:val="000000"/>
          <w:szCs w:val="21"/>
          <w:lang w:val="en-US" w:eastAsia="zh-CN"/>
        </w:rPr>
        <w:t>贰佰肆拾伍万元整</w:t>
      </w:r>
      <w:r>
        <w:rPr>
          <w:rFonts w:hint="eastAsia" w:ascii="宋体" w:hAnsi="宋体" w:cs="宋体"/>
          <w:color w:val="000000"/>
          <w:szCs w:val="21"/>
          <w:lang w:eastAsia="zh-CN"/>
        </w:rPr>
        <w:t>(¥</w:t>
      </w:r>
      <w:r>
        <w:rPr>
          <w:rFonts w:hint="eastAsia" w:ascii="宋体" w:hAnsi="宋体" w:cs="宋体"/>
          <w:color w:val="000000"/>
          <w:szCs w:val="21"/>
          <w:lang w:val="en-US" w:eastAsia="zh-CN"/>
        </w:rPr>
        <w:t>2450000</w:t>
      </w:r>
      <w:r>
        <w:rPr>
          <w:rFonts w:hint="eastAsia" w:ascii="宋体" w:hAnsi="宋体" w:cs="宋体"/>
          <w:color w:val="000000"/>
          <w:szCs w:val="21"/>
          <w:lang w:eastAsia="zh-CN"/>
        </w:rPr>
        <w:t>.00)</w:t>
      </w:r>
    </w:p>
    <w:p w14:paraId="7E9E4856">
      <w:pPr>
        <w:pStyle w:val="23"/>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5.最高限价：</w:t>
      </w:r>
      <w:bookmarkStart w:id="9" w:name="OLE_LINK34"/>
      <w:r>
        <w:rPr>
          <w:rFonts w:hint="eastAsia" w:ascii="宋体" w:hAnsi="宋体" w:cs="宋体"/>
          <w:color w:val="auto"/>
          <w:szCs w:val="21"/>
          <w:lang w:eastAsia="zh-CN"/>
        </w:rPr>
        <w:t>人民币</w:t>
      </w:r>
      <w:r>
        <w:rPr>
          <w:rFonts w:hint="eastAsia" w:ascii="宋体" w:hAnsi="宋体" w:cs="宋体"/>
          <w:color w:val="auto"/>
          <w:szCs w:val="21"/>
          <w:lang w:val="en-US" w:eastAsia="zh-CN"/>
        </w:rPr>
        <w:t>贰佰壹拾陆万陆仟元整</w:t>
      </w:r>
      <w:r>
        <w:rPr>
          <w:rFonts w:hint="eastAsia" w:ascii="宋体" w:hAnsi="宋体" w:cs="宋体"/>
          <w:color w:val="auto"/>
          <w:szCs w:val="21"/>
          <w:lang w:eastAsia="zh-CN"/>
        </w:rPr>
        <w:t>(¥</w:t>
      </w:r>
      <w:r>
        <w:rPr>
          <w:rFonts w:hint="eastAsia" w:ascii="宋体" w:hAnsi="宋体" w:cs="宋体"/>
          <w:color w:val="auto"/>
          <w:szCs w:val="21"/>
          <w:lang w:val="en-US" w:eastAsia="zh-CN"/>
        </w:rPr>
        <w:t>2166000</w:t>
      </w:r>
      <w:r>
        <w:rPr>
          <w:rFonts w:hint="eastAsia" w:ascii="宋体" w:hAnsi="宋体" w:cs="宋体"/>
          <w:color w:val="auto"/>
          <w:szCs w:val="21"/>
          <w:lang w:eastAsia="zh-CN"/>
        </w:rPr>
        <w:t>.00)</w:t>
      </w:r>
      <w:bookmarkEnd w:id="9"/>
    </w:p>
    <w:p w14:paraId="2393DA22">
      <w:pPr>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6.采购需求：</w:t>
      </w:r>
      <w:bookmarkStart w:id="10" w:name="OLE_LINK7"/>
      <w:r>
        <w:rPr>
          <w:rFonts w:hint="eastAsia" w:ascii="宋体" w:hAnsi="宋体" w:cs="宋体"/>
          <w:color w:val="auto"/>
          <w:szCs w:val="21"/>
          <w:highlight w:val="none"/>
        </w:rPr>
        <w:t>电子支气管内窥镜1套</w:t>
      </w:r>
      <w:r>
        <w:rPr>
          <w:rFonts w:hint="eastAsia" w:ascii="宋体" w:hAnsi="宋体" w:cs="宋体"/>
          <w:color w:val="auto"/>
          <w:szCs w:val="21"/>
          <w:highlight w:val="none"/>
          <w:lang w:eastAsia="zh-CN"/>
        </w:rPr>
        <w:t>、电子鼻咽喉镜内窥镜1套、高端心电监护仪3台、鼻内窥镜手术器械1套、可调式支撑喉镜手术器械1套、儿童中央监护仪（1拖8）1套</w:t>
      </w:r>
      <w:r>
        <w:rPr>
          <w:rFonts w:hint="eastAsia" w:ascii="宋体" w:hAnsi="宋体" w:cs="宋体"/>
          <w:color w:val="auto"/>
          <w:szCs w:val="21"/>
          <w:highlight w:val="none"/>
        </w:rPr>
        <w:t>，如需进一步了解详细内容，详见竞争性谈判文件。</w:t>
      </w:r>
      <w:bookmarkEnd w:id="10"/>
    </w:p>
    <w:p w14:paraId="4711B636">
      <w:pPr>
        <w:spacing w:line="5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合同履约期限</w:t>
      </w:r>
      <w:r>
        <w:rPr>
          <w:rFonts w:hint="eastAsia" w:ascii="宋体" w:hAnsi="宋体" w:cs="宋体"/>
          <w:color w:val="auto"/>
          <w:szCs w:val="21"/>
          <w:highlight w:val="none"/>
        </w:rPr>
        <w:t>：</w:t>
      </w:r>
      <w:bookmarkStart w:id="11" w:name="OLE_LINK6"/>
      <w:r>
        <w:rPr>
          <w:rFonts w:hint="eastAsia" w:ascii="宋体" w:hAnsi="宋体" w:cs="宋体"/>
          <w:color w:val="auto"/>
          <w:szCs w:val="21"/>
          <w:highlight w:val="none"/>
        </w:rPr>
        <w:t>自签订合同之日起</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0个日历日内交付使用。</w:t>
      </w:r>
      <w:bookmarkEnd w:id="11"/>
    </w:p>
    <w:p w14:paraId="018F4BDC">
      <w:pPr>
        <w:spacing w:line="480" w:lineRule="exact"/>
        <w:ind w:firstLine="420" w:firstLineChars="200"/>
        <w:rPr>
          <w:rFonts w:hint="eastAsia" w:ascii="宋体" w:hAnsi="宋体" w:cs="宋体"/>
          <w:bCs/>
          <w:szCs w:val="21"/>
        </w:rPr>
      </w:pPr>
      <w:bookmarkStart w:id="12" w:name="_Toc28359080"/>
      <w:bookmarkStart w:id="13" w:name="_Toc35393622"/>
      <w:bookmarkStart w:id="14" w:name="_Toc35393791"/>
      <w:bookmarkStart w:id="15" w:name="_Toc28359003"/>
      <w:r>
        <w:rPr>
          <w:rFonts w:hint="eastAsia" w:ascii="宋体" w:hAnsi="宋体" w:cs="宋体"/>
          <w:bCs/>
          <w:szCs w:val="21"/>
        </w:rPr>
        <w:t>8.本项目不接受联合体竞标。</w:t>
      </w:r>
    </w:p>
    <w:p w14:paraId="1CBC5950">
      <w:pPr>
        <w:spacing w:line="500" w:lineRule="exact"/>
        <w:outlineLvl w:val="1"/>
        <w:rPr>
          <w:rFonts w:hint="eastAsia" w:ascii="宋体" w:hAnsi="宋体" w:cs="宋体"/>
          <w:b/>
          <w:szCs w:val="21"/>
        </w:rPr>
      </w:pPr>
      <w:bookmarkStart w:id="16" w:name="_Toc30603"/>
      <w:bookmarkStart w:id="17" w:name="_Toc4072"/>
      <w:r>
        <w:rPr>
          <w:rFonts w:hint="eastAsia" w:ascii="宋体" w:hAnsi="宋体" w:cs="宋体"/>
          <w:b/>
          <w:szCs w:val="21"/>
        </w:rPr>
        <w:t>二、</w:t>
      </w:r>
      <w:bookmarkEnd w:id="12"/>
      <w:bookmarkEnd w:id="13"/>
      <w:bookmarkEnd w:id="14"/>
      <w:bookmarkEnd w:id="15"/>
      <w:bookmarkStart w:id="18" w:name="_Toc35393792"/>
      <w:bookmarkStart w:id="19" w:name="_Toc28359081"/>
      <w:bookmarkStart w:id="20" w:name="_Toc35393623"/>
      <w:bookmarkStart w:id="21" w:name="_Toc28359004"/>
      <w:r>
        <w:rPr>
          <w:rFonts w:hint="eastAsia" w:ascii="宋体" w:hAnsi="宋体" w:cs="宋体"/>
          <w:b/>
          <w:szCs w:val="21"/>
          <w:lang w:val="en-US" w:eastAsia="zh-CN"/>
        </w:rPr>
        <w:t>竞</w:t>
      </w:r>
      <w:r>
        <w:rPr>
          <w:rFonts w:hint="eastAsia" w:ascii="宋体" w:hAnsi="宋体" w:cs="宋体"/>
          <w:b/>
          <w:szCs w:val="21"/>
        </w:rPr>
        <w:t>标人资格要求</w:t>
      </w:r>
      <w:bookmarkEnd w:id="16"/>
      <w:bookmarkEnd w:id="17"/>
    </w:p>
    <w:bookmarkEnd w:id="18"/>
    <w:bookmarkEnd w:id="19"/>
    <w:bookmarkEnd w:id="20"/>
    <w:bookmarkEnd w:id="21"/>
    <w:p w14:paraId="307DFF80">
      <w:pPr>
        <w:spacing w:line="440" w:lineRule="exact"/>
        <w:ind w:firstLine="422" w:firstLineChars="200"/>
        <w:rPr>
          <w:rFonts w:hint="eastAsia" w:ascii="宋体" w:hAnsi="宋体" w:cs="宋体"/>
          <w:b/>
          <w:szCs w:val="21"/>
        </w:rPr>
      </w:pPr>
      <w:bookmarkStart w:id="22" w:name="_Toc35393793"/>
      <w:bookmarkStart w:id="23" w:name="_Toc28359005"/>
      <w:bookmarkStart w:id="24" w:name="_Toc28359082"/>
      <w:bookmarkStart w:id="25" w:name="_Toc35393624"/>
      <w:r>
        <w:rPr>
          <w:rFonts w:hint="eastAsia" w:ascii="宋体" w:hAnsi="宋体" w:cs="宋体"/>
          <w:b/>
          <w:szCs w:val="21"/>
        </w:rPr>
        <w:t>1、满足《中华人民共和国政府采购法》第二十二条的规定；</w:t>
      </w:r>
    </w:p>
    <w:p w14:paraId="6699B76E">
      <w:pPr>
        <w:spacing w:line="440" w:lineRule="exact"/>
        <w:ind w:firstLine="422" w:firstLineChars="200"/>
        <w:rPr>
          <w:rFonts w:hint="eastAsia" w:ascii="宋体" w:hAnsi="宋体" w:cs="宋体"/>
        </w:rPr>
      </w:pPr>
      <w:r>
        <w:rPr>
          <w:rFonts w:hint="eastAsia" w:ascii="宋体" w:hAnsi="宋体" w:cs="宋体"/>
          <w:b/>
          <w:szCs w:val="21"/>
        </w:rPr>
        <w:t>2、落实政府采购政策需满足的资格要求</w:t>
      </w:r>
      <w:r>
        <w:rPr>
          <w:rFonts w:hint="eastAsia" w:ascii="宋体" w:hAnsi="宋体" w:cs="宋体"/>
          <w:b/>
          <w:color w:val="auto"/>
          <w:szCs w:val="21"/>
        </w:rPr>
        <w:t>：</w:t>
      </w:r>
      <w:r>
        <w:rPr>
          <w:rFonts w:hint="eastAsia" w:ascii="宋体" w:hAnsi="宋体" w:cs="宋体"/>
          <w:color w:val="auto"/>
        </w:rPr>
        <w:t>☑</w:t>
      </w:r>
      <w:r>
        <w:rPr>
          <w:rFonts w:hint="eastAsia" w:ascii="宋体" w:hAnsi="宋体" w:cs="宋体"/>
          <w:color w:val="auto"/>
          <w:lang w:val="en-US" w:eastAsia="zh-CN"/>
        </w:rPr>
        <w:t xml:space="preserve"> </w:t>
      </w:r>
      <w:bookmarkStart w:id="26" w:name="OLE_LINK8"/>
      <w:r>
        <w:rPr>
          <w:rFonts w:hint="eastAsia" w:ascii="宋体" w:hAnsi="宋体" w:cs="宋体"/>
          <w:color w:val="auto"/>
        </w:rPr>
        <w:t>非专门面向中小企业采购的项目</w:t>
      </w:r>
      <w:bookmarkEnd w:id="26"/>
    </w:p>
    <w:p w14:paraId="0E60F673">
      <w:pPr>
        <w:pStyle w:val="78"/>
        <w:ind w:firstLine="422" w:firstLineChars="200"/>
        <w:rPr>
          <w:rFonts w:hint="eastAsia" w:ascii="宋体" w:hAnsi="宋体" w:cs="宋体"/>
        </w:rPr>
      </w:pPr>
      <w:r>
        <w:rPr>
          <w:rFonts w:hint="eastAsia" w:ascii="宋体" w:hAnsi="宋体" w:cs="宋体"/>
          <w:b/>
          <w:szCs w:val="21"/>
        </w:rPr>
        <w:t>3、本项目的特定资格要求：</w:t>
      </w:r>
      <w:bookmarkStart w:id="27" w:name="OLE_LINK4"/>
      <w:r>
        <w:rPr>
          <w:rFonts w:hint="eastAsia" w:ascii="宋体" w:hAnsi="宋体" w:cs="宋体"/>
          <w:spacing w:val="10"/>
        </w:rPr>
        <w:t>具备由国家主管部</w:t>
      </w:r>
      <w:r>
        <w:rPr>
          <w:rFonts w:hint="eastAsia" w:ascii="宋体" w:hAnsi="宋体" w:cs="宋体"/>
          <w:spacing w:val="9"/>
        </w:rPr>
        <w:t>门</w:t>
      </w:r>
      <w:r>
        <w:rPr>
          <w:rFonts w:hint="eastAsia" w:ascii="宋体" w:hAnsi="宋体" w:cs="宋体"/>
          <w:spacing w:val="8"/>
        </w:rPr>
        <w:t>颁发的有效的证件</w:t>
      </w:r>
      <w:r>
        <w:rPr>
          <w:rFonts w:hint="eastAsia" w:ascii="宋体" w:hAnsi="宋体" w:cs="宋体"/>
          <w:spacing w:val="8"/>
          <w:lang w:eastAsia="zh-CN"/>
        </w:rPr>
        <w:t>（</w:t>
      </w:r>
      <w:r>
        <w:rPr>
          <w:rFonts w:hint="eastAsia" w:ascii="宋体" w:hAnsi="宋体" w:cs="宋体"/>
          <w:spacing w:val="8"/>
        </w:rPr>
        <w:t>生产企业须提供《医疗器械生产许可证》；</w:t>
      </w:r>
      <w:r>
        <w:rPr>
          <w:rFonts w:hint="eastAsia" w:ascii="宋体" w:hAnsi="宋体" w:cs="宋体"/>
          <w:spacing w:val="8"/>
          <w:lang w:eastAsia="zh-CN"/>
        </w:rPr>
        <w:t>按照</w:t>
      </w:r>
      <w:r>
        <w:rPr>
          <w:rFonts w:hint="eastAsia" w:ascii="宋体" w:hAnsi="宋体" w:cs="宋体"/>
          <w:spacing w:val="8"/>
        </w:rPr>
        <w:t>《医疗器械经营监督管理办法》</w:t>
      </w:r>
      <w:r>
        <w:rPr>
          <w:rFonts w:hint="eastAsia" w:ascii="宋体" w:hAnsi="宋体" w:cs="宋体"/>
          <w:spacing w:val="8"/>
          <w:lang w:eastAsia="zh-CN"/>
        </w:rPr>
        <w:t>（</w:t>
      </w:r>
      <w:r>
        <w:rPr>
          <w:rFonts w:hint="eastAsia" w:ascii="宋体" w:hAnsi="宋体" w:cs="宋体"/>
          <w:spacing w:val="14"/>
        </w:rPr>
        <w:t>国家食品</w:t>
      </w:r>
      <w:r>
        <w:rPr>
          <w:rFonts w:hint="eastAsia" w:ascii="宋体" w:hAnsi="宋体" w:cs="宋体"/>
          <w:spacing w:val="8"/>
        </w:rPr>
        <w:t>药</w:t>
      </w:r>
      <w:r>
        <w:rPr>
          <w:rFonts w:hint="eastAsia" w:ascii="宋体" w:hAnsi="宋体" w:cs="宋体"/>
          <w:spacing w:val="7"/>
        </w:rPr>
        <w:t>品监督管理总局第8号令</w:t>
      </w:r>
      <w:r>
        <w:rPr>
          <w:rFonts w:hint="eastAsia" w:ascii="宋体" w:hAnsi="宋体" w:cs="宋体"/>
          <w:spacing w:val="7"/>
          <w:lang w:eastAsia="zh-CN"/>
        </w:rPr>
        <w:t>）</w:t>
      </w:r>
      <w:r>
        <w:rPr>
          <w:rFonts w:hint="eastAsia" w:ascii="宋体" w:hAnsi="宋体" w:cs="宋体"/>
          <w:spacing w:val="7"/>
        </w:rPr>
        <w:t>医疗器械分类管理要求，经营企业经营第二类医疗器械的</w:t>
      </w:r>
      <w:r>
        <w:rPr>
          <w:rFonts w:hint="eastAsia" w:ascii="宋体" w:hAnsi="宋体" w:cs="宋体"/>
          <w:spacing w:val="10"/>
        </w:rPr>
        <w:t>须提供《第</w:t>
      </w:r>
      <w:r>
        <w:rPr>
          <w:rFonts w:hint="eastAsia" w:ascii="宋体" w:hAnsi="宋体" w:cs="宋体"/>
          <w:spacing w:val="5"/>
        </w:rPr>
        <w:t>二类医疗器械经营备案凭证》，经营第三类医疗器械的须提供《医疗器械经营许可证》</w:t>
      </w:r>
      <w:r>
        <w:rPr>
          <w:rFonts w:hint="eastAsia" w:ascii="宋体" w:hAnsi="宋体" w:cs="宋体"/>
          <w:spacing w:val="5"/>
          <w:lang w:eastAsia="zh-CN"/>
        </w:rPr>
        <w:t>）</w:t>
      </w:r>
      <w:r>
        <w:rPr>
          <w:rFonts w:hint="eastAsia" w:ascii="宋体" w:hAnsi="宋体" w:cs="宋体"/>
          <w:spacing w:val="5"/>
        </w:rPr>
        <w:t>。</w:t>
      </w:r>
    </w:p>
    <w:bookmarkEnd w:id="27"/>
    <w:p w14:paraId="1E7A8229">
      <w:pPr>
        <w:widowControl/>
        <w:spacing w:line="500" w:lineRule="exact"/>
        <w:outlineLvl w:val="1"/>
        <w:rPr>
          <w:rFonts w:hint="eastAsia" w:ascii="宋体" w:hAnsi="宋体" w:cs="宋体"/>
          <w:b/>
          <w:bCs/>
          <w:szCs w:val="21"/>
        </w:rPr>
      </w:pPr>
      <w:bookmarkStart w:id="28" w:name="_Toc3467"/>
      <w:bookmarkStart w:id="29" w:name="_Toc6267"/>
      <w:r>
        <w:rPr>
          <w:rFonts w:hint="eastAsia" w:ascii="宋体" w:hAnsi="宋体" w:cs="宋体"/>
          <w:b/>
          <w:bCs/>
          <w:szCs w:val="21"/>
        </w:rPr>
        <w:t>三、获取竞争性谈判文件</w:t>
      </w:r>
      <w:bookmarkEnd w:id="28"/>
      <w:bookmarkEnd w:id="29"/>
    </w:p>
    <w:p w14:paraId="640C64F5">
      <w:pPr>
        <w:widowControl/>
        <w:spacing w:line="500" w:lineRule="exact"/>
        <w:ind w:firstLine="426" w:firstLineChars="203"/>
        <w:rPr>
          <w:rFonts w:hint="eastAsia" w:ascii="宋体" w:hAnsi="宋体" w:cs="宋体"/>
          <w:szCs w:val="21"/>
          <w:lang w:bidi="ar"/>
        </w:rPr>
      </w:pPr>
      <w:r>
        <w:rPr>
          <w:rFonts w:hint="eastAsia" w:ascii="宋体" w:hAnsi="宋体" w:cs="宋体"/>
          <w:szCs w:val="21"/>
        </w:rPr>
        <w:t>时间：</w:t>
      </w:r>
      <w:r>
        <w:rPr>
          <w:rFonts w:hint="eastAsia" w:ascii="宋体" w:hAnsi="宋体" w:cs="宋体"/>
        </w:rPr>
        <w:t>202</w:t>
      </w:r>
      <w:r>
        <w:rPr>
          <w:rFonts w:hint="eastAsia" w:ascii="宋体" w:hAnsi="宋体" w:cs="宋体"/>
          <w:lang w:val="en-US" w:eastAsia="zh-CN"/>
        </w:rPr>
        <w:t>6</w:t>
      </w:r>
      <w:r>
        <w:rPr>
          <w:rFonts w:hint="eastAsia" w:ascii="宋体" w:hAnsi="宋体" w:cs="宋体"/>
        </w:rPr>
        <w:t>年</w:t>
      </w:r>
      <w:r>
        <w:rPr>
          <w:rFonts w:hint="eastAsia" w:ascii="宋体" w:hAnsi="宋体" w:cs="宋体"/>
          <w:lang w:val="en-US" w:eastAsia="zh-CN"/>
        </w:rPr>
        <w:t>4</w:t>
      </w:r>
      <w:r>
        <w:rPr>
          <w:rFonts w:hint="eastAsia" w:ascii="宋体" w:hAnsi="宋体" w:cs="宋体"/>
        </w:rPr>
        <w:t>月</w:t>
      </w:r>
      <w:r>
        <w:rPr>
          <w:rFonts w:hint="eastAsia" w:ascii="宋体" w:hAnsi="宋体" w:cs="宋体"/>
          <w:lang w:val="en-US" w:eastAsia="zh-CN"/>
        </w:rPr>
        <w:t>2</w:t>
      </w:r>
      <w:r>
        <w:rPr>
          <w:rFonts w:hint="eastAsia" w:ascii="宋体" w:hAnsi="宋体" w:cs="宋体"/>
        </w:rPr>
        <w:t>日至202</w:t>
      </w:r>
      <w:r>
        <w:rPr>
          <w:rFonts w:hint="eastAsia" w:ascii="宋体" w:hAnsi="宋体" w:cs="宋体"/>
          <w:lang w:val="en-US" w:eastAsia="zh-CN"/>
        </w:rPr>
        <w:t>6</w:t>
      </w:r>
      <w:r>
        <w:rPr>
          <w:rFonts w:hint="eastAsia" w:ascii="宋体" w:hAnsi="宋体" w:cs="宋体"/>
        </w:rPr>
        <w:t>年</w:t>
      </w:r>
      <w:r>
        <w:rPr>
          <w:rFonts w:hint="eastAsia" w:ascii="宋体" w:hAnsi="宋体" w:cs="宋体"/>
          <w:lang w:val="en-US" w:eastAsia="zh-CN"/>
        </w:rPr>
        <w:t>4</w:t>
      </w:r>
      <w:r>
        <w:rPr>
          <w:rFonts w:hint="eastAsia" w:ascii="宋体" w:hAnsi="宋体" w:cs="宋体"/>
        </w:rPr>
        <w:t>月</w:t>
      </w:r>
      <w:r>
        <w:rPr>
          <w:rFonts w:hint="eastAsia" w:ascii="宋体" w:hAnsi="宋体" w:cs="宋体"/>
          <w:lang w:val="en-US" w:eastAsia="zh-CN"/>
        </w:rPr>
        <w:t>8</w:t>
      </w:r>
      <w:r>
        <w:rPr>
          <w:rFonts w:hint="eastAsia" w:ascii="宋体" w:hAnsi="宋体" w:cs="宋体"/>
        </w:rPr>
        <w:t>日，每天上午0</w:t>
      </w:r>
      <w:r>
        <w:rPr>
          <w:rFonts w:hint="eastAsia" w:ascii="宋体" w:hAnsi="宋体" w:cs="宋体"/>
          <w:lang w:val="en-US" w:eastAsia="zh-CN"/>
        </w:rPr>
        <w:t>8</w:t>
      </w:r>
      <w:r>
        <w:rPr>
          <w:rFonts w:hint="eastAsia" w:ascii="宋体" w:hAnsi="宋体" w:cs="宋体"/>
        </w:rPr>
        <w:t>:00至12:00，下午</w:t>
      </w:r>
      <w:r>
        <w:rPr>
          <w:rFonts w:hint="eastAsia" w:ascii="宋体" w:hAnsi="宋体" w:cs="宋体"/>
          <w:lang w:val="en-US" w:eastAsia="zh-CN"/>
        </w:rPr>
        <w:t>15</w:t>
      </w:r>
      <w:r>
        <w:rPr>
          <w:rFonts w:hint="eastAsia" w:ascii="宋体" w:hAnsi="宋体" w:cs="宋体"/>
        </w:rPr>
        <w:t>:</w:t>
      </w:r>
      <w:r>
        <w:rPr>
          <w:rFonts w:hint="eastAsia" w:ascii="宋体" w:hAnsi="宋体" w:cs="宋体"/>
          <w:lang w:val="en-US" w:eastAsia="zh-CN"/>
        </w:rPr>
        <w:t>0</w:t>
      </w:r>
      <w:r>
        <w:rPr>
          <w:rFonts w:hint="eastAsia" w:ascii="宋体" w:hAnsi="宋体" w:cs="宋体"/>
        </w:rPr>
        <w:t>0至</w:t>
      </w:r>
      <w:r>
        <w:rPr>
          <w:rFonts w:hint="eastAsia" w:ascii="宋体" w:hAnsi="宋体" w:cs="宋体"/>
          <w:lang w:val="en-US" w:eastAsia="zh-CN"/>
        </w:rPr>
        <w:t>18:00</w:t>
      </w:r>
      <w:r>
        <w:rPr>
          <w:rFonts w:hint="eastAsia" w:ascii="宋体" w:hAnsi="宋体" w:cs="宋体"/>
        </w:rPr>
        <w:t>（北京时间，法定节假日除外）</w:t>
      </w:r>
    </w:p>
    <w:p w14:paraId="19F2C3A3">
      <w:pPr>
        <w:widowControl/>
        <w:spacing w:line="520" w:lineRule="exact"/>
        <w:ind w:firstLine="426" w:firstLineChars="203"/>
        <w:jc w:val="left"/>
        <w:rPr>
          <w:rFonts w:hint="eastAsia" w:ascii="宋体" w:hAnsi="宋体" w:cs="宋体"/>
          <w:color w:val="auto"/>
          <w:szCs w:val="21"/>
        </w:rPr>
      </w:pPr>
      <w:r>
        <w:rPr>
          <w:rFonts w:hint="eastAsia" w:ascii="宋体" w:hAnsi="宋体" w:cs="宋体"/>
          <w:szCs w:val="21"/>
        </w:rPr>
        <w:t>地点：</w:t>
      </w:r>
      <w:r>
        <w:rPr>
          <w:rFonts w:hint="eastAsia" w:ascii="宋体" w:hAnsi="宋体" w:cs="宋体"/>
          <w:color w:val="auto"/>
          <w:szCs w:val="21"/>
        </w:rPr>
        <w:t xml:space="preserve">登录广西政府采购云平台（https://login.gcy.zfcg.gxzf.gov.cn/user-login/#/login）下载 </w:t>
      </w:r>
    </w:p>
    <w:p w14:paraId="040F76EA">
      <w:pPr>
        <w:widowControl/>
        <w:spacing w:line="440" w:lineRule="exact"/>
        <w:ind w:firstLine="426" w:firstLineChars="203"/>
        <w:rPr>
          <w:rFonts w:hint="eastAsia" w:ascii="宋体" w:hAnsi="宋体" w:cs="宋体"/>
          <w:color w:val="auto"/>
          <w:szCs w:val="21"/>
        </w:rPr>
      </w:pPr>
    </w:p>
    <w:p w14:paraId="20CFB2C8">
      <w:pPr>
        <w:widowControl/>
        <w:spacing w:line="440" w:lineRule="exact"/>
        <w:ind w:firstLine="426" w:firstLineChars="203"/>
        <w:rPr>
          <w:rFonts w:hint="eastAsia" w:ascii="宋体" w:hAnsi="宋体" w:cs="宋体"/>
          <w:szCs w:val="21"/>
        </w:rPr>
      </w:pPr>
      <w:r>
        <w:rPr>
          <w:rFonts w:hint="eastAsia" w:ascii="宋体" w:hAnsi="宋体" w:cs="宋体"/>
          <w:color w:val="auto"/>
          <w:szCs w:val="21"/>
        </w:rPr>
        <w:t>方式：</w:t>
      </w:r>
      <w:bookmarkStart w:id="30" w:name="OLE_LINK9"/>
      <w:r>
        <w:rPr>
          <w:rFonts w:hint="eastAsia" w:ascii="宋体" w:hAnsi="宋体" w:cs="宋体"/>
          <w:color w:val="auto"/>
          <w:szCs w:val="21"/>
        </w:rPr>
        <w:t>网上下载。本项目不提供纸质文件，潜在供应商需使用账号登录或者使用CA登录“广西政府采购云平台”（https://login.gcy.zfcg.gxzf.gov.cn/user-login/#/login）－进入“项目采购”应用，在获取采购文件菜单中选择项目，获取采购文件（或在“广西政府采购云平台电子投标客户端－获取采购文件”跳转到广西政府采购云平台系统获取）。电子响应文件需要基于“广西政府采购云平台”获取的采购文件编制。</w:t>
      </w:r>
      <w:bookmarkEnd w:id="30"/>
    </w:p>
    <w:p w14:paraId="0FF7DC84">
      <w:pPr>
        <w:widowControl/>
        <w:spacing w:line="500" w:lineRule="exact"/>
        <w:ind w:firstLine="426" w:firstLineChars="203"/>
        <w:rPr>
          <w:rFonts w:hint="eastAsia" w:ascii="宋体" w:hAnsi="宋体" w:cs="宋体"/>
          <w:szCs w:val="21"/>
        </w:rPr>
      </w:pPr>
      <w:r>
        <w:rPr>
          <w:rFonts w:hint="eastAsia" w:ascii="宋体" w:hAnsi="宋体" w:cs="宋体"/>
          <w:szCs w:val="21"/>
        </w:rPr>
        <w:t xml:space="preserve">售价（元）：0。 </w:t>
      </w:r>
    </w:p>
    <w:p w14:paraId="2DC8691F">
      <w:pPr>
        <w:spacing w:line="500" w:lineRule="exact"/>
        <w:outlineLvl w:val="1"/>
        <w:rPr>
          <w:rFonts w:hint="eastAsia" w:ascii="宋体" w:hAnsi="宋体" w:cs="宋体"/>
          <w:b/>
          <w:szCs w:val="21"/>
        </w:rPr>
      </w:pPr>
      <w:bookmarkStart w:id="31" w:name="_Toc31094"/>
      <w:bookmarkStart w:id="32" w:name="_Toc10638"/>
      <w:r>
        <w:rPr>
          <w:rFonts w:hint="eastAsia" w:ascii="宋体" w:hAnsi="宋体" w:cs="宋体"/>
          <w:b/>
          <w:szCs w:val="21"/>
        </w:rPr>
        <w:t>四、</w:t>
      </w:r>
      <w:bookmarkEnd w:id="22"/>
      <w:bookmarkEnd w:id="23"/>
      <w:bookmarkEnd w:id="24"/>
      <w:bookmarkEnd w:id="25"/>
      <w:r>
        <w:rPr>
          <w:rFonts w:hint="eastAsia" w:ascii="宋体" w:hAnsi="宋体" w:cs="宋体"/>
          <w:b/>
          <w:szCs w:val="21"/>
        </w:rPr>
        <w:t>响应文件提交</w:t>
      </w:r>
      <w:bookmarkEnd w:id="31"/>
      <w:bookmarkEnd w:id="32"/>
    </w:p>
    <w:p w14:paraId="1268A01E">
      <w:pPr>
        <w:widowControl/>
        <w:spacing w:line="380" w:lineRule="exact"/>
        <w:ind w:firstLine="420" w:firstLineChars="200"/>
        <w:rPr>
          <w:rFonts w:hint="eastAsia" w:ascii="宋体" w:hAnsi="宋体" w:cs="宋体"/>
          <w:szCs w:val="21"/>
        </w:rPr>
      </w:pPr>
      <w:bookmarkStart w:id="33" w:name="_Toc28359084"/>
      <w:bookmarkStart w:id="34" w:name="_Toc28359007"/>
      <w:bookmarkStart w:id="35" w:name="_Toc35393625"/>
      <w:bookmarkStart w:id="36" w:name="_Toc35393794"/>
      <w:r>
        <w:rPr>
          <w:rFonts w:hint="eastAsia" w:ascii="宋体" w:hAnsi="宋体" w:cs="宋体"/>
          <w:szCs w:val="21"/>
          <w:lang w:val="en-US" w:eastAsia="zh-CN"/>
        </w:rPr>
        <w:t>1.</w:t>
      </w:r>
      <w:r>
        <w:rPr>
          <w:rFonts w:hint="eastAsia" w:ascii="宋体" w:hAnsi="宋体" w:cs="宋体"/>
          <w:szCs w:val="21"/>
        </w:rPr>
        <w:t>截止时间：</w:t>
      </w:r>
      <w:r>
        <w:rPr>
          <w:rFonts w:hint="eastAsia" w:ascii="宋体" w:hAnsi="宋体" w:cs="宋体"/>
          <w:color w:val="auto"/>
          <w:szCs w:val="21"/>
        </w:rPr>
        <w:t>202</w:t>
      </w:r>
      <w:r>
        <w:rPr>
          <w:rFonts w:hint="eastAsia" w:ascii="宋体" w:hAnsi="宋体" w:cs="宋体"/>
          <w:color w:val="auto"/>
          <w:szCs w:val="21"/>
          <w:lang w:val="en-US" w:eastAsia="zh-CN"/>
        </w:rPr>
        <w:t>6</w:t>
      </w:r>
      <w:r>
        <w:rPr>
          <w:rFonts w:hint="eastAsia" w:ascii="宋体" w:hAnsi="宋体" w:cs="宋体"/>
          <w:color w:val="auto"/>
          <w:szCs w:val="21"/>
        </w:rPr>
        <w:t>年</w:t>
      </w:r>
      <w:r>
        <w:rPr>
          <w:rFonts w:hint="eastAsia" w:ascii="宋体" w:hAnsi="宋体" w:cs="宋体"/>
          <w:color w:val="auto"/>
          <w:szCs w:val="21"/>
          <w:lang w:val="en-US" w:eastAsia="zh-CN"/>
        </w:rPr>
        <w:t>4</w:t>
      </w:r>
      <w:r>
        <w:rPr>
          <w:rFonts w:hint="eastAsia" w:ascii="宋体" w:hAnsi="宋体" w:cs="宋体"/>
          <w:color w:val="auto"/>
          <w:szCs w:val="21"/>
        </w:rPr>
        <w:t>月</w:t>
      </w:r>
      <w:r>
        <w:rPr>
          <w:rFonts w:hint="eastAsia" w:ascii="宋体" w:hAnsi="宋体" w:cs="宋体"/>
          <w:color w:val="auto"/>
          <w:szCs w:val="21"/>
          <w:lang w:val="en-US" w:eastAsia="zh-CN"/>
        </w:rPr>
        <w:t>9</w:t>
      </w:r>
      <w:r>
        <w:rPr>
          <w:rFonts w:hint="eastAsia" w:ascii="宋体" w:hAnsi="宋体" w:cs="宋体"/>
          <w:color w:val="auto"/>
          <w:szCs w:val="21"/>
        </w:rPr>
        <w:t>日</w:t>
      </w:r>
      <w:r>
        <w:rPr>
          <w:rFonts w:hint="eastAsia" w:ascii="宋体" w:hAnsi="宋体" w:cs="宋体"/>
          <w:color w:val="auto"/>
          <w:szCs w:val="21"/>
          <w:lang w:val="en-US" w:eastAsia="zh-CN"/>
        </w:rPr>
        <w:t>9</w:t>
      </w:r>
      <w:r>
        <w:rPr>
          <w:rFonts w:hint="eastAsia" w:ascii="宋体" w:hAnsi="宋体" w:cs="宋体"/>
          <w:color w:val="auto"/>
          <w:szCs w:val="21"/>
        </w:rPr>
        <w:t>时</w:t>
      </w:r>
      <w:r>
        <w:rPr>
          <w:rFonts w:hint="eastAsia" w:ascii="宋体" w:hAnsi="宋体" w:cs="宋体"/>
          <w:color w:val="auto"/>
          <w:szCs w:val="21"/>
          <w:lang w:val="en-US" w:eastAsia="zh-CN"/>
        </w:rPr>
        <w:t>30</w:t>
      </w:r>
      <w:r>
        <w:rPr>
          <w:rFonts w:hint="eastAsia" w:ascii="宋体" w:hAnsi="宋体" w:cs="宋体"/>
          <w:color w:val="auto"/>
          <w:szCs w:val="21"/>
        </w:rPr>
        <w:t>分（</w:t>
      </w:r>
      <w:r>
        <w:rPr>
          <w:rFonts w:hint="eastAsia" w:ascii="宋体" w:hAnsi="宋体" w:cs="宋体"/>
          <w:szCs w:val="21"/>
        </w:rPr>
        <w:t>北京时间）（从谈判文件开始发出之日起至供应商提交首次响应文件截止之日止不得少于3个工作日）</w:t>
      </w:r>
    </w:p>
    <w:p w14:paraId="0A2717DB">
      <w:pPr>
        <w:keepNext w:val="0"/>
        <w:keepLines w:val="0"/>
        <w:pageBreakBefore w:val="0"/>
        <w:widowControl/>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b/>
          <w:szCs w:val="21"/>
        </w:rPr>
      </w:pPr>
      <w:r>
        <w:rPr>
          <w:rFonts w:hint="eastAsia" w:ascii="宋体" w:hAnsi="宋体" w:cs="宋体"/>
          <w:szCs w:val="21"/>
          <w:lang w:val="en-US" w:eastAsia="zh-CN"/>
        </w:rPr>
        <w:t>2.</w:t>
      </w:r>
      <w:r>
        <w:rPr>
          <w:rFonts w:hint="eastAsia" w:ascii="宋体" w:hAnsi="宋体" w:cs="宋体"/>
          <w:szCs w:val="21"/>
        </w:rPr>
        <w:t>地    点：</w:t>
      </w:r>
      <w:r>
        <w:rPr>
          <w:rFonts w:hint="eastAsia" w:ascii="宋体" w:hAnsi="宋体" w:cs="宋体"/>
          <w:color w:val="auto"/>
          <w:szCs w:val="21"/>
        </w:rPr>
        <w:t>通过广西政府采购云平</w:t>
      </w:r>
      <w:r>
        <w:rPr>
          <w:rFonts w:hint="eastAsia" w:ascii="宋体" w:hAnsi="宋体" w:cs="宋体"/>
          <w:color w:val="auto"/>
          <w:szCs w:val="21"/>
          <w:lang w:val="en-US" w:eastAsia="zh-CN"/>
        </w:rPr>
        <w:t>台</w:t>
      </w:r>
      <w:r>
        <w:rPr>
          <w:rFonts w:hint="eastAsia" w:ascii="宋体" w:hAnsi="宋体" w:cs="宋体"/>
          <w:color w:val="auto"/>
          <w:szCs w:val="21"/>
        </w:rPr>
        <w:t>（https://login.gcy.zfcg.gxzf.gov.cn/user-login/#/login）实行在线竞标</w:t>
      </w:r>
      <w:r>
        <w:rPr>
          <w:rFonts w:hint="eastAsia" w:ascii="宋体" w:hAnsi="宋体" w:cs="宋体"/>
          <w:color w:val="auto"/>
          <w:szCs w:val="21"/>
          <w:lang w:eastAsia="zh-CN"/>
        </w:rPr>
        <w:t>。</w:t>
      </w:r>
      <w:bookmarkStart w:id="37" w:name="_Toc5422"/>
      <w:bookmarkStart w:id="38" w:name="_Toc12437"/>
    </w:p>
    <w:p w14:paraId="61B04CA0">
      <w:pPr>
        <w:spacing w:line="400" w:lineRule="exact"/>
        <w:outlineLvl w:val="1"/>
        <w:rPr>
          <w:rFonts w:hint="eastAsia" w:ascii="宋体" w:hAnsi="宋体" w:cs="宋体"/>
          <w:b/>
          <w:szCs w:val="21"/>
        </w:rPr>
      </w:pPr>
      <w:r>
        <w:rPr>
          <w:rFonts w:hint="eastAsia" w:ascii="宋体" w:hAnsi="宋体" w:cs="宋体"/>
          <w:b/>
          <w:szCs w:val="21"/>
        </w:rPr>
        <w:t>五、开启</w:t>
      </w:r>
      <w:bookmarkEnd w:id="37"/>
      <w:bookmarkEnd w:id="38"/>
    </w:p>
    <w:p w14:paraId="735B49BA">
      <w:pPr>
        <w:spacing w:line="400" w:lineRule="exact"/>
        <w:rPr>
          <w:rFonts w:hint="eastAsia" w:ascii="宋体" w:hAnsi="宋体" w:cs="宋体"/>
          <w:bCs/>
          <w:szCs w:val="21"/>
        </w:rPr>
      </w:pPr>
      <w:r>
        <w:rPr>
          <w:rFonts w:hint="eastAsia" w:ascii="宋体" w:hAnsi="宋体" w:cs="宋体"/>
          <w:bCs/>
          <w:szCs w:val="21"/>
        </w:rPr>
        <w:t>1.时间</w:t>
      </w:r>
      <w:r>
        <w:rPr>
          <w:rFonts w:hint="eastAsia" w:ascii="宋体" w:hAnsi="宋体" w:cs="宋体"/>
          <w:bCs/>
          <w:color w:val="auto"/>
          <w:szCs w:val="21"/>
        </w:rPr>
        <w:t>：202</w:t>
      </w:r>
      <w:r>
        <w:rPr>
          <w:rFonts w:hint="eastAsia" w:ascii="宋体" w:hAnsi="宋体" w:cs="宋体"/>
          <w:bCs/>
          <w:color w:val="auto"/>
          <w:szCs w:val="21"/>
          <w:lang w:val="en-US" w:eastAsia="zh-CN"/>
        </w:rPr>
        <w:t>6</w:t>
      </w:r>
      <w:r>
        <w:rPr>
          <w:rFonts w:hint="eastAsia" w:ascii="宋体" w:hAnsi="宋体" w:cs="宋体"/>
          <w:bCs/>
          <w:color w:val="auto"/>
          <w:szCs w:val="21"/>
        </w:rPr>
        <w:t>年</w:t>
      </w:r>
      <w:r>
        <w:rPr>
          <w:rFonts w:hint="eastAsia" w:ascii="宋体" w:hAnsi="宋体" w:cs="宋体"/>
          <w:bCs/>
          <w:color w:val="auto"/>
          <w:szCs w:val="21"/>
          <w:lang w:val="en-US" w:eastAsia="zh-CN"/>
        </w:rPr>
        <w:t>4</w:t>
      </w:r>
      <w:r>
        <w:rPr>
          <w:rFonts w:hint="eastAsia" w:ascii="宋体" w:hAnsi="宋体" w:cs="宋体"/>
          <w:bCs/>
          <w:color w:val="auto"/>
          <w:szCs w:val="21"/>
        </w:rPr>
        <w:t>月</w:t>
      </w:r>
      <w:r>
        <w:rPr>
          <w:rFonts w:hint="eastAsia" w:ascii="宋体" w:hAnsi="宋体" w:cs="宋体"/>
          <w:bCs/>
          <w:color w:val="auto"/>
          <w:szCs w:val="21"/>
          <w:lang w:val="en-US" w:eastAsia="zh-CN"/>
        </w:rPr>
        <w:t>9</w:t>
      </w:r>
      <w:r>
        <w:rPr>
          <w:rFonts w:hint="eastAsia" w:ascii="宋体" w:hAnsi="宋体" w:cs="宋体"/>
          <w:bCs/>
          <w:color w:val="auto"/>
          <w:szCs w:val="21"/>
        </w:rPr>
        <w:t>日</w:t>
      </w:r>
      <w:r>
        <w:rPr>
          <w:rFonts w:hint="eastAsia" w:ascii="宋体" w:hAnsi="宋体" w:cs="宋体"/>
          <w:bCs/>
          <w:color w:val="auto"/>
          <w:szCs w:val="21"/>
          <w:lang w:val="en-US" w:eastAsia="zh-CN"/>
        </w:rPr>
        <w:t>9</w:t>
      </w:r>
      <w:r>
        <w:rPr>
          <w:rFonts w:hint="eastAsia" w:ascii="宋体" w:hAnsi="宋体" w:cs="宋体"/>
          <w:bCs/>
          <w:color w:val="auto"/>
          <w:szCs w:val="21"/>
        </w:rPr>
        <w:t>时</w:t>
      </w:r>
      <w:r>
        <w:rPr>
          <w:rFonts w:hint="eastAsia" w:ascii="宋体" w:hAnsi="宋体" w:cs="宋体"/>
          <w:bCs/>
          <w:color w:val="auto"/>
          <w:szCs w:val="21"/>
          <w:lang w:val="en-US" w:eastAsia="zh-CN"/>
        </w:rPr>
        <w:t>30</w:t>
      </w:r>
      <w:r>
        <w:rPr>
          <w:rFonts w:hint="eastAsia" w:ascii="宋体" w:hAnsi="宋体" w:cs="宋体"/>
          <w:bCs/>
          <w:color w:val="auto"/>
          <w:szCs w:val="21"/>
        </w:rPr>
        <w:t>分（北京时间</w:t>
      </w:r>
      <w:r>
        <w:rPr>
          <w:rFonts w:hint="eastAsia" w:ascii="宋体" w:hAnsi="宋体" w:cs="宋体"/>
          <w:bCs/>
          <w:szCs w:val="21"/>
        </w:rPr>
        <w:t>）</w:t>
      </w:r>
    </w:p>
    <w:p w14:paraId="6EF11F01">
      <w:pPr>
        <w:spacing w:line="400" w:lineRule="exact"/>
        <w:rPr>
          <w:rFonts w:hint="eastAsia" w:ascii="宋体" w:hAnsi="宋体" w:cs="宋体"/>
          <w:bCs/>
          <w:szCs w:val="21"/>
        </w:rPr>
      </w:pPr>
      <w:r>
        <w:rPr>
          <w:rFonts w:hint="eastAsia" w:ascii="宋体" w:hAnsi="宋体" w:cs="宋体"/>
          <w:bCs/>
          <w:szCs w:val="21"/>
        </w:rPr>
        <w:t>2.</w:t>
      </w:r>
      <w:r>
        <w:rPr>
          <w:rFonts w:hint="eastAsia" w:ascii="宋体" w:hAnsi="宋体" w:cs="宋体"/>
          <w:color w:val="auto"/>
          <w:szCs w:val="21"/>
        </w:rPr>
        <w:t>地点：</w:t>
      </w:r>
      <w:bookmarkStart w:id="39" w:name="OLE_LINK28"/>
      <w:r>
        <w:rPr>
          <w:rFonts w:hint="eastAsia" w:ascii="宋体" w:hAnsi="宋体" w:cs="宋体"/>
          <w:bCs/>
          <w:color w:val="auto"/>
          <w:szCs w:val="21"/>
        </w:rPr>
        <w:t>“广西政府采购云平台”电子开标大厅在线解密开启</w:t>
      </w:r>
      <w:bookmarkEnd w:id="39"/>
    </w:p>
    <w:p w14:paraId="7FE46E89">
      <w:pPr>
        <w:spacing w:line="400" w:lineRule="exact"/>
        <w:outlineLvl w:val="1"/>
        <w:rPr>
          <w:rFonts w:hint="eastAsia" w:ascii="宋体" w:hAnsi="宋体" w:cs="宋体"/>
          <w:b/>
          <w:szCs w:val="21"/>
        </w:rPr>
      </w:pPr>
      <w:bookmarkStart w:id="40" w:name="_Toc19639"/>
      <w:bookmarkStart w:id="41" w:name="_Toc22530"/>
      <w:r>
        <w:rPr>
          <w:rFonts w:hint="eastAsia" w:ascii="宋体" w:hAnsi="宋体" w:cs="宋体"/>
          <w:b/>
          <w:szCs w:val="21"/>
        </w:rPr>
        <w:t>六、公告期限</w:t>
      </w:r>
      <w:bookmarkEnd w:id="33"/>
      <w:bookmarkEnd w:id="34"/>
      <w:bookmarkEnd w:id="35"/>
      <w:bookmarkEnd w:id="36"/>
      <w:bookmarkEnd w:id="40"/>
      <w:bookmarkEnd w:id="41"/>
    </w:p>
    <w:p w14:paraId="40705B67">
      <w:pPr>
        <w:spacing w:line="400" w:lineRule="exact"/>
        <w:ind w:firstLine="420" w:firstLineChars="200"/>
        <w:rPr>
          <w:rFonts w:hint="eastAsia" w:ascii="宋体" w:hAnsi="宋体" w:cs="宋体"/>
        </w:rPr>
      </w:pPr>
      <w:r>
        <w:rPr>
          <w:rFonts w:hint="eastAsia" w:ascii="宋体" w:hAnsi="宋体" w:cs="宋体"/>
          <w:szCs w:val="21"/>
        </w:rPr>
        <w:t>自本公告发布之日起3个工作日。</w:t>
      </w:r>
    </w:p>
    <w:p w14:paraId="66E40EE2">
      <w:pPr>
        <w:keepNext w:val="0"/>
        <w:keepLines w:val="0"/>
        <w:pageBreakBefore w:val="0"/>
        <w:kinsoku/>
        <w:wordWrap/>
        <w:overflowPunct/>
        <w:topLinePunct w:val="0"/>
        <w:autoSpaceDE/>
        <w:autoSpaceDN/>
        <w:bidi w:val="0"/>
        <w:snapToGrid/>
        <w:spacing w:line="380" w:lineRule="exact"/>
        <w:outlineLvl w:val="1"/>
        <w:rPr>
          <w:rFonts w:hint="eastAsia" w:ascii="宋体" w:hAnsi="宋体" w:cs="宋体"/>
          <w:b/>
          <w:szCs w:val="21"/>
        </w:rPr>
      </w:pPr>
      <w:bookmarkStart w:id="42" w:name="_Toc28764"/>
      <w:bookmarkStart w:id="43" w:name="_Toc35393795"/>
      <w:bookmarkStart w:id="44" w:name="_Toc1217"/>
      <w:bookmarkStart w:id="45" w:name="_Toc35393626"/>
      <w:r>
        <w:rPr>
          <w:rFonts w:hint="eastAsia" w:ascii="宋体" w:hAnsi="宋体" w:cs="宋体"/>
          <w:b/>
          <w:szCs w:val="21"/>
        </w:rPr>
        <w:t>七、其他补充事宜</w:t>
      </w:r>
      <w:bookmarkEnd w:id="42"/>
      <w:bookmarkEnd w:id="43"/>
      <w:bookmarkEnd w:id="44"/>
      <w:bookmarkEnd w:id="45"/>
    </w:p>
    <w:p w14:paraId="11940A99">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bookmarkStart w:id="46" w:name="OLE_LINK14"/>
      <w:r>
        <w:rPr>
          <w:rFonts w:hint="eastAsia" w:ascii="宋体" w:hAnsi="宋体" w:cs="宋体"/>
        </w:rPr>
        <w:t>1.谈判保证金</w:t>
      </w:r>
      <w:r>
        <w:rPr>
          <w:rFonts w:hint="eastAsia" w:ascii="宋体" w:hAnsi="宋体" w:cs="宋体"/>
          <w:color w:val="000000"/>
        </w:rPr>
        <w:t>：人民币</w:t>
      </w:r>
      <w:r>
        <w:rPr>
          <w:rFonts w:hint="eastAsia" w:ascii="宋体" w:hAnsi="宋体" w:cs="宋体"/>
          <w:color w:val="000000"/>
          <w:lang w:val="en-US" w:eastAsia="zh-CN"/>
        </w:rPr>
        <w:t>贰万壹仟元整</w:t>
      </w:r>
      <w:r>
        <w:rPr>
          <w:rFonts w:hint="eastAsia" w:ascii="宋体" w:hAnsi="宋体" w:cs="宋体"/>
          <w:color w:val="000000"/>
        </w:rPr>
        <w:t>（¥</w:t>
      </w:r>
      <w:r>
        <w:rPr>
          <w:rFonts w:hint="eastAsia" w:ascii="宋体" w:hAnsi="宋体" w:cs="宋体"/>
          <w:color w:val="000000"/>
          <w:lang w:val="en-US" w:eastAsia="zh-CN"/>
        </w:rPr>
        <w:t>21000</w:t>
      </w:r>
      <w:r>
        <w:rPr>
          <w:rFonts w:hint="eastAsia" w:ascii="宋体" w:hAnsi="宋体" w:cs="宋体"/>
          <w:color w:val="000000"/>
        </w:rPr>
        <w:t>.00）</w:t>
      </w:r>
    </w:p>
    <w:p w14:paraId="499D1051">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谈判保证金可以采用支票、电汇、转账、汇票、本票或者金融机构、担保机构出具的保函等非现金形式提交（如采用金融机构、担保机构出具的保函等方式时，竞标人须对其真实性负责，并承担相应法律责任。开标时，竞标人须提交保函原件核查，否则，竞标无效。）采用电汇、转账、汇票形式交纳的，竞标人应于竞标文件递交截止时间前将谈判保证金交至以下账户：</w:t>
      </w:r>
    </w:p>
    <w:p w14:paraId="688A670B">
      <w:pPr>
        <w:keepNext w:val="0"/>
        <w:keepLines w:val="0"/>
        <w:pageBreakBefore w:val="0"/>
        <w:kinsoku/>
        <w:wordWrap/>
        <w:overflowPunct/>
        <w:topLinePunct w:val="0"/>
        <w:autoSpaceDE/>
        <w:autoSpaceDN/>
        <w:bidi w:val="0"/>
        <w:snapToGrid/>
        <w:spacing w:line="380" w:lineRule="exact"/>
        <w:ind w:firstLine="420"/>
        <w:rPr>
          <w:rFonts w:hint="default" w:ascii="宋体" w:hAnsi="宋体" w:eastAsia="宋体" w:cs="宋体"/>
          <w:lang w:val="en-US" w:eastAsia="zh-CN"/>
        </w:rPr>
      </w:pPr>
      <w:r>
        <w:rPr>
          <w:rFonts w:hint="eastAsia" w:ascii="宋体" w:hAnsi="宋体" w:cs="宋体"/>
        </w:rPr>
        <w:t>开户名称：</w:t>
      </w:r>
      <w:r>
        <w:rPr>
          <w:rFonts w:hint="eastAsia" w:ascii="宋体" w:hAnsi="宋体" w:cs="宋体"/>
          <w:kern w:val="0"/>
          <w:szCs w:val="21"/>
          <w:highlight w:val="none"/>
          <w:u w:val="single"/>
        </w:rPr>
        <w:t>广西丰泰工程项目管理有限公司</w:t>
      </w:r>
    </w:p>
    <w:p w14:paraId="70AC7E85">
      <w:pPr>
        <w:keepNext w:val="0"/>
        <w:keepLines w:val="0"/>
        <w:pageBreakBefore w:val="0"/>
        <w:kinsoku/>
        <w:wordWrap/>
        <w:overflowPunct/>
        <w:topLinePunct w:val="0"/>
        <w:autoSpaceDE/>
        <w:autoSpaceDN/>
        <w:bidi w:val="0"/>
        <w:snapToGrid/>
        <w:spacing w:line="380" w:lineRule="exact"/>
        <w:ind w:firstLine="420"/>
        <w:rPr>
          <w:rFonts w:hint="eastAsia" w:ascii="宋体" w:hAnsi="宋体" w:eastAsia="宋体" w:cs="宋体"/>
          <w:lang w:eastAsia="zh-CN"/>
        </w:rPr>
      </w:pPr>
      <w:r>
        <w:rPr>
          <w:rFonts w:hint="eastAsia" w:ascii="宋体" w:hAnsi="宋体" w:cs="宋体"/>
        </w:rPr>
        <w:t>开户账号：</w:t>
      </w:r>
      <w:r>
        <w:rPr>
          <w:rFonts w:hint="eastAsia" w:ascii="宋体" w:hAnsi="宋体" w:cs="宋体"/>
          <w:lang w:eastAsia="zh-CN"/>
        </w:rPr>
        <w:t>6132 7903 9735</w:t>
      </w:r>
    </w:p>
    <w:p w14:paraId="32CE70E5">
      <w:pPr>
        <w:keepNext w:val="0"/>
        <w:keepLines w:val="0"/>
        <w:pageBreakBefore w:val="0"/>
        <w:kinsoku/>
        <w:wordWrap/>
        <w:overflowPunct/>
        <w:topLinePunct w:val="0"/>
        <w:autoSpaceDE/>
        <w:autoSpaceDN/>
        <w:bidi w:val="0"/>
        <w:snapToGrid/>
        <w:spacing w:line="380" w:lineRule="exact"/>
        <w:ind w:firstLine="420"/>
        <w:rPr>
          <w:rFonts w:hint="eastAsia" w:ascii="宋体" w:hAnsi="宋体" w:eastAsia="宋体" w:cs="宋体"/>
          <w:lang w:eastAsia="zh-CN"/>
        </w:rPr>
      </w:pPr>
      <w:r>
        <w:rPr>
          <w:rFonts w:hint="eastAsia" w:ascii="宋体" w:hAnsi="宋体" w:cs="宋体"/>
        </w:rPr>
        <w:t>开户银行：</w:t>
      </w:r>
      <w:r>
        <w:rPr>
          <w:rFonts w:hint="eastAsia" w:ascii="宋体" w:hAnsi="宋体" w:cs="宋体"/>
          <w:lang w:eastAsia="zh-CN"/>
        </w:rPr>
        <w:t>中国银行股份有限公司钦州市新兴街支行</w:t>
      </w:r>
    </w:p>
    <w:p w14:paraId="3FE960D2">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b/>
          <w:bCs/>
        </w:rPr>
      </w:pPr>
      <w:r>
        <w:rPr>
          <w:rFonts w:hint="eastAsia" w:ascii="宋体" w:hAnsi="宋体" w:cs="宋体"/>
          <w:b/>
          <w:bCs/>
        </w:rPr>
        <w:t>（具体要求详见竞争性谈判文件竞标人须知前附表）</w:t>
      </w:r>
    </w:p>
    <w:p w14:paraId="197C91CE">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2.网上查询地址：</w:t>
      </w:r>
      <w:r>
        <w:rPr>
          <w:rFonts w:hint="eastAsia" w:ascii="宋体" w:hAnsi="宋体" w:cs="宋体"/>
          <w:szCs w:val="21"/>
          <w:lang w:bidi="ar"/>
        </w:rPr>
        <w:t>http://zfcg.gxzf.gov.cn/（广西壮族自治区政府采购网）http://www.ccgp.gov.cn/</w:t>
      </w:r>
      <w:r>
        <w:rPr>
          <w:rFonts w:hint="eastAsia" w:ascii="宋体" w:hAnsi="宋体" w:cs="宋体"/>
          <w:szCs w:val="21"/>
          <w:lang w:eastAsia="zh-CN" w:bidi="ar"/>
        </w:rPr>
        <w:t>（</w:t>
      </w:r>
      <w:r>
        <w:rPr>
          <w:rFonts w:hint="eastAsia" w:ascii="宋体" w:hAnsi="宋体" w:cs="宋体"/>
          <w:szCs w:val="21"/>
          <w:lang w:bidi="ar"/>
        </w:rPr>
        <w:t>中国政府采购网</w:t>
      </w:r>
      <w:r>
        <w:rPr>
          <w:rFonts w:hint="eastAsia" w:ascii="宋体" w:hAnsi="宋体" w:cs="宋体"/>
          <w:szCs w:val="21"/>
          <w:lang w:eastAsia="zh-CN" w:bidi="ar"/>
        </w:rPr>
        <w:t>）</w:t>
      </w:r>
      <w:r>
        <w:rPr>
          <w:rFonts w:hint="eastAsia" w:ascii="宋体" w:hAnsi="宋体" w:cs="宋体"/>
          <w:szCs w:val="21"/>
          <w:lang w:bidi="ar"/>
        </w:rPr>
        <w:t>。</w:t>
      </w:r>
    </w:p>
    <w:p w14:paraId="6B765179">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3.本项目需要落实的政府采购政策</w:t>
      </w:r>
    </w:p>
    <w:p w14:paraId="7BB8BA77">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（1）政府采购促进中小企业发展。</w:t>
      </w:r>
    </w:p>
    <w:p w14:paraId="6C31FBE4">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（2）政府采购支持采用本国产品的政策。</w:t>
      </w:r>
    </w:p>
    <w:p w14:paraId="5A291A0B">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（3）强制采购节能产品；优先采购节能产品、环境标志产品。</w:t>
      </w:r>
    </w:p>
    <w:p w14:paraId="0889599B">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（4）政府采购促进残疾人就业政策。</w:t>
      </w:r>
    </w:p>
    <w:p w14:paraId="119443D2">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（5）政府采购支持监狱企业发展。</w:t>
      </w:r>
    </w:p>
    <w:p w14:paraId="708A35EE">
      <w:pPr>
        <w:keepNext w:val="0"/>
        <w:keepLines w:val="0"/>
        <w:pageBreakBefore w:val="0"/>
        <w:widowControl/>
        <w:kinsoku/>
        <w:wordWrap/>
        <w:overflowPunct/>
        <w:topLinePunct w:val="0"/>
        <w:autoSpaceDE/>
        <w:autoSpaceDN/>
        <w:bidi w:val="0"/>
        <w:snapToGrid/>
        <w:spacing w:line="380" w:lineRule="exact"/>
        <w:ind w:firstLine="420" w:firstLineChars="200"/>
        <w:rPr>
          <w:rFonts w:hint="eastAsia" w:ascii="宋体" w:hAnsi="宋体" w:cs="宋体"/>
          <w:szCs w:val="21"/>
          <w:lang w:bidi="ar"/>
        </w:rPr>
      </w:pPr>
      <w:r>
        <w:rPr>
          <w:rFonts w:hint="eastAsia" w:ascii="宋体" w:hAnsi="宋体" w:cs="宋体"/>
          <w:szCs w:val="21"/>
          <w:lang w:bidi="ar"/>
        </w:rPr>
        <w:t>（6）扶持不发达地区和少数民族地区政策。</w:t>
      </w:r>
    </w:p>
    <w:p w14:paraId="23FBEB2A">
      <w:pPr>
        <w:keepNext w:val="0"/>
        <w:keepLines w:val="0"/>
        <w:pageBreakBefore w:val="0"/>
        <w:widowControl/>
        <w:kinsoku/>
        <w:wordWrap/>
        <w:overflowPunct/>
        <w:topLinePunct w:val="0"/>
        <w:autoSpaceDE/>
        <w:autoSpaceDN/>
        <w:bidi w:val="0"/>
        <w:snapToGrid/>
        <w:spacing w:line="380" w:lineRule="exact"/>
        <w:ind w:firstLine="420" w:firstLineChars="200"/>
        <w:rPr>
          <w:rFonts w:hint="eastAsia" w:ascii="宋体" w:hAnsi="宋体" w:cs="宋体"/>
          <w:szCs w:val="21"/>
          <w:lang w:bidi="ar"/>
        </w:rPr>
      </w:pPr>
      <w:r>
        <w:rPr>
          <w:rFonts w:hint="eastAsia" w:ascii="宋体" w:hAnsi="宋体" w:cs="宋体"/>
          <w:szCs w:val="21"/>
          <w:lang w:bidi="ar"/>
        </w:rPr>
        <w:t>4.对在“信用中国”网站</w:t>
      </w:r>
      <w:r>
        <w:rPr>
          <w:rFonts w:hint="eastAsia" w:ascii="宋体" w:hAnsi="宋体" w:cs="宋体"/>
          <w:szCs w:val="21"/>
          <w:lang w:eastAsia="zh-CN" w:bidi="ar"/>
        </w:rPr>
        <w:t>（</w:t>
      </w:r>
      <w:r>
        <w:rPr>
          <w:rFonts w:hint="eastAsia" w:ascii="宋体" w:hAnsi="宋体" w:cs="宋体"/>
          <w:szCs w:val="21"/>
          <w:lang w:bidi="ar"/>
        </w:rPr>
        <w:t>www.creditchina.gov.cn</w:t>
      </w:r>
      <w:r>
        <w:rPr>
          <w:rFonts w:hint="eastAsia" w:ascii="宋体" w:hAnsi="宋体" w:cs="宋体"/>
          <w:szCs w:val="21"/>
          <w:lang w:eastAsia="zh-CN" w:bidi="ar"/>
        </w:rPr>
        <w:t>）</w:t>
      </w:r>
      <w:r>
        <w:rPr>
          <w:rFonts w:hint="eastAsia" w:ascii="宋体" w:hAnsi="宋体" w:cs="宋体"/>
          <w:szCs w:val="21"/>
          <w:lang w:bidi="ar"/>
        </w:rPr>
        <w:t>、中国政府采购网</w:t>
      </w:r>
      <w:r>
        <w:rPr>
          <w:rFonts w:hint="eastAsia" w:ascii="宋体" w:hAnsi="宋体" w:cs="宋体"/>
          <w:szCs w:val="21"/>
          <w:lang w:eastAsia="zh-CN" w:bidi="ar"/>
        </w:rPr>
        <w:t>（</w:t>
      </w:r>
      <w:r>
        <w:rPr>
          <w:rFonts w:hint="eastAsia" w:ascii="宋体" w:hAnsi="宋体" w:cs="宋体"/>
          <w:szCs w:val="21"/>
          <w:lang w:bidi="ar"/>
        </w:rPr>
        <w:t>www.ccgp.gov.cn</w:t>
      </w:r>
      <w:r>
        <w:rPr>
          <w:rFonts w:hint="eastAsia" w:ascii="宋体" w:hAnsi="宋体" w:cs="宋体"/>
          <w:szCs w:val="21"/>
          <w:lang w:eastAsia="zh-CN" w:bidi="ar"/>
        </w:rPr>
        <w:t>）</w:t>
      </w:r>
      <w:r>
        <w:rPr>
          <w:rFonts w:hint="eastAsia" w:ascii="宋体" w:hAnsi="宋体" w:cs="宋体"/>
          <w:szCs w:val="21"/>
          <w:lang w:bidi="ar"/>
        </w:rPr>
        <w:t>等渠道列入失信被执行人、重大税收违法案件当事人名单、政府采购严重违法失信行为记录名单及其他不符合《中华人民共和国政府采购法》第二十二条规定条件的供应商，将被拒绝参与本次采购活动。</w:t>
      </w:r>
    </w:p>
    <w:p w14:paraId="00BF90D8">
      <w:pPr>
        <w:keepNext w:val="0"/>
        <w:keepLines w:val="0"/>
        <w:pageBreakBefore w:val="0"/>
        <w:widowControl/>
        <w:kinsoku/>
        <w:wordWrap/>
        <w:overflowPunct/>
        <w:topLinePunct w:val="0"/>
        <w:autoSpaceDE/>
        <w:autoSpaceDN/>
        <w:bidi w:val="0"/>
        <w:snapToGrid/>
        <w:spacing w:line="380" w:lineRule="exact"/>
        <w:ind w:firstLine="420" w:firstLineChars="200"/>
        <w:rPr>
          <w:rFonts w:hint="eastAsia" w:ascii="宋体" w:hAnsi="宋体" w:cs="宋体"/>
          <w:szCs w:val="21"/>
          <w:lang w:bidi="ar"/>
        </w:rPr>
      </w:pPr>
      <w:r>
        <w:rPr>
          <w:rFonts w:hint="eastAsia" w:ascii="宋体" w:hAnsi="宋体" w:cs="宋体"/>
          <w:szCs w:val="21"/>
          <w:lang w:bidi="ar"/>
        </w:rPr>
        <w:t>5．单位负责人为同一人或者存在直接控股、管理关系的不同服务商，不得参加同一合同项下的政府采购活动。除单一来源采购项目外，为采购项目提供整体设计、规范编制或者项目管理、监理、检测等服务的服务商，不得再参加该采购项目的其他采购活动。</w:t>
      </w:r>
    </w:p>
    <w:p w14:paraId="0B899DD5">
      <w:pPr>
        <w:keepNext w:val="0"/>
        <w:keepLines w:val="0"/>
        <w:pageBreakBefore w:val="0"/>
        <w:widowControl/>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color w:val="000000"/>
          <w:szCs w:val="21"/>
        </w:rPr>
      </w:pPr>
      <w:r>
        <w:rPr>
          <w:rFonts w:hint="eastAsia" w:ascii="宋体" w:hAnsi="宋体" w:cs="宋体"/>
          <w:szCs w:val="21"/>
          <w:lang w:val="en-US" w:eastAsia="zh-CN" w:bidi="ar"/>
        </w:rPr>
        <w:t>6.谈判注意事项：</w:t>
      </w:r>
      <w:r>
        <w:rPr>
          <w:rFonts w:hint="eastAsia" w:ascii="宋体" w:hAnsi="宋体" w:cs="宋体"/>
          <w:color w:val="0C0C0C"/>
          <w:szCs w:val="21"/>
          <w:lang w:bidi="ar"/>
        </w:rPr>
        <w:t>（1）</w:t>
      </w:r>
      <w:r>
        <w:rPr>
          <w:rFonts w:hint="eastAsia" w:ascii="宋体" w:hAnsi="宋体" w:cs="宋体"/>
          <w:color w:val="000000"/>
          <w:szCs w:val="21"/>
        </w:rPr>
        <w:t>响应文件提交方式：本项目为全流程电子化项目，通过“广西政府采购云平台”（https://login.gcy.zfcg.gxzf.gov.cn/user-login/#/login）实行在线电子响应，供应商应先安装“广西政府采购云平台电子交易客户端”（请自行前往“广西政府采购云平台”进行下载），并按照本项目采购文件和“广西政府采购云平台”的要求编制、加密后在投标截止时间前通过网络上传至“广西政府采购云平台”，</w:t>
      </w:r>
      <w:r>
        <w:rPr>
          <w:rFonts w:hint="eastAsia" w:ascii="宋体" w:hAnsi="宋体" w:cs="宋体"/>
          <w:b/>
          <w:color w:val="000000"/>
          <w:szCs w:val="21"/>
        </w:rPr>
        <w:t>供应商在“广西政府采购云平台”提交电子版响应文件时，请填写参加远程采购活动经办人联系方式，</w:t>
      </w:r>
      <w:r>
        <w:rPr>
          <w:rFonts w:hint="eastAsia" w:ascii="宋体" w:hAnsi="宋体" w:cs="宋体"/>
          <w:color w:val="000000"/>
          <w:szCs w:val="21"/>
        </w:rPr>
        <w:t>电子投标具体操作流程参考广西政府采购云平台提供的《政府采购项目电子交易管理操作指南－供应商》，供应商如在操作过程中遇到问题或需技术支持，请致电广西政府采购云平台客服热线：95763。</w:t>
      </w:r>
    </w:p>
    <w:p w14:paraId="3F27E5D5">
      <w:pPr>
        <w:keepNext w:val="0"/>
        <w:keepLines w:val="0"/>
        <w:pageBreakBefore w:val="0"/>
        <w:widowControl/>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color w:val="000000"/>
          <w:szCs w:val="21"/>
        </w:rPr>
      </w:pPr>
      <w:r>
        <w:rPr>
          <w:rFonts w:hint="eastAsia" w:ascii="宋体" w:hAnsi="宋体" w:cs="宋体"/>
          <w:color w:val="000000"/>
          <w:szCs w:val="21"/>
        </w:rPr>
        <w:t>（2）未进行网上注册并办理数字证书（CA认证）的供应商将无法参与本项目政府采购活动，潜在供应商应尽早完成电子交易平台上的CA数字证书办理，并在首次响应文件提交截止时间前提交响应文件。</w:t>
      </w:r>
    </w:p>
    <w:p w14:paraId="00E9D3A8">
      <w:pPr>
        <w:keepNext w:val="0"/>
        <w:keepLines w:val="0"/>
        <w:pageBreakBefore w:val="0"/>
        <w:widowControl/>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color w:val="000000"/>
          <w:szCs w:val="21"/>
        </w:rPr>
      </w:pPr>
      <w:r>
        <w:rPr>
          <w:rFonts w:hint="eastAsia" w:ascii="宋体" w:hAnsi="宋体" w:cs="宋体"/>
          <w:color w:val="000000"/>
          <w:szCs w:val="21"/>
        </w:rPr>
        <w:t>（3）为确保网上操作合法、有效和安全，请供应商确保在电子响应过程中能够对相关数据电文进行加密和使用电子签章，妥善保管CA数字证书并使用有效的CA数字证书参与整个采购活动。</w:t>
      </w:r>
    </w:p>
    <w:p w14:paraId="193D260E">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bCs/>
          <w:color w:val="000000"/>
          <w:szCs w:val="21"/>
          <w:u w:val="single"/>
        </w:rPr>
      </w:pPr>
      <w:r>
        <w:rPr>
          <w:rFonts w:hint="eastAsia" w:ascii="宋体" w:hAnsi="宋体" w:cs="宋体"/>
          <w:bCs/>
          <w:color w:val="000000"/>
          <w:szCs w:val="21"/>
          <w:u w:val="single"/>
        </w:rPr>
        <w:t>注：供应商应当在首次响应文件提交截止时间前完成电子响应文件的上传、递交，响应文件提交截止时间前可以补充、修改或者撤回响应文件。补充或者修改响应文件的，应当先行撤回原文件，补充、修改后重新上传、递交。响应截止时间前未完成上传、递交的，视为撤回响应文件。响应文件提交截止时间以后上传递交的响应文件的，“广西政府采购云平台”将予以拒收。</w:t>
      </w:r>
    </w:p>
    <w:p w14:paraId="2B896ABE">
      <w:pPr>
        <w:keepNext w:val="0"/>
        <w:keepLines w:val="0"/>
        <w:pageBreakBefore w:val="0"/>
        <w:widowControl/>
        <w:kinsoku/>
        <w:wordWrap/>
        <w:overflowPunct/>
        <w:topLinePunct w:val="0"/>
        <w:autoSpaceDE/>
        <w:autoSpaceDN/>
        <w:bidi w:val="0"/>
        <w:adjustRightInd/>
        <w:snapToGrid/>
        <w:spacing w:line="440" w:lineRule="exact"/>
        <w:ind w:firstLine="420" w:firstLineChars="200"/>
        <w:textAlignment w:val="auto"/>
        <w:rPr>
          <w:rFonts w:hint="default" w:ascii="宋体" w:hAnsi="宋体" w:eastAsia="宋体" w:cs="宋体"/>
          <w:szCs w:val="21"/>
          <w:lang w:val="en-US" w:eastAsia="zh-CN" w:bidi="ar"/>
        </w:rPr>
      </w:pPr>
      <w:r>
        <w:rPr>
          <w:rFonts w:hint="eastAsia" w:ascii="宋体" w:hAnsi="宋体" w:cs="宋体"/>
          <w:color w:val="000000"/>
          <w:kern w:val="0"/>
          <w:szCs w:val="21"/>
        </w:rPr>
        <w:t>（4）CA证书在线解密：供应商竞标时，需携带制作响应文件时用来加密的有效数字证书（CA认证）登录“广西政府采购云平台”电子开标大厅现场按规定时间对加密的响应文件进行解密，否则后果自负。</w:t>
      </w:r>
    </w:p>
    <w:bookmarkEnd w:id="46"/>
    <w:p w14:paraId="2309DF1C">
      <w:pPr>
        <w:keepNext w:val="0"/>
        <w:keepLines w:val="0"/>
        <w:pageBreakBefore w:val="0"/>
        <w:kinsoku/>
        <w:wordWrap/>
        <w:overflowPunct/>
        <w:topLinePunct w:val="0"/>
        <w:autoSpaceDE/>
        <w:autoSpaceDN/>
        <w:bidi w:val="0"/>
        <w:snapToGrid/>
        <w:spacing w:line="380" w:lineRule="exact"/>
        <w:rPr>
          <w:rFonts w:hint="eastAsia" w:ascii="宋体" w:hAnsi="宋体" w:cs="宋体"/>
          <w:bCs/>
          <w:sz w:val="24"/>
        </w:rPr>
      </w:pPr>
      <w:r>
        <w:rPr>
          <w:rFonts w:hint="eastAsia" w:ascii="宋体" w:hAnsi="宋体" w:cs="宋体"/>
          <w:b/>
          <w:kern w:val="44"/>
          <w:sz w:val="24"/>
        </w:rPr>
        <w:t>八、凡对本次采购提出询问，请按以下方式联系</w:t>
      </w:r>
    </w:p>
    <w:p w14:paraId="10DD1274">
      <w:pPr>
        <w:keepNext w:val="0"/>
        <w:keepLines w:val="0"/>
        <w:pageBreakBefore w:val="0"/>
        <w:kinsoku/>
        <w:wordWrap/>
        <w:overflowPunct/>
        <w:topLinePunct w:val="0"/>
        <w:autoSpaceDE/>
        <w:autoSpaceDN/>
        <w:bidi w:val="0"/>
        <w:snapToGrid/>
        <w:spacing w:line="380" w:lineRule="exact"/>
        <w:ind w:firstLine="420" w:firstLineChars="200"/>
        <w:rPr>
          <w:rFonts w:hint="eastAsia" w:ascii="宋体" w:hAnsi="宋体" w:cs="宋体"/>
        </w:rPr>
      </w:pPr>
      <w:r>
        <w:rPr>
          <w:rFonts w:hint="eastAsia" w:ascii="宋体" w:hAnsi="宋体" w:cs="宋体"/>
        </w:rPr>
        <w:t>1.采购人信息</w:t>
      </w:r>
    </w:p>
    <w:p w14:paraId="7CE859DE">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 xml:space="preserve">名   称：钦州市第一人民医院  </w:t>
      </w:r>
    </w:p>
    <w:p w14:paraId="36565E7F">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地   址：钦州市钦南区明阳街8号</w:t>
      </w:r>
    </w:p>
    <w:p w14:paraId="729451FB">
      <w:pPr>
        <w:keepNext w:val="0"/>
        <w:keepLines w:val="0"/>
        <w:pageBreakBefore w:val="0"/>
        <w:kinsoku/>
        <w:wordWrap/>
        <w:overflowPunct/>
        <w:topLinePunct w:val="0"/>
        <w:autoSpaceDE/>
        <w:autoSpaceDN/>
        <w:bidi w:val="0"/>
        <w:snapToGrid/>
        <w:spacing w:line="380" w:lineRule="exact"/>
        <w:ind w:firstLine="420"/>
        <w:rPr>
          <w:rFonts w:hint="eastAsia" w:ascii="宋体" w:hAnsi="宋体" w:eastAsia="宋体" w:cs="宋体"/>
          <w:lang w:val="en-US" w:eastAsia="zh-CN"/>
        </w:rPr>
      </w:pPr>
      <w:r>
        <w:rPr>
          <w:rFonts w:hint="eastAsia" w:ascii="宋体" w:hAnsi="宋体" w:cs="宋体"/>
        </w:rPr>
        <w:t>项目联系人：徐锐</w:t>
      </w:r>
    </w:p>
    <w:p w14:paraId="321F6BC7">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项目联系方式：0777-2863830</w:t>
      </w:r>
    </w:p>
    <w:p w14:paraId="47F7FF56">
      <w:pPr>
        <w:keepNext w:val="0"/>
        <w:keepLines w:val="0"/>
        <w:pageBreakBefore w:val="0"/>
        <w:kinsoku/>
        <w:wordWrap/>
        <w:overflowPunct/>
        <w:topLinePunct w:val="0"/>
        <w:autoSpaceDE/>
        <w:autoSpaceDN/>
        <w:bidi w:val="0"/>
        <w:snapToGrid/>
        <w:spacing w:line="380" w:lineRule="exact"/>
        <w:ind w:firstLine="420"/>
        <w:rPr>
          <w:rFonts w:hint="eastAsia" w:ascii="宋体" w:hAnsi="宋体" w:cs="宋体"/>
        </w:rPr>
      </w:pPr>
      <w:r>
        <w:rPr>
          <w:rFonts w:hint="eastAsia" w:ascii="宋体" w:hAnsi="宋体" w:cs="宋体"/>
        </w:rPr>
        <w:t>2.采购代理机构信息</w:t>
      </w:r>
    </w:p>
    <w:p w14:paraId="59BCC57A">
      <w:pPr>
        <w:keepNext w:val="0"/>
        <w:keepLines w:val="0"/>
        <w:pageBreakBefore w:val="0"/>
        <w:kinsoku/>
        <w:wordWrap/>
        <w:overflowPunct/>
        <w:topLinePunct w:val="0"/>
        <w:autoSpaceDE/>
        <w:autoSpaceDN/>
        <w:bidi w:val="0"/>
        <w:snapToGrid/>
        <w:spacing w:line="380" w:lineRule="exact"/>
        <w:ind w:firstLine="567" w:firstLineChars="270"/>
        <w:rPr>
          <w:rFonts w:hint="eastAsia" w:ascii="宋体" w:hAnsi="宋体" w:eastAsia="宋体" w:cs="宋体"/>
          <w:lang w:eastAsia="zh-CN"/>
        </w:rPr>
      </w:pPr>
      <w:r>
        <w:rPr>
          <w:rFonts w:hint="eastAsia" w:ascii="宋体" w:hAnsi="宋体" w:cs="宋体"/>
        </w:rPr>
        <w:t>名    称：</w:t>
      </w:r>
      <w:r>
        <w:rPr>
          <w:rFonts w:hint="eastAsia" w:ascii="宋体" w:hAnsi="宋体" w:cs="宋体"/>
          <w:lang w:eastAsia="zh-CN"/>
        </w:rPr>
        <w:t>广西丰泰工程项目管理有限公司</w:t>
      </w:r>
    </w:p>
    <w:p w14:paraId="0748670D">
      <w:pPr>
        <w:keepNext w:val="0"/>
        <w:keepLines w:val="0"/>
        <w:pageBreakBefore w:val="0"/>
        <w:kinsoku/>
        <w:wordWrap/>
        <w:overflowPunct/>
        <w:topLinePunct w:val="0"/>
        <w:autoSpaceDE/>
        <w:autoSpaceDN/>
        <w:bidi w:val="0"/>
        <w:snapToGrid/>
        <w:spacing w:line="380" w:lineRule="exact"/>
        <w:ind w:firstLine="567" w:firstLineChars="270"/>
        <w:rPr>
          <w:rFonts w:hint="eastAsia" w:ascii="宋体" w:hAnsi="宋体" w:eastAsia="宋体" w:cs="宋体"/>
          <w:lang w:eastAsia="zh-CN"/>
        </w:rPr>
      </w:pPr>
      <w:r>
        <w:rPr>
          <w:rFonts w:hint="eastAsia" w:ascii="宋体" w:hAnsi="宋体" w:cs="宋体"/>
        </w:rPr>
        <w:t>地    址：</w:t>
      </w:r>
      <w:r>
        <w:rPr>
          <w:rFonts w:hint="eastAsia" w:ascii="宋体" w:hAnsi="宋体" w:cs="宋体"/>
          <w:lang w:eastAsia="zh-CN"/>
        </w:rPr>
        <w:t>广西钦州市银河街122号</w:t>
      </w:r>
    </w:p>
    <w:p w14:paraId="297F7217">
      <w:pPr>
        <w:pStyle w:val="78"/>
        <w:keepNext w:val="0"/>
        <w:keepLines w:val="0"/>
        <w:pageBreakBefore w:val="0"/>
        <w:kinsoku/>
        <w:wordWrap/>
        <w:overflowPunct/>
        <w:topLinePunct w:val="0"/>
        <w:autoSpaceDE/>
        <w:autoSpaceDN/>
        <w:bidi w:val="0"/>
        <w:snapToGrid/>
        <w:spacing w:line="380" w:lineRule="exact"/>
        <w:rPr>
          <w:rFonts w:hint="default" w:ascii="宋体" w:hAnsi="宋体" w:eastAsia="宋体" w:cs="宋体"/>
          <w:lang w:val="en-US" w:eastAsia="zh-CN"/>
        </w:rPr>
      </w:pPr>
      <w:r>
        <w:rPr>
          <w:rFonts w:hint="eastAsia" w:ascii="宋体" w:hAnsi="宋体" w:cs="宋体"/>
        </w:rPr>
        <w:t xml:space="preserve">      联系人：</w:t>
      </w:r>
      <w:r>
        <w:rPr>
          <w:rFonts w:hint="eastAsia" w:ascii="宋体" w:hAnsi="宋体" w:cs="宋体"/>
          <w:lang w:val="en-US" w:eastAsia="zh-CN"/>
        </w:rPr>
        <w:t>兰工、毕工</w:t>
      </w:r>
    </w:p>
    <w:p w14:paraId="0D988550">
      <w:pPr>
        <w:pStyle w:val="12"/>
        <w:keepNext w:val="0"/>
        <w:keepLines w:val="0"/>
        <w:pageBreakBefore w:val="0"/>
        <w:kinsoku/>
        <w:wordWrap/>
        <w:overflowPunct/>
        <w:topLinePunct w:val="0"/>
        <w:autoSpaceDE/>
        <w:autoSpaceDN/>
        <w:bidi w:val="0"/>
        <w:snapToGrid/>
        <w:spacing w:after="0" w:line="380" w:lineRule="exact"/>
        <w:ind w:firstLine="630" w:firstLineChars="300"/>
        <w:rPr>
          <w:rFonts w:hint="eastAsia" w:ascii="宋体" w:hAnsi="宋体" w:eastAsia="宋体" w:cs="宋体"/>
          <w:lang w:eastAsia="zh-CN"/>
        </w:rPr>
      </w:pPr>
      <w:r>
        <w:rPr>
          <w:rFonts w:hint="eastAsia" w:ascii="宋体" w:hAnsi="宋体" w:cs="宋体"/>
        </w:rPr>
        <w:t>联系方式：</w:t>
      </w:r>
      <w:r>
        <w:rPr>
          <w:rFonts w:hint="eastAsia" w:ascii="宋体" w:hAnsi="宋体" w:cs="宋体"/>
          <w:lang w:eastAsia="zh-CN"/>
        </w:rPr>
        <w:t>0777-5682198</w:t>
      </w:r>
    </w:p>
    <w:p w14:paraId="0E53F64F">
      <w:pPr>
        <w:widowControl/>
        <w:spacing w:line="400" w:lineRule="exact"/>
        <w:jc w:val="right"/>
        <w:rPr>
          <w:rFonts w:hint="eastAsia" w:ascii="宋体" w:hAnsi="宋体" w:cs="宋体"/>
          <w:szCs w:val="21"/>
          <w:lang w:eastAsia="zh-CN"/>
        </w:rPr>
      </w:pPr>
    </w:p>
    <w:p w14:paraId="5494A90E">
      <w:pPr>
        <w:widowControl/>
        <w:spacing w:line="400" w:lineRule="exact"/>
        <w:jc w:val="right"/>
        <w:rPr>
          <w:rFonts w:hint="eastAsia" w:ascii="宋体" w:hAnsi="宋体" w:eastAsia="宋体" w:cs="宋体"/>
          <w:szCs w:val="21"/>
          <w:lang w:eastAsia="zh-CN"/>
        </w:rPr>
      </w:pPr>
      <w:r>
        <w:rPr>
          <w:rFonts w:hint="eastAsia" w:ascii="宋体" w:hAnsi="宋体" w:cs="宋体"/>
          <w:szCs w:val="21"/>
          <w:lang w:eastAsia="zh-CN"/>
        </w:rPr>
        <w:t>广西丰泰工程项目管理有限公司</w:t>
      </w:r>
    </w:p>
    <w:p w14:paraId="6542E502">
      <w:pPr>
        <w:ind w:right="420" w:firstLine="6930" w:firstLineChars="3300"/>
        <w:rPr>
          <w:rFonts w:hint="eastAsia" w:ascii="宋体" w:hAnsi="宋体" w:cs="宋体"/>
          <w:szCs w:val="21"/>
        </w:rPr>
      </w:pPr>
    </w:p>
    <w:p w14:paraId="01B81CB9">
      <w:pPr>
        <w:ind w:right="420"/>
        <w:jc w:val="right"/>
        <w:rPr>
          <w:rFonts w:hint="eastAsia" w:ascii="宋体" w:hAnsi="宋体" w:cs="宋体"/>
          <w:b/>
          <w:sz w:val="32"/>
          <w:szCs w:val="32"/>
        </w:rPr>
      </w:pPr>
      <w:r>
        <w:rPr>
          <w:rFonts w:hint="eastAsia" w:ascii="宋体" w:hAnsi="宋体" w:cs="宋体"/>
          <w:szCs w:val="21"/>
        </w:rPr>
        <w:t>202</w:t>
      </w:r>
      <w:r>
        <w:rPr>
          <w:rFonts w:hint="eastAsia" w:ascii="宋体" w:hAnsi="宋体" w:cs="宋体"/>
          <w:szCs w:val="21"/>
          <w:lang w:val="en-US" w:eastAsia="zh-CN"/>
        </w:rPr>
        <w:t>6</w:t>
      </w:r>
      <w:r>
        <w:rPr>
          <w:rFonts w:hint="eastAsia" w:ascii="宋体" w:hAnsi="宋体" w:cs="宋体"/>
          <w:szCs w:val="21"/>
        </w:rPr>
        <w:t>年</w:t>
      </w:r>
      <w:r>
        <w:rPr>
          <w:rFonts w:hint="eastAsia" w:ascii="宋体" w:hAnsi="宋体" w:cs="宋体"/>
          <w:szCs w:val="21"/>
          <w:lang w:val="en-US" w:eastAsia="zh-CN"/>
        </w:rPr>
        <w:t>4</w:t>
      </w:r>
      <w:r>
        <w:rPr>
          <w:rFonts w:hint="eastAsia" w:ascii="宋体" w:hAnsi="宋体" w:cs="宋体"/>
          <w:szCs w:val="21"/>
        </w:rPr>
        <w:t>月</w:t>
      </w:r>
      <w:r>
        <w:rPr>
          <w:rFonts w:hint="eastAsia" w:ascii="宋体" w:hAnsi="宋体" w:cs="宋体"/>
          <w:szCs w:val="21"/>
          <w:lang w:val="en-US" w:eastAsia="zh-CN"/>
        </w:rPr>
        <w:t>2</w:t>
      </w:r>
      <w:r>
        <w:rPr>
          <w:rFonts w:hint="eastAsia" w:ascii="宋体" w:hAnsi="宋体" w:cs="宋体"/>
          <w:szCs w:val="21"/>
        </w:rPr>
        <w:t>日</w:t>
      </w:r>
    </w:p>
    <w:p w14:paraId="14674B8D">
      <w:pPr>
        <w:pStyle w:val="2"/>
        <w:spacing w:before="0" w:after="0" w:line="360" w:lineRule="auto"/>
        <w:jc w:val="center"/>
        <w:rPr>
          <w:rFonts w:hint="eastAsia" w:ascii="宋体" w:hAnsi="宋体" w:cs="宋体"/>
          <w:b w:val="0"/>
          <w:sz w:val="36"/>
          <w:szCs w:val="36"/>
        </w:rPr>
      </w:pPr>
      <w:bookmarkStart w:id="47" w:name="_Toc1150"/>
      <w:r>
        <w:rPr>
          <w:rFonts w:hint="eastAsia" w:ascii="宋体" w:hAnsi="宋体" w:cs="宋体"/>
          <w:sz w:val="36"/>
          <w:szCs w:val="36"/>
        </w:rPr>
        <w:br w:type="page"/>
      </w:r>
      <w:r>
        <w:rPr>
          <w:rFonts w:hint="eastAsia" w:ascii="宋体" w:hAnsi="宋体" w:cs="宋体"/>
          <w:sz w:val="36"/>
          <w:szCs w:val="36"/>
        </w:rPr>
        <w:t>第二章 供应商须知</w:t>
      </w:r>
      <w:bookmarkEnd w:id="47"/>
    </w:p>
    <w:p w14:paraId="660C7E33">
      <w:pPr>
        <w:spacing w:line="360" w:lineRule="exact"/>
        <w:jc w:val="center"/>
        <w:rPr>
          <w:rFonts w:hint="eastAsia" w:ascii="宋体" w:hAnsi="宋体" w:cs="宋体"/>
          <w:b/>
          <w:sz w:val="32"/>
          <w:szCs w:val="32"/>
        </w:rPr>
      </w:pPr>
      <w:r>
        <w:rPr>
          <w:rFonts w:hint="eastAsia" w:ascii="宋体" w:hAnsi="宋体" w:cs="宋体"/>
          <w:b/>
          <w:sz w:val="32"/>
          <w:szCs w:val="32"/>
        </w:rPr>
        <w:t>供应商须知前附表</w:t>
      </w:r>
    </w:p>
    <w:tbl>
      <w:tblPr>
        <w:tblStyle w:val="3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2"/>
        <w:gridCol w:w="7912"/>
      </w:tblGrid>
      <w:tr w14:paraId="7DF9B0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top"/>
          </w:tcPr>
          <w:p w14:paraId="3CF06021">
            <w:pPr>
              <w:wordWrap w:val="0"/>
              <w:spacing w:line="400" w:lineRule="exact"/>
              <w:jc w:val="center"/>
              <w:rPr>
                <w:rFonts w:hint="eastAsia" w:ascii="宋体" w:hAnsi="宋体" w:cs="宋体"/>
                <w:b/>
                <w:szCs w:val="21"/>
              </w:rPr>
            </w:pPr>
            <w:r>
              <w:rPr>
                <w:rFonts w:hint="eastAsia" w:ascii="宋体" w:hAnsi="宋体" w:cs="宋体"/>
                <w:b/>
                <w:szCs w:val="21"/>
              </w:rPr>
              <w:t>条款号</w:t>
            </w:r>
          </w:p>
        </w:tc>
        <w:tc>
          <w:tcPr>
            <w:tcW w:w="7912" w:type="dxa"/>
            <w:noWrap w:val="0"/>
            <w:vAlign w:val="top"/>
          </w:tcPr>
          <w:p w14:paraId="58DB35DA">
            <w:pPr>
              <w:wordWrap w:val="0"/>
              <w:spacing w:line="400" w:lineRule="exact"/>
              <w:jc w:val="center"/>
              <w:rPr>
                <w:rFonts w:hint="eastAsia" w:ascii="宋体" w:hAnsi="宋体" w:cs="宋体"/>
                <w:b/>
                <w:szCs w:val="21"/>
              </w:rPr>
            </w:pPr>
            <w:r>
              <w:rPr>
                <w:rFonts w:hint="eastAsia" w:ascii="宋体" w:hAnsi="宋体" w:cs="宋体"/>
                <w:b/>
                <w:szCs w:val="21"/>
              </w:rPr>
              <w:t>内    容</w:t>
            </w:r>
          </w:p>
        </w:tc>
      </w:tr>
      <w:tr w14:paraId="4C8945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92" w:type="dxa"/>
            <w:noWrap w:val="0"/>
            <w:vAlign w:val="center"/>
          </w:tcPr>
          <w:p w14:paraId="6C4A310C">
            <w:pPr>
              <w:wordWrap w:val="0"/>
              <w:spacing w:line="400" w:lineRule="exact"/>
              <w:jc w:val="center"/>
              <w:rPr>
                <w:rFonts w:hint="eastAsia" w:ascii="宋体" w:hAnsi="宋体" w:cs="宋体"/>
                <w:szCs w:val="21"/>
              </w:rPr>
            </w:pPr>
            <w:r>
              <w:rPr>
                <w:rFonts w:hint="eastAsia" w:ascii="宋体" w:hAnsi="宋体" w:cs="宋体"/>
                <w:szCs w:val="21"/>
              </w:rPr>
              <w:t>3</w:t>
            </w:r>
          </w:p>
        </w:tc>
        <w:tc>
          <w:tcPr>
            <w:tcW w:w="7912" w:type="dxa"/>
            <w:noWrap w:val="0"/>
            <w:vAlign w:val="center"/>
          </w:tcPr>
          <w:p w14:paraId="3FD97DD1">
            <w:pPr>
              <w:wordWrap w:val="0"/>
              <w:spacing w:line="400" w:lineRule="exact"/>
              <w:rPr>
                <w:rFonts w:hint="eastAsia" w:ascii="宋体" w:hAnsi="宋体" w:cs="宋体"/>
                <w:szCs w:val="21"/>
              </w:rPr>
            </w:pPr>
            <w:r>
              <w:rPr>
                <w:rFonts w:hint="eastAsia" w:ascii="宋体" w:hAnsi="宋体" w:cs="宋体"/>
                <w:szCs w:val="21"/>
              </w:rPr>
              <w:t>1.供应商的资格条件：详见竞争性谈判公告</w:t>
            </w:r>
          </w:p>
          <w:p w14:paraId="3BAA5725">
            <w:pPr>
              <w:wordWrap w:val="0"/>
              <w:spacing w:line="400" w:lineRule="exact"/>
              <w:rPr>
                <w:rFonts w:hint="eastAsia" w:ascii="宋体" w:hAnsi="宋体" w:cs="宋体"/>
                <w:szCs w:val="21"/>
              </w:rPr>
            </w:pPr>
            <w:r>
              <w:rPr>
                <w:rFonts w:hint="eastAsia" w:ascii="宋体" w:hAnsi="宋体" w:cs="宋体"/>
                <w:szCs w:val="21"/>
              </w:rPr>
              <w:t>2.</w:t>
            </w:r>
            <w:r>
              <w:rPr>
                <w:rFonts w:hint="eastAsia" w:ascii="宋体" w:hAnsi="宋体" w:cs="宋体"/>
                <w:bCs/>
                <w:szCs w:val="21"/>
              </w:rPr>
              <w:t>供应商</w:t>
            </w:r>
            <w:r>
              <w:rPr>
                <w:rFonts w:hint="eastAsia" w:ascii="宋体" w:hAnsi="宋体" w:cs="宋体"/>
                <w:szCs w:val="21"/>
              </w:rPr>
              <w:t>出现下列情形之一的，不得参加政府采购活动：</w:t>
            </w:r>
          </w:p>
          <w:p w14:paraId="2C2A36E7">
            <w:pPr>
              <w:wordWrap w:val="0"/>
              <w:spacing w:line="400" w:lineRule="exact"/>
              <w:rPr>
                <w:rFonts w:hint="eastAsia" w:ascii="宋体" w:hAnsi="宋体" w:cs="宋体"/>
                <w:szCs w:val="21"/>
              </w:rPr>
            </w:pPr>
            <w:r>
              <w:rPr>
                <w:rFonts w:hint="eastAsia" w:ascii="宋体" w:hAnsi="宋体" w:cs="宋体"/>
                <w:szCs w:val="21"/>
              </w:rPr>
              <w:t>2.1单位负责人为同一人或者存在直接控股、管理关系的不同供应商，不得参加同一合同项下的政府采购活动。为本项目提供过整体设计、规范编制或者项目管理、监理、检测等服务的供应商，不得再参加本项目上述服务以外的其他采购活动。</w:t>
            </w:r>
          </w:p>
          <w:p w14:paraId="30A8BA68">
            <w:pPr>
              <w:wordWrap w:val="0"/>
              <w:spacing w:line="400" w:lineRule="exact"/>
              <w:rPr>
                <w:rFonts w:hint="eastAsia" w:ascii="宋体" w:hAnsi="宋体" w:cs="宋体"/>
                <w:szCs w:val="21"/>
              </w:rPr>
            </w:pPr>
            <w:r>
              <w:rPr>
                <w:rFonts w:hint="eastAsia" w:ascii="宋体" w:hAnsi="宋体" w:cs="宋体"/>
                <w:szCs w:val="21"/>
              </w:rPr>
              <w:t>2.2对在“信用中国”网站</w:t>
            </w:r>
            <w:r>
              <w:rPr>
                <w:rFonts w:hint="eastAsia" w:ascii="宋体" w:hAnsi="宋体" w:cs="宋体"/>
                <w:szCs w:val="21"/>
                <w:lang w:eastAsia="zh-CN"/>
              </w:rPr>
              <w:t>（</w:t>
            </w:r>
            <w:r>
              <w:rPr>
                <w:rFonts w:hint="eastAsia" w:ascii="宋体" w:hAnsi="宋体" w:cs="宋体"/>
                <w:szCs w:val="21"/>
              </w:rPr>
              <w:t>www.creditchina.gov.cn</w:t>
            </w:r>
            <w:r>
              <w:rPr>
                <w:rFonts w:hint="eastAsia" w:ascii="宋体" w:hAnsi="宋体" w:cs="宋体"/>
                <w:szCs w:val="21"/>
                <w:lang w:eastAsia="zh-CN"/>
              </w:rPr>
              <w:t>）</w:t>
            </w:r>
            <w:r>
              <w:rPr>
                <w:rFonts w:hint="eastAsia" w:ascii="宋体" w:hAnsi="宋体" w:cs="宋体"/>
                <w:szCs w:val="21"/>
              </w:rPr>
              <w:t xml:space="preserve"> 、中国政府采购网</w:t>
            </w:r>
            <w:r>
              <w:rPr>
                <w:rFonts w:hint="eastAsia" w:ascii="宋体" w:hAnsi="宋体" w:cs="宋体"/>
                <w:szCs w:val="21"/>
                <w:lang w:eastAsia="zh-CN"/>
              </w:rPr>
              <w:t>（</w:t>
            </w:r>
            <w:r>
              <w:rPr>
                <w:rFonts w:hint="eastAsia" w:ascii="宋体" w:hAnsi="宋体" w:cs="宋体"/>
                <w:szCs w:val="21"/>
              </w:rPr>
              <w:t>www.ccgp.gov.cn</w:t>
            </w:r>
            <w:r>
              <w:rPr>
                <w:rFonts w:hint="eastAsia" w:ascii="宋体" w:hAnsi="宋体" w:cs="宋体"/>
                <w:szCs w:val="21"/>
                <w:lang w:eastAsia="zh-CN"/>
              </w:rPr>
              <w:t>）</w:t>
            </w:r>
            <w:r>
              <w:rPr>
                <w:rFonts w:hint="eastAsia" w:ascii="宋体" w:hAnsi="宋体" w:cs="宋体"/>
                <w:szCs w:val="21"/>
              </w:rPr>
              <w:t>被列入失信被执行人、重大税收违法案件当事人名单、政府采购严重违法失信行为记录名单及其他不符合《中华人民共和国政府采购法》第二十二条规定条件的供应商，不得参与政府采购活动。</w:t>
            </w:r>
          </w:p>
        </w:tc>
      </w:tr>
      <w:tr w14:paraId="56C9B3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992" w:type="dxa"/>
            <w:noWrap w:val="0"/>
            <w:vAlign w:val="center"/>
          </w:tcPr>
          <w:p w14:paraId="410352D9">
            <w:pPr>
              <w:wordWrap w:val="0"/>
              <w:spacing w:line="400" w:lineRule="exact"/>
              <w:jc w:val="center"/>
              <w:rPr>
                <w:rFonts w:hint="eastAsia" w:ascii="宋体" w:hAnsi="宋体" w:cs="宋体"/>
                <w:szCs w:val="21"/>
              </w:rPr>
            </w:pPr>
            <w:r>
              <w:rPr>
                <w:rFonts w:hint="eastAsia" w:ascii="宋体" w:hAnsi="宋体" w:cs="宋体"/>
                <w:szCs w:val="21"/>
              </w:rPr>
              <w:t>5.1</w:t>
            </w:r>
          </w:p>
        </w:tc>
        <w:tc>
          <w:tcPr>
            <w:tcW w:w="7912" w:type="dxa"/>
            <w:noWrap w:val="0"/>
            <w:vAlign w:val="center"/>
          </w:tcPr>
          <w:p w14:paraId="509540DE">
            <w:pPr>
              <w:wordWrap w:val="0"/>
              <w:spacing w:line="400" w:lineRule="exact"/>
              <w:rPr>
                <w:rFonts w:hint="eastAsia" w:ascii="宋体" w:hAnsi="宋体" w:cs="宋体"/>
                <w:szCs w:val="21"/>
              </w:rPr>
            </w:pPr>
            <w:r>
              <w:rPr>
                <w:rFonts w:hint="eastAsia" w:ascii="宋体" w:hAnsi="宋体" w:cs="宋体"/>
                <w:szCs w:val="21"/>
              </w:rPr>
              <w:t>是否接受联合体竞标：详见竞争性谈判公告</w:t>
            </w:r>
          </w:p>
        </w:tc>
      </w:tr>
      <w:tr w14:paraId="7362B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360F0410">
            <w:pPr>
              <w:wordWrap w:val="0"/>
              <w:spacing w:line="400" w:lineRule="exact"/>
              <w:jc w:val="center"/>
              <w:rPr>
                <w:rFonts w:hint="eastAsia" w:ascii="宋体" w:hAnsi="宋体" w:cs="宋体"/>
                <w:szCs w:val="21"/>
              </w:rPr>
            </w:pPr>
            <w:r>
              <w:rPr>
                <w:rFonts w:hint="eastAsia" w:ascii="宋体" w:hAnsi="宋体" w:cs="宋体"/>
                <w:szCs w:val="21"/>
              </w:rPr>
              <w:t>5.2</w:t>
            </w:r>
          </w:p>
        </w:tc>
        <w:tc>
          <w:tcPr>
            <w:tcW w:w="7912" w:type="dxa"/>
            <w:noWrap w:val="0"/>
            <w:vAlign w:val="center"/>
          </w:tcPr>
          <w:p w14:paraId="45B0C01C">
            <w:pPr>
              <w:wordWrap w:val="0"/>
              <w:spacing w:line="400" w:lineRule="exact"/>
              <w:rPr>
                <w:rFonts w:hint="eastAsia" w:ascii="宋体" w:hAnsi="宋体" w:cs="宋体"/>
                <w:szCs w:val="21"/>
              </w:rPr>
            </w:pPr>
            <w:r>
              <w:rPr>
                <w:rFonts w:hint="eastAsia" w:ascii="宋体" w:hAnsi="宋体" w:cs="宋体"/>
                <w:szCs w:val="21"/>
              </w:rPr>
              <w:t>如接受联合体竞标，联合体竞标要求如下：无。</w:t>
            </w:r>
          </w:p>
        </w:tc>
      </w:tr>
      <w:tr w14:paraId="7C9A2F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6901BA96">
            <w:pPr>
              <w:wordWrap w:val="0"/>
              <w:spacing w:line="400" w:lineRule="exact"/>
              <w:jc w:val="center"/>
              <w:rPr>
                <w:rFonts w:hint="eastAsia" w:ascii="宋体" w:hAnsi="宋体" w:cs="宋体"/>
                <w:szCs w:val="21"/>
              </w:rPr>
            </w:pPr>
            <w:r>
              <w:rPr>
                <w:rFonts w:hint="eastAsia" w:ascii="宋体" w:hAnsi="宋体" w:cs="宋体"/>
                <w:szCs w:val="21"/>
              </w:rPr>
              <w:t>6.2</w:t>
            </w:r>
          </w:p>
        </w:tc>
        <w:tc>
          <w:tcPr>
            <w:tcW w:w="7912" w:type="dxa"/>
            <w:noWrap w:val="0"/>
            <w:vAlign w:val="center"/>
          </w:tcPr>
          <w:p w14:paraId="716C5EBF">
            <w:pPr>
              <w:wordWrap w:val="0"/>
              <w:spacing w:line="400" w:lineRule="exact"/>
              <w:jc w:val="left"/>
              <w:rPr>
                <w:rFonts w:hint="eastAsia" w:ascii="宋体" w:hAnsi="宋体" w:cs="宋体"/>
                <w:szCs w:val="21"/>
              </w:rPr>
            </w:pPr>
            <w:r>
              <w:rPr>
                <w:rFonts w:hint="eastAsia" w:ascii="宋体" w:hAnsi="宋体" w:cs="宋体"/>
                <w:szCs w:val="21"/>
              </w:rPr>
              <w:t>本项目不允许分包</w:t>
            </w:r>
          </w:p>
        </w:tc>
      </w:tr>
      <w:tr w14:paraId="14E730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4EE26CFF">
            <w:pPr>
              <w:wordWrap w:val="0"/>
              <w:spacing w:line="400" w:lineRule="exact"/>
              <w:jc w:val="center"/>
              <w:rPr>
                <w:rFonts w:hint="eastAsia" w:ascii="宋体" w:hAnsi="宋体" w:cs="宋体"/>
                <w:szCs w:val="21"/>
              </w:rPr>
            </w:pPr>
            <w:r>
              <w:rPr>
                <w:rFonts w:hint="eastAsia" w:ascii="宋体" w:hAnsi="宋体" w:cs="宋体"/>
                <w:szCs w:val="21"/>
              </w:rPr>
              <w:t>11.2</w:t>
            </w:r>
          </w:p>
        </w:tc>
        <w:tc>
          <w:tcPr>
            <w:tcW w:w="7912" w:type="dxa"/>
            <w:noWrap w:val="0"/>
            <w:vAlign w:val="center"/>
          </w:tcPr>
          <w:p w14:paraId="209609A3">
            <w:pPr>
              <w:wordWrap w:val="0"/>
              <w:spacing w:line="400" w:lineRule="exact"/>
              <w:rPr>
                <w:rFonts w:hint="eastAsia" w:ascii="宋体" w:hAnsi="宋体" w:cs="宋体"/>
                <w:szCs w:val="21"/>
              </w:rPr>
            </w:pPr>
            <w:r>
              <w:rPr>
                <w:rFonts w:hint="eastAsia" w:ascii="宋体" w:hAnsi="宋体" w:cs="宋体"/>
                <w:szCs w:val="21"/>
              </w:rPr>
              <w:t>谈判前准备：</w:t>
            </w:r>
          </w:p>
          <w:p w14:paraId="3FAB6CC3">
            <w:pPr>
              <w:wordWrap w:val="0"/>
              <w:spacing w:line="400" w:lineRule="exact"/>
              <w:rPr>
                <w:rFonts w:hint="eastAsia" w:ascii="宋体" w:hAnsi="宋体" w:cs="宋体"/>
                <w:szCs w:val="21"/>
              </w:rPr>
            </w:pPr>
            <w:r>
              <w:rPr>
                <w:rFonts w:hint="eastAsia" w:ascii="宋体" w:hAnsi="宋体" w:cs="宋体"/>
                <w:szCs w:val="21"/>
              </w:rPr>
              <w:t>1.本项目实行网上竞标，采用电子响应文件。若供应商参与竞标，自行承担竞标的一切费用。</w:t>
            </w:r>
          </w:p>
          <w:p w14:paraId="6F072899">
            <w:pPr>
              <w:wordWrap w:val="0"/>
              <w:spacing w:line="400" w:lineRule="exact"/>
              <w:rPr>
                <w:rFonts w:hint="eastAsia" w:ascii="宋体" w:hAnsi="宋体" w:cs="宋体"/>
                <w:szCs w:val="21"/>
              </w:rPr>
            </w:pPr>
            <w:r>
              <w:rPr>
                <w:rFonts w:hint="eastAsia" w:ascii="宋体" w:hAnsi="宋体" w:cs="宋体"/>
                <w:szCs w:val="21"/>
              </w:rPr>
              <w:t>2.各供应商应在响应文件递交截止时间前应确保成为“</w:t>
            </w:r>
            <w:r>
              <w:rPr>
                <w:rFonts w:hint="eastAsia" w:ascii="宋体" w:hAnsi="宋体" w:cs="宋体"/>
                <w:color w:val="auto"/>
                <w:szCs w:val="21"/>
              </w:rPr>
              <w:t>广西政府采购云平台</w:t>
            </w:r>
            <w:r>
              <w:rPr>
                <w:rFonts w:hint="eastAsia" w:ascii="宋体" w:hAnsi="宋体" w:cs="宋体"/>
                <w:szCs w:val="21"/>
              </w:rPr>
              <w:t>”网站正式注册入库供应商，并完成CA数字证书申领。因未注册入库、未办理CA数字证书等原因造成无法竞标或竞标失败等后果由供应商自行承担。</w:t>
            </w:r>
          </w:p>
          <w:p w14:paraId="7A8DD65F">
            <w:pPr>
              <w:wordWrap w:val="0"/>
              <w:spacing w:line="400" w:lineRule="exact"/>
              <w:rPr>
                <w:rFonts w:hint="eastAsia" w:ascii="宋体" w:hAnsi="宋体" w:cs="宋体"/>
                <w:szCs w:val="21"/>
              </w:rPr>
            </w:pPr>
            <w:r>
              <w:rPr>
                <w:rFonts w:hint="eastAsia" w:ascii="宋体" w:hAnsi="宋体" w:cs="宋体"/>
                <w:szCs w:val="21"/>
              </w:rPr>
              <w:t>3.供应商将</w:t>
            </w:r>
            <w:r>
              <w:rPr>
                <w:rFonts w:hint="eastAsia" w:ascii="宋体" w:hAnsi="宋体" w:cs="宋体"/>
                <w:color w:val="auto"/>
                <w:szCs w:val="21"/>
              </w:rPr>
              <w:t>广西政府采购云平台</w:t>
            </w:r>
            <w:r>
              <w:rPr>
                <w:rFonts w:hint="eastAsia" w:ascii="宋体" w:hAnsi="宋体" w:cs="宋体"/>
                <w:szCs w:val="21"/>
              </w:rPr>
              <w:t>电子交易客户端下载、安装完成后，可通过账号密码或CA登录客户端进行响应文件制作，</w:t>
            </w:r>
            <w:r>
              <w:rPr>
                <w:rFonts w:hint="eastAsia" w:ascii="宋体" w:hAnsi="宋体" w:cs="宋体"/>
                <w:color w:val="000000"/>
                <w:szCs w:val="21"/>
              </w:rPr>
              <w:t>供应商如在操作过程中遇到问题或需技术支持，请致电广西政府采购云平台客服热线：95763。</w:t>
            </w:r>
          </w:p>
        </w:tc>
      </w:tr>
      <w:tr w14:paraId="642B07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419046AA">
            <w:pPr>
              <w:wordWrap w:val="0"/>
              <w:spacing w:line="400" w:lineRule="exact"/>
              <w:jc w:val="center"/>
              <w:rPr>
                <w:rFonts w:hint="eastAsia" w:ascii="宋体" w:hAnsi="宋体" w:cs="宋体"/>
                <w:szCs w:val="21"/>
              </w:rPr>
            </w:pPr>
            <w:r>
              <w:rPr>
                <w:rFonts w:hint="eastAsia" w:ascii="宋体" w:hAnsi="宋体" w:cs="宋体"/>
                <w:szCs w:val="21"/>
              </w:rPr>
              <w:t>12.1.1</w:t>
            </w:r>
          </w:p>
        </w:tc>
        <w:tc>
          <w:tcPr>
            <w:tcW w:w="7912" w:type="dxa"/>
            <w:noWrap w:val="0"/>
            <w:vAlign w:val="center"/>
          </w:tcPr>
          <w:p w14:paraId="143001B4">
            <w:pPr>
              <w:wordWrap w:val="0"/>
              <w:snapToGrid w:val="0"/>
              <w:spacing w:line="400" w:lineRule="exact"/>
              <w:jc w:val="left"/>
              <w:rPr>
                <w:rFonts w:hint="eastAsia" w:ascii="宋体" w:hAnsi="宋体" w:cs="宋体"/>
                <w:b/>
                <w:szCs w:val="21"/>
              </w:rPr>
            </w:pPr>
            <w:r>
              <w:rPr>
                <w:rFonts w:hint="eastAsia" w:ascii="宋体" w:hAnsi="宋体" w:cs="宋体"/>
                <w:b/>
                <w:szCs w:val="21"/>
              </w:rPr>
              <w:t>资格证明文件</w:t>
            </w:r>
          </w:p>
          <w:p w14:paraId="115AB7F7">
            <w:pPr>
              <w:wordWrap w:val="0"/>
              <w:snapToGrid w:val="0"/>
              <w:spacing w:line="400" w:lineRule="exact"/>
              <w:ind w:firstLine="420" w:firstLineChars="200"/>
              <w:jc w:val="left"/>
              <w:rPr>
                <w:rFonts w:hint="eastAsia" w:ascii="宋体" w:hAnsi="宋体" w:cs="宋体"/>
                <w:b/>
                <w:bCs w:val="0"/>
                <w:szCs w:val="21"/>
              </w:rPr>
            </w:pPr>
            <w:bookmarkStart w:id="48" w:name="OLE_LINK3"/>
            <w:r>
              <w:rPr>
                <w:rFonts w:hint="eastAsia" w:ascii="宋体" w:hAnsi="宋体" w:cs="宋体"/>
                <w:bCs/>
                <w:szCs w:val="21"/>
              </w:rPr>
              <w:t>1.供应商为法人或者其他组织的提供其营业执照等证明文件（如营业执照或者事业单位法人证书或者执业许可证等）</w:t>
            </w:r>
            <w:r>
              <w:rPr>
                <w:rFonts w:hint="eastAsia" w:ascii="宋体" w:hAnsi="宋体" w:cs="宋体"/>
                <w:bCs/>
                <w:szCs w:val="21"/>
                <w:lang w:val="en-US" w:eastAsia="zh-CN"/>
              </w:rPr>
              <w:t>扫描件</w:t>
            </w:r>
            <w:r>
              <w:rPr>
                <w:rFonts w:hint="eastAsia" w:ascii="宋体" w:hAnsi="宋体" w:cs="宋体"/>
                <w:bCs/>
                <w:szCs w:val="21"/>
              </w:rPr>
              <w:t>；</w:t>
            </w:r>
            <w:r>
              <w:rPr>
                <w:rFonts w:hint="eastAsia" w:ascii="宋体" w:hAnsi="宋体" w:cs="宋体"/>
                <w:b/>
                <w:bCs w:val="0"/>
                <w:szCs w:val="21"/>
              </w:rPr>
              <w:t>（必须提供，否则响应文件按无效响应处理）</w:t>
            </w:r>
          </w:p>
          <w:bookmarkEnd w:id="48"/>
          <w:p w14:paraId="065DD25C">
            <w:pPr>
              <w:wordWrap w:val="0"/>
              <w:snapToGrid w:val="0"/>
              <w:spacing w:line="400" w:lineRule="exact"/>
              <w:ind w:firstLine="420" w:firstLineChars="200"/>
              <w:jc w:val="left"/>
              <w:rPr>
                <w:rFonts w:hint="eastAsia" w:ascii="宋体" w:hAnsi="宋体" w:cs="宋体"/>
                <w:color w:val="0C0C0C"/>
              </w:rPr>
            </w:pPr>
            <w:r>
              <w:rPr>
                <w:rFonts w:hint="eastAsia" w:ascii="宋体" w:hAnsi="宋体" w:cs="宋体"/>
                <w:bCs/>
                <w:szCs w:val="21"/>
              </w:rPr>
              <w:t>2.</w:t>
            </w:r>
            <w:bookmarkStart w:id="49" w:name="OLE_LINK5"/>
            <w:r>
              <w:rPr>
                <w:rFonts w:hint="eastAsia" w:ascii="宋体" w:hAnsi="宋体" w:cs="宋体"/>
                <w:color w:val="0C0C0C"/>
              </w:rPr>
              <w:t>具备由国家主管部门颁发的有效的证件</w:t>
            </w:r>
            <w:r>
              <w:rPr>
                <w:rFonts w:hint="eastAsia" w:ascii="宋体" w:hAnsi="宋体" w:cs="宋体"/>
                <w:color w:val="0C0C0C"/>
                <w:lang w:eastAsia="zh-CN"/>
              </w:rPr>
              <w:t>（</w:t>
            </w:r>
            <w:r>
              <w:rPr>
                <w:rFonts w:hint="eastAsia" w:ascii="宋体" w:hAnsi="宋体" w:cs="宋体"/>
                <w:color w:val="0C0C0C"/>
              </w:rPr>
              <w:t>生产企业须提供《医疗器械生产许可证》；</w:t>
            </w:r>
            <w:r>
              <w:rPr>
                <w:rFonts w:hint="eastAsia" w:ascii="宋体" w:hAnsi="宋体" w:cs="宋体"/>
                <w:color w:val="0C0C0C"/>
                <w:lang w:eastAsia="zh-CN"/>
              </w:rPr>
              <w:t>按照</w:t>
            </w:r>
            <w:r>
              <w:rPr>
                <w:rFonts w:hint="eastAsia" w:ascii="宋体" w:hAnsi="宋体" w:cs="宋体"/>
                <w:color w:val="0C0C0C"/>
              </w:rPr>
              <w:t>《医疗器械经营监督管理办法》</w:t>
            </w:r>
            <w:r>
              <w:rPr>
                <w:rFonts w:hint="eastAsia" w:ascii="宋体" w:hAnsi="宋体" w:cs="宋体"/>
                <w:color w:val="0C0C0C"/>
                <w:lang w:eastAsia="zh-CN"/>
              </w:rPr>
              <w:t>（</w:t>
            </w:r>
            <w:r>
              <w:rPr>
                <w:rFonts w:hint="eastAsia" w:ascii="宋体" w:hAnsi="宋体" w:cs="宋体"/>
                <w:color w:val="0C0C0C"/>
              </w:rPr>
              <w:t>国家食品药品监督管理总局第8号令</w:t>
            </w:r>
            <w:r>
              <w:rPr>
                <w:rFonts w:hint="eastAsia" w:ascii="宋体" w:hAnsi="宋体" w:cs="宋体"/>
                <w:color w:val="0C0C0C"/>
                <w:lang w:eastAsia="zh-CN"/>
              </w:rPr>
              <w:t>）</w:t>
            </w:r>
            <w:r>
              <w:rPr>
                <w:rFonts w:hint="eastAsia" w:ascii="宋体" w:hAnsi="宋体" w:cs="宋体"/>
                <w:color w:val="0C0C0C"/>
              </w:rPr>
              <w:t>医疗器械分类管理要求，经营企业经营第二类医疗器械的须提供《第二类医疗器械经营备案凭证》，经营第三类医疗器械的须提供《医疗器械经营许可证》</w:t>
            </w:r>
            <w:r>
              <w:rPr>
                <w:rFonts w:hint="eastAsia" w:ascii="宋体" w:hAnsi="宋体" w:cs="宋体"/>
                <w:color w:val="0C0C0C"/>
                <w:lang w:eastAsia="zh-CN"/>
              </w:rPr>
              <w:t>）</w:t>
            </w:r>
            <w:r>
              <w:rPr>
                <w:rFonts w:hint="eastAsia" w:ascii="宋体" w:hAnsi="宋体" w:cs="宋体"/>
                <w:color w:val="0C0C0C"/>
              </w:rPr>
              <w:t>；</w:t>
            </w:r>
            <w:r>
              <w:rPr>
                <w:rFonts w:hint="eastAsia" w:ascii="宋体" w:hAnsi="宋体" w:cs="宋体"/>
                <w:b/>
                <w:bCs w:val="0"/>
                <w:szCs w:val="21"/>
              </w:rPr>
              <w:t>（必须提供，否则响应文件按无效响应处理）</w:t>
            </w:r>
            <w:bookmarkEnd w:id="49"/>
          </w:p>
          <w:p w14:paraId="2EF910C3">
            <w:pPr>
              <w:wordWrap w:val="0"/>
              <w:snapToGrid w:val="0"/>
              <w:spacing w:line="400" w:lineRule="exact"/>
              <w:ind w:firstLine="420" w:firstLineChars="200"/>
              <w:jc w:val="left"/>
              <w:rPr>
                <w:rFonts w:hint="eastAsia" w:ascii="宋体" w:hAnsi="宋体" w:cs="宋体"/>
                <w:bCs/>
                <w:szCs w:val="21"/>
              </w:rPr>
            </w:pPr>
            <w:bookmarkStart w:id="50" w:name="OLE_LINK20"/>
            <w:r>
              <w:rPr>
                <w:rFonts w:hint="eastAsia" w:ascii="宋体" w:hAnsi="宋体" w:cs="宋体"/>
                <w:bCs/>
                <w:szCs w:val="21"/>
              </w:rPr>
              <w:t>3.</w:t>
            </w:r>
            <w:bookmarkStart w:id="51" w:name="OLE_LINK33"/>
            <w:r>
              <w:rPr>
                <w:rFonts w:hint="eastAsia" w:ascii="宋体" w:hAnsi="宋体" w:cs="宋体"/>
                <w:bCs/>
                <w:szCs w:val="21"/>
              </w:rPr>
              <w:t>供应商202</w:t>
            </w:r>
            <w:r>
              <w:rPr>
                <w:rFonts w:hint="eastAsia" w:ascii="宋体" w:hAnsi="宋体" w:cs="宋体"/>
                <w:bCs/>
                <w:szCs w:val="21"/>
                <w:lang w:val="en-US" w:eastAsia="zh-CN"/>
              </w:rPr>
              <w:t>5</w:t>
            </w:r>
            <w:r>
              <w:rPr>
                <w:rFonts w:hint="eastAsia" w:ascii="宋体" w:hAnsi="宋体" w:cs="宋体"/>
                <w:bCs/>
                <w:szCs w:val="21"/>
              </w:rPr>
              <w:t>年财务状况报告</w:t>
            </w:r>
            <w:r>
              <w:rPr>
                <w:rFonts w:hint="eastAsia" w:ascii="宋体" w:hAnsi="宋体" w:cs="宋体"/>
                <w:bCs/>
                <w:color w:val="0C0C0C"/>
                <w:lang w:val="en-US" w:eastAsia="zh-CN"/>
              </w:rPr>
              <w:t>扫描件</w:t>
            </w:r>
            <w:r>
              <w:rPr>
                <w:rFonts w:hint="eastAsia" w:ascii="宋体" w:hAnsi="宋体" w:cs="宋体"/>
                <w:bCs/>
                <w:szCs w:val="21"/>
              </w:rPr>
              <w:t>（供应商是法人的，应提供财务报告或其基本开户银行出具的资信证明；对于从取得营业执照时间起到提交响应文件截止时间为止不足要求年数的，只需提交取得营业执照年份至所要求最近年份的财务报告。如提供月度财务报表或所提供的财务状况报告未经审计的须同时由本公司出具承诺书，承诺该财务状况报告数据真实可靠。供应商是其他组织和自然人的，提供财务报告或者银行出具的资信证明）</w:t>
            </w:r>
            <w:bookmarkEnd w:id="51"/>
            <w:r>
              <w:rPr>
                <w:rFonts w:hint="eastAsia" w:ascii="宋体" w:hAnsi="宋体" w:cs="宋体"/>
                <w:bCs/>
                <w:szCs w:val="21"/>
              </w:rPr>
              <w:t>；</w:t>
            </w:r>
            <w:r>
              <w:rPr>
                <w:rFonts w:hint="eastAsia" w:ascii="宋体" w:hAnsi="宋体" w:cs="宋体"/>
                <w:b/>
                <w:bCs w:val="0"/>
                <w:szCs w:val="21"/>
              </w:rPr>
              <w:t>（必须提供，否则响应文件按无效响应处理）</w:t>
            </w:r>
          </w:p>
          <w:bookmarkEnd w:id="50"/>
          <w:p w14:paraId="51A0C723">
            <w:pPr>
              <w:wordWrap w:val="0"/>
              <w:snapToGrid w:val="0"/>
              <w:spacing w:line="400" w:lineRule="exact"/>
              <w:ind w:firstLine="420" w:firstLineChars="200"/>
              <w:jc w:val="left"/>
              <w:rPr>
                <w:rFonts w:hint="eastAsia" w:ascii="宋体" w:hAnsi="宋体" w:cs="宋体"/>
                <w:bCs/>
                <w:szCs w:val="21"/>
              </w:rPr>
            </w:pPr>
            <w:bookmarkStart w:id="52" w:name="OLE_LINK21"/>
            <w:r>
              <w:rPr>
                <w:rFonts w:hint="eastAsia" w:ascii="宋体" w:hAnsi="宋体" w:cs="宋体"/>
                <w:bCs/>
                <w:szCs w:val="21"/>
              </w:rPr>
              <w:t>4.供应商依法缴纳税收的相关材料（</w:t>
            </w:r>
            <w:r>
              <w:rPr>
                <w:rFonts w:hint="eastAsia" w:ascii="宋体" w:hAnsi="宋体" w:cs="宋体"/>
                <w:bCs/>
                <w:szCs w:val="21"/>
                <w:lang w:eastAsia="zh-CN"/>
              </w:rPr>
              <w:t>2025年</w:t>
            </w:r>
            <w:r>
              <w:rPr>
                <w:rFonts w:hint="eastAsia" w:ascii="宋体" w:hAnsi="宋体" w:cs="宋体"/>
                <w:bCs/>
                <w:szCs w:val="21"/>
                <w:lang w:val="en-US" w:eastAsia="zh-CN"/>
              </w:rPr>
              <w:t>10</w:t>
            </w:r>
            <w:r>
              <w:rPr>
                <w:rFonts w:hint="eastAsia" w:ascii="宋体" w:hAnsi="宋体" w:cs="宋体"/>
                <w:bCs/>
                <w:szCs w:val="21"/>
                <w:lang w:eastAsia="zh-CN"/>
              </w:rPr>
              <w:t>月</w:t>
            </w:r>
            <w:r>
              <w:rPr>
                <w:rFonts w:hint="eastAsia" w:ascii="宋体" w:hAnsi="宋体" w:cs="宋体"/>
                <w:bCs/>
                <w:szCs w:val="21"/>
                <w:lang w:val="en-US" w:eastAsia="zh-CN"/>
              </w:rPr>
              <w:t>至投标截止时间止</w:t>
            </w:r>
            <w:r>
              <w:rPr>
                <w:rFonts w:hint="eastAsia" w:ascii="宋体" w:hAnsi="宋体" w:cs="宋体"/>
                <w:bCs/>
                <w:szCs w:val="21"/>
                <w:lang w:eastAsia="zh-CN"/>
              </w:rPr>
              <w:t>任意</w:t>
            </w:r>
            <w:r>
              <w:rPr>
                <w:rFonts w:hint="eastAsia" w:ascii="宋体" w:hAnsi="宋体" w:cs="宋体"/>
                <w:bCs/>
                <w:szCs w:val="21"/>
              </w:rPr>
              <w:t>连续3个月依法缴纳税收的凭据</w:t>
            </w:r>
            <w:r>
              <w:rPr>
                <w:rFonts w:hint="eastAsia" w:ascii="宋体" w:hAnsi="宋体" w:cs="宋体"/>
                <w:bCs/>
                <w:color w:val="0C0C0C"/>
                <w:lang w:val="en-US" w:eastAsia="zh-CN"/>
              </w:rPr>
              <w:t>扫描件</w:t>
            </w:r>
            <w:r>
              <w:rPr>
                <w:rFonts w:hint="eastAsia" w:ascii="宋体" w:hAnsi="宋体" w:cs="宋体"/>
                <w:bCs/>
                <w:szCs w:val="21"/>
              </w:rPr>
              <w:t>；依法免税的，必须提供相应文件证明其依法免税。从成立之日起到响应文件提交截止时间止不足要求月数的，只需提供从成立之日起的依法缴纳税收相应证明文件）；</w:t>
            </w:r>
            <w:r>
              <w:rPr>
                <w:rFonts w:hint="eastAsia" w:ascii="宋体" w:hAnsi="宋体" w:cs="宋体"/>
                <w:b/>
                <w:bCs w:val="0"/>
                <w:szCs w:val="21"/>
              </w:rPr>
              <w:t>（必须提供，否则响应文件按无效响应处理）</w:t>
            </w:r>
          </w:p>
          <w:bookmarkEnd w:id="52"/>
          <w:p w14:paraId="1196DCBD">
            <w:pPr>
              <w:wordWrap w:val="0"/>
              <w:snapToGrid w:val="0"/>
              <w:spacing w:line="400" w:lineRule="exact"/>
              <w:ind w:firstLine="420" w:firstLineChars="200"/>
              <w:jc w:val="left"/>
              <w:rPr>
                <w:rFonts w:hint="eastAsia" w:ascii="宋体" w:hAnsi="宋体" w:cs="宋体"/>
                <w:bCs/>
                <w:szCs w:val="21"/>
              </w:rPr>
            </w:pPr>
            <w:bookmarkStart w:id="53" w:name="OLE_LINK22"/>
            <w:r>
              <w:rPr>
                <w:rFonts w:hint="eastAsia" w:ascii="宋体" w:hAnsi="宋体" w:cs="宋体"/>
                <w:bCs/>
                <w:szCs w:val="21"/>
              </w:rPr>
              <w:t>5.供应商依法缴纳社会保障资金的相关材料[</w:t>
            </w:r>
            <w:r>
              <w:rPr>
                <w:rFonts w:hint="eastAsia" w:ascii="宋体" w:hAnsi="宋体" w:cs="宋体"/>
                <w:bCs/>
                <w:szCs w:val="21"/>
                <w:lang w:eastAsia="zh-CN"/>
              </w:rPr>
              <w:t>2025年</w:t>
            </w:r>
            <w:r>
              <w:rPr>
                <w:rFonts w:hint="eastAsia" w:ascii="宋体" w:hAnsi="宋体" w:cs="宋体"/>
                <w:bCs/>
                <w:szCs w:val="21"/>
                <w:lang w:val="en-US" w:eastAsia="zh-CN"/>
              </w:rPr>
              <w:t>10</w:t>
            </w:r>
            <w:r>
              <w:rPr>
                <w:rFonts w:hint="eastAsia" w:ascii="宋体" w:hAnsi="宋体" w:cs="宋体"/>
                <w:bCs/>
                <w:szCs w:val="21"/>
                <w:lang w:eastAsia="zh-CN"/>
              </w:rPr>
              <w:t>月至投标截止时间止任意</w:t>
            </w:r>
            <w:r>
              <w:rPr>
                <w:rFonts w:hint="eastAsia" w:ascii="宋体" w:hAnsi="宋体" w:cs="宋体"/>
                <w:bCs/>
                <w:szCs w:val="21"/>
              </w:rPr>
              <w:t>连续3个月依法缴纳社会保障资金的缴费凭证</w:t>
            </w:r>
            <w:r>
              <w:rPr>
                <w:rFonts w:hint="eastAsia" w:ascii="宋体" w:hAnsi="宋体" w:cs="宋体"/>
                <w:bCs/>
                <w:color w:val="0C0C0C"/>
                <w:lang w:val="en-US" w:eastAsia="zh-CN"/>
              </w:rPr>
              <w:t>扫描件</w:t>
            </w:r>
            <w:r>
              <w:rPr>
                <w:rFonts w:hint="eastAsia" w:ascii="宋体" w:hAnsi="宋体" w:cs="宋体"/>
                <w:bCs/>
                <w:szCs w:val="21"/>
              </w:rPr>
              <w:t>；依法不需要缴纳社会保障资金的供应商，必须提供相应文件证明不需要缴纳社会保障资金。从取得营业执照时间起到</w:t>
            </w:r>
            <w:r>
              <w:rPr>
                <w:rFonts w:hint="eastAsia" w:ascii="宋体" w:hAnsi="宋体" w:cs="宋体"/>
                <w:bCs/>
                <w:szCs w:val="21"/>
                <w:lang w:val="en-US" w:eastAsia="zh-CN"/>
              </w:rPr>
              <w:t>竞</w:t>
            </w:r>
            <w:r>
              <w:rPr>
                <w:rFonts w:hint="eastAsia" w:ascii="宋体" w:hAnsi="宋体" w:cs="宋体"/>
                <w:bCs/>
                <w:szCs w:val="21"/>
              </w:rPr>
              <w:t>标文件提交截止时间为止不足要求月数的只需提供从取得营业执照起的依法缴纳社会保障资金的相应证明文件]；</w:t>
            </w:r>
            <w:r>
              <w:rPr>
                <w:rFonts w:hint="eastAsia" w:ascii="宋体" w:hAnsi="宋体" w:cs="宋体"/>
                <w:b/>
                <w:bCs w:val="0"/>
                <w:szCs w:val="21"/>
              </w:rPr>
              <w:t>（必须提供，否则响应文件按无效响应处理）</w:t>
            </w:r>
          </w:p>
          <w:bookmarkEnd w:id="53"/>
          <w:p w14:paraId="09F47828">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rPr>
              <w:t>6.供应商直接控股、管理关系信息表（格式后附）；</w:t>
            </w:r>
            <w:r>
              <w:rPr>
                <w:rFonts w:hint="eastAsia" w:ascii="宋体" w:hAnsi="宋体" w:cs="宋体"/>
                <w:b/>
                <w:bCs w:val="0"/>
                <w:szCs w:val="21"/>
              </w:rPr>
              <w:t>（必须提供，否则响应文件按无效响应处理）</w:t>
            </w:r>
          </w:p>
          <w:p w14:paraId="456CC0C5">
            <w:pPr>
              <w:wordWrap w:val="0"/>
              <w:snapToGrid w:val="0"/>
              <w:spacing w:line="400" w:lineRule="exact"/>
              <w:ind w:firstLine="420" w:firstLineChars="200"/>
              <w:jc w:val="left"/>
              <w:rPr>
                <w:rFonts w:hint="eastAsia" w:ascii="宋体" w:hAnsi="宋体" w:cs="宋体"/>
                <w:b/>
                <w:bCs w:val="0"/>
                <w:szCs w:val="21"/>
              </w:rPr>
            </w:pPr>
            <w:bookmarkStart w:id="54" w:name="OLE_LINK23"/>
            <w:r>
              <w:rPr>
                <w:rFonts w:hint="eastAsia" w:ascii="宋体" w:hAnsi="宋体" w:cs="宋体"/>
                <w:bCs/>
                <w:szCs w:val="21"/>
              </w:rPr>
              <w:t>7.竞标声明（格式后附）；</w:t>
            </w:r>
            <w:r>
              <w:rPr>
                <w:rFonts w:hint="eastAsia" w:ascii="宋体" w:hAnsi="宋体" w:cs="宋体"/>
                <w:b/>
                <w:bCs w:val="0"/>
                <w:szCs w:val="21"/>
              </w:rPr>
              <w:t>（必须提供，否则响应文件按无效响应处理）</w:t>
            </w:r>
          </w:p>
          <w:bookmarkEnd w:id="54"/>
          <w:p w14:paraId="356A929E">
            <w:pPr>
              <w:wordWrap w:val="0"/>
              <w:snapToGrid w:val="0"/>
              <w:spacing w:line="400" w:lineRule="exact"/>
              <w:ind w:firstLine="420" w:firstLineChars="200"/>
              <w:jc w:val="left"/>
              <w:rPr>
                <w:rFonts w:hint="eastAsia" w:ascii="宋体" w:hAnsi="宋体" w:cs="宋体"/>
                <w:bCs/>
                <w:szCs w:val="21"/>
              </w:rPr>
            </w:pPr>
            <w:bookmarkStart w:id="55" w:name="OLE_LINK24"/>
            <w:r>
              <w:rPr>
                <w:rFonts w:hint="eastAsia" w:ascii="宋体" w:hAnsi="宋体" w:cs="宋体"/>
                <w:bCs/>
                <w:szCs w:val="21"/>
              </w:rPr>
              <w:t>8</w:t>
            </w:r>
            <w:r>
              <w:rPr>
                <w:rFonts w:hint="eastAsia" w:ascii="宋体" w:hAnsi="宋体" w:cs="宋体"/>
                <w:bCs/>
                <w:szCs w:val="21"/>
                <w:lang w:val="en-US" w:eastAsia="zh-CN"/>
              </w:rPr>
              <w:t>.</w:t>
            </w:r>
            <w:bookmarkEnd w:id="55"/>
            <w:bookmarkStart w:id="56" w:name="OLE_LINK25"/>
            <w:r>
              <w:rPr>
                <w:rFonts w:hint="eastAsia" w:ascii="宋体" w:hAnsi="宋体" w:eastAsia="宋体" w:cs="宋体"/>
                <w:color w:val="auto"/>
                <w:szCs w:val="21"/>
                <w:lang w:val="en-US" w:eastAsia="zh-CN"/>
              </w:rPr>
              <w:t>参加政府采购活动前三年内在经营活动中没有重大违法记录和不良</w:t>
            </w:r>
            <w:bookmarkStart w:id="76" w:name="_GoBack"/>
            <w:r>
              <w:rPr>
                <w:rFonts w:hint="eastAsia" w:ascii="宋体" w:hAnsi="宋体" w:eastAsia="宋体" w:cs="宋体"/>
                <w:color w:val="auto"/>
                <w:szCs w:val="21"/>
                <w:lang w:val="en-US" w:eastAsia="zh-CN"/>
              </w:rPr>
              <w:t>信用记录</w:t>
            </w:r>
            <w:bookmarkEnd w:id="76"/>
            <w:r>
              <w:rPr>
                <w:rFonts w:hint="eastAsia" w:ascii="宋体" w:hAnsi="宋体" w:eastAsia="宋体" w:cs="宋体"/>
                <w:color w:val="auto"/>
                <w:szCs w:val="21"/>
                <w:lang w:val="en-US" w:eastAsia="zh-CN"/>
              </w:rPr>
              <w:t>的书面声明</w:t>
            </w:r>
            <w:r>
              <w:rPr>
                <w:rFonts w:hint="eastAsia" w:ascii="宋体" w:hAnsi="宋体" w:eastAsia="宋体" w:cs="宋体"/>
                <w:b/>
                <w:bCs/>
                <w:color w:val="auto"/>
                <w:szCs w:val="21"/>
                <w:lang w:val="en-US" w:eastAsia="zh-CN"/>
              </w:rPr>
              <w:t>（必须提供，否则响应文件按无效响应处理）</w:t>
            </w:r>
          </w:p>
          <w:bookmarkEnd w:id="56"/>
          <w:p w14:paraId="21E516BD">
            <w:pPr>
              <w:wordWrap w:val="0"/>
              <w:snapToGrid w:val="0"/>
              <w:spacing w:line="400" w:lineRule="exact"/>
              <w:ind w:firstLine="420" w:firstLineChars="200"/>
              <w:jc w:val="left"/>
              <w:rPr>
                <w:rFonts w:hint="eastAsia" w:ascii="宋体" w:hAnsi="宋体" w:eastAsia="宋体" w:cs="宋体"/>
                <w:bCs/>
                <w:szCs w:val="21"/>
                <w:lang w:eastAsia="zh-CN"/>
              </w:rPr>
            </w:pPr>
            <w:r>
              <w:rPr>
                <w:rFonts w:hint="eastAsia" w:ascii="宋体" w:hAnsi="宋体" w:cs="宋体"/>
                <w:bCs/>
                <w:szCs w:val="21"/>
                <w:highlight w:val="none"/>
                <w:lang w:val="en-US" w:eastAsia="zh-CN"/>
              </w:rPr>
              <w:t>9</w:t>
            </w:r>
            <w:r>
              <w:rPr>
                <w:rFonts w:hint="eastAsia" w:ascii="宋体" w:hAnsi="宋体" w:cs="宋体"/>
                <w:bCs/>
                <w:szCs w:val="21"/>
                <w:highlight w:val="none"/>
              </w:rPr>
              <w:t>.</w:t>
            </w:r>
            <w:r>
              <w:rPr>
                <w:rFonts w:hint="eastAsia" w:ascii="宋体" w:hAnsi="宋体" w:cs="宋体"/>
                <w:bCs/>
                <w:szCs w:val="21"/>
              </w:rPr>
              <w:t>除谈判文件规定必须提供以外，供应商认为需要提供的其他证明材料</w:t>
            </w:r>
            <w:r>
              <w:rPr>
                <w:rFonts w:hint="eastAsia" w:ascii="宋体" w:hAnsi="宋体" w:cs="宋体"/>
                <w:bCs/>
                <w:szCs w:val="21"/>
                <w:lang w:eastAsia="zh-CN"/>
              </w:rPr>
              <w:t>。</w:t>
            </w:r>
          </w:p>
          <w:p w14:paraId="76C62CE5">
            <w:pPr>
              <w:wordWrap w:val="0"/>
              <w:snapToGrid w:val="0"/>
              <w:spacing w:line="400" w:lineRule="exact"/>
              <w:ind w:firstLine="422" w:firstLineChars="200"/>
              <w:jc w:val="left"/>
              <w:rPr>
                <w:rFonts w:hint="eastAsia" w:ascii="宋体" w:hAnsi="宋体" w:cs="宋体"/>
                <w:b/>
                <w:szCs w:val="21"/>
              </w:rPr>
            </w:pPr>
            <w:r>
              <w:rPr>
                <w:rFonts w:hint="eastAsia" w:ascii="宋体" w:hAnsi="宋体" w:cs="宋体"/>
                <w:b/>
                <w:szCs w:val="21"/>
              </w:rPr>
              <w:t>注：</w:t>
            </w:r>
          </w:p>
          <w:p w14:paraId="41883E9F">
            <w:pPr>
              <w:wordWrap w:val="0"/>
              <w:snapToGrid w:val="0"/>
              <w:spacing w:line="400" w:lineRule="exact"/>
              <w:ind w:firstLine="422" w:firstLineChars="200"/>
              <w:jc w:val="left"/>
              <w:rPr>
                <w:rFonts w:hint="eastAsia" w:ascii="宋体" w:hAnsi="宋体" w:cs="宋体"/>
                <w:b/>
                <w:szCs w:val="21"/>
              </w:rPr>
            </w:pPr>
            <w:r>
              <w:rPr>
                <w:rFonts w:hint="eastAsia" w:ascii="宋体" w:hAnsi="宋体" w:cs="宋体"/>
                <w:b/>
                <w:szCs w:val="21"/>
              </w:rPr>
              <w:t>1.以上标明“必须提供”的材料属于复印件的，必须加盖供应商公章，否则响应文件按无效响应处理。</w:t>
            </w:r>
          </w:p>
          <w:p w14:paraId="16BB5569">
            <w:pPr>
              <w:wordWrap w:val="0"/>
              <w:snapToGrid w:val="0"/>
              <w:spacing w:line="400" w:lineRule="exact"/>
              <w:ind w:firstLine="422" w:firstLineChars="200"/>
              <w:jc w:val="left"/>
              <w:rPr>
                <w:rFonts w:hint="eastAsia" w:ascii="宋体" w:hAnsi="宋体" w:cs="宋体"/>
                <w:b/>
                <w:szCs w:val="21"/>
              </w:rPr>
            </w:pPr>
            <w:r>
              <w:rPr>
                <w:rFonts w:hint="eastAsia" w:ascii="宋体" w:hAnsi="宋体" w:cs="宋体"/>
                <w:b/>
                <w:szCs w:val="21"/>
              </w:rPr>
              <w:t>2.竞标声明必须由法定代表人在规定签章处逐一签字并加盖供应商公章，否则响应文件按无效响应处理。</w:t>
            </w:r>
          </w:p>
          <w:p w14:paraId="0729274A">
            <w:pPr>
              <w:wordWrap w:val="0"/>
              <w:snapToGrid w:val="0"/>
              <w:spacing w:line="400" w:lineRule="exact"/>
              <w:ind w:firstLine="422" w:firstLineChars="200"/>
              <w:jc w:val="left"/>
              <w:rPr>
                <w:rFonts w:hint="eastAsia" w:ascii="宋体" w:hAnsi="宋体" w:cs="宋体"/>
                <w:b/>
                <w:szCs w:val="21"/>
              </w:rPr>
            </w:pPr>
            <w:r>
              <w:rPr>
                <w:rFonts w:hint="eastAsia" w:ascii="宋体" w:hAnsi="宋体" w:cs="宋体"/>
                <w:b/>
                <w:szCs w:val="21"/>
              </w:rPr>
              <w:t>3.响应文件，其中电子响应文件中所须加盖公章部分均采用CA签章。若竞争性磋商文件中有专门标注的某关联点，并要求供应商在电子竞标系统中作出竞标响应的，如供应商未对关联点进行响应或者在响应文件其它内容进行描述，造成电子评审不能查询的责任由供应商自行承担。</w:t>
            </w:r>
          </w:p>
        </w:tc>
      </w:tr>
      <w:tr w14:paraId="764E9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1E0B094B">
            <w:pPr>
              <w:wordWrap w:val="0"/>
              <w:spacing w:line="400" w:lineRule="exact"/>
              <w:jc w:val="center"/>
              <w:rPr>
                <w:rFonts w:hint="eastAsia" w:ascii="宋体" w:hAnsi="宋体" w:cs="宋体"/>
                <w:szCs w:val="21"/>
              </w:rPr>
            </w:pPr>
            <w:r>
              <w:rPr>
                <w:rFonts w:hint="eastAsia" w:ascii="宋体" w:hAnsi="宋体" w:cs="宋体"/>
                <w:szCs w:val="21"/>
              </w:rPr>
              <w:t>12.1.2</w:t>
            </w:r>
          </w:p>
        </w:tc>
        <w:tc>
          <w:tcPr>
            <w:tcW w:w="7912" w:type="dxa"/>
            <w:noWrap w:val="0"/>
            <w:vAlign w:val="center"/>
          </w:tcPr>
          <w:p w14:paraId="1C5C1178">
            <w:pPr>
              <w:wordWrap w:val="0"/>
              <w:spacing w:line="400" w:lineRule="exact"/>
              <w:rPr>
                <w:rFonts w:hint="eastAsia" w:ascii="宋体" w:hAnsi="宋体" w:cs="宋体"/>
                <w:b/>
                <w:bCs/>
                <w:szCs w:val="21"/>
              </w:rPr>
            </w:pPr>
            <w:r>
              <w:rPr>
                <w:rFonts w:hint="eastAsia" w:ascii="宋体" w:hAnsi="宋体" w:cs="宋体"/>
                <w:b/>
                <w:bCs/>
                <w:szCs w:val="21"/>
              </w:rPr>
              <w:t>报价商务技术文件</w:t>
            </w:r>
          </w:p>
          <w:p w14:paraId="7D264E06">
            <w:pPr>
              <w:wordWrap w:val="0"/>
              <w:spacing w:line="400" w:lineRule="exact"/>
              <w:ind w:firstLine="420" w:firstLineChars="200"/>
              <w:rPr>
                <w:rFonts w:hint="eastAsia" w:ascii="宋体" w:hAnsi="宋体" w:cs="宋体"/>
                <w:szCs w:val="21"/>
              </w:rPr>
            </w:pPr>
            <w:r>
              <w:rPr>
                <w:rFonts w:hint="eastAsia" w:ascii="宋体" w:hAnsi="宋体" w:cs="宋体"/>
                <w:szCs w:val="21"/>
              </w:rPr>
              <w:t>1.无串通竞标行为的承诺函（格式后附）；（</w:t>
            </w:r>
            <w:r>
              <w:rPr>
                <w:rFonts w:hint="eastAsia" w:ascii="宋体" w:hAnsi="宋体" w:cs="宋体"/>
                <w:b/>
                <w:szCs w:val="21"/>
              </w:rPr>
              <w:t>必须提供，否则响应文件按无效响应处理</w:t>
            </w:r>
            <w:r>
              <w:rPr>
                <w:rFonts w:hint="eastAsia" w:ascii="宋体" w:hAnsi="宋体" w:cs="宋体"/>
                <w:szCs w:val="21"/>
              </w:rPr>
              <w:t>）</w:t>
            </w:r>
          </w:p>
          <w:p w14:paraId="30815B29">
            <w:pPr>
              <w:wordWrap w:val="0"/>
              <w:spacing w:line="400" w:lineRule="exact"/>
              <w:ind w:firstLine="420" w:firstLineChars="200"/>
              <w:rPr>
                <w:rFonts w:hint="eastAsia" w:ascii="宋体" w:hAnsi="宋体" w:cs="宋体"/>
                <w:szCs w:val="21"/>
              </w:rPr>
            </w:pPr>
            <w:r>
              <w:rPr>
                <w:rFonts w:hint="eastAsia" w:ascii="宋体" w:hAnsi="宋体" w:cs="宋体"/>
                <w:szCs w:val="21"/>
              </w:rPr>
              <w:t>2.竞标报价表（格式后附）；（</w:t>
            </w:r>
            <w:r>
              <w:rPr>
                <w:rFonts w:hint="eastAsia" w:ascii="宋体" w:hAnsi="宋体" w:cs="宋体"/>
                <w:b/>
                <w:szCs w:val="21"/>
              </w:rPr>
              <w:t>必须提供，否则响应文件按无效响应处理</w:t>
            </w:r>
            <w:r>
              <w:rPr>
                <w:rFonts w:hint="eastAsia" w:ascii="宋体" w:hAnsi="宋体" w:cs="宋体"/>
                <w:szCs w:val="21"/>
              </w:rPr>
              <w:t>）</w:t>
            </w:r>
          </w:p>
          <w:p w14:paraId="5F504E09">
            <w:pPr>
              <w:wordWrap w:val="0"/>
              <w:snapToGrid w:val="0"/>
              <w:spacing w:line="400" w:lineRule="exact"/>
              <w:ind w:firstLine="420" w:firstLineChars="200"/>
              <w:jc w:val="left"/>
              <w:rPr>
                <w:rFonts w:hint="eastAsia" w:ascii="宋体" w:hAnsi="宋体" w:cs="宋体"/>
                <w:szCs w:val="21"/>
              </w:rPr>
            </w:pPr>
            <w:r>
              <w:rPr>
                <w:rFonts w:hint="eastAsia" w:ascii="宋体" w:hAnsi="宋体" w:cs="宋体"/>
                <w:szCs w:val="21"/>
              </w:rPr>
              <w:t>3.法定代表人身份证明书及法定代表人有效身份证正反面</w:t>
            </w:r>
            <w:r>
              <w:rPr>
                <w:rFonts w:hint="eastAsia" w:ascii="宋体" w:hAnsi="宋体" w:cs="宋体"/>
                <w:bCs/>
                <w:color w:val="0C0C0C"/>
                <w:lang w:val="en-US" w:eastAsia="zh-CN"/>
              </w:rPr>
              <w:t>扫描件</w:t>
            </w:r>
            <w:r>
              <w:rPr>
                <w:rFonts w:hint="eastAsia" w:ascii="宋体" w:hAnsi="宋体" w:cs="宋体"/>
                <w:szCs w:val="21"/>
              </w:rPr>
              <w:t>（格式后附）；（</w:t>
            </w:r>
            <w:r>
              <w:rPr>
                <w:rFonts w:hint="eastAsia" w:ascii="宋体" w:hAnsi="宋体" w:cs="宋体"/>
                <w:b/>
                <w:szCs w:val="21"/>
              </w:rPr>
              <w:t>必须提供，否则响应文件按无效响应处理</w:t>
            </w:r>
            <w:r>
              <w:rPr>
                <w:rFonts w:hint="eastAsia" w:ascii="宋体" w:hAnsi="宋体" w:cs="宋体"/>
                <w:szCs w:val="21"/>
              </w:rPr>
              <w:t>）</w:t>
            </w:r>
          </w:p>
          <w:p w14:paraId="49A8A316">
            <w:pPr>
              <w:wordWrap w:val="0"/>
              <w:spacing w:line="400" w:lineRule="exact"/>
              <w:ind w:firstLine="420" w:firstLineChars="200"/>
              <w:rPr>
                <w:rFonts w:hint="eastAsia" w:ascii="宋体" w:hAnsi="宋体" w:cs="宋体"/>
                <w:szCs w:val="21"/>
              </w:rPr>
            </w:pPr>
            <w:r>
              <w:rPr>
                <w:rFonts w:hint="eastAsia" w:ascii="宋体" w:hAnsi="宋体" w:cs="宋体"/>
                <w:szCs w:val="21"/>
              </w:rPr>
              <w:t>4.授权委托书及委托代理人有效身份证正反面</w:t>
            </w:r>
            <w:r>
              <w:rPr>
                <w:rFonts w:hint="eastAsia" w:ascii="宋体" w:hAnsi="宋体" w:cs="宋体"/>
                <w:bCs/>
                <w:color w:val="0C0C0C"/>
                <w:lang w:val="en-US" w:eastAsia="zh-CN"/>
              </w:rPr>
              <w:t>扫描件</w:t>
            </w:r>
            <w:r>
              <w:rPr>
                <w:rFonts w:hint="eastAsia" w:ascii="宋体" w:hAnsi="宋体" w:cs="宋体"/>
                <w:szCs w:val="21"/>
              </w:rPr>
              <w:t>（格式后附）；（</w:t>
            </w:r>
            <w:r>
              <w:rPr>
                <w:rFonts w:hint="eastAsia" w:ascii="宋体" w:hAnsi="宋体" w:cs="宋体"/>
                <w:b/>
                <w:szCs w:val="21"/>
              </w:rPr>
              <w:t>委托时必须提供，否则响应文件按无效响应处理</w:t>
            </w:r>
            <w:r>
              <w:rPr>
                <w:rFonts w:hint="eastAsia" w:ascii="宋体" w:hAnsi="宋体" w:cs="宋体"/>
                <w:szCs w:val="21"/>
              </w:rPr>
              <w:t>）</w:t>
            </w:r>
          </w:p>
          <w:p w14:paraId="741073A4">
            <w:pPr>
              <w:wordWrap w:val="0"/>
              <w:spacing w:line="400" w:lineRule="exact"/>
              <w:ind w:firstLine="420" w:firstLineChars="200"/>
              <w:rPr>
                <w:rFonts w:hint="eastAsia" w:ascii="宋体" w:hAnsi="宋体" w:cs="宋体"/>
                <w:szCs w:val="21"/>
              </w:rPr>
            </w:pPr>
            <w:r>
              <w:rPr>
                <w:rFonts w:hint="eastAsia" w:ascii="宋体" w:hAnsi="宋体" w:cs="宋体"/>
                <w:szCs w:val="21"/>
              </w:rPr>
              <w:t>5.</w:t>
            </w:r>
            <w:r>
              <w:rPr>
                <w:rFonts w:hint="eastAsia" w:ascii="宋体" w:hAnsi="宋体" w:cs="宋体"/>
                <w:szCs w:val="21"/>
                <w:highlight w:val="none"/>
                <w:lang w:eastAsia="zh-CN"/>
              </w:rPr>
              <w:t>竞标</w:t>
            </w:r>
            <w:r>
              <w:rPr>
                <w:rFonts w:hint="eastAsia" w:ascii="宋体" w:hAnsi="宋体" w:cs="宋体"/>
                <w:szCs w:val="21"/>
                <w:highlight w:val="none"/>
              </w:rPr>
              <w:t>保证金提交凭证</w:t>
            </w:r>
            <w:r>
              <w:rPr>
                <w:rFonts w:hint="eastAsia" w:ascii="宋体" w:hAnsi="宋体" w:cs="宋体"/>
                <w:szCs w:val="21"/>
              </w:rPr>
              <w:t>；（</w:t>
            </w:r>
            <w:r>
              <w:rPr>
                <w:rFonts w:hint="eastAsia" w:ascii="宋体" w:hAnsi="宋体" w:cs="宋体"/>
                <w:b/>
                <w:bCs/>
              </w:rPr>
              <w:t>必须提供</w:t>
            </w:r>
            <w:r>
              <w:rPr>
                <w:rFonts w:hint="eastAsia" w:ascii="宋体" w:hAnsi="宋体" w:cs="宋体"/>
                <w:b/>
                <w:szCs w:val="21"/>
              </w:rPr>
              <w:t>，否则响应文件按无效处理</w:t>
            </w:r>
            <w:r>
              <w:rPr>
                <w:rFonts w:hint="eastAsia" w:ascii="宋体" w:hAnsi="宋体" w:cs="宋体"/>
                <w:szCs w:val="21"/>
              </w:rPr>
              <w:t>）</w:t>
            </w:r>
          </w:p>
          <w:p w14:paraId="01CAB8CB">
            <w:pPr>
              <w:wordWrap w:val="0"/>
              <w:spacing w:line="400" w:lineRule="exact"/>
              <w:ind w:firstLine="420" w:firstLineChars="200"/>
              <w:rPr>
                <w:rFonts w:hint="eastAsia" w:ascii="宋体" w:hAnsi="宋体" w:cs="宋体"/>
                <w:szCs w:val="21"/>
              </w:rPr>
            </w:pPr>
            <w:r>
              <w:rPr>
                <w:rFonts w:hint="eastAsia" w:ascii="宋体" w:hAnsi="宋体" w:cs="宋体"/>
                <w:szCs w:val="21"/>
              </w:rPr>
              <w:t>6.商务要求偏离表（格式后附）；（</w:t>
            </w:r>
            <w:r>
              <w:rPr>
                <w:rFonts w:hint="eastAsia" w:ascii="宋体" w:hAnsi="宋体" w:cs="宋体"/>
                <w:b/>
                <w:szCs w:val="21"/>
              </w:rPr>
              <w:t>必须提供，否则响应文件按无效响应处理</w:t>
            </w:r>
            <w:r>
              <w:rPr>
                <w:rFonts w:hint="eastAsia" w:ascii="宋体" w:hAnsi="宋体" w:cs="宋体"/>
                <w:szCs w:val="21"/>
              </w:rPr>
              <w:t>）</w:t>
            </w:r>
          </w:p>
          <w:p w14:paraId="4EF776F7">
            <w:pPr>
              <w:wordWrap w:val="0"/>
              <w:spacing w:line="400" w:lineRule="exact"/>
              <w:ind w:firstLine="420" w:firstLineChars="200"/>
              <w:rPr>
                <w:rFonts w:hint="eastAsia" w:ascii="宋体" w:hAnsi="宋体" w:cs="宋体"/>
                <w:szCs w:val="21"/>
              </w:rPr>
            </w:pPr>
            <w:r>
              <w:rPr>
                <w:rFonts w:hint="eastAsia" w:ascii="宋体" w:hAnsi="宋体" w:cs="宋体"/>
                <w:szCs w:val="21"/>
              </w:rPr>
              <w:t>7.售后服务承诺；</w:t>
            </w:r>
            <w:r>
              <w:rPr>
                <w:rFonts w:hint="eastAsia" w:ascii="宋体" w:hAnsi="宋体" w:cs="宋体"/>
                <w:bCs/>
                <w:szCs w:val="21"/>
              </w:rPr>
              <w:t>（</w:t>
            </w:r>
            <w:r>
              <w:rPr>
                <w:rFonts w:hint="eastAsia" w:ascii="宋体" w:hAnsi="宋体" w:cs="宋体"/>
                <w:b/>
                <w:szCs w:val="21"/>
              </w:rPr>
              <w:t>格式自拟，必须提供，否则响应文件按无效响应处理</w:t>
            </w:r>
            <w:r>
              <w:rPr>
                <w:rFonts w:hint="eastAsia" w:ascii="宋体" w:hAnsi="宋体" w:cs="宋体"/>
                <w:szCs w:val="21"/>
              </w:rPr>
              <w:t>）</w:t>
            </w:r>
          </w:p>
          <w:p w14:paraId="07C1DE33">
            <w:pPr>
              <w:wordWrap w:val="0"/>
              <w:spacing w:line="400" w:lineRule="exact"/>
              <w:ind w:firstLine="420" w:firstLineChars="200"/>
              <w:rPr>
                <w:rFonts w:hint="eastAsia" w:ascii="宋体" w:hAnsi="宋体" w:cs="宋体"/>
                <w:szCs w:val="21"/>
              </w:rPr>
            </w:pPr>
            <w:r>
              <w:rPr>
                <w:rFonts w:hint="eastAsia" w:ascii="宋体" w:hAnsi="宋体" w:cs="宋体"/>
                <w:szCs w:val="21"/>
              </w:rPr>
              <w:t>8.货物配置清单（均不含报价）（格式后附）；（</w:t>
            </w:r>
            <w:r>
              <w:rPr>
                <w:rFonts w:hint="eastAsia" w:ascii="宋体" w:hAnsi="宋体" w:cs="宋体"/>
                <w:b/>
                <w:szCs w:val="21"/>
              </w:rPr>
              <w:t>必须提供，否则响应文件按无效处理</w:t>
            </w:r>
            <w:r>
              <w:rPr>
                <w:rFonts w:hint="eastAsia" w:ascii="宋体" w:hAnsi="宋体" w:cs="宋体"/>
                <w:szCs w:val="21"/>
              </w:rPr>
              <w:t>）</w:t>
            </w:r>
          </w:p>
          <w:p w14:paraId="59CF741D">
            <w:pPr>
              <w:wordWrap w:val="0"/>
              <w:spacing w:line="400" w:lineRule="exact"/>
              <w:ind w:firstLine="420" w:firstLineChars="200"/>
              <w:rPr>
                <w:rFonts w:hint="eastAsia" w:ascii="宋体" w:hAnsi="宋体" w:cs="宋体"/>
                <w:szCs w:val="21"/>
              </w:rPr>
            </w:pPr>
            <w:r>
              <w:rPr>
                <w:rFonts w:hint="eastAsia" w:ascii="宋体" w:hAnsi="宋体" w:cs="宋体"/>
                <w:szCs w:val="21"/>
              </w:rPr>
              <w:t>9.技术偏离表（格式后附）；（</w:t>
            </w:r>
            <w:r>
              <w:rPr>
                <w:rFonts w:hint="eastAsia" w:ascii="宋体" w:hAnsi="宋体" w:cs="宋体"/>
                <w:b/>
                <w:szCs w:val="21"/>
              </w:rPr>
              <w:t>必须提供，否则响应文件按无效响应处理</w:t>
            </w:r>
            <w:r>
              <w:rPr>
                <w:rFonts w:hint="eastAsia" w:ascii="宋体" w:hAnsi="宋体" w:cs="宋体"/>
                <w:szCs w:val="21"/>
              </w:rPr>
              <w:t>）</w:t>
            </w:r>
          </w:p>
          <w:p w14:paraId="2BE2EB3B">
            <w:pPr>
              <w:wordWrap w:val="0"/>
              <w:spacing w:line="400" w:lineRule="exact"/>
              <w:ind w:firstLine="420" w:firstLineChars="200"/>
              <w:rPr>
                <w:rFonts w:hint="default" w:ascii="宋体" w:hAnsi="宋体" w:eastAsia="宋体" w:cs="宋体"/>
                <w:color w:val="auto"/>
                <w:szCs w:val="21"/>
                <w:lang w:val="en-US" w:eastAsia="zh-CN"/>
              </w:rPr>
            </w:pPr>
            <w:r>
              <w:rPr>
                <w:rFonts w:hint="eastAsia" w:ascii="宋体" w:hAnsi="宋体" w:cs="宋体"/>
                <w:color w:val="auto"/>
                <w:szCs w:val="21"/>
                <w:lang w:val="en-US" w:eastAsia="zh-CN"/>
              </w:rPr>
              <w:t>10.关于符合本国产品标准的声明函</w:t>
            </w:r>
            <w:r>
              <w:rPr>
                <w:rFonts w:hint="eastAsia" w:ascii="宋体" w:hAnsi="宋体" w:cs="宋体"/>
                <w:color w:val="auto"/>
                <w:szCs w:val="21"/>
              </w:rPr>
              <w:t>（格式后附）；</w:t>
            </w:r>
          </w:p>
          <w:p w14:paraId="086DAF0D">
            <w:pPr>
              <w:wordWrap w:val="0"/>
              <w:spacing w:line="400" w:lineRule="exact"/>
              <w:ind w:firstLine="420" w:firstLineChars="200"/>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.对应采购需求的技术要求、商务要求提供的其他文件资料（格式自拟）；</w:t>
            </w:r>
          </w:p>
          <w:p w14:paraId="1E2C0629">
            <w:pPr>
              <w:wordWrap w:val="0"/>
              <w:spacing w:line="400" w:lineRule="exact"/>
              <w:ind w:firstLine="420" w:firstLineChars="200"/>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2</w:t>
            </w:r>
            <w:r>
              <w:rPr>
                <w:rFonts w:hint="eastAsia" w:ascii="宋体" w:hAnsi="宋体" w:cs="宋体"/>
                <w:szCs w:val="21"/>
              </w:rPr>
              <w:t>.供应商认为需要提供的其他有关资料。</w:t>
            </w:r>
          </w:p>
          <w:p w14:paraId="0EFBA205">
            <w:pPr>
              <w:wordWrap w:val="0"/>
              <w:snapToGrid w:val="0"/>
              <w:spacing w:line="400" w:lineRule="exact"/>
              <w:jc w:val="left"/>
              <w:rPr>
                <w:rFonts w:hint="eastAsia" w:ascii="宋体" w:hAnsi="宋体" w:cs="宋体"/>
                <w:b/>
                <w:szCs w:val="21"/>
              </w:rPr>
            </w:pPr>
            <w:r>
              <w:rPr>
                <w:rFonts w:hint="eastAsia" w:ascii="宋体" w:hAnsi="宋体" w:cs="宋体"/>
                <w:b/>
                <w:szCs w:val="21"/>
              </w:rPr>
              <w:t xml:space="preserve">注： </w:t>
            </w:r>
          </w:p>
          <w:p w14:paraId="74B46D5E">
            <w:pPr>
              <w:wordWrap w:val="0"/>
              <w:spacing w:line="400" w:lineRule="exact"/>
              <w:ind w:firstLine="413" w:firstLineChars="196"/>
              <w:rPr>
                <w:rFonts w:hint="eastAsia" w:ascii="宋体" w:hAnsi="宋体" w:cs="宋体"/>
                <w:b/>
                <w:szCs w:val="21"/>
              </w:rPr>
            </w:pPr>
            <w:r>
              <w:rPr>
                <w:rFonts w:hint="eastAsia" w:ascii="宋体" w:hAnsi="宋体" w:cs="宋体"/>
                <w:b/>
                <w:szCs w:val="21"/>
              </w:rPr>
              <w:t>1.注：以上标明“必须提供”材料复印件的，必须加盖供应商公章，否则响应文件按无效处理。</w:t>
            </w:r>
          </w:p>
          <w:p w14:paraId="2CC84EBA">
            <w:pPr>
              <w:wordWrap w:val="0"/>
              <w:spacing w:line="400" w:lineRule="exact"/>
              <w:ind w:firstLine="413" w:firstLineChars="196"/>
              <w:rPr>
                <w:rFonts w:hint="eastAsia" w:ascii="宋体" w:hAnsi="宋体" w:cs="宋体"/>
                <w:szCs w:val="21"/>
              </w:rPr>
            </w:pPr>
            <w:r>
              <w:rPr>
                <w:rFonts w:hint="eastAsia" w:ascii="宋体" w:hAnsi="宋体" w:cs="宋体"/>
                <w:b/>
                <w:bCs/>
                <w:szCs w:val="21"/>
              </w:rPr>
              <w:t>2.响应文件，其中电子响应文件中所须加盖公章部分均采用CA签章。若竞争性谈判文件中有专门标注的某关联点，并要求供应商在电子竞标系统中作出竞标响应的，如供应商未对关联点进行响应或者在响应文件其它内容进行描述，造成电子评审不能查询的责任由供应商自行承担。</w:t>
            </w:r>
          </w:p>
        </w:tc>
      </w:tr>
      <w:tr w14:paraId="490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24987278">
            <w:pPr>
              <w:wordWrap w:val="0"/>
              <w:spacing w:line="400" w:lineRule="exact"/>
              <w:jc w:val="center"/>
              <w:rPr>
                <w:rFonts w:hint="eastAsia" w:ascii="宋体" w:hAnsi="宋体" w:cs="宋体"/>
                <w:szCs w:val="21"/>
              </w:rPr>
            </w:pPr>
            <w:r>
              <w:rPr>
                <w:rFonts w:hint="eastAsia" w:ascii="宋体" w:hAnsi="宋体" w:cs="宋体"/>
                <w:szCs w:val="21"/>
              </w:rPr>
              <w:t>12.2</w:t>
            </w:r>
          </w:p>
        </w:tc>
        <w:tc>
          <w:tcPr>
            <w:tcW w:w="7912" w:type="dxa"/>
            <w:noWrap w:val="0"/>
            <w:vAlign w:val="center"/>
          </w:tcPr>
          <w:p w14:paraId="7D42EB1E">
            <w:pPr>
              <w:wordWrap w:val="0"/>
              <w:snapToGrid w:val="0"/>
              <w:spacing w:line="400" w:lineRule="exact"/>
              <w:jc w:val="left"/>
              <w:rPr>
                <w:rFonts w:hint="eastAsia" w:ascii="宋体" w:hAnsi="宋体" w:cs="宋体"/>
                <w:szCs w:val="21"/>
              </w:rPr>
            </w:pPr>
            <w:r>
              <w:rPr>
                <w:rFonts w:hint="eastAsia" w:ascii="宋体" w:hAnsi="宋体" w:cs="宋体"/>
                <w:szCs w:val="21"/>
              </w:rPr>
              <w:t>1.响应文件电子版要求：按照本采购文件“第五章 响应文件格式”编写（第五章未附格式的，由供应商自行拟定），不可涂改并在规定加盖公章处加盖电子公章，否则响应文件按无效响应处理。</w:t>
            </w:r>
          </w:p>
          <w:p w14:paraId="67F88366">
            <w:pPr>
              <w:wordWrap w:val="0"/>
              <w:snapToGrid w:val="0"/>
              <w:spacing w:line="400" w:lineRule="exact"/>
              <w:jc w:val="left"/>
              <w:rPr>
                <w:rFonts w:hint="eastAsia" w:ascii="宋体" w:hAnsi="宋体" w:cs="宋体"/>
                <w:szCs w:val="21"/>
              </w:rPr>
            </w:pPr>
            <w:r>
              <w:rPr>
                <w:rFonts w:hint="eastAsia" w:ascii="宋体" w:hAnsi="宋体" w:cs="宋体"/>
                <w:szCs w:val="21"/>
              </w:rPr>
              <w:t>2.响应文件电子版密封方式：电子响应文件通过平台有效CA加密后在</w:t>
            </w:r>
            <w:r>
              <w:rPr>
                <w:rFonts w:hint="eastAsia" w:ascii="宋体" w:hAnsi="宋体" w:cs="宋体"/>
                <w:color w:val="auto"/>
                <w:szCs w:val="21"/>
              </w:rPr>
              <w:t>广西政府采购云平台</w:t>
            </w:r>
            <w:r>
              <w:rPr>
                <w:rFonts w:hint="eastAsia" w:ascii="宋体" w:hAnsi="宋体" w:cs="宋体"/>
                <w:szCs w:val="21"/>
              </w:rPr>
              <w:t>投送。</w:t>
            </w:r>
          </w:p>
        </w:tc>
      </w:tr>
      <w:tr w14:paraId="2713F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7352430C">
            <w:pPr>
              <w:wordWrap w:val="0"/>
              <w:spacing w:line="400" w:lineRule="exact"/>
              <w:jc w:val="center"/>
              <w:rPr>
                <w:rFonts w:hint="eastAsia" w:ascii="宋体" w:hAnsi="宋体" w:cs="宋体"/>
                <w:szCs w:val="21"/>
              </w:rPr>
            </w:pPr>
            <w:r>
              <w:rPr>
                <w:rFonts w:hint="eastAsia" w:ascii="宋体" w:hAnsi="宋体" w:cs="宋体"/>
                <w:szCs w:val="21"/>
              </w:rPr>
              <w:t>15.2</w:t>
            </w:r>
          </w:p>
        </w:tc>
        <w:tc>
          <w:tcPr>
            <w:tcW w:w="7912" w:type="dxa"/>
            <w:noWrap w:val="0"/>
            <w:vAlign w:val="center"/>
          </w:tcPr>
          <w:p w14:paraId="7293A724">
            <w:pPr>
              <w:wordWrap w:val="0"/>
              <w:snapToGrid w:val="0"/>
              <w:spacing w:line="400" w:lineRule="exact"/>
              <w:jc w:val="left"/>
              <w:rPr>
                <w:rFonts w:hint="eastAsia" w:ascii="宋体" w:hAnsi="宋体" w:cs="宋体"/>
                <w:szCs w:val="21"/>
              </w:rPr>
            </w:pPr>
            <w:r>
              <w:rPr>
                <w:rFonts w:hint="eastAsia" w:ascii="宋体" w:hAnsi="宋体" w:cs="宋体"/>
                <w:szCs w:val="21"/>
              </w:rPr>
              <w:t>竞标报价包含竞标货物（包括备品备件、专用工具等）的价格（包括已在中国境内的进口货物完税后的仓库交货价、展室交货价或者货架交货价），竞标货物运输（含保险）、调试、检验、技术服务、培训和谈判文件要求提供的所有伴随服务、工程等费用和税费。（采购需求另有约定的，从其约定。）</w:t>
            </w:r>
          </w:p>
        </w:tc>
      </w:tr>
      <w:tr w14:paraId="7FDED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992" w:type="dxa"/>
            <w:noWrap w:val="0"/>
            <w:vAlign w:val="center"/>
          </w:tcPr>
          <w:p w14:paraId="0ABE3DE7">
            <w:pPr>
              <w:wordWrap w:val="0"/>
              <w:spacing w:line="400" w:lineRule="exact"/>
              <w:jc w:val="center"/>
              <w:rPr>
                <w:rFonts w:hint="eastAsia" w:ascii="宋体" w:hAnsi="宋体" w:cs="宋体"/>
                <w:szCs w:val="21"/>
              </w:rPr>
            </w:pPr>
            <w:r>
              <w:rPr>
                <w:rFonts w:hint="eastAsia" w:ascii="宋体" w:hAnsi="宋体" w:cs="宋体"/>
                <w:szCs w:val="21"/>
              </w:rPr>
              <w:t>16.2</w:t>
            </w:r>
          </w:p>
        </w:tc>
        <w:tc>
          <w:tcPr>
            <w:tcW w:w="7912" w:type="dxa"/>
            <w:noWrap w:val="0"/>
            <w:vAlign w:val="center"/>
          </w:tcPr>
          <w:p w14:paraId="1EEF00A1">
            <w:pPr>
              <w:tabs>
                <w:tab w:val="left" w:pos="720"/>
                <w:tab w:val="left" w:pos="840"/>
              </w:tabs>
              <w:wordWrap w:val="0"/>
              <w:snapToGrid w:val="0"/>
              <w:spacing w:line="400" w:lineRule="exact"/>
              <w:ind w:left="283" w:hanging="283" w:hangingChars="135"/>
              <w:jc w:val="left"/>
              <w:rPr>
                <w:rFonts w:hint="eastAsia" w:ascii="宋体" w:hAnsi="宋体" w:cs="宋体"/>
                <w:szCs w:val="21"/>
              </w:rPr>
            </w:pPr>
            <w:r>
              <w:rPr>
                <w:rFonts w:hint="eastAsia" w:ascii="宋体" w:hAnsi="宋体" w:cs="宋体"/>
                <w:szCs w:val="21"/>
              </w:rPr>
              <w:t>竞标有效期：竞标截止日期后60天。</w:t>
            </w:r>
          </w:p>
        </w:tc>
      </w:tr>
      <w:tr w14:paraId="388B6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52008EA6">
            <w:pPr>
              <w:wordWrap w:val="0"/>
              <w:spacing w:line="400" w:lineRule="exact"/>
              <w:jc w:val="center"/>
              <w:rPr>
                <w:rFonts w:hint="eastAsia" w:ascii="宋体" w:hAnsi="宋体" w:cs="宋体"/>
                <w:szCs w:val="21"/>
              </w:rPr>
            </w:pPr>
            <w:r>
              <w:rPr>
                <w:rFonts w:hint="eastAsia" w:ascii="宋体" w:hAnsi="宋体" w:cs="宋体"/>
                <w:szCs w:val="21"/>
              </w:rPr>
              <w:t>17</w:t>
            </w:r>
          </w:p>
        </w:tc>
        <w:tc>
          <w:tcPr>
            <w:tcW w:w="7912" w:type="dxa"/>
            <w:noWrap w:val="0"/>
            <w:vAlign w:val="center"/>
          </w:tcPr>
          <w:p w14:paraId="64879CFB">
            <w:pPr>
              <w:spacing w:line="480" w:lineRule="exact"/>
              <w:ind w:firstLine="420"/>
              <w:rPr>
                <w:rFonts w:hint="eastAsia" w:ascii="宋体" w:hAnsi="宋体" w:cs="宋体"/>
              </w:rPr>
            </w:pPr>
            <w:r>
              <w:rPr>
                <w:rFonts w:hint="eastAsia" w:ascii="宋体" w:hAnsi="宋体" w:cs="宋体"/>
              </w:rPr>
              <w:t>谈判保证金：</w:t>
            </w:r>
            <w:r>
              <w:rPr>
                <w:rFonts w:hint="eastAsia" w:ascii="宋体" w:hAnsi="宋体" w:cs="宋体"/>
                <w:color w:val="000000"/>
                <w:highlight w:val="none"/>
              </w:rPr>
              <w:t>人民币</w:t>
            </w:r>
            <w:r>
              <w:rPr>
                <w:rFonts w:hint="eastAsia" w:ascii="宋体" w:hAnsi="宋体" w:cs="宋体"/>
                <w:color w:val="000000"/>
                <w:lang w:val="en-US" w:eastAsia="zh-CN"/>
              </w:rPr>
              <w:t>贰万壹仟元整</w:t>
            </w:r>
            <w:r>
              <w:rPr>
                <w:rFonts w:hint="eastAsia" w:ascii="宋体" w:hAnsi="宋体" w:cs="宋体"/>
                <w:color w:val="000000"/>
              </w:rPr>
              <w:t>（¥</w:t>
            </w:r>
            <w:r>
              <w:rPr>
                <w:rFonts w:hint="eastAsia" w:ascii="宋体" w:hAnsi="宋体" w:cs="宋体"/>
                <w:color w:val="000000"/>
                <w:lang w:val="en-US" w:eastAsia="zh-CN"/>
              </w:rPr>
              <w:t>21000</w:t>
            </w:r>
            <w:r>
              <w:rPr>
                <w:rFonts w:hint="eastAsia" w:ascii="宋体" w:hAnsi="宋体" w:cs="宋体"/>
                <w:color w:val="000000"/>
              </w:rPr>
              <w:t>.00）</w:t>
            </w:r>
          </w:p>
          <w:p w14:paraId="4033F82A">
            <w:pPr>
              <w:spacing w:line="480" w:lineRule="exact"/>
              <w:ind w:firstLine="420"/>
              <w:rPr>
                <w:rFonts w:hint="eastAsia" w:ascii="宋体" w:hAnsi="宋体" w:cs="宋体"/>
              </w:rPr>
            </w:pPr>
            <w:r>
              <w:rPr>
                <w:rFonts w:hint="eastAsia" w:ascii="宋体" w:hAnsi="宋体" w:cs="宋体"/>
              </w:rPr>
              <w:t>谈判保证金可以采用支票、电汇、转账、汇票、本票或者金融机构、担保机构出具的保函等非现金形式提交（如采用金融机构、担保机构出具的保函等方式时，竞标人须对其真实性负责，并承担相应法律责任。开标时，竞标人须提交保函原件核查，否则，竞标无效。）采用电汇、转账、汇票形式交纳的，竞标人应于竞标文件递交截止时间前将谈判保证金交至以下账户：</w:t>
            </w:r>
          </w:p>
          <w:p w14:paraId="0492BA27">
            <w:pPr>
              <w:spacing w:line="420" w:lineRule="exact"/>
              <w:ind w:firstLine="420"/>
              <w:rPr>
                <w:rFonts w:hint="default" w:ascii="宋体" w:hAnsi="宋体" w:eastAsia="宋体" w:cs="宋体"/>
                <w:lang w:val="en-US" w:eastAsia="zh-CN"/>
              </w:rPr>
            </w:pPr>
            <w:r>
              <w:rPr>
                <w:rFonts w:hint="eastAsia" w:ascii="宋体" w:hAnsi="宋体" w:cs="宋体"/>
              </w:rPr>
              <w:t>开户名称：</w:t>
            </w:r>
            <w:r>
              <w:rPr>
                <w:rFonts w:hint="eastAsia" w:ascii="宋体" w:hAnsi="宋体" w:cs="宋体"/>
                <w:lang w:eastAsia="zh-CN"/>
              </w:rPr>
              <w:t>广西丰泰工程项目管理有限公司</w:t>
            </w:r>
            <w:r>
              <w:rPr>
                <w:rFonts w:hint="eastAsia" w:ascii="宋体" w:hAnsi="宋体" w:cs="宋体"/>
                <w:lang w:val="en-US" w:eastAsia="zh-CN"/>
              </w:rPr>
              <w:t>钦州分公司</w:t>
            </w:r>
          </w:p>
          <w:p w14:paraId="71F9B736">
            <w:pPr>
              <w:spacing w:line="420" w:lineRule="exact"/>
              <w:ind w:firstLine="420"/>
              <w:rPr>
                <w:rFonts w:hint="eastAsia" w:ascii="宋体" w:hAnsi="宋体" w:eastAsia="宋体" w:cs="宋体"/>
                <w:lang w:eastAsia="zh-CN"/>
              </w:rPr>
            </w:pPr>
            <w:r>
              <w:rPr>
                <w:rFonts w:hint="eastAsia" w:ascii="宋体" w:hAnsi="宋体" w:cs="宋体"/>
              </w:rPr>
              <w:t>开户账号：</w:t>
            </w:r>
            <w:r>
              <w:rPr>
                <w:rFonts w:hint="eastAsia" w:ascii="宋体" w:hAnsi="宋体" w:cs="宋体"/>
                <w:lang w:eastAsia="zh-CN"/>
              </w:rPr>
              <w:t>6132 7903 9735</w:t>
            </w:r>
          </w:p>
          <w:p w14:paraId="154D5359">
            <w:pPr>
              <w:spacing w:line="420" w:lineRule="exact"/>
              <w:ind w:firstLine="420"/>
              <w:rPr>
                <w:rFonts w:hint="eastAsia" w:ascii="宋体" w:hAnsi="宋体" w:eastAsia="宋体" w:cs="宋体"/>
                <w:lang w:eastAsia="zh-CN"/>
              </w:rPr>
            </w:pPr>
            <w:r>
              <w:rPr>
                <w:rFonts w:hint="eastAsia" w:ascii="宋体" w:hAnsi="宋体" w:cs="宋体"/>
              </w:rPr>
              <w:t>开户银行：</w:t>
            </w:r>
            <w:r>
              <w:rPr>
                <w:rFonts w:hint="eastAsia" w:ascii="宋体" w:hAnsi="宋体" w:cs="宋体"/>
                <w:lang w:eastAsia="zh-CN"/>
              </w:rPr>
              <w:t>中国银行股份有限公司钦州市新兴街支行</w:t>
            </w:r>
          </w:p>
          <w:p w14:paraId="2F21EED5">
            <w:pPr>
              <w:snapToGrid w:val="0"/>
              <w:spacing w:line="360" w:lineRule="auto"/>
              <w:rPr>
                <w:rFonts w:hint="eastAsia" w:ascii="宋体" w:hAnsi="宋体" w:cs="宋体"/>
                <w:szCs w:val="21"/>
                <w:highlight w:val="none"/>
              </w:rPr>
            </w:pPr>
            <w:r>
              <w:rPr>
                <w:rFonts w:hint="eastAsia" w:ascii="宋体" w:hAnsi="宋体" w:cs="宋体"/>
                <w:szCs w:val="21"/>
                <w:highlight w:val="none"/>
              </w:rPr>
              <w:t>1、</w:t>
            </w:r>
            <w:r>
              <w:rPr>
                <w:rFonts w:hint="eastAsia" w:ascii="宋体" w:hAnsi="宋体"/>
                <w:szCs w:val="21"/>
                <w:highlight w:val="none"/>
                <w:lang w:eastAsia="zh-CN"/>
              </w:rPr>
              <w:t>竞标</w:t>
            </w:r>
            <w:r>
              <w:rPr>
                <w:rFonts w:hint="eastAsia" w:ascii="宋体" w:hAnsi="宋体" w:cs="宋体"/>
                <w:szCs w:val="21"/>
                <w:highlight w:val="none"/>
              </w:rPr>
              <w:t>保证金采用银行转账交纳方式的，在响应文件提交截止时间前交至指定账户并且到账，供应商应将银行转账底单的复印件作为</w:t>
            </w:r>
            <w:r>
              <w:rPr>
                <w:rFonts w:hint="eastAsia" w:ascii="宋体" w:hAnsi="宋体"/>
                <w:szCs w:val="21"/>
                <w:highlight w:val="none"/>
                <w:lang w:eastAsia="zh-CN"/>
              </w:rPr>
              <w:t>竞标</w:t>
            </w:r>
            <w:r>
              <w:rPr>
                <w:rFonts w:hint="eastAsia" w:ascii="宋体" w:hAnsi="宋体" w:cs="宋体"/>
                <w:szCs w:val="21"/>
                <w:highlight w:val="none"/>
              </w:rPr>
              <w:t>保证金提交凭证，放置于商务技术文件中，</w:t>
            </w:r>
            <w:r>
              <w:rPr>
                <w:rFonts w:hint="eastAsia" w:ascii="宋体" w:hAnsi="宋体" w:cs="宋体"/>
                <w:b/>
                <w:szCs w:val="21"/>
                <w:highlight w:val="none"/>
              </w:rPr>
              <w:t>否则响应文件按无效响应处理</w:t>
            </w:r>
            <w:r>
              <w:rPr>
                <w:rFonts w:hint="eastAsia" w:ascii="宋体" w:hAnsi="宋体" w:cs="宋体"/>
                <w:szCs w:val="21"/>
                <w:highlight w:val="none"/>
              </w:rPr>
              <w:t>。</w:t>
            </w:r>
          </w:p>
          <w:p w14:paraId="43091F64">
            <w:pPr>
              <w:snapToGrid w:val="0"/>
              <w:spacing w:line="360" w:lineRule="auto"/>
              <w:rPr>
                <w:rFonts w:hint="eastAsia" w:ascii="宋体" w:hAnsi="宋体"/>
                <w:b/>
                <w:szCs w:val="21"/>
                <w:highlight w:val="none"/>
              </w:rPr>
            </w:pPr>
            <w:r>
              <w:rPr>
                <w:rFonts w:hint="eastAsia" w:ascii="宋体" w:hAnsi="宋体"/>
                <w:szCs w:val="21"/>
                <w:highlight w:val="none"/>
              </w:rPr>
              <w:t>2、</w:t>
            </w:r>
            <w:r>
              <w:rPr>
                <w:rFonts w:hint="eastAsia" w:ascii="宋体" w:hAnsi="宋体"/>
                <w:szCs w:val="21"/>
                <w:highlight w:val="none"/>
                <w:lang w:eastAsia="zh-CN"/>
              </w:rPr>
              <w:t>竞标</w:t>
            </w:r>
            <w:r>
              <w:rPr>
                <w:rFonts w:hint="eastAsia" w:ascii="宋体" w:hAnsi="宋体"/>
                <w:szCs w:val="21"/>
                <w:highlight w:val="none"/>
              </w:rPr>
              <w:t>保证金采用支票、汇票、本票或者金融、担保机构出具的保函交纳方式的，供应商应将支票、汇票、本票或者金融、担保机构出具的保函的复印件作为</w:t>
            </w:r>
            <w:r>
              <w:rPr>
                <w:rFonts w:hint="eastAsia" w:ascii="宋体" w:hAnsi="宋体"/>
                <w:szCs w:val="21"/>
                <w:highlight w:val="none"/>
                <w:lang w:eastAsia="zh-CN"/>
              </w:rPr>
              <w:t>竞标</w:t>
            </w:r>
            <w:r>
              <w:rPr>
                <w:rFonts w:hint="eastAsia" w:ascii="宋体" w:hAnsi="宋体"/>
                <w:szCs w:val="21"/>
                <w:highlight w:val="none"/>
              </w:rPr>
              <w:t>保证金提交凭证，放置于</w:t>
            </w:r>
            <w:r>
              <w:rPr>
                <w:rFonts w:hint="eastAsia" w:ascii="宋体" w:hAnsi="宋体" w:cs="宋体"/>
                <w:szCs w:val="21"/>
                <w:highlight w:val="none"/>
              </w:rPr>
              <w:t>商务技术文件</w:t>
            </w:r>
            <w:r>
              <w:rPr>
                <w:rFonts w:hint="eastAsia" w:ascii="宋体" w:hAnsi="宋体"/>
                <w:szCs w:val="21"/>
                <w:highlight w:val="none"/>
              </w:rPr>
              <w:t>中，</w:t>
            </w:r>
            <w:r>
              <w:rPr>
                <w:rFonts w:hint="eastAsia" w:ascii="宋体" w:hAnsi="宋体" w:cs="宋体"/>
                <w:b/>
                <w:szCs w:val="21"/>
                <w:highlight w:val="none"/>
              </w:rPr>
              <w:t>否则响应文件按无效响应处理</w:t>
            </w:r>
            <w:r>
              <w:rPr>
                <w:rFonts w:hint="eastAsia" w:ascii="宋体" w:hAnsi="宋体"/>
                <w:szCs w:val="21"/>
                <w:highlight w:val="none"/>
              </w:rPr>
              <w:t>。</w:t>
            </w:r>
            <w:r>
              <w:rPr>
                <w:rFonts w:hint="eastAsia" w:ascii="宋体" w:hAnsi="宋体"/>
                <w:b/>
                <w:szCs w:val="21"/>
                <w:highlight w:val="none"/>
              </w:rPr>
              <w:t>供应商必须在首次响应文件提交截止时间前将支票、汇票、本票或者金融、担保机构出具的保函原件提交给采购代理机构，由采购代理机构向供应商出具回执，并妥善保管。</w:t>
            </w:r>
          </w:p>
          <w:p w14:paraId="3989A55F">
            <w:pPr>
              <w:snapToGrid w:val="0"/>
              <w:spacing w:line="360" w:lineRule="auto"/>
              <w:rPr>
                <w:rFonts w:hint="eastAsia" w:ascii="宋体" w:hAnsi="宋体" w:cs="宋体"/>
                <w:b/>
                <w:szCs w:val="21"/>
                <w:highlight w:val="none"/>
              </w:rPr>
            </w:pPr>
            <w:r>
              <w:rPr>
                <w:rFonts w:hint="eastAsia" w:ascii="宋体" w:hAnsi="宋体" w:cs="宋体"/>
                <w:szCs w:val="21"/>
                <w:highlight w:val="none"/>
              </w:rPr>
              <w:t>3、供应商为联合体的，可以由联合体中的一方或者多方共同交纳</w:t>
            </w:r>
            <w:r>
              <w:rPr>
                <w:rFonts w:hint="eastAsia" w:ascii="宋体" w:hAnsi="宋体"/>
                <w:szCs w:val="21"/>
                <w:highlight w:val="none"/>
                <w:lang w:eastAsia="zh-CN"/>
              </w:rPr>
              <w:t>竞标</w:t>
            </w:r>
            <w:r>
              <w:rPr>
                <w:rFonts w:hint="eastAsia" w:ascii="宋体" w:hAnsi="宋体" w:cs="宋体"/>
                <w:szCs w:val="21"/>
                <w:highlight w:val="none"/>
              </w:rPr>
              <w:t>保证金，其交纳的保证金对联合体各方均具有约束力。</w:t>
            </w:r>
          </w:p>
          <w:p w14:paraId="5B719324">
            <w:pPr>
              <w:snapToGrid w:val="0"/>
              <w:spacing w:line="360" w:lineRule="auto"/>
              <w:rPr>
                <w:rFonts w:hint="eastAsia" w:ascii="宋体" w:hAnsi="宋体" w:cs="宋体"/>
                <w:b/>
                <w:szCs w:val="21"/>
                <w:highlight w:val="none"/>
              </w:rPr>
            </w:pPr>
            <w:r>
              <w:rPr>
                <w:rFonts w:hint="eastAsia" w:ascii="宋体" w:hAnsi="宋体" w:cs="宋体"/>
                <w:b/>
                <w:szCs w:val="21"/>
                <w:highlight w:val="none"/>
              </w:rPr>
              <w:t xml:space="preserve">备注： </w:t>
            </w:r>
          </w:p>
          <w:p w14:paraId="7F5FC4AB">
            <w:pPr>
              <w:snapToGrid w:val="0"/>
              <w:spacing w:line="360" w:lineRule="auto"/>
              <w:rPr>
                <w:rFonts w:hint="eastAsia" w:ascii="宋体" w:hAnsi="宋体" w:cs="宋体"/>
                <w:b/>
                <w:szCs w:val="21"/>
                <w:highlight w:val="none"/>
              </w:rPr>
            </w:pPr>
            <w:r>
              <w:rPr>
                <w:rFonts w:hint="eastAsia" w:ascii="宋体" w:hAnsi="宋体" w:cs="宋体"/>
                <w:b/>
                <w:szCs w:val="21"/>
                <w:highlight w:val="none"/>
              </w:rPr>
              <w:t>1、竞标保证金在响应文件提交截止时间后提交的，或者不按规定交纳方式交纳的，或者未足额交纳的（包含保函额度不足的），视为无效竞标保证金。</w:t>
            </w:r>
          </w:p>
          <w:p w14:paraId="32B91A66">
            <w:pPr>
              <w:snapToGrid w:val="0"/>
              <w:spacing w:line="360" w:lineRule="auto"/>
              <w:rPr>
                <w:rFonts w:hint="eastAsia" w:ascii="宋体" w:hAnsi="宋体" w:cs="宋体"/>
                <w:b/>
                <w:szCs w:val="21"/>
                <w:highlight w:val="none"/>
              </w:rPr>
            </w:pPr>
            <w:r>
              <w:rPr>
                <w:rFonts w:hint="eastAsia" w:ascii="宋体" w:hAnsi="宋体" w:cs="宋体"/>
                <w:b/>
                <w:szCs w:val="21"/>
                <w:highlight w:val="none"/>
              </w:rPr>
              <w:t>2、供应商采用现钞方式或者从个人账户（自然人竞标除外）转出的</w:t>
            </w:r>
            <w:r>
              <w:rPr>
                <w:rFonts w:hint="eastAsia" w:ascii="宋体" w:hAnsi="宋体" w:cs="宋体"/>
                <w:b/>
                <w:szCs w:val="21"/>
                <w:highlight w:val="none"/>
                <w:lang w:eastAsia="zh-CN"/>
              </w:rPr>
              <w:t>竞标</w:t>
            </w:r>
            <w:r>
              <w:rPr>
                <w:rFonts w:hint="eastAsia" w:ascii="宋体" w:hAnsi="宋体" w:cs="宋体"/>
                <w:b/>
                <w:szCs w:val="21"/>
                <w:highlight w:val="none"/>
              </w:rPr>
              <w:t>保证金，视为无效</w:t>
            </w:r>
            <w:r>
              <w:rPr>
                <w:rFonts w:hint="eastAsia" w:ascii="宋体" w:hAnsi="宋体" w:cs="宋体"/>
                <w:b/>
                <w:szCs w:val="21"/>
                <w:highlight w:val="none"/>
                <w:lang w:eastAsia="zh-CN"/>
              </w:rPr>
              <w:t>竞标</w:t>
            </w:r>
            <w:r>
              <w:rPr>
                <w:rFonts w:hint="eastAsia" w:ascii="宋体" w:hAnsi="宋体" w:cs="宋体"/>
                <w:b/>
                <w:szCs w:val="21"/>
                <w:highlight w:val="none"/>
              </w:rPr>
              <w:t>保证金。</w:t>
            </w:r>
          </w:p>
          <w:p w14:paraId="746568CC">
            <w:pPr>
              <w:snapToGrid w:val="0"/>
              <w:spacing w:line="360" w:lineRule="auto"/>
              <w:rPr>
                <w:rFonts w:hint="eastAsia" w:ascii="宋体" w:hAnsi="宋体" w:cs="宋体"/>
                <w:b/>
                <w:szCs w:val="21"/>
                <w:highlight w:val="none"/>
              </w:rPr>
            </w:pPr>
            <w:r>
              <w:rPr>
                <w:rFonts w:hint="eastAsia" w:ascii="宋体" w:hAnsi="宋体" w:cs="宋体"/>
                <w:b/>
                <w:szCs w:val="21"/>
                <w:highlight w:val="none"/>
              </w:rPr>
              <w:t>3、支票、汇票或者本票出现无效或者背书情形的，视为无效竞标保证金。</w:t>
            </w:r>
          </w:p>
          <w:p w14:paraId="31C33B1B">
            <w:pPr>
              <w:snapToGrid w:val="0"/>
              <w:spacing w:line="360" w:lineRule="auto"/>
              <w:rPr>
                <w:rFonts w:hint="eastAsia" w:ascii="宋体" w:hAnsi="宋体" w:cs="宋体"/>
                <w:b/>
                <w:szCs w:val="21"/>
                <w:highlight w:val="none"/>
              </w:rPr>
            </w:pPr>
            <w:r>
              <w:rPr>
                <w:rFonts w:hint="eastAsia" w:ascii="宋体" w:hAnsi="宋体" w:cs="宋体"/>
                <w:b/>
                <w:szCs w:val="21"/>
                <w:highlight w:val="none"/>
              </w:rPr>
              <w:t>4、保函有效期低于竞标有效期的，视为无效竞标保证金。</w:t>
            </w:r>
          </w:p>
          <w:p w14:paraId="4678D655">
            <w:pPr>
              <w:snapToGrid w:val="0"/>
              <w:spacing w:line="360" w:lineRule="auto"/>
              <w:rPr>
                <w:rFonts w:hint="eastAsia" w:ascii="宋体" w:hAnsi="宋体" w:cs="宋体"/>
                <w:b/>
                <w:szCs w:val="21"/>
                <w:highlight w:val="none"/>
              </w:rPr>
            </w:pPr>
            <w:r>
              <w:rPr>
                <w:rFonts w:hint="eastAsia" w:ascii="宋体" w:hAnsi="宋体" w:cs="宋体"/>
                <w:b/>
                <w:szCs w:val="21"/>
                <w:highlight w:val="none"/>
              </w:rPr>
              <w:t>5、采用金融、担保机构出具保函的，必须为无条件保函，否则视为无效竞标保证金。</w:t>
            </w:r>
          </w:p>
          <w:p w14:paraId="6DBF3C57">
            <w:pPr>
              <w:wordWrap w:val="0"/>
              <w:spacing w:line="400" w:lineRule="exact"/>
              <w:ind w:firstLine="0" w:firstLineChars="0"/>
              <w:rPr>
                <w:rFonts w:hint="eastAsia" w:ascii="宋体" w:hAnsi="宋体" w:cs="宋体"/>
                <w:b/>
                <w:bCs/>
                <w:szCs w:val="21"/>
              </w:rPr>
            </w:pPr>
            <w:r>
              <w:rPr>
                <w:rFonts w:hint="eastAsia" w:ascii="宋体" w:hAnsi="宋体" w:cs="宋体"/>
                <w:b/>
                <w:szCs w:val="21"/>
                <w:highlight w:val="none"/>
              </w:rPr>
              <w:t>6、保证金凭证应注明正确的项目编号、分标号（如有）等信息，否则，信息不明确或有误的将可能被视为无效竞标保证金，并有可能影响保证金的及时退付。</w:t>
            </w:r>
          </w:p>
          <w:p w14:paraId="788EEE83">
            <w:pPr>
              <w:wordWrap w:val="0"/>
              <w:snapToGrid w:val="0"/>
              <w:spacing w:line="400" w:lineRule="exact"/>
              <w:rPr>
                <w:rFonts w:hint="eastAsia" w:ascii="宋体" w:hAnsi="宋体" w:cs="宋体"/>
                <w:szCs w:val="21"/>
              </w:rPr>
            </w:pPr>
            <w:r>
              <w:rPr>
                <w:rFonts w:hint="eastAsia" w:ascii="宋体" w:hAnsi="宋体" w:cs="宋体"/>
                <w:szCs w:val="21"/>
              </w:rPr>
              <w:t>谈判保证金退还（不计息）：除竞争性谈判文件规定不予退还保证金的情形外，成交结果公告发布之日起</w:t>
            </w:r>
            <w:r>
              <w:rPr>
                <w:rFonts w:hint="eastAsia" w:ascii="宋体" w:hAnsi="宋体" w:cs="宋体"/>
                <w:szCs w:val="21"/>
                <w:lang w:val="en-US" w:eastAsia="zh-CN"/>
              </w:rPr>
              <w:t>5</w:t>
            </w:r>
            <w:r>
              <w:rPr>
                <w:rFonts w:hint="eastAsia" w:ascii="宋体" w:hAnsi="宋体" w:cs="宋体"/>
                <w:szCs w:val="21"/>
              </w:rPr>
              <w:t>个工作日内退还；成交单位的谈判保证金在合同签订后</w:t>
            </w:r>
            <w:r>
              <w:rPr>
                <w:rFonts w:hint="eastAsia" w:ascii="宋体" w:hAnsi="宋体" w:cs="宋体"/>
                <w:szCs w:val="21"/>
                <w:lang w:val="en-US" w:eastAsia="zh-CN"/>
              </w:rPr>
              <w:t>5</w:t>
            </w:r>
            <w:r>
              <w:rPr>
                <w:rFonts w:hint="eastAsia" w:ascii="宋体" w:hAnsi="宋体" w:cs="宋体"/>
                <w:szCs w:val="21"/>
              </w:rPr>
              <w:t>个工作日内退还，</w:t>
            </w:r>
            <w:r>
              <w:rPr>
                <w:rFonts w:hint="eastAsia" w:ascii="宋体" w:hAnsi="宋体" w:cs="宋体"/>
                <w:szCs w:val="21"/>
                <w:lang w:val="en-US" w:eastAsia="zh-CN"/>
              </w:rPr>
              <w:t>退还前</w:t>
            </w:r>
            <w:r>
              <w:rPr>
                <w:rFonts w:hint="eastAsia" w:ascii="宋体" w:hAnsi="宋体" w:cs="宋体"/>
                <w:szCs w:val="21"/>
              </w:rPr>
              <w:t>成交单位递交一份与采购人签订的本项目采购合同原件至采购代理机构。</w:t>
            </w:r>
          </w:p>
        </w:tc>
      </w:tr>
      <w:tr w14:paraId="1BDD1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0BE354C2">
            <w:pPr>
              <w:wordWrap w:val="0"/>
              <w:spacing w:line="400" w:lineRule="exact"/>
              <w:jc w:val="center"/>
              <w:rPr>
                <w:rFonts w:hint="eastAsia" w:ascii="宋体" w:hAnsi="宋体" w:cs="宋体"/>
                <w:szCs w:val="21"/>
              </w:rPr>
            </w:pPr>
            <w:r>
              <w:rPr>
                <w:rFonts w:hint="eastAsia" w:ascii="宋体" w:hAnsi="宋体" w:cs="宋体"/>
                <w:szCs w:val="21"/>
              </w:rPr>
              <w:t>18.2</w:t>
            </w:r>
          </w:p>
        </w:tc>
        <w:tc>
          <w:tcPr>
            <w:tcW w:w="7912" w:type="dxa"/>
            <w:noWrap w:val="0"/>
            <w:vAlign w:val="center"/>
          </w:tcPr>
          <w:p w14:paraId="2FF60352">
            <w:pPr>
              <w:pStyle w:val="10"/>
              <w:spacing w:line="420" w:lineRule="exact"/>
              <w:rPr>
                <w:rFonts w:hint="eastAsia" w:ascii="宋体" w:hAnsi="宋体" w:cs="宋体"/>
                <w:szCs w:val="21"/>
              </w:rPr>
            </w:pPr>
            <w:r>
              <w:rPr>
                <w:rFonts w:hint="eastAsia" w:ascii="宋体" w:hAnsi="宋体" w:cs="宋体"/>
                <w:b/>
                <w:bCs/>
                <w:szCs w:val="21"/>
              </w:rPr>
              <w:t>电子备份响应文件U 盘密封方式：</w:t>
            </w:r>
            <w:r>
              <w:rPr>
                <w:rFonts w:hint="eastAsia" w:ascii="宋体" w:hAnsi="宋体" w:cs="宋体"/>
                <w:szCs w:val="21"/>
                <w:lang w:val="en-US" w:eastAsia="zh-CN"/>
              </w:rPr>
              <w:t>无需提供电子备份响应文件。</w:t>
            </w:r>
            <w:r>
              <w:rPr>
                <w:rFonts w:hint="eastAsia" w:ascii="宋体" w:hAnsi="宋体" w:cs="宋体"/>
                <w:szCs w:val="21"/>
              </w:rPr>
              <w:t xml:space="preserve"> </w:t>
            </w:r>
          </w:p>
          <w:p w14:paraId="5CFCC7DE">
            <w:pPr>
              <w:spacing w:line="420" w:lineRule="exact"/>
              <w:rPr>
                <w:rFonts w:hint="eastAsia" w:ascii="宋体" w:hAnsi="宋体" w:eastAsia="宋体" w:cs="宋体"/>
                <w:szCs w:val="21"/>
                <w:lang w:eastAsia="zh-CN"/>
              </w:rPr>
            </w:pPr>
            <w:r>
              <w:rPr>
                <w:rFonts w:hint="eastAsia" w:ascii="宋体" w:hAnsi="宋体" w:cs="宋体"/>
                <w:b/>
                <w:bCs/>
                <w:szCs w:val="21"/>
              </w:rPr>
              <w:t>响应文件纸质版：</w:t>
            </w:r>
            <w:r>
              <w:rPr>
                <w:rFonts w:hint="eastAsia" w:ascii="宋体" w:hAnsi="宋体" w:cs="宋体"/>
                <w:b/>
                <w:bCs/>
                <w:szCs w:val="21"/>
                <w:lang w:val="en-US" w:eastAsia="zh-CN"/>
              </w:rPr>
              <w:t>无需提供。</w:t>
            </w:r>
          </w:p>
          <w:p w14:paraId="1EC924A0">
            <w:pPr>
              <w:spacing w:line="500" w:lineRule="exact"/>
              <w:ind w:firstLine="420" w:firstLineChars="200"/>
              <w:rPr>
                <w:rFonts w:hint="eastAsia" w:ascii="宋体" w:hAnsi="宋体" w:cs="宋体"/>
              </w:rPr>
            </w:pPr>
          </w:p>
        </w:tc>
      </w:tr>
      <w:tr w14:paraId="6EFBCA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1BDC7406">
            <w:pPr>
              <w:wordWrap w:val="0"/>
              <w:spacing w:line="400" w:lineRule="exact"/>
              <w:jc w:val="center"/>
              <w:rPr>
                <w:rFonts w:hint="eastAsia" w:ascii="宋体" w:hAnsi="宋体" w:cs="宋体"/>
                <w:szCs w:val="21"/>
              </w:rPr>
            </w:pPr>
            <w:r>
              <w:rPr>
                <w:rFonts w:hint="eastAsia" w:ascii="宋体" w:hAnsi="宋体" w:cs="宋体"/>
                <w:szCs w:val="21"/>
              </w:rPr>
              <w:t>20.1</w:t>
            </w:r>
          </w:p>
        </w:tc>
        <w:tc>
          <w:tcPr>
            <w:tcW w:w="7912" w:type="dxa"/>
            <w:noWrap w:val="0"/>
            <w:vAlign w:val="center"/>
          </w:tcPr>
          <w:p w14:paraId="1144EFBB">
            <w:pPr>
              <w:wordWrap w:val="0"/>
              <w:spacing w:line="400" w:lineRule="exact"/>
              <w:contextualSpacing/>
              <w:jc w:val="left"/>
              <w:rPr>
                <w:rFonts w:hint="eastAsia" w:ascii="宋体" w:hAnsi="宋体" w:cs="宋体"/>
                <w:szCs w:val="21"/>
                <w:u w:val="single"/>
              </w:rPr>
            </w:pPr>
            <w:r>
              <w:rPr>
                <w:rFonts w:hint="eastAsia" w:ascii="宋体" w:hAnsi="宋体" w:cs="宋体"/>
                <w:szCs w:val="21"/>
              </w:rPr>
              <w:t>响应文件提交截止时间：详见竞争性谈判公告。</w:t>
            </w:r>
          </w:p>
          <w:p w14:paraId="33905E0D">
            <w:pPr>
              <w:wordWrap w:val="0"/>
              <w:spacing w:line="400" w:lineRule="exact"/>
              <w:rPr>
                <w:rFonts w:hint="eastAsia" w:ascii="宋体" w:hAnsi="宋体" w:cs="宋体"/>
                <w:szCs w:val="21"/>
              </w:rPr>
            </w:pPr>
            <w:r>
              <w:rPr>
                <w:rFonts w:hint="eastAsia" w:ascii="宋体" w:hAnsi="宋体" w:cs="宋体"/>
                <w:szCs w:val="21"/>
              </w:rPr>
              <w:t>响应文件提交地点：详见竞争性谈判公告。</w:t>
            </w:r>
          </w:p>
          <w:p w14:paraId="7B07A24C">
            <w:pPr>
              <w:wordWrap w:val="0"/>
              <w:spacing w:line="400" w:lineRule="exact"/>
              <w:rPr>
                <w:rFonts w:hint="eastAsia" w:ascii="宋体" w:hAnsi="宋体" w:cs="宋体"/>
                <w:szCs w:val="21"/>
              </w:rPr>
            </w:pPr>
            <w:r>
              <w:rPr>
                <w:rFonts w:hint="eastAsia" w:ascii="宋体" w:hAnsi="宋体" w:cs="宋体"/>
                <w:b/>
                <w:bCs/>
                <w:szCs w:val="21"/>
              </w:rPr>
              <w:t>电子响应文件解密时间：</w:t>
            </w:r>
            <w:r>
              <w:rPr>
                <w:rFonts w:hint="eastAsia" w:ascii="宋体" w:hAnsi="宋体" w:cs="宋体"/>
                <w:szCs w:val="21"/>
              </w:rPr>
              <w:t>首次响应文件提交截止时间后30分钟内，供应商必须在此时间段内登录</w:t>
            </w:r>
            <w:r>
              <w:rPr>
                <w:rFonts w:hint="eastAsia" w:ascii="宋体" w:hAnsi="宋体" w:cs="宋体"/>
                <w:color w:val="auto"/>
                <w:szCs w:val="21"/>
              </w:rPr>
              <w:t>广西政府采购云平台</w:t>
            </w:r>
            <w:r>
              <w:rPr>
                <w:rFonts w:hint="eastAsia" w:ascii="宋体" w:hAnsi="宋体" w:cs="宋体"/>
                <w:szCs w:val="21"/>
              </w:rPr>
              <w:t>，用“项目采购</w:t>
            </w:r>
            <w:r>
              <w:rPr>
                <w:rFonts w:hint="eastAsia" w:ascii="宋体" w:hAnsi="宋体" w:cs="宋体"/>
                <w:szCs w:val="21"/>
                <w:lang w:eastAsia="zh-CN"/>
              </w:rPr>
              <w:t>－</w:t>
            </w:r>
            <w:r>
              <w:rPr>
                <w:rFonts w:hint="eastAsia" w:ascii="宋体" w:hAnsi="宋体" w:cs="宋体"/>
                <w:szCs w:val="21"/>
              </w:rPr>
              <w:t>开标评标”功能完成电子响应文件的解密。若竞标供应商在规定时间内未按时解密的，视为响应文件撤回。</w:t>
            </w:r>
          </w:p>
          <w:p w14:paraId="73E74AAF">
            <w:pPr>
              <w:wordWrap w:val="0"/>
              <w:spacing w:line="400" w:lineRule="exact"/>
              <w:rPr>
                <w:rFonts w:hint="eastAsia" w:ascii="宋体" w:hAnsi="宋体" w:cs="宋体"/>
                <w:szCs w:val="21"/>
              </w:rPr>
            </w:pPr>
            <w:r>
              <w:rPr>
                <w:rFonts w:hint="eastAsia" w:ascii="宋体" w:hAnsi="宋体" w:cs="宋体"/>
                <w:szCs w:val="21"/>
              </w:rPr>
              <w:t>首次响应文件提交地点：通过</w:t>
            </w:r>
            <w:r>
              <w:rPr>
                <w:rFonts w:hint="eastAsia" w:ascii="宋体" w:hAnsi="宋体" w:cs="宋体"/>
                <w:color w:val="auto"/>
                <w:szCs w:val="21"/>
              </w:rPr>
              <w:t>广西政府采购云平台</w:t>
            </w:r>
            <w:r>
              <w:rPr>
                <w:rFonts w:hint="eastAsia" w:ascii="宋体" w:hAnsi="宋体" w:cs="宋体"/>
                <w:szCs w:val="21"/>
              </w:rPr>
              <w:t>实行在线竞标。</w:t>
            </w:r>
          </w:p>
        </w:tc>
      </w:tr>
      <w:tr w14:paraId="1C4BE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06CFEEE9">
            <w:pPr>
              <w:wordWrap w:val="0"/>
              <w:spacing w:line="400" w:lineRule="exact"/>
              <w:jc w:val="center"/>
              <w:rPr>
                <w:rFonts w:hint="eastAsia" w:ascii="宋体" w:hAnsi="宋体" w:cs="宋体"/>
                <w:szCs w:val="21"/>
              </w:rPr>
            </w:pPr>
            <w:r>
              <w:rPr>
                <w:rFonts w:hint="eastAsia" w:ascii="宋体" w:hAnsi="宋体" w:cs="宋体"/>
                <w:szCs w:val="21"/>
              </w:rPr>
              <w:t>24.1</w:t>
            </w:r>
          </w:p>
        </w:tc>
        <w:tc>
          <w:tcPr>
            <w:tcW w:w="7912" w:type="dxa"/>
            <w:noWrap w:val="0"/>
            <w:vAlign w:val="center"/>
          </w:tcPr>
          <w:p w14:paraId="0936AE2E">
            <w:pPr>
              <w:spacing w:line="340" w:lineRule="exact"/>
              <w:rPr>
                <w:rFonts w:hint="eastAsia" w:ascii="宋体" w:hAnsi="宋体" w:cs="宋体"/>
                <w:szCs w:val="21"/>
                <w:u w:val="single"/>
              </w:rPr>
            </w:pPr>
            <w:r>
              <w:rPr>
                <w:rFonts w:hint="eastAsia" w:ascii="宋体" w:hAnsi="宋体" w:cs="宋体"/>
                <w:szCs w:val="21"/>
              </w:rPr>
              <w:t>谈判小组构成：</w:t>
            </w:r>
            <w:r>
              <w:rPr>
                <w:rFonts w:hint="eastAsia" w:ascii="宋体" w:hAnsi="宋体" w:cs="宋体"/>
                <w:szCs w:val="21"/>
                <w:u w:val="single"/>
              </w:rPr>
              <w:t xml:space="preserve"> 3 </w:t>
            </w:r>
            <w:r>
              <w:rPr>
                <w:rFonts w:hint="eastAsia" w:ascii="宋体" w:hAnsi="宋体" w:cs="宋体"/>
                <w:szCs w:val="21"/>
              </w:rPr>
              <w:t>人；其中采购人代表</w:t>
            </w:r>
            <w:r>
              <w:rPr>
                <w:rFonts w:hint="eastAsia" w:ascii="宋体" w:hAnsi="宋体" w:cs="宋体"/>
                <w:szCs w:val="21"/>
                <w:u w:val="single"/>
              </w:rPr>
              <w:t xml:space="preserve"> 1</w:t>
            </w:r>
            <w:r>
              <w:rPr>
                <w:rFonts w:hint="eastAsia" w:ascii="宋体" w:hAnsi="宋体" w:cs="宋体"/>
                <w:szCs w:val="21"/>
              </w:rPr>
              <w:t>人，专家</w:t>
            </w:r>
            <w:r>
              <w:rPr>
                <w:rFonts w:hint="eastAsia" w:ascii="宋体" w:hAnsi="宋体" w:cs="宋体"/>
                <w:szCs w:val="21"/>
                <w:u w:val="single"/>
              </w:rPr>
              <w:t xml:space="preserve">  2  </w:t>
            </w:r>
            <w:r>
              <w:rPr>
                <w:rFonts w:hint="eastAsia" w:ascii="宋体" w:hAnsi="宋体" w:cs="宋体"/>
                <w:szCs w:val="21"/>
              </w:rPr>
              <w:t>人。</w:t>
            </w:r>
          </w:p>
        </w:tc>
      </w:tr>
      <w:tr w14:paraId="4244E6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4C905424">
            <w:pPr>
              <w:wordWrap w:val="0"/>
              <w:spacing w:line="400" w:lineRule="exact"/>
              <w:jc w:val="center"/>
              <w:rPr>
                <w:rFonts w:hint="eastAsia" w:ascii="宋体" w:hAnsi="宋体" w:cs="宋体"/>
                <w:szCs w:val="21"/>
              </w:rPr>
            </w:pPr>
            <w:r>
              <w:rPr>
                <w:rFonts w:hint="eastAsia" w:ascii="宋体" w:hAnsi="宋体" w:cs="宋体"/>
                <w:szCs w:val="21"/>
              </w:rPr>
              <w:t>25</w:t>
            </w:r>
          </w:p>
        </w:tc>
        <w:tc>
          <w:tcPr>
            <w:tcW w:w="7912" w:type="dxa"/>
            <w:noWrap w:val="0"/>
            <w:vAlign w:val="center"/>
          </w:tcPr>
          <w:p w14:paraId="284261F1">
            <w:pPr>
              <w:wordWrap w:val="0"/>
              <w:snapToGrid w:val="0"/>
              <w:spacing w:line="400" w:lineRule="exact"/>
              <w:jc w:val="left"/>
              <w:rPr>
                <w:rFonts w:hint="eastAsia" w:ascii="宋体" w:hAnsi="宋体" w:cs="宋体"/>
                <w:szCs w:val="21"/>
              </w:rPr>
            </w:pPr>
            <w:r>
              <w:rPr>
                <w:rFonts w:hint="eastAsia" w:ascii="宋体" w:hAnsi="宋体" w:cs="宋体"/>
                <w:szCs w:val="21"/>
              </w:rPr>
              <w:t>首次响应文件开启时间详见“竞争性谈判公告”。</w:t>
            </w:r>
          </w:p>
        </w:tc>
      </w:tr>
      <w:tr w14:paraId="5D0387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92" w:type="dxa"/>
            <w:vMerge w:val="restart"/>
            <w:noWrap w:val="0"/>
            <w:vAlign w:val="center"/>
          </w:tcPr>
          <w:p w14:paraId="266B42C0">
            <w:pPr>
              <w:wordWrap w:val="0"/>
              <w:spacing w:line="400" w:lineRule="exact"/>
              <w:jc w:val="center"/>
              <w:rPr>
                <w:rFonts w:hint="eastAsia" w:ascii="宋体" w:hAnsi="宋体" w:cs="宋体"/>
                <w:szCs w:val="21"/>
              </w:rPr>
            </w:pPr>
            <w:r>
              <w:rPr>
                <w:rFonts w:hint="eastAsia" w:ascii="宋体" w:hAnsi="宋体" w:cs="宋体"/>
                <w:szCs w:val="21"/>
              </w:rPr>
              <w:t>26</w:t>
            </w:r>
          </w:p>
        </w:tc>
        <w:tc>
          <w:tcPr>
            <w:tcW w:w="7912" w:type="dxa"/>
            <w:noWrap w:val="0"/>
            <w:vAlign w:val="center"/>
          </w:tcPr>
          <w:p w14:paraId="32ADF691">
            <w:pPr>
              <w:wordWrap w:val="0"/>
              <w:snapToGrid w:val="0"/>
              <w:spacing w:line="400" w:lineRule="exact"/>
              <w:rPr>
                <w:rFonts w:hint="eastAsia" w:ascii="宋体" w:hAnsi="宋体" w:cs="宋体"/>
                <w:szCs w:val="21"/>
              </w:rPr>
            </w:pPr>
            <w:r>
              <w:rPr>
                <w:rFonts w:hint="eastAsia" w:ascii="宋体" w:hAnsi="宋体" w:cs="宋体"/>
                <w:szCs w:val="21"/>
              </w:rPr>
              <w:t>谈判的顺序：</w:t>
            </w:r>
          </w:p>
          <w:p w14:paraId="2C7ED64A">
            <w:pPr>
              <w:wordWrap w:val="0"/>
              <w:snapToGrid w:val="0"/>
              <w:spacing w:line="400" w:lineRule="exact"/>
              <w:rPr>
                <w:rFonts w:hint="eastAsia" w:ascii="宋体" w:hAnsi="宋体" w:cs="宋体"/>
                <w:szCs w:val="21"/>
              </w:rPr>
            </w:pPr>
            <w:r>
              <w:rPr>
                <w:rFonts w:hint="eastAsia" w:ascii="宋体" w:hAnsi="宋体" w:cs="宋体"/>
                <w:szCs w:val="21"/>
              </w:rPr>
              <w:sym w:font="Wingdings" w:char="00FE"/>
            </w:r>
            <w:r>
              <w:rPr>
                <w:rFonts w:hint="eastAsia" w:ascii="宋体" w:hAnsi="宋体" w:cs="宋体"/>
                <w:szCs w:val="21"/>
              </w:rPr>
              <w:t xml:space="preserve">按照首次响应文件的解密顺序。通知谈判时，若谈判过程中某供应商未能按时参加谈判（该供应商排序到最后谈判），按照首次响应文件的解密顺序由其下一位供应商先参与谈判。 </w:t>
            </w:r>
          </w:p>
          <w:p w14:paraId="5BDBCFCA">
            <w:pPr>
              <w:wordWrap w:val="0"/>
              <w:snapToGrid w:val="0"/>
              <w:spacing w:line="400" w:lineRule="exact"/>
              <w:rPr>
                <w:rFonts w:hint="eastAsia" w:ascii="宋体" w:hAnsi="宋体" w:cs="宋体"/>
                <w:szCs w:val="21"/>
              </w:rPr>
            </w:pPr>
            <w:r>
              <w:rPr>
                <w:rFonts w:hint="eastAsia" w:ascii="宋体" w:hAnsi="宋体" w:cs="宋体"/>
                <w:szCs w:val="21"/>
              </w:rPr>
              <w:t>□随机排序。</w:t>
            </w:r>
          </w:p>
        </w:tc>
      </w:tr>
      <w:tr w14:paraId="16D1C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92" w:type="dxa"/>
            <w:vMerge w:val="continue"/>
            <w:noWrap w:val="0"/>
            <w:vAlign w:val="center"/>
          </w:tcPr>
          <w:p w14:paraId="01A20C66">
            <w:pPr>
              <w:wordWrap w:val="0"/>
              <w:spacing w:line="400" w:lineRule="exact"/>
              <w:jc w:val="center"/>
              <w:rPr>
                <w:rFonts w:hint="eastAsia" w:ascii="宋体" w:hAnsi="宋体" w:cs="宋体"/>
                <w:szCs w:val="21"/>
              </w:rPr>
            </w:pPr>
          </w:p>
        </w:tc>
        <w:tc>
          <w:tcPr>
            <w:tcW w:w="7912" w:type="dxa"/>
            <w:noWrap w:val="0"/>
            <w:vAlign w:val="center"/>
          </w:tcPr>
          <w:p w14:paraId="500BCF62">
            <w:pPr>
              <w:wordWrap w:val="0"/>
              <w:spacing w:line="400" w:lineRule="exact"/>
              <w:contextualSpacing/>
              <w:rPr>
                <w:rFonts w:hint="eastAsia" w:ascii="宋体" w:hAnsi="宋体" w:cs="宋体"/>
                <w:color w:val="000000"/>
              </w:rPr>
            </w:pPr>
            <w:r>
              <w:rPr>
                <w:rFonts w:hint="eastAsia" w:ascii="宋体" w:hAnsi="宋体" w:cs="宋体"/>
              </w:rPr>
              <w:t>评审价相同时，按照最后报价由低到高顺序依次推荐；最后报价相同时，按节能、环保产品累计金额由高到低顺序依次推荐；节能、环保产品累计金额也相同时，按以下</w:t>
            </w:r>
            <w:r>
              <w:rPr>
                <w:rFonts w:hint="eastAsia" w:ascii="宋体" w:hAnsi="宋体" w:cs="宋体"/>
                <w:color w:val="000000"/>
              </w:rPr>
              <w:t>原则确定成交候选人的顺序：</w:t>
            </w:r>
          </w:p>
          <w:p w14:paraId="30F0D6B9">
            <w:pPr>
              <w:wordWrap w:val="0"/>
              <w:spacing w:line="400" w:lineRule="exact"/>
              <w:contextualSpacing/>
              <w:rPr>
                <w:rFonts w:hint="eastAsia" w:ascii="宋体" w:hAnsi="宋体" w:cs="宋体"/>
              </w:rPr>
            </w:pPr>
            <w:r>
              <w:rPr>
                <w:rFonts w:hint="eastAsia" w:ascii="宋体" w:hAnsi="宋体" w:cs="宋体"/>
                <w:color w:val="000000"/>
              </w:rPr>
              <w:sym w:font="Wingdings" w:char="00FE"/>
            </w:r>
            <w:r>
              <w:rPr>
                <w:rFonts w:hint="eastAsia" w:ascii="宋体" w:hAnsi="宋体" w:cs="宋体"/>
                <w:color w:val="000000"/>
              </w:rPr>
              <w:t>带“</w:t>
            </w:r>
            <w:r>
              <w:rPr>
                <w:rFonts w:hint="eastAsia"/>
                <w:b/>
                <w:bCs/>
                <w:color w:val="000000"/>
                <w:szCs w:val="21"/>
              </w:rPr>
              <w:t>▲</w:t>
            </w:r>
            <w:r>
              <w:rPr>
                <w:rFonts w:hint="eastAsia" w:ascii="宋体" w:hAnsi="宋体" w:cs="宋体"/>
                <w:color w:val="000000"/>
              </w:rPr>
              <w:t>”的实质性要求正偏离项数多的优先、均无正偏离或者正偏离项数一致时负偏离项数少的</w:t>
            </w:r>
            <w:r>
              <w:rPr>
                <w:rFonts w:hint="eastAsia" w:ascii="宋体" w:hAnsi="宋体" w:cs="宋体"/>
              </w:rPr>
              <w:t>优先、保修期长优先、交货期短优先、故障响应时间短优先的顺序推荐。</w:t>
            </w:r>
          </w:p>
          <w:p w14:paraId="4CB3BF9C">
            <w:pPr>
              <w:wordWrap w:val="0"/>
              <w:snapToGrid w:val="0"/>
              <w:spacing w:line="400" w:lineRule="exact"/>
              <w:rPr>
                <w:rFonts w:hint="eastAsia" w:ascii="宋体" w:hAnsi="宋体" w:cs="宋体"/>
              </w:rPr>
            </w:pPr>
            <w:r>
              <w:rPr>
                <w:rFonts w:hint="eastAsia" w:ascii="宋体" w:hAnsi="宋体" w:cs="宋体"/>
              </w:rPr>
              <w:t>□由谈判小组推荐代表随机抽取。</w:t>
            </w:r>
          </w:p>
          <w:p w14:paraId="06B4A120">
            <w:pPr>
              <w:pStyle w:val="7"/>
              <w:rPr>
                <w:rFonts w:hint="eastAsia" w:ascii="宋体" w:hAnsi="宋体" w:cs="宋体"/>
              </w:rPr>
            </w:pPr>
          </w:p>
        </w:tc>
      </w:tr>
      <w:tr w14:paraId="322B5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5C5FCF2B">
            <w:pPr>
              <w:wordWrap w:val="0"/>
              <w:spacing w:line="400" w:lineRule="exact"/>
              <w:jc w:val="center"/>
              <w:rPr>
                <w:rFonts w:hint="eastAsia" w:ascii="宋体" w:hAnsi="宋体" w:cs="宋体"/>
                <w:szCs w:val="21"/>
              </w:rPr>
            </w:pPr>
          </w:p>
        </w:tc>
        <w:tc>
          <w:tcPr>
            <w:tcW w:w="7912" w:type="dxa"/>
            <w:noWrap w:val="0"/>
            <w:vAlign w:val="center"/>
          </w:tcPr>
          <w:p w14:paraId="1CD1BB27">
            <w:pPr>
              <w:wordWrap w:val="0"/>
              <w:snapToGrid w:val="0"/>
              <w:spacing w:line="400" w:lineRule="exact"/>
              <w:rPr>
                <w:rFonts w:hint="eastAsia" w:ascii="宋体" w:hAnsi="宋体" w:cs="宋体"/>
                <w:b/>
                <w:bCs/>
                <w:color w:val="0C0C0C"/>
                <w:szCs w:val="21"/>
              </w:rPr>
            </w:pPr>
            <w:r>
              <w:rPr>
                <w:rFonts w:hint="eastAsia" w:ascii="宋体" w:hAnsi="宋体" w:cs="宋体"/>
                <w:b/>
                <w:bCs/>
                <w:color w:val="0C0C0C"/>
                <w:szCs w:val="21"/>
              </w:rPr>
              <w:t>负偏离要求：</w:t>
            </w:r>
          </w:p>
          <w:p w14:paraId="4BC5B71B">
            <w:pPr>
              <w:wordWrap w:val="0"/>
              <w:snapToGrid w:val="0"/>
              <w:spacing w:line="400" w:lineRule="exact"/>
              <w:rPr>
                <w:rFonts w:hint="eastAsia" w:ascii="宋体" w:hAnsi="宋体" w:cs="宋体"/>
                <w:b/>
                <w:bCs/>
                <w:color w:val="auto"/>
                <w:szCs w:val="21"/>
              </w:rPr>
            </w:pPr>
            <w:r>
              <w:rPr>
                <w:rFonts w:hint="eastAsia" w:ascii="宋体" w:hAnsi="宋体" w:cs="宋体"/>
                <w:b/>
                <w:bCs/>
                <w:color w:val="0C0C0C"/>
                <w:szCs w:val="21"/>
              </w:rPr>
              <w:t>商务条款评审中允许负偏离的条款数</w:t>
            </w:r>
            <w:r>
              <w:rPr>
                <w:rFonts w:hint="eastAsia" w:ascii="宋体" w:hAnsi="宋体" w:cs="宋体"/>
                <w:b/>
                <w:bCs/>
                <w:color w:val="auto"/>
                <w:szCs w:val="21"/>
              </w:rPr>
              <w:t xml:space="preserve">为 0 项。 </w:t>
            </w:r>
          </w:p>
          <w:p w14:paraId="649B06CA">
            <w:pPr>
              <w:wordWrap w:val="0"/>
              <w:snapToGrid w:val="0"/>
              <w:spacing w:line="400" w:lineRule="exact"/>
              <w:rPr>
                <w:rFonts w:hint="eastAsia" w:ascii="宋体" w:hAnsi="宋体" w:cs="宋体"/>
                <w:szCs w:val="21"/>
              </w:rPr>
            </w:pPr>
            <w:r>
              <w:rPr>
                <w:rFonts w:hint="eastAsia" w:ascii="宋体" w:hAnsi="宋体" w:cs="宋体"/>
                <w:b/>
                <w:bCs/>
                <w:color w:val="auto"/>
                <w:szCs w:val="21"/>
                <w:highlight w:val="none"/>
                <w:shd w:val="clear" w:color="auto" w:fill="auto"/>
                <w:lang w:val="en-US" w:eastAsia="zh-CN"/>
              </w:rPr>
              <w:t>每项</w:t>
            </w:r>
            <w:r>
              <w:rPr>
                <w:rFonts w:hint="eastAsia" w:ascii="宋体" w:hAnsi="宋体" w:cs="宋体"/>
                <w:b/>
                <w:bCs/>
                <w:color w:val="auto"/>
                <w:szCs w:val="21"/>
                <w:shd w:val="clear" w:color="auto" w:fill="auto"/>
              </w:rPr>
              <w:t>货物需求评审中允许负偏离的条款数为 3 项。</w:t>
            </w:r>
          </w:p>
        </w:tc>
      </w:tr>
      <w:tr w14:paraId="7BCC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624C2D25">
            <w:pPr>
              <w:wordWrap w:val="0"/>
              <w:spacing w:line="400" w:lineRule="exact"/>
              <w:jc w:val="center"/>
              <w:rPr>
                <w:rFonts w:hint="eastAsia" w:ascii="宋体" w:hAnsi="宋体" w:cs="宋体"/>
                <w:szCs w:val="21"/>
              </w:rPr>
            </w:pPr>
            <w:r>
              <w:rPr>
                <w:rFonts w:hint="eastAsia" w:ascii="宋体" w:hAnsi="宋体" w:cs="宋体"/>
                <w:szCs w:val="21"/>
              </w:rPr>
              <w:t>28</w:t>
            </w:r>
          </w:p>
        </w:tc>
        <w:tc>
          <w:tcPr>
            <w:tcW w:w="7912" w:type="dxa"/>
            <w:noWrap w:val="0"/>
            <w:vAlign w:val="center"/>
          </w:tcPr>
          <w:p w14:paraId="6B780480">
            <w:pPr>
              <w:wordWrap w:val="0"/>
              <w:spacing w:line="400" w:lineRule="exact"/>
              <w:contextualSpacing/>
              <w:rPr>
                <w:rFonts w:hint="eastAsia" w:ascii="宋体" w:hAnsi="宋体" w:cs="宋体"/>
                <w:szCs w:val="21"/>
              </w:rPr>
            </w:pPr>
            <w:r>
              <w:rPr>
                <w:rFonts w:hint="eastAsia" w:ascii="宋体" w:hAnsi="宋体" w:cs="宋体"/>
                <w:szCs w:val="21"/>
              </w:rPr>
              <w:t>履约保证金：详见采购需求。</w:t>
            </w:r>
          </w:p>
        </w:tc>
      </w:tr>
      <w:tr w14:paraId="6457BE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353390C6">
            <w:pPr>
              <w:wordWrap w:val="0"/>
              <w:spacing w:line="400" w:lineRule="exact"/>
              <w:jc w:val="center"/>
              <w:rPr>
                <w:rFonts w:hint="eastAsia" w:ascii="宋体" w:hAnsi="宋体" w:cs="宋体"/>
                <w:szCs w:val="21"/>
              </w:rPr>
            </w:pPr>
            <w:r>
              <w:rPr>
                <w:rFonts w:hint="eastAsia" w:ascii="宋体" w:hAnsi="宋体" w:cs="宋体"/>
                <w:szCs w:val="21"/>
              </w:rPr>
              <w:t>29.1</w:t>
            </w:r>
          </w:p>
        </w:tc>
        <w:tc>
          <w:tcPr>
            <w:tcW w:w="7912" w:type="dxa"/>
            <w:noWrap w:val="0"/>
            <w:vAlign w:val="center"/>
          </w:tcPr>
          <w:p w14:paraId="6F47B806">
            <w:pPr>
              <w:wordWrap w:val="0"/>
              <w:autoSpaceDE w:val="0"/>
              <w:autoSpaceDN w:val="0"/>
              <w:snapToGrid w:val="0"/>
              <w:spacing w:line="400" w:lineRule="exact"/>
              <w:textAlignment w:val="bottom"/>
              <w:rPr>
                <w:rFonts w:hint="eastAsia" w:ascii="宋体" w:hAnsi="宋体" w:cs="宋体"/>
                <w:szCs w:val="21"/>
              </w:rPr>
            </w:pPr>
            <w:r>
              <w:rPr>
                <w:rFonts w:hint="eastAsia" w:ascii="宋体" w:hAnsi="宋体" w:cs="宋体"/>
                <w:szCs w:val="21"/>
              </w:rPr>
              <w:t xml:space="preserve">签订合同携带的证明材料： </w:t>
            </w:r>
          </w:p>
          <w:p w14:paraId="2B2CA273">
            <w:pPr>
              <w:wordWrap w:val="0"/>
              <w:autoSpaceDE w:val="0"/>
              <w:autoSpaceDN w:val="0"/>
              <w:snapToGrid w:val="0"/>
              <w:spacing w:line="400" w:lineRule="exact"/>
              <w:textAlignment w:val="bottom"/>
              <w:rPr>
                <w:rFonts w:hint="eastAsia" w:ascii="宋体" w:hAnsi="宋体" w:cs="宋体"/>
                <w:szCs w:val="21"/>
              </w:rPr>
            </w:pPr>
            <w:r>
              <w:rPr>
                <w:rFonts w:hint="eastAsia" w:ascii="宋体" w:hAnsi="宋体" w:cs="宋体"/>
                <w:szCs w:val="21"/>
              </w:rPr>
              <w:t>委托代理人负责签订合同的，须携带授权委托书及委托代理人身份证原件等其他资格证件。</w:t>
            </w:r>
          </w:p>
          <w:p w14:paraId="5B961101">
            <w:pPr>
              <w:wordWrap w:val="0"/>
              <w:snapToGrid w:val="0"/>
              <w:spacing w:line="400" w:lineRule="exact"/>
              <w:rPr>
                <w:rFonts w:hint="eastAsia" w:ascii="宋体" w:hAnsi="宋体" w:cs="宋体"/>
                <w:szCs w:val="21"/>
              </w:rPr>
            </w:pPr>
            <w:r>
              <w:rPr>
                <w:rFonts w:hint="eastAsia" w:ascii="宋体" w:hAnsi="宋体" w:cs="宋体"/>
                <w:szCs w:val="21"/>
              </w:rPr>
              <w:t>法定代表人负责签订合同的，须携带法定代表人身份证明原件及身份证原件等其他证明材料。</w:t>
            </w:r>
          </w:p>
        </w:tc>
      </w:tr>
      <w:tr w14:paraId="567A68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719E84ED">
            <w:pPr>
              <w:wordWrap w:val="0"/>
              <w:spacing w:line="400" w:lineRule="exact"/>
              <w:jc w:val="center"/>
              <w:rPr>
                <w:rFonts w:hint="eastAsia" w:ascii="宋体" w:hAnsi="宋体" w:cs="宋体"/>
                <w:szCs w:val="21"/>
              </w:rPr>
            </w:pPr>
            <w:r>
              <w:rPr>
                <w:rFonts w:hint="eastAsia" w:ascii="宋体" w:hAnsi="宋体" w:cs="宋体"/>
                <w:szCs w:val="21"/>
              </w:rPr>
              <w:t>31.2</w:t>
            </w:r>
          </w:p>
        </w:tc>
        <w:tc>
          <w:tcPr>
            <w:tcW w:w="7912" w:type="dxa"/>
            <w:noWrap w:val="0"/>
            <w:vAlign w:val="center"/>
          </w:tcPr>
          <w:p w14:paraId="7E0934F4">
            <w:pPr>
              <w:snapToGrid w:val="0"/>
              <w:spacing w:line="400" w:lineRule="exact"/>
              <w:rPr>
                <w:rFonts w:hint="eastAsia" w:ascii="宋体" w:hAnsi="宋体" w:cs="宋体"/>
                <w:szCs w:val="21"/>
              </w:rPr>
            </w:pPr>
            <w:r>
              <w:rPr>
                <w:rFonts w:hint="eastAsia" w:ascii="宋体" w:hAnsi="宋体" w:cs="宋体"/>
                <w:szCs w:val="21"/>
              </w:rPr>
              <w:t>接收质疑函方式：以书面形式。</w:t>
            </w:r>
          </w:p>
          <w:p w14:paraId="4A72BEE9">
            <w:pPr>
              <w:wordWrap w:val="0"/>
              <w:snapToGrid w:val="0"/>
              <w:spacing w:line="400" w:lineRule="exact"/>
              <w:rPr>
                <w:rFonts w:hint="default" w:ascii="宋体" w:hAnsi="宋体" w:eastAsia="宋体" w:cs="宋体"/>
                <w:szCs w:val="21"/>
                <w:lang w:val="en-US" w:eastAsia="zh-CN"/>
              </w:rPr>
            </w:pPr>
            <w:r>
              <w:rPr>
                <w:rFonts w:hint="eastAsia" w:ascii="宋体" w:hAnsi="宋体" w:cs="宋体"/>
                <w:szCs w:val="21"/>
              </w:rPr>
              <w:t>质疑联系部门及联系方式：</w:t>
            </w:r>
            <w:r>
              <w:rPr>
                <w:rFonts w:hint="eastAsia" w:ascii="宋体" w:hAnsi="宋体" w:cs="宋体"/>
                <w:szCs w:val="21"/>
                <w:lang w:eastAsia="zh-CN"/>
              </w:rPr>
              <w:t>广西丰泰工程项目管理有限公司</w:t>
            </w:r>
            <w:r>
              <w:rPr>
                <w:rFonts w:hint="eastAsia" w:ascii="宋体" w:hAnsi="宋体" w:cs="宋体"/>
                <w:szCs w:val="21"/>
              </w:rPr>
              <w:t>，</w:t>
            </w:r>
            <w:r>
              <w:rPr>
                <w:rFonts w:hint="eastAsia" w:hAnsi="宋体" w:cs="宋体"/>
                <w:sz w:val="21"/>
                <w:highlight w:val="none"/>
                <w:lang w:val="en-US" w:eastAsia="zh-CN"/>
              </w:rPr>
              <w:t>质疑联系人：毕工，</w:t>
            </w:r>
            <w:r>
              <w:rPr>
                <w:rFonts w:hint="eastAsia" w:ascii="宋体" w:hAnsi="宋体" w:cs="宋体"/>
                <w:szCs w:val="21"/>
              </w:rPr>
              <w:t>联系电话：</w:t>
            </w:r>
            <w:r>
              <w:rPr>
                <w:rFonts w:hint="eastAsia" w:ascii="宋体" w:hAnsi="宋体" w:cs="宋体"/>
                <w:szCs w:val="21"/>
                <w:lang w:eastAsia="zh-CN"/>
              </w:rPr>
              <w:t>0777-5682198</w:t>
            </w:r>
            <w:r>
              <w:rPr>
                <w:rFonts w:hint="eastAsia" w:ascii="宋体" w:hAnsi="宋体" w:cs="宋体"/>
                <w:szCs w:val="21"/>
              </w:rPr>
              <w:t>，通讯地址：</w:t>
            </w:r>
            <w:r>
              <w:rPr>
                <w:rFonts w:hint="eastAsia" w:ascii="宋体" w:hAnsi="宋体" w:cs="宋体"/>
                <w:color w:val="000000"/>
                <w:szCs w:val="21"/>
                <w:lang w:eastAsia="zh-CN"/>
              </w:rPr>
              <w:t>广西钦州市银河街122号</w:t>
            </w:r>
            <w:r>
              <w:rPr>
                <w:rFonts w:hint="eastAsia" w:ascii="宋体" w:hAnsi="宋体" w:cs="宋体"/>
                <w:color w:val="000000"/>
                <w:szCs w:val="21"/>
                <w:lang w:val="en-US" w:eastAsia="zh-CN"/>
              </w:rPr>
              <w:t xml:space="preserve">  </w:t>
            </w:r>
          </w:p>
          <w:p w14:paraId="1A746554">
            <w:pPr>
              <w:wordWrap w:val="0"/>
              <w:snapToGrid w:val="0"/>
              <w:spacing w:line="400" w:lineRule="exact"/>
              <w:rPr>
                <w:rFonts w:hint="eastAsia" w:ascii="宋体" w:hAnsi="宋体" w:cs="宋体"/>
                <w:szCs w:val="21"/>
              </w:rPr>
            </w:pPr>
            <w:r>
              <w:rPr>
                <w:rFonts w:hint="eastAsia" w:ascii="宋体" w:hAnsi="宋体" w:cs="宋体"/>
              </w:rPr>
              <w:t>业务时间：每天上午08时30分到12时00分，下午15时</w:t>
            </w:r>
            <w:r>
              <w:rPr>
                <w:rFonts w:hint="eastAsia" w:ascii="宋体" w:hAnsi="宋体" w:cs="宋体"/>
                <w:lang w:val="en-US" w:eastAsia="zh-CN"/>
              </w:rPr>
              <w:t>0</w:t>
            </w:r>
            <w:r>
              <w:rPr>
                <w:rFonts w:hint="eastAsia" w:ascii="宋体" w:hAnsi="宋体" w:cs="宋体"/>
              </w:rPr>
              <w:t>0分到1</w:t>
            </w:r>
            <w:r>
              <w:rPr>
                <w:rFonts w:hint="eastAsia" w:ascii="宋体" w:hAnsi="宋体" w:cs="宋体"/>
                <w:lang w:val="en-US" w:eastAsia="zh-CN"/>
              </w:rPr>
              <w:t>8</w:t>
            </w:r>
            <w:r>
              <w:rPr>
                <w:rFonts w:hint="eastAsia" w:ascii="宋体" w:hAnsi="宋体" w:cs="宋体"/>
              </w:rPr>
              <w:t>时</w:t>
            </w:r>
            <w:r>
              <w:rPr>
                <w:rFonts w:hint="eastAsia" w:ascii="宋体" w:hAnsi="宋体" w:cs="宋体"/>
                <w:lang w:val="en-US" w:eastAsia="zh-CN"/>
              </w:rPr>
              <w:t>0</w:t>
            </w:r>
            <w:r>
              <w:rPr>
                <w:rFonts w:hint="eastAsia" w:ascii="宋体" w:hAnsi="宋体" w:cs="宋体"/>
              </w:rPr>
              <w:t>0分，双休日和法定节假日不办理业务。</w:t>
            </w:r>
          </w:p>
        </w:tc>
      </w:tr>
      <w:tr w14:paraId="729E89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7651A518">
            <w:pPr>
              <w:wordWrap w:val="0"/>
              <w:spacing w:line="400" w:lineRule="exact"/>
              <w:jc w:val="center"/>
              <w:rPr>
                <w:rFonts w:hint="eastAsia" w:ascii="宋体" w:hAnsi="宋体" w:cs="宋体"/>
                <w:szCs w:val="21"/>
              </w:rPr>
            </w:pPr>
            <w:r>
              <w:rPr>
                <w:rFonts w:hint="eastAsia" w:ascii="宋体" w:hAnsi="宋体" w:cs="宋体"/>
                <w:szCs w:val="21"/>
              </w:rPr>
              <w:t>32.1</w:t>
            </w:r>
          </w:p>
        </w:tc>
        <w:tc>
          <w:tcPr>
            <w:tcW w:w="7912" w:type="dxa"/>
            <w:noWrap w:val="0"/>
            <w:vAlign w:val="center"/>
          </w:tcPr>
          <w:p w14:paraId="0EEA6ACB">
            <w:pPr>
              <w:wordWrap w:val="0"/>
              <w:snapToGrid w:val="0"/>
              <w:spacing w:line="360" w:lineRule="auto"/>
              <w:rPr>
                <w:rFonts w:hint="eastAsia" w:ascii="宋体" w:hAnsi="宋体" w:cs="宋体"/>
                <w:szCs w:val="21"/>
              </w:rPr>
            </w:pPr>
            <w:r>
              <w:rPr>
                <w:rFonts w:hint="eastAsia" w:ascii="宋体" w:hAnsi="宋体" w:cs="宋体"/>
                <w:szCs w:val="21"/>
              </w:rPr>
              <w:t>1.采购代理费收取方式：</w:t>
            </w:r>
          </w:p>
          <w:p w14:paraId="28A833AA">
            <w:pPr>
              <w:wordWrap w:val="0"/>
              <w:snapToGrid w:val="0"/>
              <w:spacing w:line="360" w:lineRule="auto"/>
              <w:ind w:firstLine="0" w:firstLineChars="0"/>
              <w:rPr>
                <w:rFonts w:hint="eastAsia" w:ascii="宋体" w:hAnsi="宋体" w:cs="宋体"/>
                <w:szCs w:val="21"/>
              </w:rPr>
            </w:pPr>
            <w:r>
              <w:rPr>
                <w:rFonts w:hint="eastAsia" w:ascii="宋体" w:hAnsi="宋体" w:cs="宋体"/>
                <w:szCs w:val="21"/>
              </w:rPr>
              <w:t>本项目代理服务费按如下规定由</w:t>
            </w:r>
            <w:r>
              <w:rPr>
                <w:rFonts w:hint="eastAsia" w:ascii="宋体" w:hAnsi="宋体" w:cs="宋体"/>
                <w:b/>
                <w:bCs/>
                <w:szCs w:val="21"/>
                <w:u w:val="single"/>
              </w:rPr>
              <w:t>成交供应商</w:t>
            </w:r>
            <w:r>
              <w:rPr>
                <w:rFonts w:hint="eastAsia" w:ascii="宋体" w:hAnsi="宋体" w:cs="宋体"/>
                <w:szCs w:val="21"/>
              </w:rPr>
              <w:t>在领取成交通知书前，一次性向采购代理机构支付。</w:t>
            </w:r>
          </w:p>
          <w:p w14:paraId="472FF2F9">
            <w:pPr>
              <w:wordWrap w:val="0"/>
              <w:snapToGrid w:val="0"/>
              <w:spacing w:line="360" w:lineRule="auto"/>
              <w:rPr>
                <w:rFonts w:hint="eastAsia" w:ascii="宋体" w:hAnsi="宋体" w:cs="宋体"/>
                <w:szCs w:val="21"/>
              </w:rPr>
            </w:pPr>
            <w:r>
              <w:rPr>
                <w:rFonts w:hint="eastAsia" w:ascii="宋体" w:hAnsi="宋体" w:cs="宋体"/>
                <w:szCs w:val="21"/>
              </w:rPr>
              <w:t>2.采购代理费收取标准：</w:t>
            </w:r>
          </w:p>
          <w:p w14:paraId="3E50F8B5">
            <w:pPr>
              <w:wordWrap w:val="0"/>
              <w:snapToGrid w:val="0"/>
              <w:spacing w:line="360" w:lineRule="auto"/>
              <w:ind w:firstLine="420" w:firstLineChars="200"/>
              <w:rPr>
                <w:rFonts w:hint="eastAsia" w:ascii="宋体" w:hAnsi="宋体" w:cs="宋体"/>
                <w:szCs w:val="21"/>
                <w:highlight w:val="yellow"/>
              </w:rPr>
            </w:pPr>
            <w:bookmarkStart w:id="57" w:name="OLE_LINK16"/>
            <w:bookmarkStart w:id="58" w:name="OLE_LINK27"/>
            <w:bookmarkStart w:id="59" w:name="OLE_LINK26"/>
            <w:r>
              <w:rPr>
                <w:rFonts w:hint="eastAsia" w:ascii="宋体" w:hAnsi="宋体" w:cs="宋体"/>
                <w:szCs w:val="21"/>
                <w:highlight w:val="none"/>
              </w:rPr>
              <w:t>以成交金额为计费额，</w:t>
            </w:r>
            <w:bookmarkStart w:id="60" w:name="OLE_LINK15"/>
            <w:r>
              <w:rPr>
                <w:rFonts w:hint="eastAsia" w:ascii="宋体" w:hAnsi="宋体" w:cs="宋体"/>
                <w:szCs w:val="21"/>
                <w:highlight w:val="none"/>
              </w:rPr>
              <w:t>参照《国家发展改革委办公厅关于招标代理服务收费有关问题的通知》发改办价格［2003］857号和《国家发展改革委关于降低部分建设项目收费标准规范收费行为等有关问题的通知》发改价格[2011]534号，以及发改价格[2015]299号</w:t>
            </w:r>
            <w:r>
              <w:rPr>
                <w:rFonts w:hint="eastAsia" w:ascii="宋体" w:hAnsi="宋体" w:cs="宋体"/>
                <w:szCs w:val="21"/>
                <w:highlight w:val="none"/>
                <w:lang w:eastAsia="zh-CN"/>
              </w:rPr>
              <w:t>－</w:t>
            </w:r>
            <w:r>
              <w:rPr>
                <w:rFonts w:hint="eastAsia" w:ascii="宋体" w:hAnsi="宋体" w:cs="宋体"/>
                <w:szCs w:val="21"/>
                <w:highlight w:val="none"/>
              </w:rPr>
              <w:t>国家发展改革委关于进一步放开建设项目专业服务价格的通知，规定标准收取服务费“货物招标”类</w:t>
            </w:r>
            <w:bookmarkEnd w:id="57"/>
            <w:bookmarkEnd w:id="60"/>
            <w:r>
              <w:rPr>
                <w:rFonts w:hint="eastAsia" w:ascii="宋体" w:hAnsi="宋体" w:cs="宋体"/>
                <w:szCs w:val="21"/>
                <w:highlight w:val="none"/>
              </w:rPr>
              <w:t>，其计费方法如下：成交金额：100万元内为1.5%；100～500万元为1.1%，500～1000万元为0.8%，1000～5000万元为0.5%，5000～10000万元为0.25%，按差额定律累进法计算，</w:t>
            </w:r>
            <w:r>
              <w:rPr>
                <w:rFonts w:hint="eastAsia" w:ascii="宋体" w:hAnsi="宋体" w:cs="宋体"/>
                <w:szCs w:val="21"/>
                <w:highlight w:val="none"/>
                <w:lang w:val="en-US" w:eastAsia="zh-CN"/>
              </w:rPr>
              <w:t>采购代理机构</w:t>
            </w:r>
            <w:r>
              <w:rPr>
                <w:rFonts w:hint="eastAsia" w:ascii="宋体" w:hAnsi="宋体" w:cs="宋体"/>
                <w:szCs w:val="21"/>
                <w:highlight w:val="none"/>
              </w:rPr>
              <w:t>向成交人收取服务费。</w:t>
            </w:r>
          </w:p>
          <w:bookmarkEnd w:id="58"/>
          <w:p w14:paraId="6882918B">
            <w:pPr>
              <w:wordWrap w:val="0"/>
              <w:snapToGrid w:val="0"/>
              <w:spacing w:line="360" w:lineRule="auto"/>
              <w:rPr>
                <w:rFonts w:hint="eastAsia" w:ascii="宋体" w:hAnsi="宋体" w:cs="宋体"/>
                <w:szCs w:val="21"/>
              </w:rPr>
            </w:pPr>
            <w:r>
              <w:rPr>
                <w:rFonts w:hint="eastAsia" w:ascii="宋体" w:hAnsi="宋体" w:cs="宋体"/>
                <w:szCs w:val="21"/>
              </w:rPr>
              <w:t>3.采购代理费收取银行账户</w:t>
            </w:r>
          </w:p>
          <w:p w14:paraId="37D17C14">
            <w:pPr>
              <w:pStyle w:val="17"/>
              <w:spacing w:line="360" w:lineRule="auto"/>
              <w:rPr>
                <w:rFonts w:hint="eastAsia" w:hAnsi="宋体" w:cs="宋体"/>
                <w:sz w:val="21"/>
                <w:lang w:eastAsia="zh-CN"/>
              </w:rPr>
            </w:pPr>
            <w:r>
              <w:rPr>
                <w:rFonts w:hint="eastAsia" w:hAnsi="宋体" w:cs="宋体"/>
                <w:sz w:val="21"/>
              </w:rPr>
              <w:t>开户名称：</w:t>
            </w:r>
            <w:r>
              <w:rPr>
                <w:rFonts w:hint="eastAsia" w:hAnsi="宋体" w:cs="宋体"/>
                <w:sz w:val="21"/>
                <w:lang w:eastAsia="zh-CN"/>
              </w:rPr>
              <w:t>广西丰泰工程项目管理有限公司</w:t>
            </w:r>
          </w:p>
          <w:p w14:paraId="362D9228">
            <w:pPr>
              <w:pStyle w:val="17"/>
              <w:spacing w:line="360" w:lineRule="auto"/>
              <w:rPr>
                <w:rFonts w:hint="eastAsia" w:hAnsi="宋体" w:eastAsia="宋体" w:cs="宋体"/>
                <w:sz w:val="21"/>
                <w:lang w:eastAsia="zh-CN"/>
              </w:rPr>
            </w:pPr>
            <w:r>
              <w:rPr>
                <w:rFonts w:hint="eastAsia" w:hAnsi="宋体" w:cs="宋体"/>
                <w:sz w:val="21"/>
              </w:rPr>
              <w:t>开户账号：</w:t>
            </w:r>
            <w:r>
              <w:rPr>
                <w:rFonts w:hint="eastAsia" w:hAnsi="宋体" w:cs="宋体"/>
                <w:sz w:val="21"/>
                <w:lang w:eastAsia="zh-CN"/>
              </w:rPr>
              <w:t>6132 7903 9735</w:t>
            </w:r>
          </w:p>
          <w:bookmarkEnd w:id="59"/>
          <w:p w14:paraId="6D04B38E">
            <w:pPr>
              <w:wordWrap w:val="0"/>
              <w:snapToGrid w:val="0"/>
              <w:spacing w:line="360" w:lineRule="auto"/>
              <w:rPr>
                <w:rFonts w:hint="eastAsia" w:ascii="宋体" w:hAnsi="宋体" w:eastAsia="宋体" w:cs="宋体"/>
                <w:szCs w:val="21"/>
                <w:lang w:eastAsia="zh-CN"/>
              </w:rPr>
            </w:pPr>
            <w:r>
              <w:rPr>
                <w:rFonts w:hint="eastAsia" w:ascii="宋体" w:hAnsi="宋体" w:cs="宋体"/>
              </w:rPr>
              <w:t>开户银行：</w:t>
            </w:r>
            <w:r>
              <w:rPr>
                <w:rFonts w:hint="eastAsia" w:ascii="宋体" w:hAnsi="宋体" w:cs="宋体"/>
                <w:lang w:eastAsia="zh-CN"/>
              </w:rPr>
              <w:t>中国银行股份有限公司钦州市新兴街支行</w:t>
            </w:r>
          </w:p>
        </w:tc>
      </w:tr>
      <w:tr w14:paraId="33A64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104D1E04">
            <w:pPr>
              <w:wordWrap w:val="0"/>
              <w:spacing w:line="400" w:lineRule="exact"/>
              <w:jc w:val="center"/>
              <w:rPr>
                <w:rFonts w:hint="eastAsia" w:ascii="宋体" w:hAnsi="宋体" w:cs="宋体"/>
                <w:szCs w:val="21"/>
              </w:rPr>
            </w:pPr>
            <w:r>
              <w:rPr>
                <w:rFonts w:hint="eastAsia" w:ascii="宋体" w:hAnsi="宋体" w:cs="宋体"/>
                <w:szCs w:val="21"/>
              </w:rPr>
              <w:t>33.1</w:t>
            </w:r>
          </w:p>
        </w:tc>
        <w:tc>
          <w:tcPr>
            <w:tcW w:w="7912" w:type="dxa"/>
            <w:noWrap w:val="0"/>
            <w:vAlign w:val="center"/>
          </w:tcPr>
          <w:p w14:paraId="6C427538">
            <w:pPr>
              <w:wordWrap w:val="0"/>
              <w:snapToGrid w:val="0"/>
              <w:spacing w:line="400" w:lineRule="exact"/>
              <w:rPr>
                <w:rFonts w:hint="eastAsia" w:ascii="宋体" w:hAnsi="宋体" w:cs="宋体"/>
                <w:kern w:val="0"/>
                <w:szCs w:val="21"/>
              </w:rPr>
            </w:pPr>
            <w:r>
              <w:rPr>
                <w:rFonts w:hint="eastAsia" w:ascii="宋体" w:hAnsi="宋体" w:cs="宋体"/>
                <w:kern w:val="0"/>
                <w:szCs w:val="21"/>
              </w:rPr>
              <w:t>解释：构成本谈判文件的各个组成文件应互为解释，互为说明；除谈判文件中有特别规定外，仅适用于竞标阶段的规定，按更正公告（澄清公告）、竞争性谈判公告、供应商须知、采购需求、评审程序和评定成交的标准、响应文件格式、合同文本的先后顺序解释；同一组成文件中就同一事项的规定或约定不一致的，以编排顺序在后者为准；同一组成文件不同版本之间有不一致的，以形成时间在后者为准；更正公告（澄清公告）与同步更新的磋商文件不一致时以更正公告（澄清公告）为准。按本款前述规定仍不能形成结论的，由采购人或者采购代理机构负责解释。</w:t>
            </w:r>
          </w:p>
        </w:tc>
      </w:tr>
      <w:tr w14:paraId="02D4A6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noWrap w:val="0"/>
            <w:vAlign w:val="center"/>
          </w:tcPr>
          <w:p w14:paraId="6E1E23A6">
            <w:pPr>
              <w:wordWrap w:val="0"/>
              <w:spacing w:line="400" w:lineRule="exact"/>
              <w:jc w:val="center"/>
              <w:rPr>
                <w:rFonts w:hint="eastAsia" w:ascii="宋体" w:hAnsi="宋体" w:cs="宋体"/>
                <w:szCs w:val="21"/>
              </w:rPr>
            </w:pPr>
            <w:r>
              <w:rPr>
                <w:rFonts w:hint="eastAsia" w:ascii="宋体" w:hAnsi="宋体" w:cs="宋体"/>
                <w:szCs w:val="21"/>
              </w:rPr>
              <w:t>33.2</w:t>
            </w:r>
          </w:p>
        </w:tc>
        <w:tc>
          <w:tcPr>
            <w:tcW w:w="7912" w:type="dxa"/>
            <w:noWrap w:val="0"/>
            <w:vAlign w:val="center"/>
          </w:tcPr>
          <w:p w14:paraId="54E26E4E">
            <w:pPr>
              <w:wordWrap w:val="0"/>
              <w:snapToGrid w:val="0"/>
              <w:spacing w:line="400" w:lineRule="exact"/>
              <w:rPr>
                <w:rFonts w:hint="eastAsia" w:ascii="宋体" w:hAnsi="宋体" w:cs="宋体"/>
                <w:kern w:val="0"/>
                <w:szCs w:val="21"/>
              </w:rPr>
            </w:pPr>
            <w:r>
              <w:rPr>
                <w:rFonts w:hint="eastAsia" w:ascii="宋体" w:hAnsi="宋体" w:cs="宋体"/>
                <w:kern w:val="0"/>
                <w:szCs w:val="21"/>
              </w:rPr>
              <w:t>1.电子响应文件中须加盖供应商公章部分均采用CA签章，并根据“政府采购项目电子交易管理操作指南</w:t>
            </w:r>
            <w:r>
              <w:rPr>
                <w:rFonts w:hint="eastAsia" w:ascii="宋体" w:hAnsi="宋体" w:cs="宋体"/>
                <w:kern w:val="0"/>
                <w:szCs w:val="21"/>
                <w:lang w:eastAsia="zh-CN"/>
              </w:rPr>
              <w:t>－</w:t>
            </w:r>
            <w:r>
              <w:rPr>
                <w:rFonts w:hint="eastAsia" w:ascii="宋体" w:hAnsi="宋体" w:cs="宋体"/>
                <w:kern w:val="0"/>
                <w:szCs w:val="21"/>
              </w:rPr>
              <w:t>供应商” 及本竞争性谈判文件规定的格式和顺序编制电子响应文件并进行关联定位，以便谈判小组在评审时，点击评分项可直接定位到该评分项内容。如对竞争性谈判文件的某项要求，供应商的电子响应文件未能关联定位提供相应的内容与其对应，则谈判小组在评审时如做出对供应商不利的评审由供应商自行承担。电子响应文件如内容不完整、编排混乱导致响应文件被误读、 漏读，或者在按采购文件规定的部位查找不到相关内容的，由供应商自行承担。</w:t>
            </w:r>
          </w:p>
          <w:p w14:paraId="3682517C">
            <w:pPr>
              <w:wordWrap w:val="0"/>
              <w:snapToGrid w:val="0"/>
              <w:spacing w:line="400" w:lineRule="exact"/>
              <w:rPr>
                <w:rFonts w:hint="eastAsia" w:ascii="宋体" w:hAnsi="宋体" w:cs="宋体"/>
                <w:kern w:val="0"/>
                <w:szCs w:val="21"/>
              </w:rPr>
            </w:pPr>
            <w:r>
              <w:rPr>
                <w:rFonts w:hint="eastAsia" w:ascii="宋体" w:hAnsi="宋体" w:cs="宋体"/>
                <w:kern w:val="0"/>
                <w:szCs w:val="21"/>
              </w:rPr>
              <w:t>2.CA签章上目前没有法人（负责人）或授权代表签字信息，供应商在响应文件中涉及到签字的位置线下签好字然后扫描或者拍照做成PDF的格式亦可。响应文件中</w:t>
            </w:r>
            <w:r>
              <w:rPr>
                <w:rFonts w:hint="eastAsia" w:ascii="宋体" w:hAnsi="宋体" w:cs="宋体"/>
                <w:kern w:val="0"/>
                <w:szCs w:val="21"/>
                <w:lang w:eastAsia="zh-CN"/>
              </w:rPr>
              <w:t>涉及</w:t>
            </w:r>
            <w:r>
              <w:rPr>
                <w:rFonts w:hint="eastAsia" w:ascii="宋体" w:hAnsi="宋体" w:cs="宋体"/>
                <w:kern w:val="0"/>
                <w:szCs w:val="21"/>
              </w:rPr>
              <w:t>签字的位置未按要求签字的，提供的材料视为无效。</w:t>
            </w:r>
          </w:p>
          <w:p w14:paraId="3FEF48E1">
            <w:pPr>
              <w:wordWrap w:val="0"/>
              <w:snapToGrid w:val="0"/>
              <w:spacing w:line="400" w:lineRule="exact"/>
              <w:rPr>
                <w:rFonts w:hint="eastAsia" w:ascii="宋体" w:hAnsi="宋体" w:cs="宋体"/>
                <w:kern w:val="0"/>
                <w:szCs w:val="21"/>
              </w:rPr>
            </w:pPr>
            <w:r>
              <w:rPr>
                <w:rFonts w:hint="eastAsia" w:ascii="宋体" w:hAnsi="宋体" w:cs="宋体"/>
                <w:kern w:val="0"/>
                <w:szCs w:val="21"/>
              </w:rPr>
              <w:t>3.本谈判文件中描述供应商的“签字”是指供应商的法定代表人或者委托代理人亲自在文件规定签署处亲笔写上个人的名字的行为，私章、签字章、印鉴、影印等其他形式均不能代替亲笔签字。</w:t>
            </w:r>
          </w:p>
        </w:tc>
      </w:tr>
    </w:tbl>
    <w:p w14:paraId="55B7B2F3">
      <w:pPr>
        <w:wordWrap w:val="0"/>
        <w:spacing w:line="400" w:lineRule="exact"/>
        <w:jc w:val="center"/>
        <w:rPr>
          <w:rFonts w:hint="eastAsia" w:ascii="宋体" w:hAnsi="宋体" w:cs="宋体"/>
          <w:b/>
          <w:sz w:val="32"/>
          <w:szCs w:val="32"/>
        </w:rPr>
      </w:pPr>
      <w:r>
        <w:rPr>
          <w:rFonts w:hint="eastAsia" w:ascii="宋体" w:hAnsi="宋体" w:cs="宋体"/>
          <w:b/>
          <w:sz w:val="32"/>
          <w:szCs w:val="32"/>
        </w:rPr>
        <w:br w:type="page"/>
      </w:r>
      <w:r>
        <w:rPr>
          <w:rFonts w:hint="eastAsia" w:ascii="宋体" w:hAnsi="宋体" w:cs="宋体"/>
          <w:b/>
          <w:sz w:val="32"/>
          <w:szCs w:val="32"/>
        </w:rPr>
        <w:t>供应商须知正文</w:t>
      </w:r>
    </w:p>
    <w:p w14:paraId="7A08D508">
      <w:pPr>
        <w:wordWrap w:val="0"/>
        <w:spacing w:line="400" w:lineRule="exact"/>
        <w:jc w:val="center"/>
        <w:rPr>
          <w:rFonts w:hint="eastAsia" w:ascii="宋体" w:hAnsi="宋体" w:cs="宋体"/>
          <w:b/>
          <w:sz w:val="32"/>
          <w:szCs w:val="32"/>
        </w:rPr>
      </w:pPr>
    </w:p>
    <w:p w14:paraId="26C62056">
      <w:pPr>
        <w:wordWrap w:val="0"/>
        <w:spacing w:line="400" w:lineRule="exact"/>
        <w:jc w:val="center"/>
        <w:rPr>
          <w:rFonts w:hint="eastAsia" w:ascii="宋体" w:hAnsi="宋体" w:cs="宋体"/>
          <w:b/>
          <w:sz w:val="32"/>
          <w:szCs w:val="32"/>
        </w:rPr>
      </w:pPr>
      <w:r>
        <w:rPr>
          <w:rFonts w:hint="eastAsia" w:ascii="宋体" w:hAnsi="宋体" w:cs="宋体"/>
          <w:b/>
          <w:sz w:val="32"/>
          <w:szCs w:val="32"/>
        </w:rPr>
        <w:t>一、总则</w:t>
      </w:r>
    </w:p>
    <w:p w14:paraId="4C874C89">
      <w:pPr>
        <w:wordWrap w:val="0"/>
        <w:spacing w:line="400" w:lineRule="exact"/>
        <w:rPr>
          <w:rFonts w:hint="eastAsia" w:ascii="宋体" w:hAnsi="宋体" w:cs="宋体"/>
          <w:szCs w:val="21"/>
        </w:rPr>
      </w:pPr>
    </w:p>
    <w:p w14:paraId="06BF93CC">
      <w:pPr>
        <w:wordWrap w:val="0"/>
        <w:spacing w:line="360" w:lineRule="auto"/>
        <w:ind w:firstLine="482" w:firstLineChars="200"/>
        <w:rPr>
          <w:rFonts w:hint="eastAsia" w:ascii="宋体" w:hAnsi="宋体" w:cs="宋体"/>
          <w:b/>
          <w:bCs/>
          <w:sz w:val="24"/>
        </w:rPr>
      </w:pPr>
      <w:r>
        <w:rPr>
          <w:rFonts w:hint="eastAsia" w:ascii="宋体" w:hAnsi="宋体" w:cs="宋体"/>
          <w:b/>
          <w:bCs/>
          <w:sz w:val="24"/>
        </w:rPr>
        <w:t>1. 适用范围</w:t>
      </w:r>
    </w:p>
    <w:p w14:paraId="42C5DBF4">
      <w:pPr>
        <w:wordWrap w:val="0"/>
        <w:spacing w:line="360" w:lineRule="auto"/>
        <w:ind w:firstLine="420" w:firstLineChars="200"/>
        <w:rPr>
          <w:rFonts w:hint="eastAsia" w:ascii="宋体" w:hAnsi="宋体" w:cs="宋体"/>
          <w:szCs w:val="21"/>
        </w:rPr>
      </w:pPr>
      <w:r>
        <w:rPr>
          <w:rFonts w:hint="eastAsia" w:ascii="宋体" w:hAnsi="宋体" w:cs="宋体"/>
          <w:szCs w:val="21"/>
        </w:rPr>
        <w:t>1.1适用法律：本项目采购人、采购代理机构、供应商、谈判小组的相关行为均受《中华人民共和国政府采购法》《中华人民共和国政府采购法实施条例》《政府采购非招标采购方式管理办法》及本项目本级和上级财政部门政府采购有关规定的约束和保护。</w:t>
      </w:r>
    </w:p>
    <w:p w14:paraId="2ECCBF7C">
      <w:pPr>
        <w:wordWrap w:val="0"/>
        <w:spacing w:line="360" w:lineRule="auto"/>
        <w:ind w:firstLine="420" w:firstLineChars="200"/>
        <w:rPr>
          <w:rFonts w:hint="eastAsia" w:ascii="宋体" w:hAnsi="宋体" w:cs="宋体"/>
          <w:szCs w:val="21"/>
        </w:rPr>
      </w:pPr>
      <w:r>
        <w:rPr>
          <w:rFonts w:hint="eastAsia" w:ascii="宋体" w:hAnsi="宋体" w:cs="宋体"/>
          <w:szCs w:val="21"/>
        </w:rPr>
        <w:t>1.2</w:t>
      </w:r>
      <w:r>
        <w:rPr>
          <w:rFonts w:hint="eastAsia" w:ascii="宋体" w:hAnsi="宋体" w:cs="宋体"/>
          <w:spacing w:val="-6"/>
          <w:szCs w:val="21"/>
        </w:rPr>
        <w:t>本竞争性谈判文件（以下简称谈判文件）适用于本项目的所有采购程序和环节（</w:t>
      </w:r>
      <w:r>
        <w:rPr>
          <w:rFonts w:hint="eastAsia" w:ascii="宋体" w:hAnsi="宋体" w:cs="宋体"/>
          <w:spacing w:val="-6"/>
          <w:szCs w:val="21"/>
          <w:lang w:eastAsia="zh-CN"/>
        </w:rPr>
        <w:t>法律法规</w:t>
      </w:r>
      <w:r>
        <w:rPr>
          <w:rFonts w:hint="eastAsia" w:ascii="宋体" w:hAnsi="宋体" w:cs="宋体"/>
          <w:spacing w:val="-6"/>
          <w:szCs w:val="21"/>
        </w:rPr>
        <w:t>另有规定的，从其规定）。</w:t>
      </w:r>
    </w:p>
    <w:p w14:paraId="56EF535D">
      <w:pPr>
        <w:wordWrap w:val="0"/>
        <w:spacing w:line="360" w:lineRule="auto"/>
        <w:ind w:firstLine="482" w:firstLineChars="200"/>
        <w:rPr>
          <w:rFonts w:hint="eastAsia" w:ascii="宋体" w:hAnsi="宋体" w:cs="宋体"/>
          <w:b/>
          <w:bCs/>
          <w:sz w:val="24"/>
        </w:rPr>
      </w:pPr>
      <w:r>
        <w:rPr>
          <w:rFonts w:hint="eastAsia" w:ascii="宋体" w:hAnsi="宋体" w:cs="宋体"/>
          <w:b/>
          <w:bCs/>
          <w:sz w:val="24"/>
        </w:rPr>
        <w:t>2. 定义</w:t>
      </w:r>
    </w:p>
    <w:p w14:paraId="0DEB447D">
      <w:pPr>
        <w:wordWrap w:val="0"/>
        <w:spacing w:line="360" w:lineRule="auto"/>
        <w:ind w:firstLine="420" w:firstLineChars="200"/>
        <w:rPr>
          <w:rFonts w:hint="eastAsia" w:ascii="宋体" w:hAnsi="宋体" w:cs="宋体"/>
          <w:szCs w:val="21"/>
        </w:rPr>
      </w:pPr>
      <w:r>
        <w:rPr>
          <w:rFonts w:hint="eastAsia" w:ascii="宋体" w:hAnsi="宋体" w:cs="宋体"/>
          <w:szCs w:val="21"/>
        </w:rPr>
        <w:t>2.1“采购人”是指依法进行采购的国家机关、事业单位、团体组织。</w:t>
      </w:r>
    </w:p>
    <w:p w14:paraId="42950AB6">
      <w:pPr>
        <w:wordWrap w:val="0"/>
        <w:spacing w:line="360" w:lineRule="auto"/>
        <w:ind w:firstLine="420" w:firstLineChars="200"/>
        <w:rPr>
          <w:rFonts w:hint="eastAsia" w:ascii="宋体" w:hAnsi="宋体" w:cs="宋体"/>
          <w:b/>
          <w:szCs w:val="21"/>
        </w:rPr>
      </w:pPr>
      <w:r>
        <w:rPr>
          <w:rFonts w:hint="eastAsia" w:ascii="宋体" w:hAnsi="宋体" w:cs="宋体"/>
          <w:szCs w:val="21"/>
        </w:rPr>
        <w:t>2.2“采购代理机构”</w:t>
      </w:r>
      <w:r>
        <w:rPr>
          <w:rFonts w:hint="eastAsia" w:ascii="宋体" w:hAnsi="宋体" w:cs="宋体"/>
          <w:b/>
          <w:szCs w:val="21"/>
        </w:rPr>
        <w:t>是指政府采购集中采购机构和集中采购机构以外的采购代理机构。</w:t>
      </w:r>
    </w:p>
    <w:p w14:paraId="112DEE9F">
      <w:pPr>
        <w:wordWrap w:val="0"/>
        <w:spacing w:line="360" w:lineRule="auto"/>
        <w:ind w:firstLine="420" w:firstLineChars="200"/>
        <w:rPr>
          <w:rFonts w:hint="eastAsia" w:ascii="宋体" w:hAnsi="宋体" w:cs="宋体"/>
          <w:szCs w:val="21"/>
        </w:rPr>
      </w:pPr>
      <w:r>
        <w:rPr>
          <w:rFonts w:hint="eastAsia" w:ascii="宋体" w:hAnsi="宋体" w:cs="宋体"/>
          <w:szCs w:val="21"/>
        </w:rPr>
        <w:t>2.3“供应商”是指向采购人提供货物、工程或者服务的法人。</w:t>
      </w:r>
    </w:p>
    <w:p w14:paraId="522C2025">
      <w:pPr>
        <w:wordWrap w:val="0"/>
        <w:spacing w:line="360" w:lineRule="auto"/>
        <w:ind w:firstLine="420" w:firstLineChars="200"/>
        <w:rPr>
          <w:rFonts w:hint="eastAsia" w:ascii="宋体" w:hAnsi="宋体" w:cs="宋体"/>
          <w:szCs w:val="21"/>
        </w:rPr>
      </w:pPr>
      <w:r>
        <w:rPr>
          <w:rFonts w:hint="eastAsia" w:ascii="宋体" w:hAnsi="宋体" w:cs="宋体"/>
          <w:szCs w:val="21"/>
        </w:rPr>
        <w:t>2.4“货物”是指各种形态和种类的物品，包括原材料、燃料、设备、产品等。</w:t>
      </w:r>
    </w:p>
    <w:p w14:paraId="58C1C3A8">
      <w:pPr>
        <w:wordWrap w:val="0"/>
        <w:spacing w:line="360" w:lineRule="auto"/>
        <w:ind w:firstLine="420" w:firstLineChars="200"/>
        <w:rPr>
          <w:rFonts w:hint="eastAsia" w:ascii="宋体" w:hAnsi="宋体" w:cs="宋体"/>
          <w:szCs w:val="21"/>
        </w:rPr>
      </w:pPr>
      <w:r>
        <w:rPr>
          <w:rFonts w:hint="eastAsia" w:ascii="宋体" w:hAnsi="宋体" w:cs="宋体"/>
          <w:szCs w:val="21"/>
        </w:rPr>
        <w:t>2.5“竞标”是指按照本项目竞争性谈判公告或者邀请函规定的方式供应商获取谈判文件、提交响应文件并希望获得标的的行为。</w:t>
      </w:r>
    </w:p>
    <w:p w14:paraId="425A85B8">
      <w:pPr>
        <w:wordWrap w:val="0"/>
        <w:spacing w:line="360" w:lineRule="auto"/>
        <w:ind w:firstLine="420" w:firstLineChars="200"/>
        <w:rPr>
          <w:rFonts w:hint="eastAsia" w:ascii="宋体" w:hAnsi="宋体" w:cs="宋体"/>
          <w:szCs w:val="21"/>
        </w:rPr>
      </w:pPr>
      <w:r>
        <w:rPr>
          <w:rFonts w:hint="eastAsia" w:ascii="宋体" w:hAnsi="宋体" w:cs="宋体"/>
          <w:szCs w:val="21"/>
        </w:rPr>
        <w:t>2.6“售后服务” 是指包含但不限于供应商须承担的备品备件、包装、运输、装卸、保险、货到就位以及安装、调试、培训、保修和其他类似的义务。</w:t>
      </w:r>
    </w:p>
    <w:p w14:paraId="66A60888">
      <w:pPr>
        <w:wordWrap w:val="0"/>
        <w:spacing w:line="360" w:lineRule="auto"/>
        <w:ind w:firstLine="420" w:firstLineChars="200"/>
        <w:rPr>
          <w:rFonts w:hint="eastAsia" w:ascii="宋体" w:hAnsi="宋体" w:cs="宋体"/>
          <w:szCs w:val="21"/>
        </w:rPr>
      </w:pPr>
      <w:r>
        <w:rPr>
          <w:rFonts w:hint="eastAsia" w:ascii="宋体" w:hAnsi="宋体" w:cs="宋体"/>
          <w:szCs w:val="21"/>
        </w:rPr>
        <w:t>2.7“书面形式”是指合同书、信件和数据电文（包括电报、电传、传真、电子数据交换和电子邮件）等可以有形地表现所载内容的形式。</w:t>
      </w:r>
    </w:p>
    <w:p w14:paraId="41E6BD79">
      <w:pPr>
        <w:wordWrap w:val="0"/>
        <w:spacing w:line="360" w:lineRule="auto"/>
        <w:ind w:firstLine="420" w:firstLineChars="200"/>
        <w:rPr>
          <w:rFonts w:hint="eastAsia" w:ascii="宋体" w:hAnsi="宋体" w:cs="宋体"/>
          <w:color w:val="0C0C0C"/>
          <w:szCs w:val="21"/>
        </w:rPr>
      </w:pPr>
      <w:r>
        <w:rPr>
          <w:rFonts w:hint="eastAsia" w:ascii="宋体" w:hAnsi="宋体" w:cs="宋体"/>
          <w:szCs w:val="21"/>
        </w:rPr>
        <w:t>2.8“响应文件”</w:t>
      </w:r>
      <w:r>
        <w:rPr>
          <w:rFonts w:hint="eastAsia" w:ascii="宋体" w:hAnsi="宋体" w:cs="宋体"/>
          <w:spacing w:val="-6"/>
          <w:szCs w:val="21"/>
        </w:rPr>
        <w:t>是指：供应商根据本谈</w:t>
      </w:r>
      <w:r>
        <w:rPr>
          <w:rFonts w:hint="eastAsia" w:ascii="宋体" w:hAnsi="宋体" w:cs="宋体"/>
          <w:color w:val="0C0C0C"/>
          <w:spacing w:val="-6"/>
          <w:szCs w:val="21"/>
        </w:rPr>
        <w:t>判文件要求，编制包含报价、技术和服务等所有内容的文件。</w:t>
      </w:r>
    </w:p>
    <w:p w14:paraId="4407B3CB">
      <w:pPr>
        <w:wordWrap w:val="0"/>
        <w:spacing w:line="360" w:lineRule="auto"/>
        <w:ind w:firstLine="420" w:firstLineChars="200"/>
        <w:rPr>
          <w:rFonts w:hint="eastAsia" w:ascii="宋体" w:hAnsi="宋体" w:cs="宋体"/>
          <w:szCs w:val="21"/>
        </w:rPr>
      </w:pPr>
      <w:r>
        <w:rPr>
          <w:rFonts w:hint="eastAsia" w:ascii="宋体" w:hAnsi="宋体" w:cs="宋体"/>
          <w:color w:val="0C0C0C"/>
          <w:szCs w:val="21"/>
        </w:rPr>
        <w:t>2.9 “</w:t>
      </w:r>
      <w:r>
        <w:rPr>
          <w:rFonts w:hint="eastAsia" w:ascii="宋体" w:hAnsi="宋体" w:cs="宋体"/>
          <w:b/>
          <w:bCs/>
          <w:color w:val="0C0C0C"/>
          <w:szCs w:val="21"/>
        </w:rPr>
        <w:t>实质性要求”是指采购需求中带“</w:t>
      </w:r>
      <w:r>
        <w:rPr>
          <w:rFonts w:hint="eastAsia"/>
          <w:b/>
          <w:bCs/>
          <w:color w:val="000000"/>
          <w:szCs w:val="21"/>
        </w:rPr>
        <w:t>▲</w:t>
      </w:r>
      <w:r>
        <w:rPr>
          <w:rFonts w:hint="eastAsia" w:ascii="宋体" w:hAnsi="宋体" w:cs="宋体"/>
          <w:b/>
          <w:bCs/>
          <w:color w:val="0C0C0C"/>
          <w:szCs w:val="21"/>
        </w:rPr>
        <w:t>”的</w:t>
      </w:r>
      <w:r>
        <w:rPr>
          <w:rFonts w:hint="eastAsia" w:ascii="宋体" w:hAnsi="宋体" w:cs="宋体"/>
          <w:b/>
          <w:bCs/>
          <w:szCs w:val="21"/>
        </w:rPr>
        <w:t>条款或者不能负偏离的条款或者已经指明不满足按响应文件按无效响应处理的条款。</w:t>
      </w:r>
    </w:p>
    <w:p w14:paraId="2CD84089">
      <w:pPr>
        <w:wordWrap w:val="0"/>
        <w:spacing w:line="360" w:lineRule="auto"/>
        <w:ind w:firstLine="420" w:firstLineChars="200"/>
        <w:rPr>
          <w:rFonts w:hint="eastAsia" w:ascii="宋体" w:hAnsi="宋体" w:cs="宋体"/>
          <w:szCs w:val="21"/>
        </w:rPr>
      </w:pPr>
      <w:r>
        <w:rPr>
          <w:rFonts w:hint="eastAsia" w:ascii="宋体" w:hAnsi="宋体" w:cs="宋体"/>
          <w:szCs w:val="21"/>
        </w:rPr>
        <w:t>2.10“正偏离”，是指响应文件对谈判文件“采购需求”中有关条款作出优于条款要求并有利于采购人的响应情形；</w:t>
      </w:r>
    </w:p>
    <w:p w14:paraId="595B73D2">
      <w:pPr>
        <w:wordWrap w:val="0"/>
        <w:spacing w:line="360" w:lineRule="auto"/>
        <w:ind w:firstLine="420" w:firstLineChars="200"/>
        <w:rPr>
          <w:rFonts w:hint="eastAsia" w:ascii="宋体" w:hAnsi="宋体" w:cs="宋体"/>
          <w:szCs w:val="21"/>
        </w:rPr>
      </w:pPr>
      <w:r>
        <w:rPr>
          <w:rFonts w:hint="eastAsia" w:ascii="宋体" w:hAnsi="宋体" w:cs="宋体"/>
          <w:szCs w:val="21"/>
        </w:rPr>
        <w:t>2.11“负偏离”，是指响应文件对谈判文件“采购需求”中有关条款作出的响应不满足条款要求，导致采购人要求不能得到满足的情形。</w:t>
      </w:r>
    </w:p>
    <w:p w14:paraId="75192A5B">
      <w:pPr>
        <w:wordWrap w:val="0"/>
        <w:spacing w:line="360" w:lineRule="auto"/>
        <w:ind w:firstLine="420" w:firstLineChars="200"/>
        <w:rPr>
          <w:rFonts w:hint="eastAsia" w:ascii="宋体" w:hAnsi="宋体" w:cs="宋体"/>
          <w:szCs w:val="21"/>
        </w:rPr>
      </w:pPr>
      <w:r>
        <w:rPr>
          <w:rFonts w:hint="eastAsia" w:ascii="宋体" w:hAnsi="宋体" w:cs="宋体"/>
          <w:szCs w:val="21"/>
        </w:rPr>
        <w:t>2.12“允许负偏离的条款”是指采购需求中的不属于“实质性要求”的条款。</w:t>
      </w:r>
    </w:p>
    <w:p w14:paraId="4342AB99">
      <w:pPr>
        <w:wordWrap w:val="0"/>
        <w:spacing w:line="360" w:lineRule="auto"/>
        <w:ind w:firstLine="420" w:firstLineChars="200"/>
        <w:rPr>
          <w:rFonts w:hint="eastAsia" w:ascii="宋体" w:hAnsi="宋体" w:cs="宋体"/>
          <w:szCs w:val="21"/>
        </w:rPr>
      </w:pPr>
      <w:r>
        <w:rPr>
          <w:rFonts w:hint="eastAsia" w:ascii="宋体" w:hAnsi="宋体" w:cs="宋体"/>
          <w:szCs w:val="21"/>
        </w:rPr>
        <w:t>2.13“首次报价”是指供应商提交的首次响应文件中的竞标报价。</w:t>
      </w:r>
    </w:p>
    <w:p w14:paraId="6D4D4B2D">
      <w:pPr>
        <w:wordWrap w:val="0"/>
        <w:spacing w:line="360" w:lineRule="auto"/>
        <w:ind w:firstLine="482" w:firstLineChars="200"/>
        <w:contextualSpacing/>
        <w:rPr>
          <w:rFonts w:hint="eastAsia" w:ascii="宋体" w:hAnsi="宋体" w:cs="宋体"/>
          <w:b/>
          <w:bCs/>
          <w:sz w:val="24"/>
        </w:rPr>
      </w:pPr>
      <w:r>
        <w:rPr>
          <w:rFonts w:hint="eastAsia" w:ascii="宋体" w:hAnsi="宋体" w:cs="宋体"/>
          <w:b/>
          <w:bCs/>
          <w:sz w:val="24"/>
        </w:rPr>
        <w:t>3. 供应商的资格条件</w:t>
      </w:r>
    </w:p>
    <w:p w14:paraId="5151177A">
      <w:pPr>
        <w:wordWrap w:val="0"/>
        <w:spacing w:line="360" w:lineRule="auto"/>
        <w:ind w:firstLine="420" w:firstLineChars="200"/>
        <w:contextualSpacing/>
        <w:rPr>
          <w:rFonts w:hint="eastAsia" w:ascii="宋体" w:hAnsi="宋体" w:cs="宋体"/>
          <w:szCs w:val="21"/>
        </w:rPr>
      </w:pPr>
      <w:r>
        <w:rPr>
          <w:rFonts w:hint="eastAsia" w:ascii="宋体" w:hAnsi="宋体" w:cs="宋体"/>
          <w:szCs w:val="21"/>
        </w:rPr>
        <w:t>供应商的资格条件详见“供应商须知前附表”。</w:t>
      </w:r>
    </w:p>
    <w:p w14:paraId="25B4EEA4">
      <w:pPr>
        <w:wordWrap w:val="0"/>
        <w:spacing w:line="360" w:lineRule="auto"/>
        <w:ind w:firstLine="482" w:firstLineChars="200"/>
        <w:rPr>
          <w:rFonts w:hint="eastAsia" w:ascii="宋体" w:hAnsi="宋体" w:cs="宋体"/>
          <w:b/>
          <w:bCs/>
          <w:sz w:val="24"/>
        </w:rPr>
      </w:pPr>
      <w:r>
        <w:rPr>
          <w:rFonts w:hint="eastAsia" w:ascii="宋体" w:hAnsi="宋体" w:cs="宋体"/>
          <w:b/>
          <w:bCs/>
          <w:sz w:val="24"/>
        </w:rPr>
        <w:t>4. 竞标费用</w:t>
      </w:r>
    </w:p>
    <w:p w14:paraId="17060D50">
      <w:pPr>
        <w:wordWrap w:val="0"/>
        <w:spacing w:line="360" w:lineRule="auto"/>
        <w:ind w:firstLine="420" w:firstLineChars="200"/>
        <w:rPr>
          <w:rFonts w:hint="eastAsia" w:ascii="宋体" w:hAnsi="宋体" w:cs="宋体"/>
          <w:szCs w:val="21"/>
        </w:rPr>
      </w:pPr>
      <w:r>
        <w:rPr>
          <w:rFonts w:hint="eastAsia" w:ascii="宋体" w:hAnsi="宋体" w:cs="宋体"/>
          <w:szCs w:val="21"/>
        </w:rPr>
        <w:t>竞标费用：供应商应承担参与本次采购活动有关的所有费用，包括但不限于获取谈判文件、勘查现场、编制和提交响应文件、参加谈判与应答、签订合同等，不论竞标结果如何，均应自行承担。</w:t>
      </w:r>
    </w:p>
    <w:p w14:paraId="120A2D56">
      <w:pPr>
        <w:wordWrap w:val="0"/>
        <w:spacing w:line="360" w:lineRule="auto"/>
        <w:ind w:firstLine="482" w:firstLineChars="200"/>
        <w:rPr>
          <w:rFonts w:hint="eastAsia" w:ascii="宋体" w:hAnsi="宋体" w:cs="宋体"/>
          <w:b/>
          <w:bCs/>
          <w:sz w:val="24"/>
        </w:rPr>
      </w:pPr>
      <w:r>
        <w:rPr>
          <w:rFonts w:hint="eastAsia" w:ascii="宋体" w:hAnsi="宋体" w:cs="宋体"/>
          <w:b/>
          <w:bCs/>
          <w:sz w:val="24"/>
        </w:rPr>
        <w:t>5.联合体竞标</w:t>
      </w:r>
    </w:p>
    <w:p w14:paraId="20489CE8">
      <w:pPr>
        <w:wordWrap w:val="0"/>
        <w:spacing w:line="360" w:lineRule="auto"/>
        <w:ind w:firstLine="420" w:firstLineChars="200"/>
        <w:rPr>
          <w:rFonts w:hint="eastAsia" w:ascii="宋体" w:hAnsi="宋体" w:cs="宋体"/>
          <w:szCs w:val="21"/>
        </w:rPr>
      </w:pPr>
      <w:r>
        <w:rPr>
          <w:rFonts w:hint="eastAsia" w:ascii="宋体" w:hAnsi="宋体" w:cs="宋体"/>
          <w:szCs w:val="21"/>
        </w:rPr>
        <w:t>5.1本项目是否接受联合体竞标，详见“供应商须知前附表”。</w:t>
      </w:r>
    </w:p>
    <w:p w14:paraId="5FF6BECE">
      <w:pPr>
        <w:wordWrap w:val="0"/>
        <w:spacing w:line="360" w:lineRule="auto"/>
        <w:ind w:firstLine="420" w:firstLineChars="200"/>
        <w:rPr>
          <w:rFonts w:hint="eastAsia" w:ascii="宋体" w:hAnsi="宋体" w:cs="宋体"/>
          <w:szCs w:val="21"/>
        </w:rPr>
      </w:pPr>
      <w:r>
        <w:rPr>
          <w:rFonts w:hint="eastAsia" w:ascii="宋体" w:hAnsi="宋体" w:cs="宋体"/>
          <w:szCs w:val="21"/>
        </w:rPr>
        <w:t>5.2</w:t>
      </w:r>
      <w:r>
        <w:rPr>
          <w:rFonts w:hint="eastAsia" w:ascii="宋体" w:hAnsi="宋体" w:cs="宋体"/>
          <w:bCs/>
          <w:szCs w:val="21"/>
        </w:rPr>
        <w:t>如接受联合体竞标，</w:t>
      </w:r>
      <w:r>
        <w:rPr>
          <w:rFonts w:hint="eastAsia" w:ascii="宋体" w:hAnsi="宋体" w:cs="宋体"/>
          <w:szCs w:val="21"/>
        </w:rPr>
        <w:t>联合体竞标要求详见“供应商须知前附表”。</w:t>
      </w:r>
    </w:p>
    <w:p w14:paraId="111D0AF7">
      <w:pPr>
        <w:wordWrap w:val="0"/>
        <w:spacing w:line="360" w:lineRule="auto"/>
        <w:ind w:firstLine="482" w:firstLineChars="200"/>
        <w:rPr>
          <w:rFonts w:hint="eastAsia" w:ascii="宋体" w:hAnsi="宋体" w:cs="宋体"/>
          <w:b/>
          <w:bCs/>
          <w:sz w:val="24"/>
        </w:rPr>
      </w:pPr>
      <w:r>
        <w:rPr>
          <w:rFonts w:hint="eastAsia" w:ascii="宋体" w:hAnsi="宋体" w:cs="宋体"/>
          <w:b/>
          <w:bCs/>
          <w:sz w:val="24"/>
        </w:rPr>
        <w:t xml:space="preserve">6.转包与分包             </w:t>
      </w:r>
    </w:p>
    <w:p w14:paraId="311216FF">
      <w:pPr>
        <w:wordWrap w:val="0"/>
        <w:spacing w:line="360" w:lineRule="auto"/>
        <w:ind w:left="420" w:leftChars="200"/>
        <w:outlineLvl w:val="4"/>
        <w:rPr>
          <w:rFonts w:hint="eastAsia" w:ascii="宋体" w:hAnsi="宋体" w:cs="宋体"/>
          <w:bCs/>
          <w:szCs w:val="21"/>
        </w:rPr>
      </w:pPr>
      <w:r>
        <w:rPr>
          <w:rFonts w:hint="eastAsia" w:ascii="宋体" w:hAnsi="宋体" w:cs="宋体"/>
          <w:bCs/>
          <w:szCs w:val="21"/>
        </w:rPr>
        <w:t>6.1本项目不允许转包。</w:t>
      </w:r>
    </w:p>
    <w:p w14:paraId="128F891E">
      <w:pPr>
        <w:wordWrap w:val="0"/>
        <w:spacing w:line="360" w:lineRule="auto"/>
        <w:ind w:firstLine="315" w:firstLineChars="150"/>
        <w:outlineLvl w:val="4"/>
        <w:rPr>
          <w:rFonts w:hint="eastAsia" w:ascii="宋体" w:hAnsi="宋体" w:cs="宋体"/>
          <w:bCs/>
          <w:szCs w:val="21"/>
        </w:rPr>
      </w:pPr>
      <w:r>
        <w:rPr>
          <w:rFonts w:hint="eastAsia" w:ascii="宋体" w:hAnsi="宋体" w:cs="宋体"/>
          <w:bCs/>
          <w:szCs w:val="21"/>
        </w:rPr>
        <w:t xml:space="preserve"> 6.2本项目是否允许分包详见“供应商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w:t>
      </w:r>
      <w:r>
        <w:rPr>
          <w:rFonts w:hint="eastAsia" w:ascii="宋体" w:hAnsi="宋体" w:cs="宋体"/>
          <w:bCs/>
          <w:szCs w:val="21"/>
          <w:lang w:eastAsia="zh-CN"/>
        </w:rPr>
        <w:t>应的</w:t>
      </w:r>
      <w:r>
        <w:rPr>
          <w:rFonts w:hint="eastAsia" w:ascii="宋体" w:hAnsi="宋体" w:cs="宋体"/>
          <w:bCs/>
          <w:szCs w:val="21"/>
        </w:rPr>
        <w:t>行政许可。</w:t>
      </w:r>
    </w:p>
    <w:p w14:paraId="69E4F542">
      <w:pPr>
        <w:wordWrap w:val="0"/>
        <w:spacing w:line="360" w:lineRule="auto"/>
        <w:ind w:firstLine="315" w:firstLineChars="150"/>
        <w:outlineLvl w:val="4"/>
        <w:rPr>
          <w:rFonts w:hint="eastAsia" w:ascii="宋体" w:hAnsi="宋体" w:cs="宋体"/>
          <w:bCs/>
          <w:szCs w:val="21"/>
        </w:rPr>
      </w:pPr>
      <w:r>
        <w:rPr>
          <w:rFonts w:hint="eastAsia" w:ascii="宋体" w:hAnsi="宋体" w:cs="宋体"/>
          <w:bCs/>
          <w:szCs w:val="21"/>
        </w:rPr>
        <w:t xml:space="preserve"> 6.3供应商根据谈判文件的规定和采购项目的实际情况，拟在成交后将成交项目的非主体、非关键性工作分包的，应当在响应文件中载明分包承担主体，分包承担主体应当具备相应资质条件且不得再次分包。</w:t>
      </w:r>
    </w:p>
    <w:p w14:paraId="44D422F8">
      <w:pPr>
        <w:wordWrap w:val="0"/>
        <w:spacing w:line="360" w:lineRule="auto"/>
        <w:ind w:firstLine="482" w:firstLineChars="200"/>
        <w:rPr>
          <w:rFonts w:hint="eastAsia" w:ascii="宋体" w:hAnsi="宋体" w:cs="宋体"/>
          <w:b/>
          <w:bCs/>
          <w:sz w:val="24"/>
        </w:rPr>
      </w:pPr>
      <w:r>
        <w:rPr>
          <w:rFonts w:hint="eastAsia" w:ascii="宋体" w:hAnsi="宋体" w:cs="宋体"/>
          <w:b/>
          <w:bCs/>
          <w:sz w:val="24"/>
        </w:rPr>
        <w:t>7.特别说明</w:t>
      </w:r>
    </w:p>
    <w:p w14:paraId="01489224">
      <w:pPr>
        <w:wordWrap w:val="0"/>
        <w:spacing w:line="360" w:lineRule="auto"/>
        <w:ind w:firstLine="420" w:firstLineChars="200"/>
        <w:rPr>
          <w:rFonts w:hint="eastAsia" w:ascii="宋体" w:hAnsi="宋体" w:cs="宋体"/>
          <w:szCs w:val="21"/>
        </w:rPr>
      </w:pPr>
      <w:r>
        <w:rPr>
          <w:rFonts w:hint="eastAsia" w:ascii="宋体" w:hAnsi="宋体" w:cs="宋体"/>
          <w:szCs w:val="21"/>
        </w:rPr>
        <w:fldChar w:fldCharType="begin"/>
      </w:r>
      <w:r>
        <w:rPr>
          <w:rFonts w:hint="eastAsia" w:ascii="宋体" w:hAnsi="宋体" w:cs="宋体"/>
          <w:szCs w:val="21"/>
        </w:rPr>
        <w:instrText xml:space="preserve"> HYPERLINK  \l "_8.1" </w:instrText>
      </w:r>
      <w:r>
        <w:rPr>
          <w:rFonts w:hint="eastAsia" w:ascii="宋体" w:hAnsi="宋体" w:cs="宋体"/>
          <w:szCs w:val="21"/>
        </w:rPr>
        <w:fldChar w:fldCharType="separate"/>
      </w:r>
      <w:r>
        <w:rPr>
          <w:rFonts w:hint="eastAsia" w:ascii="宋体" w:hAnsi="宋体" w:cs="宋体"/>
          <w:szCs w:val="21"/>
        </w:rPr>
        <w:t>7.1</w:t>
      </w:r>
      <w:r>
        <w:rPr>
          <w:rFonts w:hint="eastAsia" w:ascii="宋体" w:hAnsi="宋体" w:cs="宋体"/>
          <w:szCs w:val="21"/>
        </w:rPr>
        <w:fldChar w:fldCharType="end"/>
      </w:r>
      <w:r>
        <w:rPr>
          <w:rFonts w:hint="eastAsia" w:ascii="宋体" w:hAnsi="宋体" w:cs="宋体"/>
          <w:szCs w:val="21"/>
        </w:rPr>
        <w:t>提供相同品牌产品的不同供应商参加同一合同项下竞标的，以其中通过资格审查、符合性审查、谈判且最后报价最低的参加报价评审；最后报价相同的，由采购人或者采购人委托谈判小组按照“供应商须知前附表”规定的方式确定一个供应商获得成交人推荐资格，其他响应文件按无效响应处理。</w:t>
      </w:r>
    </w:p>
    <w:p w14:paraId="0E7085B6">
      <w:pPr>
        <w:wordWrap w:val="0"/>
        <w:spacing w:line="360" w:lineRule="auto"/>
        <w:ind w:firstLine="420" w:firstLineChars="200"/>
        <w:rPr>
          <w:rFonts w:hint="eastAsia" w:ascii="宋体" w:hAnsi="宋体" w:cs="宋体"/>
          <w:szCs w:val="21"/>
        </w:rPr>
      </w:pPr>
      <w:r>
        <w:rPr>
          <w:rFonts w:hint="eastAsia" w:ascii="宋体" w:hAnsi="宋体" w:cs="宋体"/>
          <w:szCs w:val="21"/>
        </w:rPr>
        <w:t>非单一产品采购项目，多家供应商提供的核心产品品牌相同的，按前款规定处理。</w:t>
      </w:r>
    </w:p>
    <w:p w14:paraId="39584945">
      <w:pPr>
        <w:wordWrap w:val="0"/>
        <w:spacing w:line="360" w:lineRule="auto"/>
        <w:ind w:firstLine="420" w:firstLineChars="200"/>
        <w:rPr>
          <w:rFonts w:hint="eastAsia" w:ascii="宋体" w:hAnsi="宋体" w:cs="宋体"/>
          <w:szCs w:val="21"/>
        </w:rPr>
      </w:pPr>
      <w:r>
        <w:rPr>
          <w:rFonts w:hint="eastAsia" w:ascii="宋体" w:hAnsi="宋体" w:cs="宋体"/>
          <w:szCs w:val="21"/>
        </w:rPr>
        <w:t>7.2如果本谈判文件要求提供供应商或制造商的资格、信誉、荣誉、业绩与企业认证等材料的，资格、信誉、荣誉、业绩与企业认证等必须为供应商或者制造商所拥有或自身获得 。</w:t>
      </w:r>
    </w:p>
    <w:p w14:paraId="3F2A0984">
      <w:pPr>
        <w:wordWrap w:val="0"/>
        <w:spacing w:line="360" w:lineRule="auto"/>
        <w:ind w:firstLine="420" w:firstLineChars="200"/>
        <w:rPr>
          <w:rFonts w:hint="eastAsia" w:ascii="宋体" w:hAnsi="宋体" w:cs="宋体"/>
          <w:szCs w:val="21"/>
        </w:rPr>
      </w:pPr>
      <w:r>
        <w:rPr>
          <w:rFonts w:hint="eastAsia" w:ascii="宋体" w:hAnsi="宋体" w:cs="宋体"/>
          <w:szCs w:val="21"/>
        </w:rPr>
        <w:t>7.3供应商应仔细阅读谈判文件的所有内容，按照谈判文件的要求提交响应文件，并对所提供的全部资料的真实性承担法律责任。</w:t>
      </w:r>
    </w:p>
    <w:p w14:paraId="1C7B5E12">
      <w:pPr>
        <w:wordWrap w:val="0"/>
        <w:spacing w:line="360" w:lineRule="auto"/>
        <w:ind w:firstLine="420" w:firstLineChars="200"/>
        <w:rPr>
          <w:rFonts w:hint="eastAsia" w:ascii="宋体" w:hAnsi="宋体" w:cs="宋体"/>
          <w:szCs w:val="21"/>
        </w:rPr>
      </w:pPr>
      <w:r>
        <w:rPr>
          <w:rFonts w:hint="eastAsia" w:ascii="宋体" w:hAnsi="宋体" w:cs="宋体"/>
          <w:szCs w:val="21"/>
        </w:rPr>
        <w:t>7.4供应商在竞标活动中提供任何虚假材料，其响应文件按无效响应处理，并报监管部门查处；签订合同后发现的，成交供应商须依照《中华人民共和国消费者权益保护法》规定赔偿采购人，且民事赔偿并不免除违法供应商的行政与刑事责任。</w:t>
      </w:r>
    </w:p>
    <w:p w14:paraId="732E8781">
      <w:pPr>
        <w:wordWrap w:val="0"/>
        <w:spacing w:line="360" w:lineRule="auto"/>
        <w:ind w:firstLine="420" w:firstLineChars="200"/>
        <w:rPr>
          <w:rFonts w:hint="eastAsia" w:ascii="宋体" w:hAnsi="宋体" w:cs="宋体"/>
          <w:szCs w:val="21"/>
        </w:rPr>
      </w:pPr>
      <w:r>
        <w:rPr>
          <w:rFonts w:hint="eastAsia" w:ascii="宋体" w:hAnsi="宋体" w:cs="宋体"/>
          <w:szCs w:val="21"/>
        </w:rPr>
        <w:t>7.5在政府采购活动中，采购人员及相关人员与供应商有下列利害关系之一的，应当回避：</w:t>
      </w:r>
    </w:p>
    <w:p w14:paraId="7358DB9D">
      <w:pPr>
        <w:wordWrap w:val="0"/>
        <w:spacing w:line="360" w:lineRule="auto"/>
        <w:ind w:firstLine="420" w:firstLineChars="200"/>
        <w:rPr>
          <w:rFonts w:hint="eastAsia" w:ascii="宋体" w:hAnsi="宋体" w:cs="宋体"/>
          <w:szCs w:val="21"/>
        </w:rPr>
      </w:pPr>
      <w:r>
        <w:rPr>
          <w:rFonts w:hint="eastAsia" w:ascii="宋体" w:hAnsi="宋体" w:cs="宋体"/>
          <w:szCs w:val="21"/>
        </w:rPr>
        <w:t>（1）参加采购活动前3年内与供应商存在劳动关系；</w:t>
      </w:r>
    </w:p>
    <w:p w14:paraId="345C850E">
      <w:pPr>
        <w:wordWrap w:val="0"/>
        <w:spacing w:line="360" w:lineRule="auto"/>
        <w:ind w:firstLine="420" w:firstLineChars="200"/>
        <w:rPr>
          <w:rFonts w:hint="eastAsia" w:ascii="宋体" w:hAnsi="宋体" w:cs="宋体"/>
          <w:szCs w:val="21"/>
        </w:rPr>
      </w:pPr>
      <w:r>
        <w:rPr>
          <w:rFonts w:hint="eastAsia" w:ascii="宋体" w:hAnsi="宋体" w:cs="宋体"/>
          <w:szCs w:val="21"/>
        </w:rPr>
        <w:t>（2）参加采购活动前3年内担任供应商的董事、监事；</w:t>
      </w:r>
    </w:p>
    <w:p w14:paraId="69C67230">
      <w:pPr>
        <w:wordWrap w:val="0"/>
        <w:spacing w:line="360" w:lineRule="auto"/>
        <w:ind w:firstLine="420" w:firstLineChars="200"/>
        <w:rPr>
          <w:rFonts w:hint="eastAsia" w:ascii="宋体" w:hAnsi="宋体" w:cs="宋体"/>
          <w:szCs w:val="21"/>
        </w:rPr>
      </w:pPr>
      <w:r>
        <w:rPr>
          <w:rFonts w:hint="eastAsia" w:ascii="宋体" w:hAnsi="宋体" w:cs="宋体"/>
          <w:szCs w:val="21"/>
        </w:rPr>
        <w:t>（3）参加采购活动前3年内是供应商的控股股东或者实际控制人；</w:t>
      </w:r>
    </w:p>
    <w:p w14:paraId="0C2462C4">
      <w:pPr>
        <w:wordWrap w:val="0"/>
        <w:spacing w:line="360" w:lineRule="auto"/>
        <w:ind w:firstLine="420" w:firstLineChars="200"/>
        <w:rPr>
          <w:rFonts w:hint="eastAsia" w:ascii="宋体" w:hAnsi="宋体" w:cs="宋体"/>
          <w:szCs w:val="21"/>
        </w:rPr>
      </w:pPr>
      <w:r>
        <w:rPr>
          <w:rFonts w:hint="eastAsia" w:ascii="宋体" w:hAnsi="宋体" w:cs="宋体"/>
          <w:szCs w:val="21"/>
        </w:rPr>
        <w:t>（4）与供应商的法定代表人或者负责人有夫妻、直系血亲、三代以内旁系血亲或者近姻亲关系；</w:t>
      </w:r>
    </w:p>
    <w:p w14:paraId="7F03A222">
      <w:pPr>
        <w:wordWrap w:val="0"/>
        <w:spacing w:line="360" w:lineRule="auto"/>
        <w:ind w:firstLine="420" w:firstLineChars="200"/>
        <w:rPr>
          <w:rFonts w:hint="eastAsia" w:ascii="宋体" w:hAnsi="宋体" w:cs="宋体"/>
          <w:szCs w:val="21"/>
        </w:rPr>
      </w:pPr>
      <w:r>
        <w:rPr>
          <w:rFonts w:hint="eastAsia" w:ascii="宋体" w:hAnsi="宋体" w:cs="宋体"/>
          <w:szCs w:val="21"/>
        </w:rPr>
        <w:t>（5）与供应商有其他可能影响政府采购活动公平、公正进行的关系。</w:t>
      </w:r>
    </w:p>
    <w:p w14:paraId="097A6775">
      <w:pPr>
        <w:wordWrap w:val="0"/>
        <w:spacing w:line="360" w:lineRule="auto"/>
        <w:ind w:firstLine="420" w:firstLineChars="200"/>
        <w:rPr>
          <w:rFonts w:hint="eastAsia" w:ascii="宋体" w:hAnsi="宋体" w:cs="宋体"/>
          <w:szCs w:val="21"/>
        </w:rPr>
      </w:pPr>
      <w:r>
        <w:rPr>
          <w:rFonts w:hint="eastAsia" w:ascii="宋体" w:hAnsi="宋体" w:cs="宋体"/>
          <w:szCs w:val="21"/>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14:paraId="3542D4D6">
      <w:pPr>
        <w:wordWrap w:val="0"/>
        <w:spacing w:line="360" w:lineRule="auto"/>
        <w:ind w:firstLine="420" w:firstLineChars="200"/>
        <w:rPr>
          <w:rFonts w:hint="eastAsia" w:ascii="宋体" w:hAnsi="宋体" w:cs="宋体"/>
          <w:szCs w:val="21"/>
        </w:rPr>
      </w:pPr>
      <w:r>
        <w:rPr>
          <w:rFonts w:hint="eastAsia" w:ascii="宋体" w:hAnsi="宋体" w:cs="宋体"/>
          <w:szCs w:val="21"/>
        </w:rPr>
        <w:t>7.6有下列情形之一的视为供应商相互串通竞标，响应文件将被视为无效：</w:t>
      </w:r>
    </w:p>
    <w:p w14:paraId="377B7507">
      <w:pPr>
        <w:wordWrap w:val="0"/>
        <w:spacing w:line="360" w:lineRule="auto"/>
        <w:ind w:firstLine="420" w:firstLineChars="200"/>
        <w:rPr>
          <w:rFonts w:hint="eastAsia" w:ascii="宋体" w:hAnsi="宋体" w:cs="宋体"/>
          <w:szCs w:val="21"/>
        </w:rPr>
      </w:pPr>
      <w:r>
        <w:rPr>
          <w:rFonts w:hint="eastAsia" w:ascii="宋体" w:hAnsi="宋体" w:cs="宋体"/>
          <w:szCs w:val="21"/>
        </w:rPr>
        <w:t>（1）不同供应商的响应文件由同一单位或者个人编制；</w:t>
      </w:r>
    </w:p>
    <w:p w14:paraId="57A751D5">
      <w:pPr>
        <w:wordWrap w:val="0"/>
        <w:spacing w:line="360" w:lineRule="auto"/>
        <w:ind w:firstLine="420" w:firstLineChars="200"/>
        <w:rPr>
          <w:rFonts w:hint="eastAsia" w:ascii="宋体" w:hAnsi="宋体" w:cs="宋体"/>
          <w:szCs w:val="21"/>
        </w:rPr>
      </w:pPr>
      <w:r>
        <w:rPr>
          <w:rFonts w:hint="eastAsia" w:ascii="宋体" w:hAnsi="宋体" w:cs="宋体"/>
          <w:szCs w:val="21"/>
        </w:rPr>
        <w:t>（2）不同供应商委托同一单位或者个人办理竞标事宜；</w:t>
      </w:r>
    </w:p>
    <w:p w14:paraId="4F2166F7">
      <w:pPr>
        <w:wordWrap w:val="0"/>
        <w:spacing w:line="360" w:lineRule="auto"/>
        <w:ind w:firstLine="420" w:firstLineChars="200"/>
        <w:rPr>
          <w:rFonts w:hint="eastAsia" w:ascii="宋体" w:hAnsi="宋体" w:cs="宋体"/>
          <w:szCs w:val="21"/>
        </w:rPr>
      </w:pPr>
      <w:r>
        <w:rPr>
          <w:rFonts w:hint="eastAsia" w:ascii="宋体" w:hAnsi="宋体" w:cs="宋体"/>
          <w:szCs w:val="21"/>
        </w:rPr>
        <w:t>（3）不同的供应商的响应文件载明的项目管理员为同一个人；</w:t>
      </w:r>
    </w:p>
    <w:p w14:paraId="1EB81A70">
      <w:pPr>
        <w:wordWrap w:val="0"/>
        <w:spacing w:line="360" w:lineRule="auto"/>
        <w:ind w:firstLine="420" w:firstLineChars="200"/>
        <w:rPr>
          <w:rFonts w:hint="eastAsia" w:ascii="宋体" w:hAnsi="宋体" w:cs="宋体"/>
          <w:szCs w:val="21"/>
        </w:rPr>
      </w:pPr>
      <w:r>
        <w:rPr>
          <w:rFonts w:hint="eastAsia" w:ascii="宋体" w:hAnsi="宋体" w:cs="宋体"/>
          <w:szCs w:val="21"/>
        </w:rPr>
        <w:t>（4）不同供应商的响应文件异常一致或者报价呈规律性差异；</w:t>
      </w:r>
    </w:p>
    <w:p w14:paraId="56742B95">
      <w:pPr>
        <w:wordWrap w:val="0"/>
        <w:spacing w:line="360" w:lineRule="auto"/>
        <w:ind w:firstLine="420" w:firstLineChars="200"/>
        <w:rPr>
          <w:rFonts w:hint="eastAsia" w:ascii="宋体" w:hAnsi="宋体" w:cs="宋体"/>
          <w:szCs w:val="21"/>
        </w:rPr>
      </w:pPr>
      <w:r>
        <w:rPr>
          <w:rFonts w:hint="eastAsia" w:ascii="宋体" w:hAnsi="宋体" w:cs="宋体"/>
          <w:szCs w:val="21"/>
        </w:rPr>
        <w:t>（5）不同供应商的响应文件相互混装；</w:t>
      </w:r>
    </w:p>
    <w:p w14:paraId="610AE7B9">
      <w:pPr>
        <w:wordWrap w:val="0"/>
        <w:spacing w:line="360" w:lineRule="auto"/>
        <w:ind w:firstLine="420" w:firstLineChars="200"/>
        <w:rPr>
          <w:rFonts w:hint="eastAsia" w:ascii="宋体" w:hAnsi="宋体" w:cs="宋体"/>
          <w:szCs w:val="21"/>
        </w:rPr>
      </w:pPr>
      <w:r>
        <w:rPr>
          <w:rFonts w:hint="eastAsia" w:ascii="宋体" w:hAnsi="宋体" w:cs="宋体"/>
          <w:szCs w:val="21"/>
        </w:rPr>
        <w:t>（6）不同供应商的竞标保证金从同一单位或者个人账户转出。</w:t>
      </w:r>
    </w:p>
    <w:p w14:paraId="39EDDD3D">
      <w:pPr>
        <w:wordWrap w:val="0"/>
        <w:spacing w:line="360" w:lineRule="auto"/>
        <w:ind w:firstLine="420" w:firstLineChars="200"/>
        <w:rPr>
          <w:rFonts w:hint="eastAsia" w:ascii="宋体" w:hAnsi="宋体" w:cs="宋体"/>
          <w:szCs w:val="21"/>
        </w:rPr>
      </w:pPr>
      <w:r>
        <w:rPr>
          <w:rFonts w:hint="eastAsia" w:ascii="宋体" w:hAnsi="宋体" w:cs="宋体"/>
          <w:szCs w:val="21"/>
        </w:rPr>
        <w:t>7.7供应商有下列情形之一的，属于恶意串通行为，将报同级监督管理部门：</w:t>
      </w:r>
    </w:p>
    <w:p w14:paraId="516BCD2C">
      <w:pPr>
        <w:wordWrap w:val="0"/>
        <w:spacing w:line="360" w:lineRule="auto"/>
        <w:ind w:firstLine="420" w:firstLineChars="200"/>
        <w:rPr>
          <w:rFonts w:hint="eastAsia" w:ascii="宋体" w:hAnsi="宋体" w:cs="宋体"/>
          <w:szCs w:val="21"/>
        </w:rPr>
      </w:pPr>
      <w:r>
        <w:rPr>
          <w:rFonts w:hint="eastAsia" w:ascii="宋体" w:hAnsi="宋体" w:cs="宋体"/>
          <w:szCs w:val="21"/>
        </w:rPr>
        <w:t>（1）供应商直接或者间接从采购人或者采购代理机构处获得其他供应商的相关信息并修改其响应文件；</w:t>
      </w:r>
    </w:p>
    <w:p w14:paraId="3229AAE6">
      <w:pPr>
        <w:wordWrap w:val="0"/>
        <w:spacing w:line="360" w:lineRule="auto"/>
        <w:ind w:firstLine="420" w:firstLineChars="200"/>
        <w:rPr>
          <w:rFonts w:hint="eastAsia" w:ascii="宋体" w:hAnsi="宋体" w:cs="宋体"/>
          <w:szCs w:val="21"/>
        </w:rPr>
      </w:pPr>
      <w:r>
        <w:rPr>
          <w:rFonts w:hint="eastAsia" w:ascii="宋体" w:hAnsi="宋体" w:cs="宋体"/>
          <w:szCs w:val="21"/>
        </w:rPr>
        <w:t>（2）供应商按照采购人或者采购代理机构的授意撤换、修改响应文件；</w:t>
      </w:r>
    </w:p>
    <w:p w14:paraId="2D2EE3E9">
      <w:pPr>
        <w:wordWrap w:val="0"/>
        <w:spacing w:line="360" w:lineRule="auto"/>
        <w:ind w:firstLine="420" w:firstLineChars="200"/>
        <w:rPr>
          <w:rFonts w:hint="eastAsia" w:ascii="宋体" w:hAnsi="宋体" w:cs="宋体"/>
          <w:szCs w:val="21"/>
        </w:rPr>
      </w:pPr>
      <w:r>
        <w:rPr>
          <w:rFonts w:hint="eastAsia" w:ascii="宋体" w:hAnsi="宋体" w:cs="宋体"/>
          <w:szCs w:val="21"/>
        </w:rPr>
        <w:t>（3）供应商之间协商报价、技术方案等响应文件或者响应文件的实质性内容；</w:t>
      </w:r>
    </w:p>
    <w:p w14:paraId="05252FA4">
      <w:pPr>
        <w:wordWrap w:val="0"/>
        <w:spacing w:line="360" w:lineRule="auto"/>
        <w:ind w:firstLine="420" w:firstLineChars="200"/>
        <w:rPr>
          <w:rFonts w:hint="eastAsia" w:ascii="宋体" w:hAnsi="宋体" w:cs="宋体"/>
          <w:szCs w:val="21"/>
        </w:rPr>
      </w:pPr>
      <w:r>
        <w:rPr>
          <w:rFonts w:hint="eastAsia" w:ascii="宋体" w:hAnsi="宋体" w:cs="宋体"/>
          <w:szCs w:val="21"/>
        </w:rPr>
        <w:t>（4）属于同一集团、协会、商会等组织成员的供应商按照该组织要求协同参加政府采购活动；</w:t>
      </w:r>
    </w:p>
    <w:p w14:paraId="3C2E419C">
      <w:pPr>
        <w:wordWrap w:val="0"/>
        <w:spacing w:line="360" w:lineRule="auto"/>
        <w:ind w:firstLine="420" w:firstLineChars="200"/>
        <w:rPr>
          <w:rFonts w:hint="eastAsia" w:ascii="宋体" w:hAnsi="宋体" w:cs="宋体"/>
          <w:szCs w:val="21"/>
        </w:rPr>
      </w:pPr>
      <w:r>
        <w:rPr>
          <w:rFonts w:hint="eastAsia" w:ascii="宋体" w:hAnsi="宋体" w:cs="宋体"/>
          <w:szCs w:val="21"/>
        </w:rPr>
        <w:t>（5）供应商之间事先约定一致抬高或者压低报价，或者在政府采购活动中事先约定轮流以高价位或者低价位成交，或者事先约定由某一特定供应商成交，然后再参加竞标；</w:t>
      </w:r>
    </w:p>
    <w:p w14:paraId="38E47832">
      <w:pPr>
        <w:wordWrap w:val="0"/>
        <w:spacing w:line="360" w:lineRule="auto"/>
        <w:ind w:firstLine="420" w:firstLineChars="200"/>
        <w:rPr>
          <w:rFonts w:hint="eastAsia" w:ascii="宋体" w:hAnsi="宋体" w:cs="宋体"/>
          <w:szCs w:val="21"/>
        </w:rPr>
      </w:pPr>
      <w:r>
        <w:rPr>
          <w:rFonts w:hint="eastAsia" w:ascii="宋体" w:hAnsi="宋体" w:cs="宋体"/>
          <w:szCs w:val="21"/>
        </w:rPr>
        <w:t>（6）供应商之间商定部分供应商放弃参加政府采购活动或者放弃成交；</w:t>
      </w:r>
    </w:p>
    <w:p w14:paraId="255159F7">
      <w:pPr>
        <w:wordWrap w:val="0"/>
        <w:spacing w:line="360" w:lineRule="auto"/>
        <w:ind w:firstLine="420" w:firstLineChars="200"/>
        <w:rPr>
          <w:rFonts w:hint="eastAsia" w:ascii="宋体" w:hAnsi="宋体" w:cs="宋体"/>
        </w:rPr>
      </w:pPr>
      <w:r>
        <w:rPr>
          <w:rFonts w:hint="eastAsia" w:ascii="宋体" w:hAnsi="宋体" w:cs="宋体"/>
          <w:szCs w:val="21"/>
        </w:rPr>
        <w:t>（7）供应商与采购人或者采购代理机构之间、供应商相互之间，为谋求特定供应商成交或者排斥其他供应商的其他串通行为。</w:t>
      </w:r>
    </w:p>
    <w:p w14:paraId="1187B012">
      <w:pPr>
        <w:wordWrap w:val="0"/>
        <w:spacing w:line="360" w:lineRule="auto"/>
        <w:jc w:val="center"/>
        <w:rPr>
          <w:rFonts w:hint="eastAsia" w:ascii="宋体" w:hAnsi="宋体" w:cs="宋体"/>
          <w:b/>
          <w:sz w:val="32"/>
          <w:szCs w:val="32"/>
        </w:rPr>
      </w:pPr>
    </w:p>
    <w:p w14:paraId="799BE931">
      <w:pPr>
        <w:wordWrap w:val="0"/>
        <w:spacing w:line="360" w:lineRule="auto"/>
        <w:jc w:val="center"/>
        <w:rPr>
          <w:rFonts w:hint="eastAsia" w:ascii="宋体" w:hAnsi="宋体" w:cs="宋体"/>
          <w:szCs w:val="21"/>
        </w:rPr>
      </w:pPr>
      <w:r>
        <w:rPr>
          <w:rFonts w:hint="eastAsia" w:ascii="宋体" w:hAnsi="宋体" w:cs="宋体"/>
          <w:b/>
          <w:sz w:val="32"/>
          <w:szCs w:val="32"/>
        </w:rPr>
        <w:t>二、谈判文件</w:t>
      </w:r>
    </w:p>
    <w:p w14:paraId="6560593E">
      <w:pPr>
        <w:wordWrap w:val="0"/>
        <w:spacing w:line="360" w:lineRule="auto"/>
        <w:ind w:firstLine="482" w:firstLineChars="200"/>
        <w:rPr>
          <w:rFonts w:hint="eastAsia" w:ascii="宋体" w:hAnsi="宋体" w:cs="宋体"/>
          <w:b/>
          <w:bCs/>
          <w:sz w:val="24"/>
        </w:rPr>
      </w:pPr>
      <w:r>
        <w:rPr>
          <w:rFonts w:hint="eastAsia" w:ascii="宋体" w:hAnsi="宋体" w:cs="宋体"/>
          <w:b/>
          <w:bCs/>
          <w:sz w:val="24"/>
        </w:rPr>
        <w:t>8.谈判文件的构成</w:t>
      </w:r>
    </w:p>
    <w:p w14:paraId="383EC07B">
      <w:pPr>
        <w:wordWrap w:val="0"/>
        <w:spacing w:line="360" w:lineRule="auto"/>
        <w:ind w:firstLine="420" w:firstLineChars="200"/>
        <w:jc w:val="left"/>
        <w:rPr>
          <w:rFonts w:hint="eastAsia" w:ascii="宋体" w:hAnsi="宋体" w:cs="宋体"/>
          <w:szCs w:val="21"/>
        </w:rPr>
      </w:pPr>
      <w:r>
        <w:rPr>
          <w:rFonts w:hint="eastAsia" w:ascii="宋体" w:hAnsi="宋体" w:cs="宋体"/>
          <w:szCs w:val="21"/>
        </w:rPr>
        <w:t>（1）竞争性谈判公告；</w:t>
      </w:r>
    </w:p>
    <w:p w14:paraId="3F1CBD77">
      <w:pPr>
        <w:wordWrap w:val="0"/>
        <w:spacing w:line="360" w:lineRule="auto"/>
        <w:ind w:firstLine="420" w:firstLineChars="200"/>
        <w:jc w:val="left"/>
        <w:rPr>
          <w:rFonts w:hint="eastAsia" w:ascii="宋体" w:hAnsi="宋体" w:cs="宋体"/>
          <w:szCs w:val="21"/>
        </w:rPr>
      </w:pPr>
      <w:r>
        <w:rPr>
          <w:rFonts w:hint="eastAsia" w:ascii="宋体" w:hAnsi="宋体" w:cs="宋体"/>
          <w:szCs w:val="21"/>
        </w:rPr>
        <w:t xml:space="preserve">（2）供应商须知； </w:t>
      </w:r>
    </w:p>
    <w:p w14:paraId="7D6B7F15">
      <w:pPr>
        <w:wordWrap w:val="0"/>
        <w:spacing w:line="360" w:lineRule="auto"/>
        <w:ind w:firstLine="420" w:firstLineChars="200"/>
        <w:jc w:val="left"/>
        <w:rPr>
          <w:rFonts w:hint="eastAsia" w:ascii="宋体" w:hAnsi="宋体" w:cs="宋体"/>
          <w:szCs w:val="21"/>
        </w:rPr>
      </w:pPr>
      <w:r>
        <w:rPr>
          <w:rFonts w:hint="eastAsia" w:ascii="宋体" w:hAnsi="宋体" w:cs="宋体"/>
          <w:szCs w:val="21"/>
        </w:rPr>
        <w:t>（3）采购需求；</w:t>
      </w:r>
    </w:p>
    <w:p w14:paraId="3F29BA18">
      <w:pPr>
        <w:wordWrap w:val="0"/>
        <w:spacing w:line="360" w:lineRule="auto"/>
        <w:ind w:firstLine="420" w:firstLineChars="200"/>
        <w:jc w:val="left"/>
        <w:rPr>
          <w:rFonts w:hint="eastAsia" w:ascii="宋体" w:hAnsi="宋体" w:cs="宋体"/>
          <w:szCs w:val="21"/>
        </w:rPr>
      </w:pPr>
      <w:r>
        <w:rPr>
          <w:rFonts w:hint="eastAsia" w:ascii="宋体" w:hAnsi="宋体" w:cs="宋体"/>
          <w:szCs w:val="21"/>
        </w:rPr>
        <w:t>（4）评审程序和评定成交的标准</w:t>
      </w:r>
    </w:p>
    <w:p w14:paraId="5F2B04EA">
      <w:pPr>
        <w:wordWrap w:val="0"/>
        <w:spacing w:line="360" w:lineRule="auto"/>
        <w:ind w:firstLine="420" w:firstLineChars="200"/>
        <w:jc w:val="left"/>
        <w:rPr>
          <w:rFonts w:hint="eastAsia" w:ascii="宋体" w:hAnsi="宋体" w:cs="宋体"/>
          <w:szCs w:val="21"/>
        </w:rPr>
      </w:pPr>
      <w:r>
        <w:rPr>
          <w:rFonts w:hint="eastAsia" w:ascii="宋体" w:hAnsi="宋体" w:cs="宋体"/>
          <w:szCs w:val="21"/>
        </w:rPr>
        <w:t>（5）响应文件格式；</w:t>
      </w:r>
    </w:p>
    <w:p w14:paraId="44659FCF">
      <w:pPr>
        <w:wordWrap w:val="0"/>
        <w:spacing w:line="360" w:lineRule="auto"/>
        <w:ind w:firstLine="420" w:firstLineChars="200"/>
        <w:jc w:val="left"/>
        <w:rPr>
          <w:rFonts w:hint="eastAsia" w:ascii="宋体" w:hAnsi="宋体" w:cs="宋体"/>
          <w:szCs w:val="21"/>
        </w:rPr>
      </w:pPr>
      <w:r>
        <w:rPr>
          <w:rFonts w:hint="eastAsia" w:ascii="宋体" w:hAnsi="宋体" w:cs="宋体"/>
          <w:szCs w:val="21"/>
        </w:rPr>
        <w:t>（6）合同文本；</w:t>
      </w:r>
    </w:p>
    <w:p w14:paraId="46DAD41E">
      <w:pPr>
        <w:wordWrap w:val="0"/>
        <w:spacing w:line="360" w:lineRule="auto"/>
        <w:ind w:firstLine="482" w:firstLineChars="200"/>
        <w:rPr>
          <w:rFonts w:hint="eastAsia" w:ascii="宋体" w:hAnsi="宋体" w:cs="宋体"/>
          <w:b/>
          <w:bCs/>
          <w:sz w:val="24"/>
        </w:rPr>
      </w:pPr>
      <w:r>
        <w:rPr>
          <w:rFonts w:hint="eastAsia" w:ascii="宋体" w:hAnsi="宋体" w:cs="宋体"/>
          <w:b/>
          <w:bCs/>
          <w:sz w:val="24"/>
        </w:rPr>
        <w:t>9.供应商的询问</w:t>
      </w:r>
    </w:p>
    <w:p w14:paraId="0F747D9A">
      <w:pPr>
        <w:wordWrap w:val="0"/>
        <w:spacing w:line="360" w:lineRule="auto"/>
        <w:ind w:firstLine="420" w:firstLineChars="200"/>
        <w:rPr>
          <w:rFonts w:hint="eastAsia" w:ascii="宋体" w:hAnsi="宋体" w:cs="宋体"/>
          <w:szCs w:val="21"/>
        </w:rPr>
      </w:pPr>
      <w:r>
        <w:rPr>
          <w:rFonts w:hint="eastAsia" w:ascii="宋体" w:hAnsi="宋体" w:cs="宋体"/>
          <w:szCs w:val="21"/>
        </w:rPr>
        <w:t>供应商应认真阅读谈判文件的采购需求，如供应商对谈判文件有疑问的，如要求采购人作出澄清或者修改的，供应商尽可能在提交首次响应文件截止之日前，以书面形式向采购人、采购代理机构提出。</w:t>
      </w:r>
    </w:p>
    <w:p w14:paraId="35EC66A6">
      <w:pPr>
        <w:wordWrap w:val="0"/>
        <w:spacing w:line="360" w:lineRule="auto"/>
        <w:ind w:firstLine="482" w:firstLineChars="200"/>
        <w:rPr>
          <w:rFonts w:hint="eastAsia" w:ascii="宋体" w:hAnsi="宋体" w:cs="宋体"/>
          <w:b/>
          <w:bCs/>
          <w:sz w:val="24"/>
        </w:rPr>
      </w:pPr>
      <w:r>
        <w:rPr>
          <w:rFonts w:hint="eastAsia" w:ascii="宋体" w:hAnsi="宋体" w:cs="宋体"/>
          <w:b/>
          <w:bCs/>
          <w:sz w:val="24"/>
        </w:rPr>
        <w:t>10.谈判文件的澄清和修改</w:t>
      </w:r>
    </w:p>
    <w:p w14:paraId="53C785C7">
      <w:pPr>
        <w:wordWrap w:val="0"/>
        <w:spacing w:line="360" w:lineRule="auto"/>
        <w:ind w:firstLine="420" w:firstLineChars="200"/>
        <w:rPr>
          <w:rFonts w:hint="eastAsia" w:ascii="宋体" w:hAnsi="宋体" w:cs="宋体"/>
          <w:b/>
          <w:sz w:val="32"/>
          <w:szCs w:val="32"/>
        </w:rPr>
      </w:pPr>
      <w:r>
        <w:rPr>
          <w:rFonts w:hint="eastAsia" w:ascii="宋体" w:hAnsi="宋体" w:cs="宋体"/>
          <w:szCs w:val="21"/>
        </w:rPr>
        <w:t>提交首次响应文件截止之日前，采购人、采购代理机构或者谈判小组可以对已发出的谈判文件进行必要的澄清或者修改，澄清或者修改的内容作为谈判文件的组成部分。澄清或者修改的内容可能影响响应文件编制的，采购人、采购代理机构或者谈判小组应当在提交首次响应文件截止之日3个工作日前，以书面形式通知所有接收谈判文件的供应商，不足3个工作日的，应当顺延提交首次响应文件截止之日。</w:t>
      </w:r>
    </w:p>
    <w:p w14:paraId="12698171">
      <w:pPr>
        <w:wordWrap w:val="0"/>
        <w:spacing w:line="360" w:lineRule="auto"/>
        <w:jc w:val="center"/>
        <w:rPr>
          <w:rFonts w:hint="eastAsia" w:ascii="宋体" w:hAnsi="宋体" w:cs="宋体"/>
          <w:szCs w:val="21"/>
        </w:rPr>
      </w:pPr>
      <w:r>
        <w:rPr>
          <w:rFonts w:hint="eastAsia" w:ascii="宋体" w:hAnsi="宋体" w:cs="宋体"/>
          <w:b/>
          <w:sz w:val="32"/>
          <w:szCs w:val="32"/>
        </w:rPr>
        <w:t>三、响应文件的编制</w:t>
      </w:r>
    </w:p>
    <w:p w14:paraId="68C936C1">
      <w:pPr>
        <w:wordWrap w:val="0"/>
        <w:spacing w:line="360" w:lineRule="auto"/>
        <w:ind w:firstLine="482" w:firstLineChars="200"/>
        <w:rPr>
          <w:rFonts w:hint="eastAsia" w:ascii="宋体" w:hAnsi="宋体" w:cs="宋体"/>
          <w:b/>
          <w:bCs/>
          <w:sz w:val="24"/>
        </w:rPr>
      </w:pPr>
      <w:r>
        <w:rPr>
          <w:rFonts w:hint="eastAsia" w:ascii="宋体" w:hAnsi="宋体" w:cs="宋体"/>
          <w:b/>
          <w:bCs/>
          <w:sz w:val="24"/>
        </w:rPr>
        <w:t>11.响应文件的编制原则及准备</w:t>
      </w:r>
    </w:p>
    <w:p w14:paraId="6F97259D">
      <w:pPr>
        <w:wordWrap w:val="0"/>
        <w:spacing w:line="360" w:lineRule="auto"/>
        <w:ind w:firstLine="420" w:firstLineChars="200"/>
        <w:rPr>
          <w:rFonts w:hint="eastAsia" w:ascii="宋体" w:hAnsi="宋体" w:cs="宋体"/>
          <w:szCs w:val="21"/>
        </w:rPr>
      </w:pPr>
      <w:r>
        <w:rPr>
          <w:rFonts w:hint="eastAsia" w:ascii="宋体" w:hAnsi="宋体" w:cs="宋体"/>
          <w:szCs w:val="21"/>
        </w:rPr>
        <w:t>11.1供应商必须按照谈判文件的要求编制响应文件，并对其提交的响应文件的真实性、合法性承担法律责任。响应文件必须对谈判文件作出实质性响应。</w:t>
      </w:r>
    </w:p>
    <w:p w14:paraId="2497862B">
      <w:pPr>
        <w:wordWrap w:val="0"/>
        <w:spacing w:line="360" w:lineRule="auto"/>
        <w:ind w:firstLine="420" w:firstLineChars="200"/>
        <w:rPr>
          <w:rFonts w:hint="eastAsia" w:ascii="宋体" w:hAnsi="宋体" w:cs="宋体"/>
          <w:szCs w:val="21"/>
        </w:rPr>
      </w:pPr>
      <w:r>
        <w:rPr>
          <w:rFonts w:hint="eastAsia" w:ascii="宋体" w:hAnsi="宋体" w:cs="宋体"/>
          <w:szCs w:val="21"/>
        </w:rPr>
        <w:t>11.2谈判前准备详见“供应商须知前附表”。</w:t>
      </w:r>
    </w:p>
    <w:p w14:paraId="63DC09A2">
      <w:pPr>
        <w:wordWrap w:val="0"/>
        <w:spacing w:line="360" w:lineRule="auto"/>
        <w:ind w:firstLine="482" w:firstLineChars="200"/>
        <w:rPr>
          <w:rFonts w:hint="eastAsia" w:ascii="宋体" w:hAnsi="宋体" w:cs="宋体"/>
          <w:b/>
          <w:bCs/>
          <w:sz w:val="24"/>
        </w:rPr>
      </w:pPr>
      <w:r>
        <w:rPr>
          <w:rFonts w:hint="eastAsia" w:ascii="宋体" w:hAnsi="宋体" w:cs="宋体"/>
          <w:b/>
          <w:bCs/>
          <w:sz w:val="24"/>
        </w:rPr>
        <w:t>12.响应文件的组成</w:t>
      </w:r>
    </w:p>
    <w:p w14:paraId="2795AB08">
      <w:pPr>
        <w:wordWrap w:val="0"/>
        <w:spacing w:line="360" w:lineRule="auto"/>
        <w:ind w:firstLine="420" w:firstLineChars="200"/>
        <w:rPr>
          <w:rFonts w:hint="eastAsia" w:ascii="宋体" w:hAnsi="宋体" w:cs="宋体"/>
          <w:szCs w:val="21"/>
        </w:rPr>
      </w:pPr>
      <w:r>
        <w:rPr>
          <w:rFonts w:hint="eastAsia" w:ascii="宋体" w:hAnsi="宋体" w:cs="宋体"/>
          <w:szCs w:val="21"/>
        </w:rPr>
        <w:t>12.1响应文件由资格证明文件、报价商务技术文件两部分组成。</w:t>
      </w:r>
    </w:p>
    <w:p w14:paraId="61F1D282">
      <w:pPr>
        <w:wordWrap w:val="0"/>
        <w:spacing w:line="360" w:lineRule="auto"/>
        <w:ind w:left="840" w:leftChars="200" w:hanging="420" w:hangingChars="200"/>
        <w:rPr>
          <w:rFonts w:hint="eastAsia" w:ascii="宋体" w:hAnsi="宋体" w:cs="宋体"/>
          <w:szCs w:val="21"/>
        </w:rPr>
      </w:pPr>
      <w:r>
        <w:rPr>
          <w:rFonts w:hint="eastAsia" w:ascii="宋体" w:hAnsi="宋体" w:cs="宋体"/>
          <w:szCs w:val="21"/>
        </w:rPr>
        <w:t>12.1.1资格证明文件：详见“供应商须知前附表”</w:t>
      </w:r>
    </w:p>
    <w:p w14:paraId="4C422899">
      <w:pPr>
        <w:wordWrap w:val="0"/>
        <w:spacing w:line="360" w:lineRule="auto"/>
        <w:ind w:left="840" w:leftChars="200" w:hanging="420" w:hangingChars="200"/>
        <w:rPr>
          <w:rFonts w:hint="eastAsia" w:ascii="宋体" w:hAnsi="宋体" w:cs="宋体"/>
          <w:szCs w:val="21"/>
        </w:rPr>
      </w:pPr>
      <w:r>
        <w:rPr>
          <w:rFonts w:hint="eastAsia" w:ascii="宋体" w:hAnsi="宋体" w:cs="宋体"/>
          <w:szCs w:val="21"/>
        </w:rPr>
        <w:t>12.1.2报价商务技术文件：详见“供应商须知前附表”</w:t>
      </w:r>
    </w:p>
    <w:p w14:paraId="6A692CBA">
      <w:pPr>
        <w:wordWrap w:val="0"/>
        <w:spacing w:line="360" w:lineRule="auto"/>
        <w:ind w:left="840" w:leftChars="200" w:hanging="420" w:hangingChars="200"/>
        <w:rPr>
          <w:rFonts w:hint="eastAsia" w:ascii="宋体" w:hAnsi="宋体" w:cs="宋体"/>
          <w:szCs w:val="21"/>
        </w:rPr>
      </w:pPr>
      <w:r>
        <w:rPr>
          <w:rFonts w:hint="eastAsia" w:ascii="宋体" w:hAnsi="宋体" w:cs="宋体"/>
          <w:szCs w:val="21"/>
        </w:rPr>
        <w:t>12.2响应文件电子版：详见“供应商须知前附表”</w:t>
      </w:r>
    </w:p>
    <w:p w14:paraId="42E6FEA8">
      <w:pPr>
        <w:wordWrap w:val="0"/>
        <w:spacing w:line="360" w:lineRule="auto"/>
        <w:ind w:firstLine="420" w:firstLineChars="200"/>
        <w:rPr>
          <w:rFonts w:hint="eastAsia" w:ascii="宋体" w:hAnsi="宋体" w:cs="宋体"/>
          <w:szCs w:val="21"/>
        </w:rPr>
      </w:pPr>
      <w:r>
        <w:rPr>
          <w:rFonts w:hint="eastAsia" w:ascii="宋体" w:hAnsi="宋体" w:cs="宋体"/>
          <w:szCs w:val="21"/>
        </w:rPr>
        <w:t>响应文件编制基本要求</w:t>
      </w:r>
    </w:p>
    <w:p w14:paraId="74C8A7B6">
      <w:pPr>
        <w:wordWrap w:val="0"/>
        <w:spacing w:line="360" w:lineRule="auto"/>
        <w:ind w:firstLine="420" w:firstLineChars="200"/>
        <w:rPr>
          <w:rFonts w:hint="eastAsia" w:ascii="宋体" w:hAnsi="宋体" w:cs="宋体"/>
          <w:szCs w:val="21"/>
        </w:rPr>
      </w:pPr>
      <w:r>
        <w:rPr>
          <w:rFonts w:hint="eastAsia" w:ascii="宋体" w:hAnsi="宋体" w:cs="宋体"/>
          <w:szCs w:val="21"/>
        </w:rPr>
        <w:t>本项目实行电子竞标，供应商应准备电子响应文件、以介质存储的数据电文形式的电子备份响应文件两类：</w:t>
      </w:r>
    </w:p>
    <w:p w14:paraId="2F125652">
      <w:pPr>
        <w:wordWrap w:val="0"/>
        <w:spacing w:line="360" w:lineRule="auto"/>
        <w:ind w:firstLine="420" w:firstLineChars="200"/>
        <w:rPr>
          <w:rFonts w:hint="eastAsia" w:ascii="宋体" w:hAnsi="宋体" w:cs="宋体"/>
          <w:szCs w:val="21"/>
        </w:rPr>
      </w:pPr>
      <w:r>
        <w:rPr>
          <w:rFonts w:hint="eastAsia" w:ascii="宋体" w:hAnsi="宋体" w:cs="宋体"/>
          <w:szCs w:val="21"/>
        </w:rPr>
        <w:t>电子响应文件按</w:t>
      </w:r>
      <w:r>
        <w:rPr>
          <w:rFonts w:hint="eastAsia" w:ascii="宋体" w:hAnsi="宋体" w:cs="宋体"/>
          <w:color w:val="auto"/>
          <w:szCs w:val="21"/>
        </w:rPr>
        <w:t>广西政府采购云平台</w:t>
      </w:r>
      <w:r>
        <w:rPr>
          <w:rFonts w:hint="eastAsia" w:ascii="宋体" w:hAnsi="宋体" w:cs="宋体"/>
          <w:szCs w:val="21"/>
        </w:rPr>
        <w:t>要求及本竞争性谈判文件要求制作、加密并递交。电子备份响应文件系上传</w:t>
      </w:r>
      <w:r>
        <w:rPr>
          <w:rFonts w:hint="eastAsia" w:ascii="宋体" w:hAnsi="宋体" w:cs="宋体"/>
          <w:color w:val="auto"/>
          <w:szCs w:val="21"/>
        </w:rPr>
        <w:t>广西政府采购云平台</w:t>
      </w:r>
      <w:r>
        <w:rPr>
          <w:rFonts w:hint="eastAsia" w:ascii="宋体" w:hAnsi="宋体" w:cs="宋体"/>
          <w:szCs w:val="21"/>
        </w:rPr>
        <w:t>的响应文件电子版，按照本竞争性谈判文件要求制作。</w:t>
      </w:r>
    </w:p>
    <w:p w14:paraId="6370EF92">
      <w:pPr>
        <w:wordWrap w:val="0"/>
        <w:spacing w:line="360" w:lineRule="auto"/>
        <w:ind w:firstLine="422" w:firstLineChars="200"/>
        <w:rPr>
          <w:rFonts w:hint="eastAsia" w:ascii="宋体" w:hAnsi="宋体" w:cs="宋体"/>
          <w:szCs w:val="21"/>
        </w:rPr>
      </w:pPr>
      <w:r>
        <w:rPr>
          <w:rFonts w:hint="eastAsia"/>
          <w:b/>
          <w:bCs/>
          <w:color w:val="000000"/>
          <w:szCs w:val="21"/>
        </w:rPr>
        <w:t>▲</w:t>
      </w:r>
      <w:r>
        <w:rPr>
          <w:rFonts w:hint="eastAsia" w:ascii="宋体" w:hAnsi="宋体" w:cs="宋体"/>
          <w:szCs w:val="21"/>
        </w:rPr>
        <w:t>响应文件启用顺序和效力：响应文件的启用，按先后顺位分别为电子响应文件、以介质存储的数据电文形式的电子备份响应文件</w:t>
      </w:r>
      <w:r>
        <w:rPr>
          <w:rFonts w:hint="eastAsia" w:ascii="宋体" w:hAnsi="宋体" w:cs="宋体"/>
          <w:szCs w:val="21"/>
          <w:lang w:eastAsia="zh-CN"/>
        </w:rPr>
        <w:t>（</w:t>
      </w:r>
      <w:r>
        <w:rPr>
          <w:rFonts w:hint="eastAsia" w:ascii="宋体" w:hAnsi="宋体" w:cs="宋体"/>
          <w:szCs w:val="21"/>
          <w:lang w:val="en-US" w:eastAsia="zh-CN"/>
        </w:rPr>
        <w:t>如有</w:t>
      </w:r>
      <w:r>
        <w:rPr>
          <w:rFonts w:hint="eastAsia" w:ascii="宋体" w:hAnsi="宋体" w:cs="宋体"/>
          <w:szCs w:val="21"/>
          <w:lang w:eastAsia="zh-CN"/>
        </w:rPr>
        <w:t>）</w:t>
      </w:r>
      <w:r>
        <w:rPr>
          <w:rFonts w:hint="eastAsia" w:ascii="宋体" w:hAnsi="宋体" w:cs="宋体"/>
          <w:szCs w:val="21"/>
        </w:rPr>
        <w:t>。全部供应商的电子响应文件均已按时解密的，以介质存储的数据电文形式的电子备份响应文件自动失效。如果某位供应商的电子响应文件无法按时解密的，其电子响应文件为无效，启用以介质存储的数据电文形式的电子备份响应文件</w:t>
      </w:r>
      <w:r>
        <w:rPr>
          <w:rFonts w:hint="eastAsia" w:ascii="宋体" w:hAnsi="宋体" w:cs="宋体"/>
          <w:szCs w:val="21"/>
          <w:lang w:eastAsia="zh-CN"/>
        </w:rPr>
        <w:t>（</w:t>
      </w:r>
      <w:r>
        <w:rPr>
          <w:rFonts w:hint="eastAsia" w:ascii="宋体" w:hAnsi="宋体" w:cs="宋体"/>
          <w:szCs w:val="21"/>
          <w:lang w:val="en-US" w:eastAsia="zh-CN"/>
        </w:rPr>
        <w:t>如有</w:t>
      </w:r>
      <w:r>
        <w:rPr>
          <w:rFonts w:hint="eastAsia" w:ascii="宋体" w:hAnsi="宋体" w:cs="宋体"/>
          <w:szCs w:val="21"/>
          <w:lang w:eastAsia="zh-CN"/>
        </w:rPr>
        <w:t>）</w:t>
      </w:r>
      <w:r>
        <w:rPr>
          <w:rFonts w:hint="eastAsia" w:ascii="宋体" w:hAnsi="宋体" w:cs="宋体"/>
          <w:szCs w:val="21"/>
        </w:rPr>
        <w:t>。供应商仅递交电子备份响应文件的，谈判无效。</w:t>
      </w:r>
    </w:p>
    <w:p w14:paraId="4C2020E4">
      <w:pPr>
        <w:wordWrap w:val="0"/>
        <w:spacing w:line="360" w:lineRule="auto"/>
        <w:ind w:firstLine="482" w:firstLineChars="200"/>
        <w:rPr>
          <w:rFonts w:hint="eastAsia" w:ascii="宋体" w:hAnsi="宋体" w:cs="宋体"/>
          <w:b/>
          <w:bCs/>
          <w:sz w:val="24"/>
        </w:rPr>
      </w:pPr>
      <w:r>
        <w:rPr>
          <w:rFonts w:hint="eastAsia" w:ascii="宋体" w:hAnsi="宋体" w:cs="宋体"/>
          <w:b/>
          <w:bCs/>
          <w:sz w:val="24"/>
        </w:rPr>
        <w:t>13.计量单位</w:t>
      </w:r>
    </w:p>
    <w:p w14:paraId="2686B706">
      <w:pPr>
        <w:wordWrap w:val="0"/>
        <w:spacing w:line="360" w:lineRule="auto"/>
        <w:ind w:firstLine="420" w:firstLineChars="200"/>
        <w:rPr>
          <w:rFonts w:hint="eastAsia" w:ascii="宋体" w:hAnsi="宋体" w:cs="宋体"/>
          <w:szCs w:val="21"/>
        </w:rPr>
      </w:pPr>
      <w:r>
        <w:rPr>
          <w:rFonts w:hint="eastAsia" w:ascii="宋体" w:hAnsi="宋体" w:cs="宋体"/>
          <w:szCs w:val="21"/>
        </w:rPr>
        <w:t>谈判文件已有明确规定的，使用谈判文件规定的计量单位；谈判文件没有规定的，应采用中华人民共和国法定计量单位，货币种类为人民币，否则视同未响应。</w:t>
      </w:r>
    </w:p>
    <w:p w14:paraId="45C8C878">
      <w:pPr>
        <w:wordWrap w:val="0"/>
        <w:spacing w:line="360" w:lineRule="auto"/>
        <w:ind w:firstLine="482" w:firstLineChars="200"/>
        <w:rPr>
          <w:rFonts w:hint="eastAsia" w:ascii="宋体" w:hAnsi="宋体" w:cs="宋体"/>
          <w:b/>
          <w:bCs/>
          <w:sz w:val="24"/>
        </w:rPr>
      </w:pPr>
      <w:r>
        <w:rPr>
          <w:rFonts w:hint="eastAsia" w:ascii="宋体" w:hAnsi="宋体" w:cs="宋体"/>
          <w:b/>
          <w:bCs/>
          <w:sz w:val="24"/>
        </w:rPr>
        <w:t>14.竞标的风险</w:t>
      </w:r>
    </w:p>
    <w:p w14:paraId="37119E93">
      <w:pPr>
        <w:wordWrap w:val="0"/>
        <w:spacing w:line="360" w:lineRule="auto"/>
        <w:ind w:firstLine="420" w:firstLineChars="200"/>
        <w:rPr>
          <w:rFonts w:hint="eastAsia" w:ascii="宋体" w:hAnsi="宋体" w:cs="宋体"/>
          <w:szCs w:val="21"/>
        </w:rPr>
      </w:pPr>
      <w:r>
        <w:rPr>
          <w:rFonts w:hint="eastAsia" w:ascii="宋体" w:hAnsi="宋体" w:cs="宋体"/>
          <w:szCs w:val="21"/>
        </w:rPr>
        <w:t>供应商没有按照谈判文件要求提供全部资料，或者供应商没有对谈判文件在各方面作出实质性响应可能导致其响应文件按无效响应处理，是供应商应当考虑的风险。</w:t>
      </w:r>
    </w:p>
    <w:p w14:paraId="5D2CADB3">
      <w:pPr>
        <w:wordWrap w:val="0"/>
        <w:spacing w:line="360" w:lineRule="auto"/>
        <w:ind w:firstLine="482" w:firstLineChars="200"/>
        <w:rPr>
          <w:rFonts w:hint="eastAsia" w:ascii="宋体" w:hAnsi="宋体" w:cs="宋体"/>
          <w:b/>
          <w:bCs/>
          <w:sz w:val="24"/>
        </w:rPr>
      </w:pPr>
      <w:r>
        <w:rPr>
          <w:rFonts w:hint="eastAsia" w:ascii="宋体" w:hAnsi="宋体" w:cs="宋体"/>
          <w:b/>
          <w:bCs/>
          <w:sz w:val="24"/>
        </w:rPr>
        <w:t>15.竞标报价</w:t>
      </w:r>
    </w:p>
    <w:p w14:paraId="4DF5ACB6">
      <w:pPr>
        <w:wordWrap w:val="0"/>
        <w:spacing w:line="360" w:lineRule="auto"/>
        <w:ind w:firstLine="420" w:firstLineChars="200"/>
        <w:rPr>
          <w:rFonts w:hint="eastAsia" w:ascii="宋体" w:hAnsi="宋体" w:cs="宋体"/>
          <w:szCs w:val="21"/>
        </w:rPr>
      </w:pPr>
      <w:r>
        <w:rPr>
          <w:rFonts w:hint="eastAsia" w:ascii="宋体" w:hAnsi="宋体" w:cs="宋体"/>
          <w:szCs w:val="21"/>
        </w:rPr>
        <w:t>15.1竞标报价应按谈判文件中“竞标报价表”格式填写。</w:t>
      </w:r>
    </w:p>
    <w:p w14:paraId="2246152A">
      <w:pPr>
        <w:tabs>
          <w:tab w:val="left" w:pos="2492"/>
        </w:tabs>
        <w:wordWrap w:val="0"/>
        <w:spacing w:line="360" w:lineRule="auto"/>
        <w:ind w:firstLine="420" w:firstLineChars="200"/>
        <w:rPr>
          <w:rFonts w:hint="eastAsia" w:ascii="宋体" w:hAnsi="宋体" w:cs="宋体"/>
          <w:szCs w:val="21"/>
        </w:rPr>
      </w:pPr>
      <w:r>
        <w:rPr>
          <w:rFonts w:hint="eastAsia" w:ascii="宋体" w:hAnsi="宋体" w:cs="宋体"/>
          <w:szCs w:val="21"/>
        </w:rPr>
        <w:t>15.2竞标报价的内容详见“供应商须知前附表”。</w:t>
      </w:r>
    </w:p>
    <w:p w14:paraId="5970F3D4">
      <w:pPr>
        <w:wordWrap w:val="0"/>
        <w:spacing w:line="360" w:lineRule="auto"/>
        <w:ind w:left="426" w:leftChars="203"/>
        <w:rPr>
          <w:rFonts w:hint="eastAsia" w:ascii="宋体" w:hAnsi="宋体" w:cs="宋体"/>
          <w:szCs w:val="21"/>
        </w:rPr>
      </w:pPr>
      <w:r>
        <w:rPr>
          <w:rFonts w:hint="eastAsia" w:ascii="宋体" w:hAnsi="宋体" w:cs="宋体"/>
          <w:szCs w:val="21"/>
        </w:rPr>
        <w:t>15.3竞标报价要求</w:t>
      </w:r>
    </w:p>
    <w:p w14:paraId="798FBA63">
      <w:pPr>
        <w:wordWrap w:val="0"/>
        <w:spacing w:line="360" w:lineRule="auto"/>
        <w:ind w:firstLine="420" w:firstLineChars="200"/>
        <w:rPr>
          <w:rFonts w:hint="eastAsia" w:ascii="宋体" w:hAnsi="宋体" w:cs="宋体"/>
          <w:szCs w:val="21"/>
        </w:rPr>
      </w:pPr>
      <w:r>
        <w:rPr>
          <w:rFonts w:hint="eastAsia" w:ascii="宋体" w:hAnsi="宋体" w:cs="宋体"/>
          <w:szCs w:val="21"/>
        </w:rPr>
        <w:t>15.3.1供应商的竞标报价应符合以下要求，否则响应文件按无效响应处理：</w:t>
      </w:r>
    </w:p>
    <w:p w14:paraId="3E8B5610">
      <w:pPr>
        <w:wordWrap w:val="0"/>
        <w:spacing w:line="360" w:lineRule="auto"/>
        <w:ind w:left="420" w:leftChars="200"/>
        <w:rPr>
          <w:rFonts w:hint="eastAsia" w:ascii="宋体" w:hAnsi="宋体" w:cs="宋体"/>
          <w:szCs w:val="21"/>
        </w:rPr>
      </w:pPr>
      <w:r>
        <w:rPr>
          <w:rFonts w:hint="eastAsia" w:ascii="宋体" w:hAnsi="宋体" w:cs="宋体"/>
          <w:szCs w:val="21"/>
        </w:rPr>
        <w:t>（1）供应商必须就“采购需求”中所竞标的每个分标的全部内容分别作完整唯一总价报价，</w:t>
      </w:r>
    </w:p>
    <w:p w14:paraId="63FBBCF0">
      <w:pPr>
        <w:wordWrap w:val="0"/>
        <w:spacing w:line="360" w:lineRule="auto"/>
        <w:rPr>
          <w:rFonts w:hint="eastAsia" w:ascii="宋体" w:hAnsi="宋体" w:cs="宋体"/>
          <w:szCs w:val="21"/>
        </w:rPr>
      </w:pPr>
      <w:r>
        <w:rPr>
          <w:rFonts w:hint="eastAsia" w:ascii="宋体" w:hAnsi="宋体" w:cs="宋体"/>
          <w:szCs w:val="21"/>
        </w:rPr>
        <w:t>不得存在漏项报价；</w:t>
      </w:r>
    </w:p>
    <w:p w14:paraId="7DEA4027">
      <w:pPr>
        <w:wordWrap w:val="0"/>
        <w:spacing w:line="360" w:lineRule="auto"/>
        <w:ind w:firstLine="420" w:firstLineChars="200"/>
        <w:rPr>
          <w:rFonts w:hint="eastAsia" w:ascii="宋体" w:hAnsi="宋体" w:cs="宋体"/>
          <w:szCs w:val="21"/>
        </w:rPr>
      </w:pPr>
      <w:r>
        <w:rPr>
          <w:rFonts w:hint="eastAsia" w:ascii="宋体" w:hAnsi="宋体" w:cs="宋体"/>
          <w:szCs w:val="21"/>
        </w:rPr>
        <w:t>（2）供应商必须就所竞标的分标的单项内容作唯一报价。</w:t>
      </w:r>
    </w:p>
    <w:p w14:paraId="17978AED">
      <w:pPr>
        <w:wordWrap w:val="0"/>
        <w:spacing w:line="360" w:lineRule="auto"/>
        <w:ind w:firstLine="420" w:firstLineChars="200"/>
        <w:rPr>
          <w:rFonts w:hint="eastAsia" w:ascii="宋体" w:hAnsi="宋体" w:cs="宋体"/>
          <w:szCs w:val="21"/>
        </w:rPr>
      </w:pPr>
      <w:r>
        <w:rPr>
          <w:rFonts w:hint="eastAsia" w:ascii="宋体" w:hAnsi="宋体" w:cs="宋体"/>
          <w:szCs w:val="21"/>
        </w:rPr>
        <w:t>15.3.2竞标报价（包含首次报价、最后报价）超过所竞标分标规定的采购预算金额或者最高限价的，其响应文件将按无效响应处理。</w:t>
      </w:r>
    </w:p>
    <w:p w14:paraId="65618DF8">
      <w:pPr>
        <w:wordWrap w:val="0"/>
        <w:spacing w:line="360" w:lineRule="auto"/>
        <w:ind w:firstLine="420" w:firstLineChars="200"/>
        <w:rPr>
          <w:rFonts w:hint="eastAsia" w:ascii="宋体" w:hAnsi="宋体" w:cs="宋体"/>
          <w:szCs w:val="21"/>
        </w:rPr>
      </w:pPr>
      <w:r>
        <w:rPr>
          <w:rFonts w:hint="eastAsia" w:ascii="宋体" w:hAnsi="宋体" w:cs="宋体"/>
          <w:szCs w:val="21"/>
        </w:rPr>
        <w:t>15.3.3竞标报价（包含首次报价、最后报价）超过分项采购预算金额或者最高限价的，其响应文件将按无效响应处理。</w:t>
      </w:r>
    </w:p>
    <w:p w14:paraId="195B9E8B">
      <w:pPr>
        <w:wordWrap w:val="0"/>
        <w:spacing w:line="360" w:lineRule="auto"/>
        <w:ind w:firstLine="482" w:firstLineChars="200"/>
        <w:rPr>
          <w:rFonts w:hint="eastAsia" w:ascii="宋体" w:hAnsi="宋体" w:cs="宋体"/>
          <w:b/>
          <w:bCs/>
          <w:sz w:val="24"/>
        </w:rPr>
      </w:pPr>
      <w:r>
        <w:rPr>
          <w:rFonts w:hint="eastAsia" w:ascii="宋体" w:hAnsi="宋体" w:cs="宋体"/>
          <w:b/>
          <w:bCs/>
          <w:sz w:val="24"/>
        </w:rPr>
        <w:t>16.竞标有效期</w:t>
      </w:r>
    </w:p>
    <w:p w14:paraId="666F2660">
      <w:pPr>
        <w:wordWrap w:val="0"/>
        <w:spacing w:line="360" w:lineRule="auto"/>
        <w:ind w:firstLine="420" w:firstLineChars="200"/>
        <w:rPr>
          <w:rFonts w:hint="eastAsia" w:ascii="宋体" w:hAnsi="宋体" w:cs="宋体"/>
          <w:szCs w:val="21"/>
        </w:rPr>
      </w:pPr>
      <w:r>
        <w:rPr>
          <w:rFonts w:hint="eastAsia" w:ascii="宋体" w:hAnsi="宋体" w:cs="宋体"/>
          <w:szCs w:val="21"/>
        </w:rPr>
        <w:t>16.1竞标有效期是指为保证采购人有足够的时间在提交响应文件后完成评审、确定成交供应商、合同签订等工作而要求供应商提交的响应文件在一定时间内保持有效的期限。</w:t>
      </w:r>
    </w:p>
    <w:p w14:paraId="20C340D4">
      <w:pPr>
        <w:wordWrap w:val="0"/>
        <w:spacing w:line="360" w:lineRule="auto"/>
        <w:ind w:firstLine="420" w:firstLineChars="200"/>
        <w:rPr>
          <w:rFonts w:hint="eastAsia" w:ascii="宋体" w:hAnsi="宋体" w:cs="宋体"/>
          <w:szCs w:val="21"/>
        </w:rPr>
      </w:pPr>
      <w:r>
        <w:rPr>
          <w:rFonts w:hint="eastAsia" w:ascii="宋体" w:hAnsi="宋体" w:cs="宋体"/>
          <w:szCs w:val="21"/>
        </w:rPr>
        <w:t>16.2 竞标有效期应由供应商按“供应商须知前附表”规定的期限作出响应。</w:t>
      </w:r>
    </w:p>
    <w:p w14:paraId="35D8B04C">
      <w:pPr>
        <w:wordWrap w:val="0"/>
        <w:spacing w:line="360" w:lineRule="auto"/>
        <w:ind w:firstLine="420" w:firstLineChars="200"/>
        <w:rPr>
          <w:rFonts w:hint="eastAsia" w:ascii="宋体" w:hAnsi="宋体" w:cs="宋体"/>
          <w:szCs w:val="21"/>
        </w:rPr>
      </w:pPr>
      <w:r>
        <w:rPr>
          <w:rFonts w:hint="eastAsia" w:ascii="宋体" w:hAnsi="宋体" w:cs="宋体"/>
          <w:szCs w:val="21"/>
        </w:rPr>
        <w:t>16.3供应商的响应文件在竞标有效期内均保持有效。</w:t>
      </w:r>
    </w:p>
    <w:p w14:paraId="46D9C816">
      <w:pPr>
        <w:wordWrap w:val="0"/>
        <w:spacing w:line="360" w:lineRule="auto"/>
        <w:ind w:firstLine="482" w:firstLineChars="200"/>
        <w:rPr>
          <w:rFonts w:hint="eastAsia" w:ascii="宋体" w:hAnsi="宋体" w:cs="宋体"/>
          <w:b/>
          <w:bCs/>
          <w:sz w:val="24"/>
        </w:rPr>
      </w:pPr>
      <w:r>
        <w:rPr>
          <w:rFonts w:hint="eastAsia" w:ascii="宋体" w:hAnsi="宋体" w:cs="宋体"/>
          <w:b/>
          <w:bCs/>
          <w:sz w:val="24"/>
        </w:rPr>
        <w:t>17.竞标保证金</w:t>
      </w:r>
    </w:p>
    <w:p w14:paraId="6F059DA9">
      <w:pPr>
        <w:spacing w:line="360" w:lineRule="auto"/>
        <w:ind w:left="420" w:leftChars="200"/>
        <w:rPr>
          <w:rFonts w:hint="eastAsia" w:ascii="宋体" w:hAnsi="宋体" w:cs="宋体"/>
          <w:color w:val="0C0C0C"/>
          <w:szCs w:val="21"/>
        </w:rPr>
      </w:pPr>
      <w:r>
        <w:rPr>
          <w:rFonts w:hint="eastAsia" w:ascii="宋体" w:hAnsi="宋体" w:cs="宋体"/>
          <w:color w:val="0C0C0C"/>
          <w:szCs w:val="21"/>
        </w:rPr>
        <w:t>17.1供应商须按“供应商须知前附表”的规定提交</w:t>
      </w:r>
      <w:r>
        <w:rPr>
          <w:rFonts w:hint="eastAsia" w:ascii="宋体" w:hAnsi="宋体" w:cs="宋体"/>
          <w:color w:val="0C0C0C"/>
          <w:szCs w:val="21"/>
          <w:lang w:val="en-US" w:eastAsia="zh-CN"/>
        </w:rPr>
        <w:t>谈判</w:t>
      </w:r>
      <w:r>
        <w:rPr>
          <w:rFonts w:hint="eastAsia" w:ascii="宋体" w:hAnsi="宋体" w:cs="宋体"/>
          <w:color w:val="0C0C0C"/>
          <w:szCs w:val="21"/>
        </w:rPr>
        <w:t>保证金。</w:t>
      </w:r>
    </w:p>
    <w:p w14:paraId="1304C13F">
      <w:pPr>
        <w:spacing w:line="360" w:lineRule="auto"/>
        <w:ind w:left="420" w:leftChars="200"/>
        <w:rPr>
          <w:rFonts w:hint="eastAsia" w:ascii="宋体" w:hAnsi="宋体" w:cs="宋体"/>
          <w:color w:val="0C0C0C"/>
          <w:szCs w:val="21"/>
        </w:rPr>
      </w:pPr>
      <w:r>
        <w:rPr>
          <w:rFonts w:hint="eastAsia" w:ascii="宋体" w:hAnsi="宋体" w:cs="宋体"/>
          <w:color w:val="0C0C0C"/>
          <w:szCs w:val="21"/>
        </w:rPr>
        <w:t>17.2</w:t>
      </w:r>
      <w:r>
        <w:rPr>
          <w:rFonts w:hint="eastAsia" w:ascii="宋体" w:hAnsi="宋体" w:cs="宋体"/>
          <w:color w:val="0C0C0C"/>
          <w:szCs w:val="21"/>
          <w:lang w:val="en-US" w:eastAsia="zh-CN"/>
        </w:rPr>
        <w:t>谈判</w:t>
      </w:r>
      <w:r>
        <w:rPr>
          <w:rFonts w:hint="eastAsia" w:ascii="宋体" w:hAnsi="宋体" w:cs="宋体"/>
          <w:color w:val="0C0C0C"/>
          <w:szCs w:val="21"/>
        </w:rPr>
        <w:t>保证金的退还</w:t>
      </w:r>
    </w:p>
    <w:p w14:paraId="736B782F">
      <w:pPr>
        <w:spacing w:line="360" w:lineRule="auto"/>
        <w:ind w:firstLine="420" w:firstLineChars="200"/>
        <w:rPr>
          <w:rFonts w:hint="eastAsia" w:ascii="宋体" w:hAnsi="宋体" w:cs="宋体"/>
          <w:color w:val="0C0C0C"/>
          <w:szCs w:val="21"/>
        </w:rPr>
      </w:pPr>
      <w:bookmarkStart w:id="61" w:name="_Hlk66782243"/>
      <w:r>
        <w:rPr>
          <w:rFonts w:hint="eastAsia" w:ascii="宋体" w:hAnsi="宋体" w:cs="宋体"/>
          <w:color w:val="0C0C0C"/>
          <w:szCs w:val="21"/>
        </w:rPr>
        <w:t>未</w:t>
      </w:r>
      <w:r>
        <w:rPr>
          <w:rFonts w:hint="eastAsia" w:ascii="宋体" w:hAnsi="宋体" w:cs="宋体"/>
          <w:color w:val="0C0C0C"/>
          <w:spacing w:val="-6"/>
          <w:szCs w:val="21"/>
        </w:rPr>
        <w:t>成交供应商的</w:t>
      </w:r>
      <w:r>
        <w:rPr>
          <w:rFonts w:hint="eastAsia" w:ascii="宋体" w:hAnsi="宋体" w:cs="宋体"/>
          <w:color w:val="0C0C0C"/>
          <w:szCs w:val="21"/>
          <w:lang w:val="en-US" w:eastAsia="zh-CN"/>
        </w:rPr>
        <w:t>谈判</w:t>
      </w:r>
      <w:r>
        <w:rPr>
          <w:rFonts w:hint="eastAsia" w:ascii="宋体" w:hAnsi="宋体" w:cs="宋体"/>
          <w:color w:val="0C0C0C"/>
          <w:spacing w:val="-6"/>
          <w:szCs w:val="21"/>
        </w:rPr>
        <w:t>保证金自成交通知书发出之日起</w:t>
      </w:r>
      <w:r>
        <w:rPr>
          <w:rFonts w:hint="eastAsia" w:ascii="宋体" w:hAnsi="宋体" w:cs="宋体"/>
          <w:color w:val="0C0C0C"/>
          <w:spacing w:val="-6"/>
          <w:szCs w:val="21"/>
          <w:lang w:val="en-US" w:eastAsia="zh-CN"/>
        </w:rPr>
        <w:t>5</w:t>
      </w:r>
      <w:r>
        <w:rPr>
          <w:rFonts w:hint="eastAsia" w:ascii="宋体" w:hAnsi="宋体" w:cs="宋体"/>
          <w:color w:val="0C0C0C"/>
          <w:spacing w:val="-6"/>
          <w:szCs w:val="21"/>
        </w:rPr>
        <w:t>个工作日内退还；</w:t>
      </w:r>
      <w:r>
        <w:rPr>
          <w:rFonts w:hint="eastAsia" w:ascii="宋体" w:hAnsi="宋体" w:cs="宋体"/>
          <w:color w:val="0C0C0C"/>
          <w:szCs w:val="21"/>
        </w:rPr>
        <w:t>成交供应商的</w:t>
      </w:r>
      <w:r>
        <w:rPr>
          <w:rFonts w:hint="eastAsia" w:ascii="宋体" w:hAnsi="宋体" w:cs="宋体"/>
          <w:color w:val="0C0C0C"/>
          <w:szCs w:val="21"/>
          <w:lang w:val="en-US" w:eastAsia="zh-CN"/>
        </w:rPr>
        <w:t>谈判</w:t>
      </w:r>
      <w:r>
        <w:rPr>
          <w:rFonts w:hint="eastAsia" w:ascii="宋体" w:hAnsi="宋体" w:cs="宋体"/>
          <w:color w:val="0C0C0C"/>
          <w:szCs w:val="21"/>
        </w:rPr>
        <w:t>保证金自签订合同之日起</w:t>
      </w:r>
      <w:r>
        <w:rPr>
          <w:rFonts w:hint="eastAsia" w:ascii="宋体" w:hAnsi="宋体" w:cs="宋体"/>
          <w:color w:val="0C0C0C"/>
          <w:szCs w:val="21"/>
          <w:lang w:val="en-US" w:eastAsia="zh-CN"/>
        </w:rPr>
        <w:t>5</w:t>
      </w:r>
      <w:r>
        <w:rPr>
          <w:rFonts w:hint="eastAsia" w:ascii="宋体" w:hAnsi="宋体" w:cs="宋体"/>
          <w:color w:val="0C0C0C"/>
          <w:szCs w:val="21"/>
        </w:rPr>
        <w:t>个工作日内退还。</w:t>
      </w:r>
      <w:bookmarkEnd w:id="61"/>
      <w:r>
        <w:rPr>
          <w:rFonts w:hint="eastAsia" w:ascii="宋体" w:hAnsi="宋体" w:cs="宋体"/>
          <w:color w:val="0C0C0C"/>
          <w:szCs w:val="21"/>
        </w:rPr>
        <w:t xml:space="preserve"> </w:t>
      </w:r>
    </w:p>
    <w:p w14:paraId="3EA606AD">
      <w:pPr>
        <w:spacing w:line="360" w:lineRule="auto"/>
        <w:ind w:left="420" w:leftChars="200"/>
        <w:rPr>
          <w:rFonts w:hint="eastAsia" w:ascii="宋体" w:hAnsi="宋体" w:cs="宋体"/>
          <w:color w:val="0C0C0C"/>
          <w:szCs w:val="21"/>
        </w:rPr>
      </w:pPr>
      <w:r>
        <w:rPr>
          <w:rFonts w:hint="eastAsia" w:ascii="宋体" w:hAnsi="宋体" w:cs="宋体"/>
          <w:color w:val="0C0C0C"/>
          <w:szCs w:val="21"/>
        </w:rPr>
        <w:t>17.3</w:t>
      </w:r>
      <w:r>
        <w:rPr>
          <w:rFonts w:hint="eastAsia" w:ascii="宋体" w:hAnsi="宋体" w:cs="宋体"/>
          <w:color w:val="0C0C0C"/>
          <w:szCs w:val="21"/>
          <w:lang w:val="en-US" w:eastAsia="zh-CN"/>
        </w:rPr>
        <w:t>谈判</w:t>
      </w:r>
      <w:r>
        <w:rPr>
          <w:rFonts w:hint="eastAsia" w:ascii="宋体" w:hAnsi="宋体" w:cs="宋体"/>
          <w:color w:val="0C0C0C"/>
          <w:szCs w:val="21"/>
        </w:rPr>
        <w:t>保证金不计息。</w:t>
      </w:r>
    </w:p>
    <w:p w14:paraId="1AC700D7">
      <w:pPr>
        <w:spacing w:line="360" w:lineRule="auto"/>
        <w:ind w:left="420" w:leftChars="200"/>
        <w:rPr>
          <w:rFonts w:hint="eastAsia" w:ascii="宋体" w:hAnsi="宋体" w:cs="宋体"/>
          <w:color w:val="0C0C0C"/>
          <w:szCs w:val="21"/>
        </w:rPr>
      </w:pPr>
      <w:r>
        <w:rPr>
          <w:rFonts w:hint="eastAsia" w:ascii="宋体" w:hAnsi="宋体" w:cs="宋体"/>
          <w:color w:val="0C0C0C"/>
          <w:szCs w:val="21"/>
        </w:rPr>
        <w:t>17.4供应商有下列情形之一的，</w:t>
      </w:r>
      <w:r>
        <w:rPr>
          <w:rFonts w:hint="eastAsia" w:ascii="宋体" w:hAnsi="宋体" w:cs="宋体"/>
          <w:color w:val="0C0C0C"/>
          <w:szCs w:val="21"/>
          <w:lang w:val="en-US" w:eastAsia="zh-CN"/>
        </w:rPr>
        <w:t>谈判</w:t>
      </w:r>
      <w:r>
        <w:rPr>
          <w:rFonts w:hint="eastAsia" w:ascii="宋体" w:hAnsi="宋体" w:cs="宋体"/>
          <w:color w:val="0C0C0C"/>
          <w:szCs w:val="21"/>
        </w:rPr>
        <w:t xml:space="preserve">保证金将不予退还： </w:t>
      </w:r>
    </w:p>
    <w:p w14:paraId="0144C635">
      <w:pPr>
        <w:spacing w:line="360" w:lineRule="auto"/>
        <w:ind w:left="420" w:leftChars="200"/>
        <w:rPr>
          <w:rFonts w:hint="eastAsia" w:ascii="宋体" w:hAnsi="宋体" w:cs="宋体"/>
          <w:color w:val="0C0C0C"/>
          <w:szCs w:val="21"/>
        </w:rPr>
      </w:pPr>
      <w:r>
        <w:rPr>
          <w:rFonts w:hint="eastAsia" w:ascii="宋体" w:hAnsi="宋体" w:cs="宋体"/>
          <w:color w:val="0C0C0C"/>
          <w:szCs w:val="21"/>
        </w:rPr>
        <w:t>（1）供应商在提交首次响应文件截止时间后撤回响应文件的；</w:t>
      </w:r>
    </w:p>
    <w:p w14:paraId="7EF3BEAE">
      <w:pPr>
        <w:spacing w:line="360" w:lineRule="auto"/>
        <w:ind w:left="420" w:leftChars="200"/>
        <w:rPr>
          <w:rFonts w:hint="eastAsia" w:ascii="宋体" w:hAnsi="宋体" w:cs="宋体"/>
          <w:color w:val="0C0C0C"/>
          <w:szCs w:val="21"/>
        </w:rPr>
      </w:pPr>
      <w:r>
        <w:rPr>
          <w:rFonts w:hint="eastAsia" w:ascii="宋体" w:hAnsi="宋体" w:cs="宋体"/>
          <w:color w:val="0C0C0C"/>
          <w:szCs w:val="21"/>
        </w:rPr>
        <w:t>（2）未按规定提交履约保证金的；</w:t>
      </w:r>
    </w:p>
    <w:p w14:paraId="03FF7C99">
      <w:pPr>
        <w:spacing w:line="360" w:lineRule="auto"/>
        <w:ind w:left="420" w:leftChars="200"/>
        <w:rPr>
          <w:rFonts w:hint="eastAsia" w:ascii="宋体" w:hAnsi="宋体" w:cs="宋体"/>
          <w:color w:val="0C0C0C"/>
          <w:szCs w:val="21"/>
        </w:rPr>
      </w:pPr>
      <w:r>
        <w:rPr>
          <w:rFonts w:hint="eastAsia" w:ascii="宋体" w:hAnsi="宋体" w:cs="宋体"/>
          <w:color w:val="0C0C0C"/>
          <w:szCs w:val="21"/>
        </w:rPr>
        <w:t>（3）供应商在响应文件中提供虚假材料的；</w:t>
      </w:r>
    </w:p>
    <w:p w14:paraId="136DE286">
      <w:pPr>
        <w:spacing w:line="360" w:lineRule="auto"/>
        <w:ind w:firstLine="420" w:firstLineChars="200"/>
        <w:rPr>
          <w:rFonts w:hint="eastAsia" w:ascii="宋体" w:hAnsi="宋体" w:cs="宋体"/>
          <w:color w:val="0C0C0C"/>
          <w:szCs w:val="21"/>
        </w:rPr>
      </w:pPr>
      <w:r>
        <w:rPr>
          <w:rFonts w:hint="eastAsia" w:ascii="宋体" w:hAnsi="宋体" w:cs="宋体"/>
          <w:color w:val="0C0C0C"/>
          <w:szCs w:val="21"/>
        </w:rPr>
        <w:t>（4）除因不可抗力或者磋商文件认可的情形以外，成交供应商不与采购人签订合同的；</w:t>
      </w:r>
    </w:p>
    <w:p w14:paraId="1917972E">
      <w:pPr>
        <w:spacing w:line="360" w:lineRule="auto"/>
        <w:ind w:left="420" w:leftChars="200"/>
        <w:rPr>
          <w:rFonts w:hint="eastAsia" w:ascii="宋体" w:hAnsi="宋体" w:cs="宋体"/>
          <w:color w:val="0C0C0C"/>
          <w:szCs w:val="21"/>
        </w:rPr>
      </w:pPr>
      <w:r>
        <w:rPr>
          <w:rFonts w:hint="eastAsia" w:ascii="宋体" w:hAnsi="宋体" w:cs="宋体"/>
          <w:color w:val="0C0C0C"/>
          <w:szCs w:val="21"/>
        </w:rPr>
        <w:t>（5）供应商与采购人、其他供应商或者采购代理机构恶意串通的；</w:t>
      </w:r>
    </w:p>
    <w:p w14:paraId="770A9E19">
      <w:pPr>
        <w:wordWrap w:val="0"/>
        <w:spacing w:line="360" w:lineRule="auto"/>
        <w:ind w:firstLine="420" w:firstLineChars="200"/>
        <w:rPr>
          <w:rFonts w:hint="eastAsia" w:ascii="宋体" w:hAnsi="宋体" w:cs="宋体"/>
          <w:color w:val="0C0C0C"/>
          <w:szCs w:val="21"/>
        </w:rPr>
      </w:pPr>
      <w:r>
        <w:rPr>
          <w:rFonts w:hint="eastAsia" w:ascii="宋体" w:hAnsi="宋体" w:cs="宋体"/>
          <w:color w:val="0C0C0C"/>
          <w:szCs w:val="21"/>
        </w:rPr>
        <w:t>（6）法律法规规定的其他情形。</w:t>
      </w:r>
    </w:p>
    <w:p w14:paraId="596C83BA">
      <w:pPr>
        <w:wordWrap w:val="0"/>
        <w:spacing w:line="360" w:lineRule="auto"/>
        <w:ind w:firstLine="482" w:firstLineChars="200"/>
        <w:rPr>
          <w:rFonts w:hint="eastAsia" w:ascii="宋体" w:hAnsi="宋体" w:cs="宋体"/>
          <w:b/>
          <w:bCs/>
          <w:sz w:val="24"/>
        </w:rPr>
      </w:pPr>
      <w:r>
        <w:rPr>
          <w:rFonts w:hint="eastAsia" w:ascii="宋体" w:hAnsi="宋体" w:cs="宋体"/>
          <w:b/>
          <w:bCs/>
          <w:sz w:val="24"/>
        </w:rPr>
        <w:t>18. 响应文件编制的要求</w:t>
      </w:r>
    </w:p>
    <w:p w14:paraId="3F7EACD3">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cs="宋体"/>
          <w:szCs w:val="21"/>
        </w:rPr>
      </w:pPr>
      <w:r>
        <w:rPr>
          <w:rFonts w:hint="eastAsia" w:ascii="宋体" w:hAnsi="宋体" w:cs="宋体"/>
          <w:szCs w:val="21"/>
        </w:rPr>
        <w:t>18.1供应商应根据</w:t>
      </w:r>
      <w:r>
        <w:rPr>
          <w:rFonts w:hint="eastAsia" w:ascii="宋体" w:hAnsi="宋体" w:cs="宋体"/>
          <w:color w:val="auto"/>
          <w:szCs w:val="21"/>
        </w:rPr>
        <w:t>广西政府采购云平台</w:t>
      </w:r>
      <w:r>
        <w:rPr>
          <w:rFonts w:hint="eastAsia" w:ascii="宋体" w:hAnsi="宋体" w:cs="宋体"/>
          <w:szCs w:val="21"/>
        </w:rPr>
        <w:t>电子交易客户端（请自行前往</w:t>
      </w:r>
      <w:r>
        <w:rPr>
          <w:rFonts w:hint="eastAsia" w:ascii="宋体" w:hAnsi="宋体" w:cs="宋体"/>
          <w:color w:val="auto"/>
          <w:szCs w:val="21"/>
        </w:rPr>
        <w:t>广西政府采购云平台</w:t>
      </w:r>
      <w:r>
        <w:rPr>
          <w:rFonts w:hint="eastAsia" w:ascii="宋体" w:hAnsi="宋体" w:cs="宋体"/>
          <w:szCs w:val="21"/>
        </w:rPr>
        <w:t>进行下载），并按照本项目采购文件规定的格式和顺序和</w:t>
      </w:r>
      <w:r>
        <w:rPr>
          <w:rFonts w:hint="eastAsia" w:ascii="宋体" w:hAnsi="宋体" w:cs="宋体"/>
          <w:color w:val="auto"/>
          <w:szCs w:val="21"/>
        </w:rPr>
        <w:t>广西政府采购云平台</w:t>
      </w:r>
      <w:r>
        <w:rPr>
          <w:rFonts w:hint="eastAsia" w:ascii="宋体" w:hAnsi="宋体" w:cs="宋体"/>
          <w:szCs w:val="21"/>
        </w:rPr>
        <w:t>的要求编制并加密。响应文件内容不完整、编排混乱导致投标文件被误读、漏读或者查找不到相关内容的，由此引发的后果由供应商承担。</w:t>
      </w:r>
    </w:p>
    <w:p w14:paraId="17E23DD5">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cs="宋体"/>
          <w:szCs w:val="21"/>
        </w:rPr>
      </w:pPr>
      <w:r>
        <w:rPr>
          <w:rFonts w:hint="eastAsia" w:ascii="宋体" w:hAnsi="宋体" w:cs="宋体"/>
          <w:szCs w:val="21"/>
        </w:rPr>
        <w:t>18.2响应文件电子版：具体材料见“12.2供应商须知前附表”。</w:t>
      </w:r>
    </w:p>
    <w:p w14:paraId="273477F0">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cs="宋体"/>
          <w:szCs w:val="21"/>
        </w:rPr>
      </w:pPr>
      <w:r>
        <w:rPr>
          <w:rFonts w:hint="eastAsia" w:ascii="宋体" w:hAnsi="宋体" w:cs="宋体"/>
          <w:szCs w:val="21"/>
        </w:rPr>
        <w:t>18.3响应文件须由供应商在规定位置盖公章并由法定代表人或委托代理人签字，否则其响应文件按无效响应处理。</w:t>
      </w:r>
    </w:p>
    <w:p w14:paraId="47F09950">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cs="宋体"/>
          <w:szCs w:val="21"/>
        </w:rPr>
      </w:pPr>
      <w:r>
        <w:rPr>
          <w:rFonts w:hint="eastAsia" w:ascii="宋体" w:hAnsi="宋体" w:cs="宋体"/>
          <w:szCs w:val="21"/>
        </w:rPr>
        <w:t>18.4响应文件中标注的供应商名称应与营业执照（事业单位法人证书、执业许可证）及公章一致，否则其响应文件按无效响应处理。</w:t>
      </w:r>
    </w:p>
    <w:p w14:paraId="47D0A541">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cs="宋体"/>
          <w:szCs w:val="21"/>
        </w:rPr>
      </w:pPr>
      <w:r>
        <w:rPr>
          <w:rFonts w:hint="eastAsia" w:ascii="宋体" w:hAnsi="宋体" w:cs="宋体"/>
          <w:szCs w:val="21"/>
        </w:rPr>
        <w:t>18.5响应文件应尽量避免涂改、行间插字或删除。如果出现上述情况，改动之处应由供应商的法定代表人或其委托代理人签字或加盖公章。响应文件因涂改、行间插字或删除导致字迹潦草或表达不清所引起的后果由供应商承担。</w:t>
      </w:r>
    </w:p>
    <w:p w14:paraId="4421BC91">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cs="宋体"/>
          <w:szCs w:val="21"/>
        </w:rPr>
      </w:pPr>
      <w:r>
        <w:rPr>
          <w:rFonts w:hint="eastAsia" w:ascii="宋体" w:hAnsi="宋体" w:cs="宋体"/>
          <w:szCs w:val="21"/>
        </w:rPr>
        <w:t>18.6电子响应文件中须加盖供应商公章部分均采用CA签章，并根据“</w:t>
      </w:r>
      <w:r>
        <w:rPr>
          <w:rFonts w:hint="eastAsia" w:ascii="宋体" w:hAnsi="宋体" w:cs="宋体"/>
          <w:color w:val="auto"/>
          <w:szCs w:val="21"/>
        </w:rPr>
        <w:t>广西政府采购云平台</w:t>
      </w:r>
      <w:r>
        <w:rPr>
          <w:rFonts w:hint="eastAsia" w:ascii="宋体" w:hAnsi="宋体" w:cs="宋体"/>
          <w:szCs w:val="21"/>
        </w:rPr>
        <w:t>电子交易客户端”（请自行前往</w:t>
      </w:r>
      <w:r>
        <w:rPr>
          <w:rFonts w:hint="eastAsia" w:ascii="宋体" w:hAnsi="宋体" w:cs="宋体"/>
          <w:color w:val="auto"/>
          <w:szCs w:val="21"/>
        </w:rPr>
        <w:t>广西政府采购云平台</w:t>
      </w:r>
      <w:r>
        <w:rPr>
          <w:rFonts w:hint="eastAsia" w:ascii="宋体" w:hAnsi="宋体" w:cs="宋体"/>
          <w:szCs w:val="21"/>
        </w:rPr>
        <w:t>进行下载） 及本竞争性谈判文件规定的格式和顺序编制电子响应文件并进行关联定位，以便评标委员会在评审时，点击评分项可直接定位到该评分项内容。如对竞争性谈判文件的某项要求，供应商的电子响应文件未能关联定位提供相应的内容与其对应，则谈判小组在评审时如做出对供应商不利的评审由供应商自行承担。电子响应文件如内容不完整、编排混乱导致响应文件被误读、漏读，或者在按采购文件规定的部位查找不到相关内容的，由供应商自行承担。</w:t>
      </w:r>
    </w:p>
    <w:p w14:paraId="35B68AFF">
      <w:pPr>
        <w:wordWrap w:val="0"/>
        <w:spacing w:line="360" w:lineRule="auto"/>
        <w:ind w:firstLine="420" w:firstLineChars="200"/>
        <w:rPr>
          <w:rFonts w:hint="eastAsia" w:ascii="宋体" w:hAnsi="宋体" w:cs="宋体"/>
          <w:szCs w:val="21"/>
        </w:rPr>
      </w:pPr>
      <w:r>
        <w:rPr>
          <w:rFonts w:hint="eastAsia" w:ascii="宋体" w:hAnsi="宋体" w:cs="宋体"/>
          <w:szCs w:val="21"/>
        </w:rPr>
        <w:t>18.7 CA签章上目前没有法人（负责人）或授权代表签字信息，供应商在响应文件中涉及到签字的位置线下签好字然后扫描或者拍照做成PDF的格式亦可。响应文件中涉及到签字的位置未按要求签字的，提供的材料视为无效。</w:t>
      </w:r>
    </w:p>
    <w:p w14:paraId="077E732B">
      <w:pPr>
        <w:wordWrap w:val="0"/>
        <w:spacing w:line="360" w:lineRule="auto"/>
        <w:ind w:firstLine="420" w:firstLineChars="200"/>
        <w:rPr>
          <w:rFonts w:hint="eastAsia" w:ascii="宋体" w:hAnsi="宋体" w:cs="宋体"/>
          <w:szCs w:val="21"/>
        </w:rPr>
      </w:pPr>
      <w:r>
        <w:rPr>
          <w:rFonts w:hint="eastAsia" w:ascii="宋体" w:hAnsi="宋体" w:cs="宋体"/>
          <w:szCs w:val="21"/>
        </w:rPr>
        <w:t>18.8响应文件不得涂改，若有修改错漏处，须加盖单位公章或者法定代表人（负责人）或授权委托人签字或盖章。响应文件因字迹潦草或表达不清所引起的后果由供应商负责。</w:t>
      </w:r>
    </w:p>
    <w:p w14:paraId="470AEA07">
      <w:pPr>
        <w:wordWrap w:val="0"/>
        <w:spacing w:line="360" w:lineRule="auto"/>
        <w:ind w:firstLine="482" w:firstLineChars="200"/>
        <w:rPr>
          <w:rFonts w:hint="eastAsia" w:ascii="宋体" w:hAnsi="宋体" w:eastAsia="宋体" w:cs="宋体"/>
          <w:b/>
          <w:bCs/>
          <w:sz w:val="24"/>
          <w:lang w:eastAsia="zh-CN"/>
        </w:rPr>
      </w:pPr>
      <w:r>
        <w:rPr>
          <w:rFonts w:hint="eastAsia" w:ascii="宋体" w:hAnsi="宋体" w:cs="宋体"/>
          <w:b/>
          <w:bCs/>
          <w:sz w:val="24"/>
        </w:rPr>
        <w:t>19.电子备份响应文件的密封和标记</w:t>
      </w:r>
      <w:r>
        <w:rPr>
          <w:rFonts w:hint="eastAsia" w:ascii="宋体" w:hAnsi="宋体" w:cs="宋体"/>
          <w:b/>
          <w:bCs/>
          <w:sz w:val="24"/>
          <w:lang w:eastAsia="zh-CN"/>
        </w:rPr>
        <w:t>（</w:t>
      </w:r>
      <w:r>
        <w:rPr>
          <w:rFonts w:hint="eastAsia" w:ascii="宋体" w:hAnsi="宋体" w:cs="宋体"/>
          <w:b/>
          <w:bCs/>
          <w:sz w:val="24"/>
          <w:lang w:val="en-US" w:eastAsia="zh-CN"/>
        </w:rPr>
        <w:t>如有</w:t>
      </w:r>
      <w:r>
        <w:rPr>
          <w:rFonts w:hint="eastAsia" w:ascii="宋体" w:hAnsi="宋体" w:cs="宋体"/>
          <w:b/>
          <w:bCs/>
          <w:sz w:val="24"/>
          <w:lang w:eastAsia="zh-CN"/>
        </w:rPr>
        <w:t>）</w:t>
      </w:r>
    </w:p>
    <w:p w14:paraId="2CA48F46">
      <w:pPr>
        <w:wordWrap w:val="0"/>
        <w:spacing w:line="360" w:lineRule="auto"/>
        <w:ind w:firstLine="420" w:firstLineChars="200"/>
        <w:rPr>
          <w:rFonts w:hint="eastAsia" w:ascii="宋体" w:hAnsi="宋体" w:cs="宋体"/>
          <w:b/>
          <w:bCs/>
          <w:szCs w:val="21"/>
        </w:rPr>
      </w:pPr>
      <w:r>
        <w:rPr>
          <w:rFonts w:hint="eastAsia" w:ascii="宋体" w:hAnsi="宋体" w:cs="宋体"/>
          <w:szCs w:val="21"/>
        </w:rPr>
        <w:t>19.1供应商应将电子备份响应文件装入到一个响应文件袋内加以密封（要求文件袋无明显缝隙露出袋内文件）；电子备份响应文件袋在每一封贴处密封签章【公章、密封章、法定代表人（负责人）、委托代理人签字等均可】。</w:t>
      </w:r>
      <w:r>
        <w:rPr>
          <w:rFonts w:hint="eastAsia" w:ascii="宋体" w:hAnsi="宋体" w:cs="宋体"/>
          <w:b/>
          <w:bCs/>
          <w:szCs w:val="21"/>
        </w:rPr>
        <w:t>（密封要求达到不泄露供应商响应文件实质性内容为合格）。</w:t>
      </w:r>
    </w:p>
    <w:p w14:paraId="1C5135DA">
      <w:pPr>
        <w:wordWrap w:val="0"/>
        <w:spacing w:line="360" w:lineRule="auto"/>
        <w:ind w:firstLine="420" w:firstLineChars="200"/>
        <w:rPr>
          <w:rFonts w:hint="eastAsia" w:ascii="宋体" w:hAnsi="宋体" w:cs="宋体"/>
          <w:szCs w:val="21"/>
        </w:rPr>
      </w:pPr>
      <w:r>
        <w:rPr>
          <w:rFonts w:hint="eastAsia" w:ascii="宋体" w:hAnsi="宋体" w:cs="宋体"/>
          <w:szCs w:val="21"/>
        </w:rPr>
        <w:t>19.2电子备份响应文件袋的包装封面上应注明供应商名称、供应商地址、响应文件名称（电子备份响应文件）、竞标项目名称、项目编号、并加盖供应商公章，并注明“截标时才能启封”。</w:t>
      </w:r>
    </w:p>
    <w:p w14:paraId="377771C0">
      <w:pPr>
        <w:wordWrap w:val="0"/>
        <w:spacing w:line="360" w:lineRule="auto"/>
        <w:ind w:firstLine="482" w:firstLineChars="200"/>
        <w:rPr>
          <w:rFonts w:hint="eastAsia" w:ascii="宋体" w:hAnsi="宋体" w:cs="宋体"/>
          <w:b/>
          <w:bCs/>
          <w:sz w:val="24"/>
        </w:rPr>
      </w:pPr>
      <w:r>
        <w:rPr>
          <w:rFonts w:hint="eastAsia" w:ascii="宋体" w:hAnsi="宋体" w:cs="宋体"/>
          <w:b/>
          <w:bCs/>
          <w:sz w:val="24"/>
        </w:rPr>
        <w:t>20.响应文件的提交</w:t>
      </w:r>
    </w:p>
    <w:p w14:paraId="6B80DC9C">
      <w:pPr>
        <w:wordWrap w:val="0"/>
        <w:spacing w:line="420" w:lineRule="exact"/>
        <w:ind w:firstLine="420" w:firstLineChars="200"/>
        <w:rPr>
          <w:rFonts w:hint="eastAsia" w:ascii="宋体" w:hAnsi="宋体" w:cs="宋体"/>
          <w:szCs w:val="21"/>
        </w:rPr>
      </w:pPr>
      <w:r>
        <w:rPr>
          <w:rFonts w:hint="eastAsia" w:ascii="宋体" w:hAnsi="宋体" w:cs="宋体"/>
          <w:szCs w:val="21"/>
        </w:rPr>
        <w:t>20.1供应商必须在“供应商须知前附表”规定的时间和地点提交响应文件。</w:t>
      </w:r>
    </w:p>
    <w:p w14:paraId="7D0E5C4A">
      <w:pPr>
        <w:widowControl/>
        <w:spacing w:line="440" w:lineRule="exact"/>
        <w:ind w:firstLine="420" w:firstLineChars="200"/>
        <w:jc w:val="left"/>
        <w:rPr>
          <w:rFonts w:hint="eastAsia" w:ascii="宋体" w:hAnsi="宋体" w:cs="宋体"/>
          <w:color w:val="000000"/>
          <w:szCs w:val="21"/>
        </w:rPr>
      </w:pPr>
      <w:r>
        <w:rPr>
          <w:rFonts w:hint="eastAsia" w:ascii="宋体" w:hAnsi="宋体" w:cs="宋体"/>
          <w:color w:val="000000"/>
          <w:szCs w:val="21"/>
        </w:rPr>
        <w:t>（1）响应文件提交方式：本项目为全流程电子化项目，通过“广西政府采购云平台”（https://login.gcy.zfcg.gxzf.gov.cn/user-login/#/login）实行在线电子响应，供应商应先安装“广西政府采购云平台电子交易客户端”（请自行前往“广西政府采购云平台”进行下载），并按照本项目采购文件和“广西政府采购云平台”的要求编制、加密后在投标截止时间前通过网络上传至“广西政府采购云平台”，</w:t>
      </w:r>
      <w:r>
        <w:rPr>
          <w:rFonts w:hint="eastAsia" w:ascii="宋体" w:hAnsi="宋体" w:cs="宋体"/>
          <w:b/>
          <w:color w:val="000000"/>
          <w:szCs w:val="21"/>
        </w:rPr>
        <w:t>供应商在“广西政府采购云平台”提交电子版响应文件时，请填写参加远程采购活动经办人联系方式，</w:t>
      </w:r>
      <w:r>
        <w:rPr>
          <w:rFonts w:hint="eastAsia" w:ascii="宋体" w:hAnsi="宋体" w:cs="宋体"/>
          <w:color w:val="000000"/>
          <w:szCs w:val="21"/>
        </w:rPr>
        <w:t>电子投标具体操作流程参考广西政府采购云平台提供的《政府采购项目电子交易管理操作指南－供应商》，供应商如在操作过程中遇到问题或需技术支持，请致电广西政府采购云平台客服热线：95763。</w:t>
      </w:r>
    </w:p>
    <w:p w14:paraId="5CC65D4D">
      <w:pPr>
        <w:widowControl/>
        <w:spacing w:line="440" w:lineRule="exact"/>
        <w:ind w:firstLine="420" w:firstLineChars="200"/>
        <w:jc w:val="left"/>
        <w:rPr>
          <w:rFonts w:hint="eastAsia" w:ascii="宋体" w:hAnsi="宋体" w:cs="宋体"/>
          <w:color w:val="000000"/>
          <w:szCs w:val="21"/>
        </w:rPr>
      </w:pPr>
      <w:r>
        <w:rPr>
          <w:rFonts w:hint="eastAsia" w:ascii="宋体" w:hAnsi="宋体" w:cs="宋体"/>
          <w:color w:val="000000"/>
          <w:szCs w:val="21"/>
        </w:rPr>
        <w:t>（2）未进行网上注册并办理数字证书（CA认证）的供应商将无法参与本项目政府采购活动，潜在供应商应尽早完成电子交易平台上的CA数字证书办理，并在首次响应文件提交截止时间前提交响应文件。</w:t>
      </w:r>
    </w:p>
    <w:p w14:paraId="306D8F61">
      <w:pPr>
        <w:widowControl/>
        <w:spacing w:line="440" w:lineRule="exact"/>
        <w:ind w:firstLine="420" w:firstLineChars="200"/>
        <w:jc w:val="left"/>
        <w:rPr>
          <w:rFonts w:hint="eastAsia" w:ascii="宋体" w:hAnsi="宋体" w:cs="宋体"/>
          <w:color w:val="000000"/>
          <w:szCs w:val="21"/>
        </w:rPr>
      </w:pPr>
      <w:r>
        <w:rPr>
          <w:rFonts w:hint="eastAsia" w:ascii="宋体" w:hAnsi="宋体" w:cs="宋体"/>
          <w:color w:val="000000"/>
          <w:szCs w:val="21"/>
        </w:rPr>
        <w:t>（3）为确保网上操作合法、有效和安全，请供应商确保在电子响应过程中能够对相关数据电文进行加密和使用电子签章，妥善保管CA数字证书并使用有效的CA数字证书参与整个采购活动。</w:t>
      </w:r>
    </w:p>
    <w:p w14:paraId="35714948">
      <w:pPr>
        <w:spacing w:line="440" w:lineRule="exact"/>
        <w:ind w:firstLine="420" w:firstLineChars="200"/>
        <w:rPr>
          <w:rFonts w:hint="eastAsia" w:ascii="宋体" w:hAnsi="宋体" w:cs="宋体"/>
          <w:bCs/>
          <w:color w:val="000000"/>
          <w:szCs w:val="21"/>
          <w:u w:val="single"/>
        </w:rPr>
      </w:pPr>
      <w:r>
        <w:rPr>
          <w:rFonts w:hint="eastAsia" w:ascii="宋体" w:hAnsi="宋体" w:cs="宋体"/>
          <w:bCs/>
          <w:color w:val="000000"/>
          <w:szCs w:val="21"/>
          <w:u w:val="single"/>
        </w:rPr>
        <w:t>注：供应商应当在首次响应文件提交截止时间前完成电子响应文件的上传、递交，响应文件提交截止时间前可以补充、修改或者撤回响应文件。补充或者修改响应文件的，应当先行撤回原文件，补充、修改后重新上传、递交。响应截止时间前未完成上传、递交的，视为撤回响应文件。响应文件提交截止时间以后上传递交的响应文件的，“广西政府采购云平台”平台将予以拒收。</w:t>
      </w:r>
    </w:p>
    <w:p w14:paraId="576C07E3">
      <w:pPr>
        <w:spacing w:line="440" w:lineRule="exact"/>
        <w:ind w:firstLine="420" w:firstLineChars="200"/>
        <w:rPr>
          <w:rFonts w:hint="eastAsia" w:ascii="宋体" w:hAnsi="宋体" w:cs="宋体"/>
          <w:color w:val="000000"/>
          <w:kern w:val="0"/>
          <w:szCs w:val="21"/>
        </w:rPr>
      </w:pPr>
      <w:r>
        <w:rPr>
          <w:rFonts w:hint="eastAsia" w:ascii="宋体" w:hAnsi="宋体" w:cs="宋体"/>
          <w:color w:val="000000"/>
          <w:kern w:val="0"/>
          <w:szCs w:val="21"/>
        </w:rPr>
        <w:t>（4）CA证书在线解密：供应商竞标时，需携带制作响应文件时用来加密的有效数字证书（CA认证）登录“广西政府采购云平台”电子开标大厅现场按规定时间对加密的响应文件进行解密，否则后果自负。</w:t>
      </w:r>
    </w:p>
    <w:p w14:paraId="37F90662">
      <w:pPr>
        <w:wordWrap w:val="0"/>
        <w:spacing w:line="360" w:lineRule="auto"/>
        <w:ind w:firstLine="482" w:firstLineChars="200"/>
        <w:rPr>
          <w:rFonts w:hint="eastAsia" w:ascii="宋体" w:hAnsi="宋体" w:cs="宋体"/>
          <w:b/>
          <w:bCs/>
          <w:sz w:val="24"/>
        </w:rPr>
      </w:pPr>
      <w:r>
        <w:rPr>
          <w:rFonts w:hint="eastAsia" w:ascii="宋体" w:hAnsi="宋体" w:cs="宋体"/>
          <w:b/>
          <w:bCs/>
          <w:sz w:val="24"/>
        </w:rPr>
        <w:t>21.首次响应文件的补充、修改与撤回</w:t>
      </w:r>
    </w:p>
    <w:p w14:paraId="0314F446">
      <w:pPr>
        <w:wordWrap w:val="0"/>
        <w:spacing w:line="360" w:lineRule="auto"/>
        <w:ind w:firstLine="420" w:firstLineChars="200"/>
        <w:rPr>
          <w:rFonts w:hint="eastAsia" w:ascii="宋体" w:hAnsi="宋体" w:cs="宋体"/>
          <w:szCs w:val="21"/>
        </w:rPr>
      </w:pPr>
      <w:r>
        <w:rPr>
          <w:rFonts w:hint="eastAsia" w:ascii="宋体" w:hAnsi="宋体" w:cs="宋体"/>
          <w:szCs w:val="21"/>
        </w:rPr>
        <w:t>供应商在响应文件提交截止时间前，可以对所提交的响应文件进行补充、修改或者撤回，并书面通知采购人、采购代理机构。补充、修改的内容作为响应文件的组成部分。补充、修改的内容与响应文件不一致的，以补充、修改的内容为准。补充、修改的内容必须由供应商的法定代表人或者其委托代理人签字或者加盖公章，在规定在</w:t>
      </w:r>
      <w:r>
        <w:rPr>
          <w:rFonts w:hint="eastAsia" w:ascii="宋体" w:hAnsi="宋体" w:cs="宋体"/>
          <w:color w:val="auto"/>
          <w:szCs w:val="21"/>
        </w:rPr>
        <w:t>广西政府采购云平台</w:t>
      </w:r>
      <w:r>
        <w:rPr>
          <w:rFonts w:hint="eastAsia" w:ascii="宋体" w:hAnsi="宋体" w:cs="宋体"/>
          <w:szCs w:val="21"/>
        </w:rPr>
        <w:t>上进行撤回及重新上传。</w:t>
      </w:r>
    </w:p>
    <w:p w14:paraId="27789EA6">
      <w:pPr>
        <w:wordWrap w:val="0"/>
        <w:spacing w:line="360" w:lineRule="auto"/>
        <w:ind w:firstLine="482" w:firstLineChars="200"/>
        <w:rPr>
          <w:rFonts w:hint="eastAsia" w:ascii="宋体" w:hAnsi="宋体" w:cs="宋体"/>
          <w:b/>
          <w:bCs/>
          <w:sz w:val="24"/>
        </w:rPr>
      </w:pPr>
      <w:r>
        <w:rPr>
          <w:rFonts w:hint="eastAsia" w:ascii="宋体" w:hAnsi="宋体" w:cs="宋体"/>
          <w:b/>
          <w:bCs/>
          <w:sz w:val="24"/>
        </w:rPr>
        <w:t>22.首次响应文件的退回</w:t>
      </w:r>
    </w:p>
    <w:p w14:paraId="4496EEF6">
      <w:pPr>
        <w:wordWrap w:val="0"/>
        <w:spacing w:line="360" w:lineRule="auto"/>
        <w:ind w:firstLine="420" w:firstLineChars="200"/>
        <w:rPr>
          <w:rFonts w:hint="eastAsia" w:ascii="宋体" w:hAnsi="宋体" w:cs="宋体"/>
          <w:szCs w:val="21"/>
        </w:rPr>
      </w:pPr>
      <w:r>
        <w:rPr>
          <w:rFonts w:hint="eastAsia" w:ascii="宋体" w:hAnsi="宋体" w:cs="宋体"/>
          <w:szCs w:val="21"/>
        </w:rPr>
        <w:t>采购人和采购代理机构对所接收的响应文件除“第四章 评审程序和评定成交的标准”第3.7条规定的情形外，在响应文件提交截止时间止提交响应文件的供应商不足3家的，应当由供应商法定代表人或者委托代理人签字领回电子备份响应文件（电子备份响应文件采用邮寄方式提交的，以到付的方式寄回至原地址），除此之外采购人和采购代理机构对已开启的响应文件概不退回。</w:t>
      </w:r>
    </w:p>
    <w:p w14:paraId="5BE955AA">
      <w:pPr>
        <w:wordWrap w:val="0"/>
        <w:spacing w:line="360" w:lineRule="auto"/>
        <w:ind w:firstLine="482" w:firstLineChars="200"/>
        <w:rPr>
          <w:rFonts w:hint="eastAsia" w:ascii="宋体" w:hAnsi="宋体" w:cs="宋体"/>
          <w:b/>
          <w:bCs/>
          <w:sz w:val="24"/>
        </w:rPr>
      </w:pPr>
      <w:r>
        <w:rPr>
          <w:rFonts w:hint="eastAsia" w:ascii="宋体" w:hAnsi="宋体" w:cs="宋体"/>
          <w:b/>
          <w:bCs/>
          <w:sz w:val="24"/>
        </w:rPr>
        <w:t>23. 截止时间后的撤回</w:t>
      </w:r>
    </w:p>
    <w:p w14:paraId="35F0DDF1">
      <w:pPr>
        <w:wordWrap w:val="0"/>
        <w:spacing w:line="360" w:lineRule="auto"/>
        <w:ind w:firstLine="420" w:firstLineChars="200"/>
        <w:rPr>
          <w:rFonts w:hint="eastAsia" w:ascii="宋体" w:hAnsi="宋体" w:cs="宋体"/>
          <w:szCs w:val="21"/>
        </w:rPr>
      </w:pPr>
      <w:r>
        <w:rPr>
          <w:rFonts w:hint="eastAsia" w:ascii="宋体" w:hAnsi="宋体" w:cs="宋体"/>
          <w:szCs w:val="21"/>
        </w:rPr>
        <w:t>供应商在响应文件提交截止时间后向采购人、采购代理机构书面申请撤回响应文件的，将根据本须知正文第17.4条的规定不予退还其竞标保证金。</w:t>
      </w:r>
    </w:p>
    <w:p w14:paraId="4F0BAE6C">
      <w:pPr>
        <w:wordWrap w:val="0"/>
        <w:spacing w:line="360" w:lineRule="auto"/>
        <w:jc w:val="center"/>
        <w:rPr>
          <w:rFonts w:hint="eastAsia" w:ascii="宋体" w:hAnsi="宋体" w:cs="宋体"/>
          <w:szCs w:val="21"/>
        </w:rPr>
      </w:pPr>
      <w:r>
        <w:rPr>
          <w:rFonts w:hint="eastAsia" w:ascii="宋体" w:hAnsi="宋体" w:cs="宋体"/>
          <w:b/>
          <w:sz w:val="32"/>
          <w:szCs w:val="32"/>
        </w:rPr>
        <w:t>四、评审及谈判</w:t>
      </w:r>
    </w:p>
    <w:p w14:paraId="7858057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宋体" w:hAnsi="宋体" w:cs="宋体"/>
          <w:b/>
          <w:bCs/>
          <w:sz w:val="24"/>
        </w:rPr>
      </w:pPr>
      <w:r>
        <w:rPr>
          <w:rFonts w:hint="eastAsia" w:ascii="宋体" w:hAnsi="宋体" w:cs="宋体"/>
          <w:b/>
          <w:bCs/>
          <w:sz w:val="24"/>
        </w:rPr>
        <w:t>24.谈判小组成立</w:t>
      </w:r>
    </w:p>
    <w:p w14:paraId="0EF12F3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szCs w:val="21"/>
        </w:rPr>
      </w:pPr>
      <w:r>
        <w:rPr>
          <w:rFonts w:hint="eastAsia" w:ascii="宋体" w:hAnsi="宋体" w:cs="宋体"/>
          <w:szCs w:val="21"/>
        </w:rPr>
        <w:t>24.1竞争性谈判小组成立：谈判小组由采购人代表和评审专家共3人以上单数组成，具体人数详见“供应商须知前附表”，其中评审专家人数不得少于竞争性谈判小组成员总数的2/3。采购人不得以评审专家身份参加本部门或者本单位采购项目的评审。采购代理机构人员不得参加本机构代理的采购项目的评审。达到公开招标数额标准的货物或者服务采购项目，或者达到招标规模标准的政府采购工程，竞争性谈判小组应当由5人以上单数组成。</w:t>
      </w:r>
    </w:p>
    <w:p w14:paraId="7C7DB06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szCs w:val="21"/>
        </w:rPr>
      </w:pPr>
      <w:r>
        <w:rPr>
          <w:rFonts w:hint="eastAsia" w:ascii="宋体" w:hAnsi="宋体" w:cs="宋体"/>
          <w:szCs w:val="21"/>
        </w:rPr>
        <w:t>24.2评审专家应当从政府采购评审专家库内相关专业的专家名单中随机抽取。技术复杂、专业性强的竞争性谈判采购项目，通过随机方式难以确定合适的评审专家的，经主管预算单位同意，可以自行选定评审专家。技术复杂、专业性强的竞争性谈判采购项目，评审专家中应当包含1名法律专家。</w:t>
      </w:r>
    </w:p>
    <w:p w14:paraId="4DE12AC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宋体" w:hAnsi="宋体" w:cs="宋体"/>
          <w:b/>
          <w:bCs/>
          <w:sz w:val="24"/>
        </w:rPr>
      </w:pPr>
      <w:r>
        <w:rPr>
          <w:rFonts w:hint="eastAsia" w:ascii="宋体" w:hAnsi="宋体" w:cs="宋体"/>
          <w:b/>
          <w:bCs/>
          <w:sz w:val="24"/>
        </w:rPr>
        <w:t>25. 首次响应文件的开启</w:t>
      </w:r>
    </w:p>
    <w:p w14:paraId="2EDBE0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eastAsia="宋体" w:cs="宋体"/>
        </w:rPr>
      </w:pPr>
      <w:r>
        <w:rPr>
          <w:rFonts w:hint="eastAsia" w:ascii="宋体" w:hAnsi="宋体" w:eastAsia="宋体" w:cs="宋体"/>
        </w:rPr>
        <w:t>25.1首次响应文件由谈判小组或者采购代理机构在“供应商须知前附表”规定的时间开启。</w:t>
      </w:r>
    </w:p>
    <w:p w14:paraId="312971A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eastAsia="宋体" w:cs="宋体"/>
        </w:rPr>
      </w:pPr>
      <w:r>
        <w:rPr>
          <w:rFonts w:hint="eastAsia" w:ascii="宋体" w:hAnsi="宋体" w:eastAsia="宋体" w:cs="宋体"/>
        </w:rPr>
        <w:t>25.2 响应文件解密：采购代理机构将在“供应商须知前附表”规定的时间通过电子交易平台组织响应文件开启，采购代理机构将依托电子交易平台发起开始解密指令，供应商的法定代表人或其委托代理人须携带加密时所用的CA锁按平台提示和采购文件的规定登录到广西政府采购云平台电子开标大厅签到并在发起解密指令之时起30分钟内完成对电子响应文件在线解密。响应文件未按时解密的，视为响应文件无效。（解密异常情况处理：详见本章26.2电子交易活动的中止。）</w:t>
      </w:r>
    </w:p>
    <w:p w14:paraId="44990A6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b/>
          <w:bCs/>
          <w:sz w:val="24"/>
        </w:rPr>
      </w:pPr>
      <w:r>
        <w:rPr>
          <w:rFonts w:hint="eastAsia" w:ascii="宋体" w:hAnsi="宋体" w:eastAsia="宋体" w:cs="宋体"/>
        </w:rPr>
        <w:t>25.3成功解密响应文件的供应商不足3家的，不得谈判。</w:t>
      </w:r>
    </w:p>
    <w:p w14:paraId="4CAB39B3">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宋体" w:hAnsi="宋体" w:cs="宋体"/>
          <w:b/>
          <w:bCs/>
          <w:sz w:val="24"/>
        </w:rPr>
      </w:pPr>
      <w:r>
        <w:rPr>
          <w:rFonts w:hint="eastAsia" w:ascii="宋体" w:hAnsi="宋体" w:cs="宋体"/>
          <w:b/>
          <w:bCs/>
          <w:sz w:val="24"/>
        </w:rPr>
        <w:t>26. 评审程序和评定成交的标准</w:t>
      </w:r>
    </w:p>
    <w:p w14:paraId="066826E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rPr>
      </w:pPr>
      <w:r>
        <w:rPr>
          <w:rFonts w:hint="eastAsia" w:ascii="宋体" w:hAnsi="宋体" w:cs="宋体"/>
          <w:lang w:val="en-US" w:eastAsia="zh-CN"/>
        </w:rPr>
        <w:t>26.1</w:t>
      </w:r>
      <w:r>
        <w:rPr>
          <w:rFonts w:hint="eastAsia" w:ascii="宋体" w:hAnsi="宋体" w:cs="宋体"/>
        </w:rPr>
        <w:t>谈判小组按照“第四章  评审程序和评定成交的标准”规定的评审程序对响应文件进行评审，并按照评定成交的标准推荐成交候选供应商。</w:t>
      </w:r>
    </w:p>
    <w:p w14:paraId="2C216B0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rPr>
      </w:pPr>
      <w:r>
        <w:rPr>
          <w:rFonts w:hint="eastAsia" w:ascii="宋体" w:hAnsi="宋体" w:cs="宋体"/>
        </w:rPr>
        <w:t>26.2电子交易活动的中止。采购过程中出现以下情形，导致电子交易平台无法正常运行，或者无法保证电子交易的公平、公正和安全时，采购机构可中止电子交易活动：</w:t>
      </w:r>
    </w:p>
    <w:p w14:paraId="3787B2A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rPr>
      </w:pPr>
      <w:r>
        <w:rPr>
          <w:rFonts w:hint="eastAsia" w:ascii="宋体" w:hAnsi="宋体" w:cs="宋体"/>
        </w:rPr>
        <w:t xml:space="preserve">（1）电子交易平台发生故障而无法登录访问的； </w:t>
      </w:r>
    </w:p>
    <w:p w14:paraId="500E2D6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rPr>
      </w:pPr>
      <w:r>
        <w:rPr>
          <w:rFonts w:hint="eastAsia" w:ascii="宋体" w:hAnsi="宋体" w:cs="宋体"/>
        </w:rPr>
        <w:t>（2）电子交易平台应用或数据库出现错误，不能进行正常操作的；</w:t>
      </w:r>
    </w:p>
    <w:p w14:paraId="37B619E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rPr>
      </w:pPr>
      <w:r>
        <w:rPr>
          <w:rFonts w:hint="eastAsia" w:ascii="宋体" w:hAnsi="宋体" w:cs="宋体"/>
        </w:rPr>
        <w:t>（3）电子交易平台发现严重安全漏洞，有潜在泄密危险的；</w:t>
      </w:r>
    </w:p>
    <w:p w14:paraId="1F3A4E2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rPr>
      </w:pPr>
      <w:r>
        <w:rPr>
          <w:rFonts w:hint="eastAsia" w:ascii="宋体" w:hAnsi="宋体" w:cs="宋体"/>
        </w:rPr>
        <w:t xml:space="preserve">（4）病毒发作导致不能进行正常操作的； </w:t>
      </w:r>
    </w:p>
    <w:p w14:paraId="3239336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rPr>
      </w:pPr>
      <w:r>
        <w:rPr>
          <w:rFonts w:hint="eastAsia" w:ascii="宋体" w:hAnsi="宋体" w:cs="宋体"/>
        </w:rPr>
        <w:t>（4）其他无法保证电子交易的公平、公正和安全的情况。</w:t>
      </w:r>
    </w:p>
    <w:p w14:paraId="56FB4D4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rPr>
      </w:pPr>
      <w:r>
        <w:rPr>
          <w:rFonts w:hint="eastAsia" w:ascii="宋体" w:hAnsi="宋体" w:cs="宋体"/>
        </w:rPr>
        <w:t>26.3出现以上情形，不影响采购公平、公正性的，采购代理机构可以待上述情形消除后继续组织电子交易活动；影响或可能影响采购公平、公正性的，经采购代理机构确认后，应当重新采购。</w:t>
      </w:r>
    </w:p>
    <w:p w14:paraId="420EF90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宋体" w:hAnsi="宋体" w:cs="宋体"/>
          <w:b/>
          <w:bCs/>
          <w:sz w:val="24"/>
        </w:rPr>
      </w:pPr>
      <w:r>
        <w:rPr>
          <w:rFonts w:hint="eastAsia" w:ascii="宋体" w:hAnsi="宋体" w:cs="宋体"/>
          <w:b/>
          <w:bCs/>
          <w:sz w:val="24"/>
        </w:rPr>
        <w:t>27.确定成交供应商及结果公告</w:t>
      </w:r>
    </w:p>
    <w:p w14:paraId="72D787E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宋体" w:hAnsi="宋体" w:cs="宋体"/>
          <w:szCs w:val="21"/>
        </w:rPr>
      </w:pPr>
      <w:r>
        <w:rPr>
          <w:rFonts w:hint="eastAsia" w:ascii="宋体" w:hAnsi="宋体" w:cs="宋体"/>
          <w:szCs w:val="21"/>
        </w:rPr>
        <w:t>27.1</w:t>
      </w:r>
      <w:r>
        <w:rPr>
          <w:rFonts w:hint="eastAsia" w:ascii="宋体" w:hAnsi="宋体" w:cs="宋体"/>
          <w:kern w:val="0"/>
          <w:szCs w:val="21"/>
        </w:rPr>
        <w:t xml:space="preserve"> 采购</w:t>
      </w:r>
      <w:r>
        <w:rPr>
          <w:rFonts w:hint="eastAsia" w:ascii="宋体" w:hAnsi="宋体" w:cs="宋体"/>
          <w:szCs w:val="21"/>
        </w:rPr>
        <w:t>代理</w:t>
      </w:r>
      <w:r>
        <w:rPr>
          <w:rFonts w:hint="eastAsia" w:ascii="宋体" w:hAnsi="宋体" w:cs="宋体"/>
          <w:kern w:val="0"/>
          <w:szCs w:val="21"/>
        </w:rPr>
        <w:t>机构应当在评审结束后2个工作日内将评审报告送采购人确认。采购人应当在收到评审报告后5个工作日内，将评审报告提出的排名第一的成交候选人确定为成交供应商，也可以书面授权谈判小组直接确定成交供应商。采购人逾期未确定成交供应商且不提出异议的，视为确定评审报告提出的排名第一的成交候选人为成交供应商。</w:t>
      </w:r>
    </w:p>
    <w:p w14:paraId="56AF144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ascii="宋体" w:hAnsi="宋体" w:cs="宋体"/>
          <w:kern w:val="0"/>
          <w:szCs w:val="21"/>
        </w:rPr>
      </w:pPr>
      <w:r>
        <w:rPr>
          <w:rFonts w:hint="eastAsia" w:ascii="宋体" w:hAnsi="宋体" w:cs="宋体"/>
          <w:kern w:val="0"/>
          <w:szCs w:val="21"/>
        </w:rPr>
        <w:t>27.2采购代理机构应当在成交供应商确定后2个工作日内，在省级以上财政部门指定的媒体上公告成交结果，同时向成交供应商发出成交通知书。采购人或者采购代理机构发出成交通知书前，应当对成交供应商信用进行查询，对列入失信被执行人、重大税收违法案件当事人名单、政府采购严重违法失信行为记录名单及其他不符合《中华人民共和国政府采购法》第二十二条规定条件的供应商，取消其成交资格，并确定排名第二的成交候选人为成交供应商。排名第二的成交候选人因上述规定的同样原因被取消成交资格的，采购人可以确定排名第三的成交候选人为成交供应商。以上信息查询记录及相关证据与谈判文件一并保存。</w:t>
      </w:r>
      <w:r>
        <w:rPr>
          <w:rFonts w:hint="eastAsia" w:ascii="宋体" w:hAnsi="宋体" w:cs="宋体"/>
          <w:szCs w:val="21"/>
        </w:rPr>
        <w:t>成交供应商享受《政府采购促进中小企业发展管理办法》（财库〔2020〕46号）规定的中小企业扶持政策的，采购人、采购代理机构应当随成交结果公开成交供应商的《中小企业声明函》。</w:t>
      </w:r>
    </w:p>
    <w:p w14:paraId="43BEE0D8">
      <w:pPr>
        <w:pStyle w:val="10"/>
        <w:keepNext w:val="0"/>
        <w:keepLines w:val="0"/>
        <w:pageBreakBefore w:val="0"/>
        <w:widowControl w:val="0"/>
        <w:kinsoku/>
        <w:overflowPunct/>
        <w:topLinePunct w:val="0"/>
        <w:autoSpaceDE/>
        <w:autoSpaceDN/>
        <w:bidi w:val="0"/>
        <w:adjustRightInd/>
        <w:snapToGrid/>
        <w:spacing w:line="420" w:lineRule="exact"/>
        <w:ind w:firstLine="420" w:firstLineChars="200"/>
        <w:textAlignment w:val="auto"/>
        <w:rPr>
          <w:rFonts w:hint="eastAsia" w:ascii="宋体" w:hAnsi="宋体" w:cs="宋体"/>
          <w:szCs w:val="21"/>
        </w:rPr>
      </w:pPr>
      <w:r>
        <w:rPr>
          <w:rFonts w:hint="eastAsia" w:ascii="宋体" w:hAnsi="宋体" w:cs="宋体"/>
          <w:szCs w:val="21"/>
        </w:rPr>
        <w:t>27.3出现下列情形之一的，采购人或者采购代理机构应当终止竞争性谈判采购活动，发布项目终止公告并说明原因，重新开展采购活动：</w:t>
      </w:r>
      <w:r>
        <w:rPr>
          <w:rFonts w:hint="eastAsia" w:ascii="宋体" w:hAnsi="宋体" w:cs="宋体"/>
          <w:szCs w:val="21"/>
        </w:rPr>
        <w:br w:type="textWrapping"/>
      </w:r>
      <w:r>
        <w:rPr>
          <w:rFonts w:hint="eastAsia" w:ascii="宋体" w:hAnsi="宋体" w:cs="宋体"/>
          <w:szCs w:val="21"/>
        </w:rPr>
        <w:t>　　（一）因情况变化，不再符合规定的竞争性谈判采购方式适用情形的；</w:t>
      </w:r>
      <w:r>
        <w:rPr>
          <w:rFonts w:hint="eastAsia" w:ascii="宋体" w:hAnsi="宋体" w:cs="宋体"/>
          <w:szCs w:val="21"/>
        </w:rPr>
        <w:br w:type="textWrapping"/>
      </w:r>
      <w:r>
        <w:rPr>
          <w:rFonts w:hint="eastAsia" w:ascii="宋体" w:hAnsi="宋体" w:cs="宋体"/>
          <w:szCs w:val="21"/>
        </w:rPr>
        <w:t>　　（二）出现影响采购公正的违法、违规行为的；</w:t>
      </w:r>
      <w:r>
        <w:rPr>
          <w:rFonts w:hint="eastAsia" w:ascii="宋体" w:hAnsi="宋体" w:cs="宋体"/>
          <w:szCs w:val="21"/>
        </w:rPr>
        <w:br w:type="textWrapping"/>
      </w:r>
      <w:r>
        <w:rPr>
          <w:rFonts w:hint="eastAsia" w:ascii="宋体" w:hAnsi="宋体" w:cs="宋体"/>
          <w:szCs w:val="21"/>
        </w:rPr>
        <w:t>　　（三）在采购过程中符合竞争要求的供应商或者报价未超过采购预算的供应商不足3家的，但“第四章 评审程序和评定成交的标准”第3.7条规定的情形除外。</w:t>
      </w:r>
    </w:p>
    <w:p w14:paraId="0D97DE4B">
      <w:pPr>
        <w:pStyle w:val="10"/>
        <w:keepNext w:val="0"/>
        <w:keepLines w:val="0"/>
        <w:pageBreakBefore w:val="0"/>
        <w:widowControl w:val="0"/>
        <w:kinsoku/>
        <w:overflowPunct/>
        <w:topLinePunct w:val="0"/>
        <w:autoSpaceDE/>
        <w:autoSpaceDN/>
        <w:bidi w:val="0"/>
        <w:adjustRightInd/>
        <w:snapToGrid/>
        <w:spacing w:line="420" w:lineRule="exact"/>
        <w:ind w:firstLine="420" w:firstLineChars="200"/>
        <w:textAlignment w:val="auto"/>
        <w:rPr>
          <w:rFonts w:hint="eastAsia" w:ascii="宋体" w:hAnsi="宋体" w:cs="宋体"/>
          <w:szCs w:val="21"/>
        </w:rPr>
      </w:pPr>
      <w:r>
        <w:rPr>
          <w:rFonts w:hint="eastAsia" w:ascii="宋体" w:hAnsi="宋体" w:cs="宋体"/>
          <w:szCs w:val="21"/>
        </w:rPr>
        <w:t>27.4在采购活动中因重大变故，采购任务取消的，采购人或者采购代理机构应当终止采购活动，通知所有参加采购活动的供应商，并将项目实施情况和采购任务取消原因报送本级财政部门。</w:t>
      </w:r>
    </w:p>
    <w:p w14:paraId="0A369C60">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szCs w:val="21"/>
        </w:rPr>
      </w:pPr>
      <w:r>
        <w:rPr>
          <w:rFonts w:hint="eastAsia" w:ascii="宋体" w:hAnsi="宋体" w:cs="宋体"/>
          <w:bCs/>
          <w:szCs w:val="21"/>
        </w:rPr>
        <w:t>27.5</w:t>
      </w:r>
      <w:r>
        <w:rPr>
          <w:rFonts w:hint="eastAsia" w:ascii="宋体" w:hAnsi="宋体" w:cs="宋体"/>
          <w:szCs w:val="21"/>
        </w:rPr>
        <w:t>成交供应商拒绝签订政府采购合同（包括但不限于放弃成交、因不可抗力不能履行合同而放弃签订合同），采购人可以按照评审报告推荐的成交候选人名单排序，确定下一候选人为成交供应商，也可以重新开展政府采购活动。</w:t>
      </w:r>
    </w:p>
    <w:p w14:paraId="0715101D">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宋体" w:hAnsi="宋体" w:cs="宋体"/>
          <w:b/>
          <w:bCs/>
          <w:sz w:val="24"/>
        </w:rPr>
      </w:pPr>
      <w:r>
        <w:rPr>
          <w:rFonts w:hint="eastAsia" w:ascii="宋体" w:hAnsi="宋体" w:cs="宋体"/>
          <w:b/>
          <w:bCs/>
          <w:sz w:val="24"/>
        </w:rPr>
        <w:t>28.履约保证金</w:t>
      </w:r>
    </w:p>
    <w:p w14:paraId="1339F5D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left"/>
        <w:textAlignment w:val="auto"/>
        <w:rPr>
          <w:rFonts w:hint="eastAsia" w:ascii="宋体" w:hAnsi="宋体" w:cs="宋体"/>
          <w:bCs/>
          <w:szCs w:val="21"/>
        </w:rPr>
      </w:pPr>
      <w:r>
        <w:rPr>
          <w:rFonts w:hint="eastAsia" w:ascii="宋体" w:hAnsi="宋体" w:cs="宋体"/>
          <w:bCs/>
          <w:szCs w:val="21"/>
        </w:rPr>
        <w:t>28.1履约保证金的金额、提交方式、退付的时间和条件详见 “供应商须知前附表”。成交供应商未按规定提交履约保证金的，视为拒绝与采购人签订合同，采购人可以按照评审报告推荐的成交候选人名单排序，确定下一候选人为成交供应商，也可以重新开展政府采购活动。</w:t>
      </w:r>
    </w:p>
    <w:p w14:paraId="6EE6419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left"/>
        <w:textAlignment w:val="auto"/>
        <w:rPr>
          <w:rFonts w:hint="eastAsia" w:ascii="宋体" w:hAnsi="宋体" w:cs="宋体"/>
          <w:bCs/>
          <w:szCs w:val="21"/>
        </w:rPr>
      </w:pPr>
      <w:r>
        <w:rPr>
          <w:rFonts w:hint="eastAsia" w:ascii="宋体" w:hAnsi="宋体" w:cs="宋体"/>
          <w:bCs/>
          <w:szCs w:val="21"/>
        </w:rPr>
        <w:t>28.2签订合同后，如成交供应商不按双方签订的合同规定履约，则没收其全部履约保证金，履约保证金不足以赔偿损失的，按实际损失赔偿。</w:t>
      </w:r>
    </w:p>
    <w:p w14:paraId="5855DEA5">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left"/>
        <w:textAlignment w:val="auto"/>
        <w:rPr>
          <w:rFonts w:hint="eastAsia" w:ascii="宋体" w:hAnsi="宋体" w:cs="宋体"/>
          <w:bCs/>
          <w:szCs w:val="21"/>
        </w:rPr>
      </w:pPr>
      <w:r>
        <w:rPr>
          <w:rFonts w:hint="eastAsia" w:ascii="宋体" w:hAnsi="宋体" w:cs="宋体"/>
          <w:bCs/>
          <w:szCs w:val="21"/>
        </w:rPr>
        <w:t>28.3在履约保证金退还日期前，若成交供应商的开户名称、开户银行、</w:t>
      </w:r>
      <w:r>
        <w:rPr>
          <w:rFonts w:hint="eastAsia" w:ascii="宋体" w:hAnsi="宋体" w:cs="宋体"/>
          <w:bCs/>
          <w:szCs w:val="21"/>
          <w:lang w:eastAsia="zh-CN"/>
        </w:rPr>
        <w:t>账号</w:t>
      </w:r>
      <w:r>
        <w:rPr>
          <w:rFonts w:hint="eastAsia" w:ascii="宋体" w:hAnsi="宋体" w:cs="宋体"/>
          <w:bCs/>
          <w:szCs w:val="21"/>
        </w:rPr>
        <w:t>有变动的，请以书面形式通知履约保证金收取单位，否则由此产生的后果由成交供应商自负。</w:t>
      </w:r>
    </w:p>
    <w:p w14:paraId="74B0D284">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宋体" w:hAnsi="宋体" w:cs="宋体"/>
          <w:b/>
          <w:bCs/>
          <w:sz w:val="24"/>
        </w:rPr>
      </w:pPr>
      <w:r>
        <w:rPr>
          <w:rFonts w:hint="eastAsia" w:ascii="宋体" w:hAnsi="宋体" w:cs="宋体"/>
          <w:b/>
          <w:bCs/>
          <w:sz w:val="24"/>
        </w:rPr>
        <w:t>29.签订合同</w:t>
      </w:r>
    </w:p>
    <w:p w14:paraId="5D0E60E7">
      <w:pPr>
        <w:keepNext w:val="0"/>
        <w:keepLines w:val="0"/>
        <w:pageBreakBefore w:val="0"/>
        <w:widowControl w:val="0"/>
        <w:kinsoku/>
        <w:overflowPunct/>
        <w:topLinePunct w:val="0"/>
        <w:autoSpaceDE/>
        <w:autoSpaceDN/>
        <w:bidi w:val="0"/>
        <w:adjustRightInd/>
        <w:snapToGrid/>
        <w:spacing w:line="420" w:lineRule="exact"/>
        <w:ind w:firstLine="424" w:firstLineChars="202"/>
        <w:textAlignment w:val="auto"/>
        <w:rPr>
          <w:rFonts w:hint="eastAsia" w:ascii="宋体" w:hAnsi="宋体" w:cs="宋体"/>
          <w:szCs w:val="21"/>
        </w:rPr>
      </w:pPr>
      <w:r>
        <w:rPr>
          <w:rFonts w:hint="eastAsia" w:ascii="宋体" w:hAnsi="宋体" w:cs="宋体"/>
          <w:szCs w:val="21"/>
        </w:rPr>
        <w:t>29.1成交供应商在收到成交通知书后，按“供应商须知前附表”规定向采购人出示相关证明材料，经采购人核验合格后方可签订合同。</w:t>
      </w:r>
    </w:p>
    <w:p w14:paraId="2C8BD7AA">
      <w:pPr>
        <w:keepNext w:val="0"/>
        <w:keepLines w:val="0"/>
        <w:pageBreakBefore w:val="0"/>
        <w:widowControl w:val="0"/>
        <w:kinsoku/>
        <w:overflowPunct/>
        <w:topLinePunct w:val="0"/>
        <w:autoSpaceDE/>
        <w:autoSpaceDN/>
        <w:bidi w:val="0"/>
        <w:adjustRightInd/>
        <w:snapToGrid/>
        <w:spacing w:line="420" w:lineRule="exact"/>
        <w:ind w:firstLine="424" w:firstLineChars="202"/>
        <w:textAlignment w:val="auto"/>
        <w:rPr>
          <w:rFonts w:hint="eastAsia" w:ascii="宋体" w:hAnsi="宋体" w:cs="宋体"/>
          <w:szCs w:val="21"/>
        </w:rPr>
      </w:pPr>
      <w:r>
        <w:rPr>
          <w:rFonts w:hint="eastAsia" w:ascii="宋体" w:hAnsi="宋体" w:cs="宋体"/>
          <w:szCs w:val="21"/>
        </w:rPr>
        <w:t>29.2 签订合同时间：按成交通知书的规定与采购人签订政府采购合同。</w:t>
      </w:r>
    </w:p>
    <w:p w14:paraId="75071654">
      <w:pPr>
        <w:keepNext w:val="0"/>
        <w:keepLines w:val="0"/>
        <w:pageBreakBefore w:val="0"/>
        <w:widowControl w:val="0"/>
        <w:kinsoku/>
        <w:wordWrap w:val="0"/>
        <w:overflowPunct/>
        <w:topLinePunct w:val="0"/>
        <w:autoSpaceDE/>
        <w:autoSpaceDN/>
        <w:bidi w:val="0"/>
        <w:adjustRightInd/>
        <w:snapToGrid/>
        <w:spacing w:line="420" w:lineRule="exact"/>
        <w:ind w:firstLine="424" w:firstLineChars="202"/>
        <w:textAlignment w:val="auto"/>
        <w:rPr>
          <w:rFonts w:hint="eastAsia" w:ascii="宋体" w:hAnsi="宋体" w:cs="宋体"/>
          <w:szCs w:val="21"/>
        </w:rPr>
      </w:pPr>
      <w:r>
        <w:rPr>
          <w:rFonts w:hint="eastAsia" w:ascii="宋体" w:hAnsi="宋体" w:cs="宋体"/>
          <w:szCs w:val="21"/>
        </w:rPr>
        <w:t>29.3成交供应商拒绝与采购人签订合同的，按照本须知正文第27.4条的规定确定成交供应商。</w:t>
      </w:r>
    </w:p>
    <w:p w14:paraId="43A335BE">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宋体" w:hAnsi="宋体" w:cs="宋体"/>
          <w:b/>
          <w:bCs/>
          <w:sz w:val="24"/>
        </w:rPr>
      </w:pPr>
      <w:r>
        <w:rPr>
          <w:rFonts w:hint="eastAsia" w:ascii="宋体" w:hAnsi="宋体" w:cs="宋体"/>
          <w:b/>
          <w:bCs/>
          <w:sz w:val="24"/>
        </w:rPr>
        <w:t>30.政府采购合同公告</w:t>
      </w:r>
    </w:p>
    <w:p w14:paraId="4661E240">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szCs w:val="21"/>
        </w:rPr>
      </w:pPr>
      <w:r>
        <w:rPr>
          <w:rFonts w:hint="eastAsia" w:ascii="宋体" w:hAnsi="宋体" w:cs="宋体"/>
          <w:szCs w:val="21"/>
        </w:rPr>
        <w:t>根据《中华人民共和国政府采购法实施条例》第五十条规定，采购人应当自政府采购合同签订之日起2个工作日内，将政府采购合同在省级以上人民政府财政部门指定的媒体上公告，但政府采购合同中涉及国家秘密、商业秘密的内容除外。</w:t>
      </w:r>
    </w:p>
    <w:p w14:paraId="23DCFDF9">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宋体" w:hAnsi="宋体" w:cs="宋体"/>
          <w:b/>
          <w:bCs/>
          <w:sz w:val="24"/>
        </w:rPr>
      </w:pPr>
      <w:r>
        <w:rPr>
          <w:rFonts w:hint="eastAsia" w:ascii="宋体" w:hAnsi="宋体" w:cs="宋体"/>
          <w:b/>
          <w:bCs/>
          <w:sz w:val="24"/>
        </w:rPr>
        <w:t>31. 询问、质疑和投诉</w:t>
      </w:r>
    </w:p>
    <w:p w14:paraId="2696C13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31.1供应商对政府采购活动事项有疑问的，可以向采购人、采购代理机构提出询问，采购人或者采购代理机构应当在3个工作日内对供应商依法提出的询问作出答复，但答复的内容不得涉及商业秘密。</w:t>
      </w:r>
    </w:p>
    <w:p w14:paraId="2B7062DE">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31.2供应商认为谈判文件、采购过程或者成交结果使自己的合法权益受到损害的，应当在知道或者应知其权益受到损害之日起7个工作日内，以书面形式向采购人、采购代理机构提出质疑，</w:t>
      </w:r>
      <w:r>
        <w:rPr>
          <w:rFonts w:hint="eastAsia" w:ascii="宋体" w:hAnsi="宋体" w:cs="宋体"/>
          <w:shd w:val="clear" w:color="auto" w:fill="FFFFFF"/>
        </w:rPr>
        <w:t>接收质疑函的方式、联系部门、联系电话和通讯地址等信息</w:t>
      </w:r>
      <w:r>
        <w:rPr>
          <w:rFonts w:hint="eastAsia" w:ascii="宋体" w:hAnsi="宋体" w:cs="宋体"/>
          <w:szCs w:val="21"/>
        </w:rPr>
        <w:t>详见“供应商须知前附表”</w:t>
      </w:r>
      <w:r>
        <w:rPr>
          <w:rFonts w:hint="eastAsia" w:ascii="宋体" w:hAnsi="宋体" w:cs="宋体"/>
        </w:rPr>
        <w:t>。具体质疑起算时间如下：</w:t>
      </w:r>
    </w:p>
    <w:p w14:paraId="7237AD71">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（1）对可以质疑的谈判文件提出质疑的，为获取谈判文件之日；</w:t>
      </w:r>
    </w:p>
    <w:p w14:paraId="2DC13045">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（2）对采购过程提出质疑的，为各采购程序环节结束之日；</w:t>
      </w:r>
    </w:p>
    <w:p w14:paraId="2BABC4C0">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（3）对成交结果提出质疑的，为成交结果公告期限届满之日。</w:t>
      </w:r>
    </w:p>
    <w:p w14:paraId="2C79306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31.3供应商提出的询问或者质疑超出采购人对采购代理机构委托授权范围的，采购代理机构应当告知供应商向采购人提出。政府采购评审专家应当配合采购人或者采购代理机构答复供应商的询问和质疑。</w:t>
      </w:r>
    </w:p>
    <w:p w14:paraId="48650901">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31.4供应商提出质疑应当提交质疑函和必要的证明材料，针对同一采购程序环节的质疑必须在法定质疑期内一次性提出。质疑函应当包括下列内容</w:t>
      </w:r>
      <w:r>
        <w:rPr>
          <w:rFonts w:hint="eastAsia" w:ascii="宋体" w:hAnsi="宋体" w:cs="宋体"/>
          <w:bCs/>
        </w:rPr>
        <w:t>（质疑函格式后附）</w:t>
      </w:r>
      <w:r>
        <w:rPr>
          <w:rFonts w:hint="eastAsia" w:ascii="宋体" w:hAnsi="宋体" w:cs="宋体"/>
        </w:rPr>
        <w:t>：</w:t>
      </w:r>
    </w:p>
    <w:p w14:paraId="50BF46D1">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（1）供应商的姓名或者名称、地址、邮编、联系人及联系电话；</w:t>
      </w:r>
    </w:p>
    <w:p w14:paraId="11063021">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（2）质疑项目的名称、编号；</w:t>
      </w:r>
    </w:p>
    <w:p w14:paraId="07F0D6A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（3）具体、明确的质疑事项和与质疑事项相关的请求；</w:t>
      </w:r>
    </w:p>
    <w:p w14:paraId="557B7E2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（4）事实依据；</w:t>
      </w:r>
    </w:p>
    <w:p w14:paraId="00DFF06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（5）必要的法律依据；</w:t>
      </w:r>
    </w:p>
    <w:p w14:paraId="2309F3A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（6）提出质疑的日期。</w:t>
      </w:r>
    </w:p>
    <w:p w14:paraId="61C1E0AE">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31.5采购人、采购代理机构认为供应商质疑不成立，或者成立但未对成交结果构成影响的，继续开展采购活动；认为供应商质疑成立且影响或者可能影响成交结果的，按照下列情况处理：</w:t>
      </w:r>
    </w:p>
    <w:p w14:paraId="4C47C6A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（一）对采购文件提出的质疑，依法通过澄清或者修改可以继续开展采购活动的，澄清或者修改采购文件后继续开展采购活动；否则应当修改采购文件后重新开展采购活动。</w:t>
      </w:r>
    </w:p>
    <w:p w14:paraId="59E8724D">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（二）对采购过程或者成交结果提出的质疑，合格供应商符合法定数量时，可以从合格的成交候选人中另行确定成交供应商的，应当依法另行确定成交供应商；否则应当重新开展采购活动。</w:t>
      </w:r>
    </w:p>
    <w:p w14:paraId="1BC4B1B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rPr>
      </w:pPr>
      <w:r>
        <w:rPr>
          <w:rFonts w:hint="eastAsia" w:ascii="宋体" w:hAnsi="宋体" w:cs="宋体"/>
        </w:rPr>
        <w:t>质疑答复导致成交结果改变的，采购人或者采购代理机构应当将有关情况书面报告本级财政部门。</w:t>
      </w:r>
    </w:p>
    <w:p w14:paraId="05911ACA">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eastAsia" w:ascii="宋体" w:hAnsi="宋体" w:cs="宋体"/>
          <w:b/>
          <w:bCs/>
          <w:szCs w:val="21"/>
        </w:rPr>
      </w:pPr>
      <w:r>
        <w:rPr>
          <w:rFonts w:hint="eastAsia" w:ascii="宋体" w:hAnsi="宋体" w:cs="宋体"/>
        </w:rPr>
        <w:t>31.6质疑供应商对采购人、采购代理机构的答复不满意，或者采购人、采购代理机构未在规定时间内作出答复的，可以在答复期满后15个工作日内向《政府采购质疑和投诉办法》（财政部令第94号）第六条规定的财政部门提起投诉（投诉书格式后附）。</w:t>
      </w:r>
    </w:p>
    <w:p w14:paraId="77F76892">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宋体" w:hAnsi="宋体" w:cs="宋体"/>
          <w:b/>
          <w:bCs/>
          <w:sz w:val="24"/>
        </w:rPr>
      </w:pPr>
      <w:r>
        <w:rPr>
          <w:rFonts w:hint="eastAsia" w:ascii="宋体" w:hAnsi="宋体" w:cs="宋体"/>
          <w:b/>
          <w:bCs/>
          <w:sz w:val="24"/>
        </w:rPr>
        <w:t>32.其他内容</w:t>
      </w:r>
    </w:p>
    <w:p w14:paraId="1D2BEF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contextualSpacing/>
        <w:textAlignment w:val="auto"/>
        <w:rPr>
          <w:rFonts w:hint="eastAsia" w:ascii="宋体" w:hAnsi="宋体" w:cs="宋体"/>
          <w:szCs w:val="21"/>
        </w:rPr>
      </w:pPr>
      <w:r>
        <w:rPr>
          <w:rFonts w:hint="eastAsia" w:ascii="宋体" w:hAnsi="宋体" w:cs="宋体"/>
          <w:szCs w:val="21"/>
        </w:rPr>
        <w:t>32.1代理服务收取标准详见“供应商须知前附表”，供应商为联合体的，可以由联合体中的一方或者多方共同交纳代理服务费。</w:t>
      </w:r>
    </w:p>
    <w:tbl>
      <w:tblPr>
        <w:tblStyle w:val="30"/>
        <w:tblW w:w="0" w:type="auto"/>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2"/>
        <w:gridCol w:w="1659"/>
        <w:gridCol w:w="1798"/>
        <w:gridCol w:w="1860"/>
      </w:tblGrid>
      <w:tr w14:paraId="10E52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l2br w:val="single" w:color="auto" w:sz="4" w:space="0"/>
            </w:tcBorders>
            <w:noWrap w:val="0"/>
            <w:vAlign w:val="top"/>
          </w:tcPr>
          <w:p w14:paraId="664FC3E6">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 xml:space="preserve">               费率</w:t>
            </w:r>
          </w:p>
          <w:p w14:paraId="00284D9C">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金额</w:t>
            </w:r>
          </w:p>
        </w:tc>
        <w:tc>
          <w:tcPr>
            <w:tcW w:w="1659" w:type="dxa"/>
            <w:noWrap w:val="0"/>
            <w:vAlign w:val="center"/>
          </w:tcPr>
          <w:p w14:paraId="1FE5ED5D">
            <w:pPr>
              <w:keepNext w:val="0"/>
              <w:keepLines w:val="0"/>
              <w:pageBreakBefore w:val="0"/>
              <w:widowControl w:val="0"/>
              <w:kinsoku/>
              <w:overflowPunct/>
              <w:topLinePunct w:val="0"/>
              <w:autoSpaceDE/>
              <w:autoSpaceDN/>
              <w:bidi w:val="0"/>
              <w:adjustRightInd/>
              <w:snapToGrid/>
              <w:spacing w:line="420" w:lineRule="exact"/>
              <w:ind w:firstLine="105" w:firstLineChars="50"/>
              <w:jc w:val="center"/>
              <w:textAlignment w:val="auto"/>
              <w:rPr>
                <w:rFonts w:hint="eastAsia" w:ascii="宋体" w:hAnsi="宋体" w:cs="宋体"/>
                <w:szCs w:val="21"/>
              </w:rPr>
            </w:pPr>
            <w:r>
              <w:rPr>
                <w:rFonts w:hint="eastAsia" w:ascii="宋体" w:hAnsi="宋体" w:cs="宋体"/>
                <w:szCs w:val="21"/>
              </w:rPr>
              <w:t>货物类</w:t>
            </w:r>
          </w:p>
        </w:tc>
        <w:tc>
          <w:tcPr>
            <w:tcW w:w="1798" w:type="dxa"/>
            <w:noWrap w:val="0"/>
            <w:vAlign w:val="center"/>
          </w:tcPr>
          <w:p w14:paraId="48BA336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szCs w:val="21"/>
              </w:rPr>
              <w:t>服务类</w:t>
            </w:r>
          </w:p>
        </w:tc>
        <w:tc>
          <w:tcPr>
            <w:tcW w:w="1860" w:type="dxa"/>
            <w:noWrap w:val="0"/>
            <w:vAlign w:val="center"/>
          </w:tcPr>
          <w:p w14:paraId="2DFDFE72">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szCs w:val="21"/>
              </w:rPr>
              <w:t>工程类</w:t>
            </w:r>
          </w:p>
        </w:tc>
      </w:tr>
      <w:tr w14:paraId="6F2A8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713154CC">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100万元以下</w:t>
            </w:r>
          </w:p>
        </w:tc>
        <w:tc>
          <w:tcPr>
            <w:tcW w:w="1659" w:type="dxa"/>
            <w:noWrap w:val="0"/>
            <w:vAlign w:val="top"/>
          </w:tcPr>
          <w:p w14:paraId="4E1A951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kern w:val="0"/>
                <w:szCs w:val="21"/>
              </w:rPr>
              <w:t>1.5%</w:t>
            </w:r>
          </w:p>
        </w:tc>
        <w:tc>
          <w:tcPr>
            <w:tcW w:w="1798" w:type="dxa"/>
            <w:noWrap w:val="0"/>
            <w:vAlign w:val="top"/>
          </w:tcPr>
          <w:p w14:paraId="66451028">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1.5%</w:t>
            </w:r>
          </w:p>
        </w:tc>
        <w:tc>
          <w:tcPr>
            <w:tcW w:w="1860" w:type="dxa"/>
            <w:noWrap w:val="0"/>
            <w:vAlign w:val="top"/>
          </w:tcPr>
          <w:p w14:paraId="00F4B78E">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1.0%</w:t>
            </w:r>
          </w:p>
        </w:tc>
      </w:tr>
      <w:tr w14:paraId="7AD20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1B473FC7">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100～500万元</w:t>
            </w:r>
          </w:p>
        </w:tc>
        <w:tc>
          <w:tcPr>
            <w:tcW w:w="1659" w:type="dxa"/>
            <w:noWrap w:val="0"/>
            <w:vAlign w:val="top"/>
          </w:tcPr>
          <w:p w14:paraId="2C762BB1">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1.1%</w:t>
            </w:r>
          </w:p>
        </w:tc>
        <w:tc>
          <w:tcPr>
            <w:tcW w:w="1798" w:type="dxa"/>
            <w:noWrap w:val="0"/>
            <w:vAlign w:val="top"/>
          </w:tcPr>
          <w:p w14:paraId="62E73D9F">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0.8%</w:t>
            </w:r>
          </w:p>
        </w:tc>
        <w:tc>
          <w:tcPr>
            <w:tcW w:w="1860" w:type="dxa"/>
            <w:noWrap w:val="0"/>
            <w:vAlign w:val="top"/>
          </w:tcPr>
          <w:p w14:paraId="0ABCC945">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0.7%</w:t>
            </w:r>
          </w:p>
        </w:tc>
      </w:tr>
      <w:tr w14:paraId="5CFF0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6EC483CF">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500～1000万元</w:t>
            </w:r>
          </w:p>
        </w:tc>
        <w:tc>
          <w:tcPr>
            <w:tcW w:w="1659" w:type="dxa"/>
            <w:noWrap w:val="0"/>
            <w:vAlign w:val="top"/>
          </w:tcPr>
          <w:p w14:paraId="6DC23F7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kern w:val="0"/>
                <w:szCs w:val="21"/>
              </w:rPr>
              <w:t>0.8%</w:t>
            </w:r>
          </w:p>
        </w:tc>
        <w:tc>
          <w:tcPr>
            <w:tcW w:w="1798" w:type="dxa"/>
            <w:noWrap w:val="0"/>
            <w:vAlign w:val="top"/>
          </w:tcPr>
          <w:p w14:paraId="18F9C878">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0.45%</w:t>
            </w:r>
          </w:p>
        </w:tc>
        <w:tc>
          <w:tcPr>
            <w:tcW w:w="1860" w:type="dxa"/>
            <w:noWrap w:val="0"/>
            <w:vAlign w:val="top"/>
          </w:tcPr>
          <w:p w14:paraId="184DB63C">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0.55%</w:t>
            </w:r>
          </w:p>
        </w:tc>
      </w:tr>
      <w:tr w14:paraId="5D080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5BDB8EB3">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1000～5000万元</w:t>
            </w:r>
          </w:p>
        </w:tc>
        <w:tc>
          <w:tcPr>
            <w:tcW w:w="1659" w:type="dxa"/>
            <w:noWrap w:val="0"/>
            <w:vAlign w:val="top"/>
          </w:tcPr>
          <w:p w14:paraId="05320EB6">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0.5%</w:t>
            </w:r>
          </w:p>
        </w:tc>
        <w:tc>
          <w:tcPr>
            <w:tcW w:w="1798" w:type="dxa"/>
            <w:noWrap w:val="0"/>
            <w:vAlign w:val="top"/>
          </w:tcPr>
          <w:p w14:paraId="5865853F">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0.25%</w:t>
            </w:r>
          </w:p>
        </w:tc>
        <w:tc>
          <w:tcPr>
            <w:tcW w:w="1860" w:type="dxa"/>
            <w:noWrap w:val="0"/>
            <w:vAlign w:val="top"/>
          </w:tcPr>
          <w:p w14:paraId="012E705B">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0.35%</w:t>
            </w:r>
          </w:p>
        </w:tc>
      </w:tr>
      <w:tr w14:paraId="284E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0197B9D8">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5000万元～1亿元</w:t>
            </w:r>
          </w:p>
        </w:tc>
        <w:tc>
          <w:tcPr>
            <w:tcW w:w="1659" w:type="dxa"/>
            <w:noWrap w:val="0"/>
            <w:vAlign w:val="top"/>
          </w:tcPr>
          <w:p w14:paraId="1179811C">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0.25%</w:t>
            </w:r>
          </w:p>
        </w:tc>
        <w:tc>
          <w:tcPr>
            <w:tcW w:w="1798" w:type="dxa"/>
            <w:noWrap w:val="0"/>
            <w:vAlign w:val="top"/>
          </w:tcPr>
          <w:p w14:paraId="5B6EC013">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0.1%</w:t>
            </w:r>
          </w:p>
        </w:tc>
        <w:tc>
          <w:tcPr>
            <w:tcW w:w="1860" w:type="dxa"/>
            <w:noWrap w:val="0"/>
            <w:vAlign w:val="top"/>
          </w:tcPr>
          <w:p w14:paraId="4E8F0B02">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kern w:val="0"/>
                <w:szCs w:val="21"/>
              </w:rPr>
              <w:t>0.2%</w:t>
            </w:r>
          </w:p>
        </w:tc>
      </w:tr>
      <w:tr w14:paraId="47694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62A18DBA">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1～5亿元</w:t>
            </w:r>
          </w:p>
        </w:tc>
        <w:tc>
          <w:tcPr>
            <w:tcW w:w="1659" w:type="dxa"/>
            <w:noWrap w:val="0"/>
            <w:vAlign w:val="top"/>
          </w:tcPr>
          <w:p w14:paraId="118F6AF2">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szCs w:val="21"/>
              </w:rPr>
              <w:t>0.05%</w:t>
            </w:r>
          </w:p>
        </w:tc>
        <w:tc>
          <w:tcPr>
            <w:tcW w:w="1798" w:type="dxa"/>
            <w:noWrap w:val="0"/>
            <w:vAlign w:val="top"/>
          </w:tcPr>
          <w:p w14:paraId="65C5F47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szCs w:val="21"/>
              </w:rPr>
              <w:t>0.05%</w:t>
            </w:r>
          </w:p>
        </w:tc>
        <w:tc>
          <w:tcPr>
            <w:tcW w:w="1860" w:type="dxa"/>
            <w:noWrap w:val="0"/>
            <w:vAlign w:val="top"/>
          </w:tcPr>
          <w:p w14:paraId="6DA733E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szCs w:val="21"/>
              </w:rPr>
              <w:t>0.05%</w:t>
            </w:r>
          </w:p>
        </w:tc>
      </w:tr>
      <w:tr w14:paraId="14C26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3BD548D8">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5～10亿元</w:t>
            </w:r>
          </w:p>
        </w:tc>
        <w:tc>
          <w:tcPr>
            <w:tcW w:w="1659" w:type="dxa"/>
            <w:noWrap w:val="0"/>
            <w:vAlign w:val="top"/>
          </w:tcPr>
          <w:p w14:paraId="61974E59">
            <w:pPr>
              <w:keepNext w:val="0"/>
              <w:keepLines w:val="0"/>
              <w:pageBreakBefore w:val="0"/>
              <w:widowControl w:val="0"/>
              <w:kinsoku/>
              <w:overflowPunct/>
              <w:topLinePunct w:val="0"/>
              <w:autoSpaceDE/>
              <w:autoSpaceDN/>
              <w:bidi w:val="0"/>
              <w:adjustRightInd/>
              <w:snapToGrid/>
              <w:spacing w:line="420" w:lineRule="exact"/>
              <w:ind w:firstLine="105" w:firstLineChars="50"/>
              <w:jc w:val="center"/>
              <w:textAlignment w:val="auto"/>
              <w:rPr>
                <w:rFonts w:hint="eastAsia" w:ascii="宋体" w:hAnsi="宋体" w:cs="宋体"/>
                <w:szCs w:val="21"/>
              </w:rPr>
            </w:pPr>
            <w:r>
              <w:rPr>
                <w:rFonts w:hint="eastAsia" w:ascii="宋体" w:hAnsi="宋体" w:cs="宋体"/>
                <w:szCs w:val="21"/>
              </w:rPr>
              <w:t>0.035%</w:t>
            </w:r>
          </w:p>
        </w:tc>
        <w:tc>
          <w:tcPr>
            <w:tcW w:w="1798" w:type="dxa"/>
            <w:noWrap w:val="0"/>
            <w:vAlign w:val="top"/>
          </w:tcPr>
          <w:p w14:paraId="15882921">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szCs w:val="21"/>
              </w:rPr>
              <w:t>0.035%</w:t>
            </w:r>
          </w:p>
        </w:tc>
        <w:tc>
          <w:tcPr>
            <w:tcW w:w="1860" w:type="dxa"/>
            <w:noWrap w:val="0"/>
            <w:vAlign w:val="top"/>
          </w:tcPr>
          <w:p w14:paraId="5CDC1A3D">
            <w:pPr>
              <w:keepNext w:val="0"/>
              <w:keepLines w:val="0"/>
              <w:pageBreakBefore w:val="0"/>
              <w:widowControl w:val="0"/>
              <w:kinsoku/>
              <w:overflowPunct/>
              <w:topLinePunct w:val="0"/>
              <w:autoSpaceDE/>
              <w:autoSpaceDN/>
              <w:bidi w:val="0"/>
              <w:adjustRightInd/>
              <w:snapToGrid/>
              <w:spacing w:line="420" w:lineRule="exact"/>
              <w:ind w:firstLine="105" w:firstLineChars="50"/>
              <w:jc w:val="center"/>
              <w:textAlignment w:val="auto"/>
              <w:rPr>
                <w:rFonts w:hint="eastAsia" w:ascii="宋体" w:hAnsi="宋体" w:cs="宋体"/>
                <w:szCs w:val="21"/>
              </w:rPr>
            </w:pPr>
            <w:r>
              <w:rPr>
                <w:rFonts w:hint="eastAsia" w:ascii="宋体" w:hAnsi="宋体" w:cs="宋体"/>
                <w:szCs w:val="21"/>
              </w:rPr>
              <w:t>0.035%</w:t>
            </w:r>
          </w:p>
        </w:tc>
      </w:tr>
      <w:tr w14:paraId="3091A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3E8B6BC7">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10～50亿元</w:t>
            </w:r>
          </w:p>
        </w:tc>
        <w:tc>
          <w:tcPr>
            <w:tcW w:w="1659" w:type="dxa"/>
            <w:noWrap w:val="0"/>
            <w:vAlign w:val="top"/>
          </w:tcPr>
          <w:p w14:paraId="291735FC">
            <w:pPr>
              <w:keepNext w:val="0"/>
              <w:keepLines w:val="0"/>
              <w:pageBreakBefore w:val="0"/>
              <w:widowControl w:val="0"/>
              <w:kinsoku/>
              <w:overflowPunct/>
              <w:topLinePunct w:val="0"/>
              <w:autoSpaceDE/>
              <w:autoSpaceDN/>
              <w:bidi w:val="0"/>
              <w:adjustRightInd/>
              <w:snapToGrid/>
              <w:spacing w:line="420" w:lineRule="exact"/>
              <w:ind w:firstLine="105" w:firstLineChars="50"/>
              <w:jc w:val="center"/>
              <w:textAlignment w:val="auto"/>
              <w:rPr>
                <w:rFonts w:hint="eastAsia" w:ascii="宋体" w:hAnsi="宋体" w:cs="宋体"/>
                <w:szCs w:val="21"/>
              </w:rPr>
            </w:pPr>
            <w:r>
              <w:rPr>
                <w:rFonts w:hint="eastAsia" w:ascii="宋体" w:hAnsi="宋体" w:cs="宋体"/>
                <w:szCs w:val="21"/>
              </w:rPr>
              <w:t>0.008%</w:t>
            </w:r>
          </w:p>
        </w:tc>
        <w:tc>
          <w:tcPr>
            <w:tcW w:w="1798" w:type="dxa"/>
            <w:noWrap w:val="0"/>
            <w:vAlign w:val="top"/>
          </w:tcPr>
          <w:p w14:paraId="3E8EC073">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szCs w:val="21"/>
              </w:rPr>
              <w:t>0.008%</w:t>
            </w:r>
          </w:p>
        </w:tc>
        <w:tc>
          <w:tcPr>
            <w:tcW w:w="1860" w:type="dxa"/>
            <w:noWrap w:val="0"/>
            <w:vAlign w:val="top"/>
          </w:tcPr>
          <w:p w14:paraId="7329301B">
            <w:pPr>
              <w:keepNext w:val="0"/>
              <w:keepLines w:val="0"/>
              <w:pageBreakBefore w:val="0"/>
              <w:widowControl w:val="0"/>
              <w:kinsoku/>
              <w:overflowPunct/>
              <w:topLinePunct w:val="0"/>
              <w:autoSpaceDE/>
              <w:autoSpaceDN/>
              <w:bidi w:val="0"/>
              <w:adjustRightInd/>
              <w:snapToGrid/>
              <w:spacing w:line="420" w:lineRule="exact"/>
              <w:ind w:firstLine="105" w:firstLineChars="50"/>
              <w:jc w:val="center"/>
              <w:textAlignment w:val="auto"/>
              <w:rPr>
                <w:rFonts w:hint="eastAsia" w:ascii="宋体" w:hAnsi="宋体" w:cs="宋体"/>
                <w:szCs w:val="21"/>
              </w:rPr>
            </w:pPr>
            <w:r>
              <w:rPr>
                <w:rFonts w:hint="eastAsia" w:ascii="宋体" w:hAnsi="宋体" w:cs="宋体"/>
                <w:szCs w:val="21"/>
              </w:rPr>
              <w:t>0.008%</w:t>
            </w:r>
          </w:p>
        </w:tc>
      </w:tr>
      <w:tr w14:paraId="3C4B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4B386042">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50～100亿元</w:t>
            </w:r>
          </w:p>
        </w:tc>
        <w:tc>
          <w:tcPr>
            <w:tcW w:w="1659" w:type="dxa"/>
            <w:noWrap w:val="0"/>
            <w:vAlign w:val="top"/>
          </w:tcPr>
          <w:p w14:paraId="4938E351">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szCs w:val="21"/>
              </w:rPr>
              <w:t>0.006%</w:t>
            </w:r>
          </w:p>
        </w:tc>
        <w:tc>
          <w:tcPr>
            <w:tcW w:w="1798" w:type="dxa"/>
            <w:noWrap w:val="0"/>
            <w:vAlign w:val="top"/>
          </w:tcPr>
          <w:p w14:paraId="2BDDAE09">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szCs w:val="21"/>
              </w:rPr>
              <w:t>0.006%</w:t>
            </w:r>
          </w:p>
        </w:tc>
        <w:tc>
          <w:tcPr>
            <w:tcW w:w="1860" w:type="dxa"/>
            <w:noWrap w:val="0"/>
            <w:vAlign w:val="top"/>
          </w:tcPr>
          <w:p w14:paraId="7BE66AAE">
            <w:pPr>
              <w:keepNext w:val="0"/>
              <w:keepLines w:val="0"/>
              <w:pageBreakBefore w:val="0"/>
              <w:widowControl w:val="0"/>
              <w:kinsoku/>
              <w:overflowPunct/>
              <w:topLinePunct w:val="0"/>
              <w:autoSpaceDE/>
              <w:autoSpaceDN/>
              <w:bidi w:val="0"/>
              <w:adjustRightInd/>
              <w:snapToGrid/>
              <w:spacing w:line="420" w:lineRule="exact"/>
              <w:ind w:firstLine="105" w:firstLineChars="50"/>
              <w:jc w:val="center"/>
              <w:textAlignment w:val="auto"/>
              <w:rPr>
                <w:rFonts w:hint="eastAsia" w:ascii="宋体" w:hAnsi="宋体" w:cs="宋体"/>
                <w:szCs w:val="21"/>
              </w:rPr>
            </w:pPr>
            <w:r>
              <w:rPr>
                <w:rFonts w:hint="eastAsia" w:ascii="宋体" w:hAnsi="宋体" w:cs="宋体"/>
                <w:szCs w:val="21"/>
              </w:rPr>
              <w:t>0.006%</w:t>
            </w:r>
          </w:p>
        </w:tc>
      </w:tr>
      <w:tr w14:paraId="4A5F0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73ADE8A9">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cs="宋体"/>
                <w:szCs w:val="21"/>
              </w:rPr>
            </w:pPr>
            <w:r>
              <w:rPr>
                <w:rFonts w:hint="eastAsia" w:ascii="宋体" w:hAnsi="宋体" w:cs="宋体"/>
                <w:szCs w:val="21"/>
              </w:rPr>
              <w:t>100亿以上</w:t>
            </w:r>
          </w:p>
        </w:tc>
        <w:tc>
          <w:tcPr>
            <w:tcW w:w="1659" w:type="dxa"/>
            <w:noWrap w:val="0"/>
            <w:vAlign w:val="top"/>
          </w:tcPr>
          <w:p w14:paraId="55DACC2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eastAsia" w:ascii="宋体" w:hAnsi="宋体" w:cs="宋体"/>
                <w:szCs w:val="21"/>
              </w:rPr>
            </w:pPr>
            <w:r>
              <w:rPr>
                <w:rFonts w:hint="eastAsia" w:ascii="宋体" w:hAnsi="宋体" w:cs="宋体"/>
                <w:szCs w:val="21"/>
              </w:rPr>
              <w:t>0.004%</w:t>
            </w:r>
          </w:p>
        </w:tc>
        <w:tc>
          <w:tcPr>
            <w:tcW w:w="1798" w:type="dxa"/>
            <w:noWrap w:val="0"/>
            <w:vAlign w:val="top"/>
          </w:tcPr>
          <w:p w14:paraId="75305CA4">
            <w:pPr>
              <w:keepNext w:val="0"/>
              <w:keepLines w:val="0"/>
              <w:pageBreakBefore w:val="0"/>
              <w:widowControl w:val="0"/>
              <w:kinsoku/>
              <w:overflowPunct/>
              <w:topLinePunct w:val="0"/>
              <w:autoSpaceDE/>
              <w:autoSpaceDN/>
              <w:bidi w:val="0"/>
              <w:adjustRightInd/>
              <w:snapToGrid/>
              <w:spacing w:line="420" w:lineRule="exact"/>
              <w:ind w:firstLine="210" w:firstLineChars="100"/>
              <w:jc w:val="center"/>
              <w:textAlignment w:val="auto"/>
              <w:rPr>
                <w:rFonts w:hint="eastAsia" w:ascii="宋体" w:hAnsi="宋体" w:cs="宋体"/>
                <w:szCs w:val="21"/>
              </w:rPr>
            </w:pPr>
            <w:r>
              <w:rPr>
                <w:rFonts w:hint="eastAsia" w:ascii="宋体" w:hAnsi="宋体" w:cs="宋体"/>
                <w:szCs w:val="21"/>
              </w:rPr>
              <w:t>0.004%</w:t>
            </w:r>
          </w:p>
        </w:tc>
        <w:tc>
          <w:tcPr>
            <w:tcW w:w="1860" w:type="dxa"/>
            <w:noWrap w:val="0"/>
            <w:vAlign w:val="top"/>
          </w:tcPr>
          <w:p w14:paraId="5FB94F0C">
            <w:pPr>
              <w:keepNext w:val="0"/>
              <w:keepLines w:val="0"/>
              <w:pageBreakBefore w:val="0"/>
              <w:widowControl w:val="0"/>
              <w:kinsoku/>
              <w:overflowPunct/>
              <w:topLinePunct w:val="0"/>
              <w:autoSpaceDE/>
              <w:autoSpaceDN/>
              <w:bidi w:val="0"/>
              <w:adjustRightInd/>
              <w:snapToGrid/>
              <w:spacing w:line="420" w:lineRule="exact"/>
              <w:ind w:firstLine="105" w:firstLineChars="50"/>
              <w:jc w:val="center"/>
              <w:textAlignment w:val="auto"/>
              <w:rPr>
                <w:rFonts w:hint="eastAsia" w:ascii="宋体" w:hAnsi="宋体" w:cs="宋体"/>
                <w:szCs w:val="21"/>
              </w:rPr>
            </w:pPr>
            <w:r>
              <w:rPr>
                <w:rFonts w:hint="eastAsia" w:ascii="宋体" w:hAnsi="宋体" w:cs="宋体"/>
                <w:szCs w:val="21"/>
              </w:rPr>
              <w:t>0.004%</w:t>
            </w:r>
          </w:p>
        </w:tc>
      </w:tr>
    </w:tbl>
    <w:p w14:paraId="5AAE3EA9">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contextualSpacing/>
        <w:textAlignment w:val="auto"/>
        <w:rPr>
          <w:rFonts w:hint="eastAsia" w:ascii="宋体" w:hAnsi="宋体" w:cs="宋体"/>
          <w:kern w:val="0"/>
          <w:szCs w:val="21"/>
        </w:rPr>
      </w:pPr>
      <w:r>
        <w:rPr>
          <w:rFonts w:hint="eastAsia" w:ascii="宋体" w:hAnsi="宋体" w:cs="宋体"/>
          <w:kern w:val="0"/>
          <w:szCs w:val="21"/>
        </w:rPr>
        <w:t>注：1.按本表费率计算的收费为采购代理的收费基准价格；2.采购代理收费按差额定率累进法计算。例如：某货物采购代理业务成交金额或暂定价为150万元，计算采购代理收费额如下：</w:t>
      </w:r>
    </w:p>
    <w:p w14:paraId="6D1C9960">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contextualSpacing/>
        <w:textAlignment w:val="auto"/>
        <w:rPr>
          <w:rFonts w:hint="eastAsia" w:ascii="宋体" w:hAnsi="宋体" w:cs="宋体"/>
          <w:kern w:val="0"/>
          <w:szCs w:val="21"/>
        </w:rPr>
      </w:pPr>
      <w:r>
        <w:rPr>
          <w:rFonts w:hint="eastAsia" w:ascii="宋体" w:hAnsi="宋体" w:cs="宋体"/>
          <w:kern w:val="0"/>
          <w:szCs w:val="21"/>
        </w:rPr>
        <w:t>100万元×l.5％＝1.5万元</w:t>
      </w:r>
    </w:p>
    <w:p w14:paraId="27B72058">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contextualSpacing/>
        <w:textAlignment w:val="auto"/>
        <w:rPr>
          <w:rFonts w:hint="eastAsia" w:ascii="宋体" w:hAnsi="宋体" w:cs="宋体"/>
          <w:kern w:val="0"/>
          <w:szCs w:val="21"/>
        </w:rPr>
      </w:pPr>
      <w:r>
        <w:rPr>
          <w:rFonts w:hint="eastAsia" w:ascii="宋体" w:hAnsi="宋体" w:cs="宋体"/>
          <w:kern w:val="0"/>
          <w:szCs w:val="21"/>
        </w:rPr>
        <w:t>（150－100）万元×1.1％＝0.55 万元</w:t>
      </w:r>
    </w:p>
    <w:p w14:paraId="27E406CB">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contextualSpacing/>
        <w:textAlignment w:val="auto"/>
        <w:rPr>
          <w:rFonts w:hint="eastAsia" w:ascii="宋体" w:hAnsi="宋体" w:cs="宋体"/>
          <w:kern w:val="0"/>
          <w:szCs w:val="21"/>
        </w:rPr>
      </w:pPr>
      <w:r>
        <w:rPr>
          <w:rFonts w:hint="eastAsia" w:ascii="宋体" w:hAnsi="宋体" w:cs="宋体"/>
          <w:kern w:val="0"/>
          <w:szCs w:val="21"/>
        </w:rPr>
        <w:t>合计收费＝1.5＋0.55＝2.05 （万元）</w:t>
      </w:r>
    </w:p>
    <w:p w14:paraId="514E6316">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contextualSpacing/>
        <w:textAlignment w:val="auto"/>
        <w:rPr>
          <w:rFonts w:hint="eastAsia" w:ascii="宋体" w:hAnsi="宋体" w:cs="宋体"/>
          <w:szCs w:val="21"/>
        </w:rPr>
      </w:pPr>
      <w:r>
        <w:rPr>
          <w:rFonts w:hint="eastAsia" w:ascii="宋体" w:hAnsi="宋体" w:cs="宋体"/>
          <w:szCs w:val="21"/>
        </w:rPr>
        <w:t>32.2政采贷相关说明</w:t>
      </w:r>
    </w:p>
    <w:p w14:paraId="045109E1">
      <w:pPr>
        <w:pStyle w:val="29"/>
        <w:keepNext w:val="0"/>
        <w:keepLines w:val="0"/>
        <w:pageBreakBefore w:val="0"/>
        <w:widowControl w:val="0"/>
        <w:kinsoku/>
        <w:overflowPunct/>
        <w:topLinePunct w:val="0"/>
        <w:autoSpaceDE/>
        <w:autoSpaceDN/>
        <w:bidi w:val="0"/>
        <w:adjustRightInd/>
        <w:snapToGrid/>
        <w:spacing w:line="380" w:lineRule="exact"/>
        <w:textAlignment w:val="auto"/>
        <w:rPr>
          <w:rFonts w:hint="eastAsia" w:ascii="宋体" w:hAnsi="宋体" w:eastAsia="宋体" w:cs="宋体"/>
          <w:sz w:val="21"/>
          <w:szCs w:val="21"/>
        </w:rPr>
      </w:pPr>
      <w:r>
        <w:rPr>
          <w:rFonts w:hint="eastAsia" w:ascii="宋体" w:hAnsi="宋体" w:eastAsia="宋体" w:cs="宋体"/>
          <w:sz w:val="21"/>
          <w:szCs w:val="21"/>
        </w:rPr>
        <w:t>为进一步优化营商环境，发挥政府采购促进中小微企业发展的政策功能，按照《广西壮族自治区人民政府办公厅关于进一步做好金融信贷资金支持企业发展促进经济稳增长工作的通知》（桂政办电〔2020〕92 号）、《中国人民银行南宁中心支行广西壮族自治区财政厅关于推广线上“政采贷”融资模式的通知》（南宁银发〔2021〕258 号 ）、《钦州市人民政府办公室关于印发钦州市加快发展“五个金融”实施方案的通知》（钦政办〔2023〕2 号）等有关文件精神，钦州市进一步推广线上“政采贷”融资工作。中标供应商如有融资需求，“可凭中标通知书或政府采购合同等在内的相关材料、信息，通过中征应收账款融资服务平台向银行业金融机构在线申请‘政采贷’融资”。</w:t>
      </w:r>
    </w:p>
    <w:p w14:paraId="79F82FC5">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contextualSpacing/>
        <w:textAlignment w:val="auto"/>
        <w:rPr>
          <w:rFonts w:ascii="宋体" w:hAnsi="宋体" w:cs="宋体"/>
          <w:szCs w:val="21"/>
        </w:rPr>
      </w:pPr>
      <w:r>
        <w:rPr>
          <w:rFonts w:hint="eastAsia" w:ascii="宋体" w:hAnsi="宋体" w:cs="宋体"/>
          <w:szCs w:val="21"/>
        </w:rPr>
        <w:t>32.3 关于电子保函相关说明</w:t>
      </w:r>
    </w:p>
    <w:p w14:paraId="734C53E3">
      <w:pPr>
        <w:keepNext w:val="0"/>
        <w:keepLines w:val="0"/>
        <w:pageBreakBefore w:val="0"/>
        <w:widowControl w:val="0"/>
        <w:kinsoku/>
        <w:overflowPunct/>
        <w:topLinePunct w:val="0"/>
        <w:autoSpaceDE/>
        <w:autoSpaceDN/>
        <w:bidi w:val="0"/>
        <w:adjustRightInd/>
        <w:snapToGrid/>
        <w:spacing w:line="380" w:lineRule="exact"/>
        <w:ind w:firstLine="420" w:firstLineChars="200"/>
        <w:textAlignment w:val="auto"/>
        <w:rPr>
          <w:rFonts w:hint="eastAsia" w:ascii="宋体" w:hAnsi="宋体" w:cs="宋体"/>
          <w:kern w:val="0"/>
          <w:szCs w:val="21"/>
        </w:rPr>
      </w:pPr>
      <w:r>
        <w:rPr>
          <w:rFonts w:hint="eastAsia" w:ascii="宋体" w:hAnsi="宋体" w:cs="宋体"/>
          <w:kern w:val="0"/>
          <w:szCs w:val="21"/>
        </w:rPr>
        <w:t>政府采购电子保函包括政府采购领域的投标保证金保函、履约保证金保函及预付款保函。</w:t>
      </w:r>
    </w:p>
    <w:p w14:paraId="645DAC81">
      <w:pPr>
        <w:keepNext w:val="0"/>
        <w:keepLines w:val="0"/>
        <w:pageBreakBefore w:val="0"/>
        <w:widowControl w:val="0"/>
        <w:kinsoku/>
        <w:overflowPunct/>
        <w:topLinePunct w:val="0"/>
        <w:autoSpaceDE/>
        <w:autoSpaceDN/>
        <w:bidi w:val="0"/>
        <w:adjustRightInd/>
        <w:snapToGrid/>
        <w:spacing w:line="380" w:lineRule="exact"/>
        <w:ind w:firstLine="420" w:firstLineChars="200"/>
        <w:textAlignment w:val="auto"/>
        <w:rPr>
          <w:rFonts w:hint="eastAsia" w:ascii="宋体" w:hAnsi="宋体" w:cs="宋体"/>
          <w:kern w:val="0"/>
          <w:szCs w:val="21"/>
        </w:rPr>
      </w:pPr>
      <w:r>
        <w:rPr>
          <w:rFonts w:hint="eastAsia" w:ascii="宋体" w:hAnsi="宋体" w:cs="宋体"/>
          <w:kern w:val="0"/>
          <w:szCs w:val="21"/>
        </w:rPr>
        <w:t>投标保证金保函。指政府采购活动中，为防止</w:t>
      </w:r>
      <w:r>
        <w:rPr>
          <w:rFonts w:hint="eastAsia" w:ascii="宋体" w:hAnsi="宋体" w:cs="宋体"/>
          <w:kern w:val="0"/>
          <w:szCs w:val="21"/>
          <w:lang w:val="en-US" w:eastAsia="zh-CN"/>
        </w:rPr>
        <w:t>竞</w:t>
      </w:r>
      <w:r>
        <w:rPr>
          <w:rFonts w:hint="eastAsia" w:ascii="宋体" w:hAnsi="宋体" w:cs="宋体"/>
          <w:kern w:val="0"/>
          <w:szCs w:val="21"/>
        </w:rPr>
        <w:t>标人无故撤销</w:t>
      </w:r>
      <w:r>
        <w:rPr>
          <w:rFonts w:hint="eastAsia" w:ascii="宋体" w:hAnsi="宋体" w:cs="宋体"/>
          <w:kern w:val="0"/>
          <w:szCs w:val="21"/>
          <w:lang w:val="en-US" w:eastAsia="zh-CN"/>
        </w:rPr>
        <w:t>竞</w:t>
      </w:r>
      <w:r>
        <w:rPr>
          <w:rFonts w:hint="eastAsia" w:ascii="宋体" w:hAnsi="宋体" w:cs="宋体"/>
          <w:kern w:val="0"/>
          <w:szCs w:val="21"/>
        </w:rPr>
        <w:t>标文件或中标后无正当理由不签订合同，采购人或代理机构要求</w:t>
      </w:r>
      <w:r>
        <w:rPr>
          <w:rFonts w:hint="eastAsia" w:ascii="宋体" w:hAnsi="宋体" w:cs="宋体"/>
          <w:kern w:val="0"/>
          <w:szCs w:val="21"/>
          <w:lang w:val="en-US" w:eastAsia="zh-CN"/>
        </w:rPr>
        <w:t>竞</w:t>
      </w:r>
      <w:r>
        <w:rPr>
          <w:rFonts w:hint="eastAsia" w:ascii="宋体" w:hAnsi="宋体" w:cs="宋体"/>
          <w:kern w:val="0"/>
          <w:szCs w:val="21"/>
        </w:rPr>
        <w:t>标人在递交</w:t>
      </w:r>
      <w:r>
        <w:rPr>
          <w:rFonts w:hint="eastAsia" w:ascii="宋体" w:hAnsi="宋体" w:cs="宋体"/>
          <w:kern w:val="0"/>
          <w:szCs w:val="21"/>
          <w:lang w:val="en-US" w:eastAsia="zh-CN"/>
        </w:rPr>
        <w:t>竞</w:t>
      </w:r>
      <w:r>
        <w:rPr>
          <w:rFonts w:hint="eastAsia" w:ascii="宋体" w:hAnsi="宋体" w:cs="宋体"/>
          <w:kern w:val="0"/>
          <w:szCs w:val="21"/>
        </w:rPr>
        <w:t>标文件时一并递交的担保机构出具的电子担保凭证。</w:t>
      </w:r>
    </w:p>
    <w:p w14:paraId="529D909A">
      <w:pPr>
        <w:keepNext w:val="0"/>
        <w:keepLines w:val="0"/>
        <w:pageBreakBefore w:val="0"/>
        <w:widowControl w:val="0"/>
        <w:kinsoku/>
        <w:overflowPunct/>
        <w:topLinePunct w:val="0"/>
        <w:autoSpaceDE/>
        <w:autoSpaceDN/>
        <w:bidi w:val="0"/>
        <w:adjustRightInd/>
        <w:snapToGrid/>
        <w:spacing w:line="380" w:lineRule="exact"/>
        <w:ind w:firstLine="420" w:firstLineChars="200"/>
        <w:textAlignment w:val="auto"/>
        <w:rPr>
          <w:rFonts w:hint="eastAsia" w:ascii="宋体" w:hAnsi="宋体" w:cs="宋体"/>
          <w:kern w:val="0"/>
          <w:szCs w:val="21"/>
        </w:rPr>
      </w:pPr>
      <w:r>
        <w:rPr>
          <w:rFonts w:hint="eastAsia" w:ascii="宋体" w:hAnsi="宋体" w:cs="宋体"/>
          <w:kern w:val="0"/>
          <w:szCs w:val="21"/>
        </w:rPr>
        <w:t>履约保证金保函。指项目履约过程中，为防止中标供应商不按照合同约定或法律的规定履行义务，采购人要求投保人提供担保机构出具的履约保证承诺电子担保凭证。</w:t>
      </w:r>
    </w:p>
    <w:p w14:paraId="184B3316">
      <w:pPr>
        <w:keepNext w:val="0"/>
        <w:keepLines w:val="0"/>
        <w:pageBreakBefore w:val="0"/>
        <w:widowControl w:val="0"/>
        <w:kinsoku/>
        <w:overflowPunct/>
        <w:topLinePunct w:val="0"/>
        <w:autoSpaceDE/>
        <w:autoSpaceDN/>
        <w:bidi w:val="0"/>
        <w:adjustRightInd/>
        <w:snapToGrid/>
        <w:spacing w:line="380" w:lineRule="exact"/>
        <w:ind w:firstLine="420" w:firstLineChars="200"/>
        <w:textAlignment w:val="auto"/>
        <w:rPr>
          <w:rFonts w:hint="eastAsia" w:ascii="宋体" w:hAnsi="宋体" w:cs="宋体"/>
          <w:kern w:val="0"/>
          <w:szCs w:val="21"/>
        </w:rPr>
      </w:pPr>
      <w:r>
        <w:rPr>
          <w:rFonts w:hint="eastAsia" w:ascii="宋体" w:hAnsi="宋体" w:cs="宋体"/>
          <w:kern w:val="0"/>
          <w:szCs w:val="21"/>
        </w:rPr>
        <w:t>预付款保函。指采购人支付预付款后，为防止中标供应商不按照合同约定或法律的规定履行义务，采购人要求中标供应商提供担保机构出具的承担返还预付款的电子担保凭证。</w:t>
      </w:r>
    </w:p>
    <w:p w14:paraId="2C78BD75">
      <w:pPr>
        <w:keepNext w:val="0"/>
        <w:keepLines w:val="0"/>
        <w:pageBreakBefore w:val="0"/>
        <w:widowControl w:val="0"/>
        <w:kinsoku/>
        <w:overflowPunct/>
        <w:topLinePunct w:val="0"/>
        <w:autoSpaceDE/>
        <w:autoSpaceDN/>
        <w:bidi w:val="0"/>
        <w:adjustRightInd/>
        <w:snapToGrid/>
        <w:spacing w:line="380" w:lineRule="exact"/>
        <w:ind w:firstLine="420" w:firstLineChars="200"/>
        <w:textAlignment w:val="auto"/>
        <w:rPr>
          <w:rFonts w:hint="eastAsia" w:ascii="宋体" w:hAnsi="宋体" w:cs="宋体"/>
          <w:b/>
          <w:bCs/>
          <w:sz w:val="24"/>
        </w:rPr>
      </w:pPr>
      <w:r>
        <w:rPr>
          <w:rFonts w:hint="eastAsia" w:ascii="宋体" w:hAnsi="宋体" w:cs="宋体"/>
          <w:kern w:val="0"/>
          <w:szCs w:val="21"/>
        </w:rPr>
        <w:t>利用全区政府采购“一张网”优势，依托“广西政府采购金融服务平台”（https://jinrong.zcygov.cn/finance/gx），供应商可通过在线方式完成保函申请、递交、验收和索赔等全流程电子化操作，进一步提升政府采购融资便利度。电子保函有关业务操作流程和手册可从“广西政府采购金融服务平台”查阅下载，供应商在电子保函的申请、使用、查看应用过程中遇到问题可咨询技术支撑方：400-903-9583。</w:t>
      </w:r>
    </w:p>
    <w:p w14:paraId="6739AD99">
      <w:pPr>
        <w:keepNext w:val="0"/>
        <w:keepLines w:val="0"/>
        <w:pageBreakBefore w:val="0"/>
        <w:widowControl w:val="0"/>
        <w:kinsoku/>
        <w:wordWrap w:val="0"/>
        <w:overflowPunct/>
        <w:topLinePunct w:val="0"/>
        <w:autoSpaceDE/>
        <w:autoSpaceDN/>
        <w:bidi w:val="0"/>
        <w:adjustRightInd/>
        <w:snapToGrid/>
        <w:spacing w:line="380" w:lineRule="exact"/>
        <w:ind w:firstLine="482" w:firstLineChars="200"/>
        <w:contextualSpacing/>
        <w:textAlignment w:val="auto"/>
        <w:rPr>
          <w:rFonts w:hint="eastAsia" w:ascii="宋体" w:hAnsi="宋体" w:cs="宋体"/>
          <w:b/>
          <w:bCs/>
          <w:sz w:val="24"/>
        </w:rPr>
      </w:pPr>
      <w:r>
        <w:rPr>
          <w:rFonts w:hint="eastAsia" w:ascii="宋体" w:hAnsi="宋体" w:cs="宋体"/>
          <w:b/>
          <w:bCs/>
          <w:sz w:val="24"/>
        </w:rPr>
        <w:t>33. 需要补充的其他内容</w:t>
      </w:r>
    </w:p>
    <w:p w14:paraId="17153719">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contextualSpacing/>
        <w:textAlignment w:val="auto"/>
        <w:rPr>
          <w:rFonts w:hint="eastAsia" w:ascii="宋体" w:hAnsi="宋体" w:cs="宋体"/>
          <w:kern w:val="0"/>
          <w:szCs w:val="21"/>
        </w:rPr>
      </w:pPr>
      <w:r>
        <w:rPr>
          <w:rFonts w:hint="eastAsia" w:ascii="宋体" w:hAnsi="宋体" w:cs="宋体"/>
          <w:kern w:val="0"/>
          <w:szCs w:val="21"/>
        </w:rPr>
        <w:t>33.1本谈判文件解释规则详见“供应商须知前附表”。</w:t>
      </w:r>
    </w:p>
    <w:p w14:paraId="73C08281">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contextualSpacing/>
        <w:textAlignment w:val="auto"/>
        <w:rPr>
          <w:rFonts w:hint="eastAsia" w:ascii="宋体" w:hAnsi="宋体" w:cs="宋体"/>
        </w:rPr>
      </w:pPr>
      <w:r>
        <w:rPr>
          <w:rFonts w:hint="eastAsia" w:ascii="宋体" w:hAnsi="宋体" w:cs="宋体"/>
          <w:kern w:val="0"/>
          <w:szCs w:val="21"/>
        </w:rPr>
        <w:t>33.2 其他事</w:t>
      </w:r>
      <w:r>
        <w:rPr>
          <w:rFonts w:hint="eastAsia" w:ascii="宋体" w:hAnsi="宋体" w:cs="宋体"/>
        </w:rPr>
        <w:t>项详见“供应商须知前附表”。</w:t>
      </w:r>
    </w:p>
    <w:p w14:paraId="39B1DAF6">
      <w:pPr>
        <w:pStyle w:val="2"/>
        <w:spacing w:before="100" w:after="90" w:line="240" w:lineRule="auto"/>
        <w:jc w:val="center"/>
        <w:rPr>
          <w:rFonts w:hint="eastAsia" w:ascii="宋体" w:hAnsi="宋体" w:cs="宋体"/>
        </w:rPr>
      </w:pPr>
      <w:bookmarkStart w:id="62" w:name="_Toc26149"/>
    </w:p>
    <w:p w14:paraId="401D0E4D">
      <w:pPr>
        <w:pStyle w:val="2"/>
        <w:spacing w:before="100" w:after="90" w:line="240" w:lineRule="auto"/>
        <w:jc w:val="center"/>
        <w:rPr>
          <w:rFonts w:hint="eastAsia" w:ascii="宋体" w:hAnsi="宋体" w:cs="宋体"/>
          <w:b w:val="0"/>
          <w:color w:val="0C0C0C"/>
          <w:sz w:val="24"/>
        </w:rPr>
      </w:pPr>
      <w:r>
        <w:rPr>
          <w:rFonts w:hint="eastAsia" w:ascii="宋体" w:hAnsi="宋体" w:cs="宋体"/>
        </w:rPr>
        <w:t>第三章 采购需求</w:t>
      </w:r>
      <w:bookmarkEnd w:id="62"/>
    </w:p>
    <w:p w14:paraId="1E0D503B">
      <w:pPr>
        <w:spacing w:line="400" w:lineRule="atLeast"/>
        <w:ind w:firstLine="470" w:firstLineChars="195"/>
        <w:rPr>
          <w:rFonts w:hint="eastAsia" w:ascii="宋体" w:hAnsi="宋体" w:cs="宋体"/>
          <w:b/>
          <w:color w:val="0C0C0C"/>
          <w:sz w:val="24"/>
        </w:rPr>
      </w:pPr>
      <w:r>
        <w:rPr>
          <w:rFonts w:hint="eastAsia" w:ascii="宋体" w:hAnsi="宋体" w:cs="宋体"/>
          <w:b/>
          <w:color w:val="0C0C0C"/>
          <w:sz w:val="24"/>
        </w:rPr>
        <w:t>说明：</w:t>
      </w:r>
    </w:p>
    <w:p w14:paraId="41E8E3CC">
      <w:pPr>
        <w:spacing w:line="400" w:lineRule="atLeast"/>
        <w:rPr>
          <w:rFonts w:hint="eastAsia" w:ascii="宋体" w:hAnsi="宋体" w:cs="宋体"/>
          <w:b/>
          <w:color w:val="0C0C0C"/>
          <w:sz w:val="24"/>
        </w:rPr>
      </w:pPr>
      <w:r>
        <w:rPr>
          <w:rFonts w:hint="eastAsia" w:ascii="宋体" w:hAnsi="宋体" w:cs="宋体"/>
          <w:b/>
          <w:color w:val="0C0C0C"/>
          <w:sz w:val="24"/>
        </w:rPr>
        <w:t xml:space="preserve">    1、本一览表中技术参数及其性能（配置）不明确或有误的，或竞标人选有其他品牌型号替代的，这些替代的品牌型号要实质上相当于或优于参考品牌型号要求。请以详细正确的品牌型号、技术参数及配置同时填写竞标报价和技术规格响应表。</w:t>
      </w:r>
    </w:p>
    <w:p w14:paraId="4C3CEC87">
      <w:pPr>
        <w:spacing w:line="400" w:lineRule="atLeast"/>
        <w:ind w:firstLine="482" w:firstLineChars="200"/>
        <w:rPr>
          <w:rFonts w:hint="eastAsia" w:ascii="宋体" w:hAnsi="宋体" w:cs="宋体"/>
          <w:b/>
          <w:color w:val="auto"/>
          <w:sz w:val="24"/>
        </w:rPr>
      </w:pPr>
      <w:r>
        <w:rPr>
          <w:rFonts w:hint="eastAsia" w:ascii="宋体" w:hAnsi="宋体" w:cs="宋体"/>
          <w:b/>
          <w:color w:val="0C0C0C"/>
          <w:sz w:val="24"/>
        </w:rPr>
        <w:t>2、本一览表中标注“</w:t>
      </w:r>
      <w:r>
        <w:rPr>
          <w:rFonts w:hint="eastAsia" w:hAnsi="宋体"/>
          <w:b/>
          <w:bCs/>
          <w:color w:val="000000"/>
          <w:highlight w:val="none"/>
        </w:rPr>
        <w:t>▲</w:t>
      </w:r>
      <w:r>
        <w:rPr>
          <w:rFonts w:hint="eastAsia" w:ascii="宋体" w:hAnsi="宋体" w:cs="宋体"/>
          <w:b/>
          <w:color w:val="000000"/>
          <w:sz w:val="24"/>
        </w:rPr>
        <w:t>”的参数为实质性响应条款，竞标产品必须满足或优于竞争性谈判文件的要求，否则竞标无效。</w:t>
      </w:r>
    </w:p>
    <w:p w14:paraId="23D44E04">
      <w:pPr>
        <w:spacing w:line="360" w:lineRule="exact"/>
        <w:ind w:left="-10" w:leftChars="-5" w:right="2" w:rightChars="1" w:firstLine="422" w:firstLineChars="200"/>
        <w:rPr>
          <w:rFonts w:hint="eastAsia" w:hAnsi="宋体"/>
          <w:b/>
          <w:bCs/>
          <w:color w:val="000000"/>
          <w:highlight w:val="none"/>
        </w:rPr>
      </w:pPr>
      <w:r>
        <w:rPr>
          <w:rFonts w:hint="eastAsia" w:hAnsi="宋体"/>
          <w:b/>
          <w:bCs/>
          <w:color w:val="000000"/>
          <w:highlight w:val="none"/>
        </w:rPr>
        <w:t>3、</w:t>
      </w:r>
      <w:r>
        <w:rPr>
          <w:rFonts w:hAnsi="宋体"/>
          <w:b/>
          <w:bCs/>
          <w:color w:val="000000"/>
          <w:highlight w:val="none"/>
        </w:rPr>
        <w:t>根据《财政部 发展改革委 生态环境部 市场监管总局关于调整优化节能产品、环境标志产品政府采购执行机制的通知》（财库〔2019〕9 号）和《关于印发节能产品政府采购品目清单的通知》（财库〔2019〕19 号）的规定，采购需求中的产品属于节能产品政府采购品目清单内标注“★”的，供应商的竞标货物必须使用政府强制采购的节能产品，否则响应文件作无效响应处理。</w:t>
      </w:r>
    </w:p>
    <w:p w14:paraId="68C6800D">
      <w:pPr>
        <w:spacing w:line="400" w:lineRule="atLeast"/>
        <w:ind w:firstLine="482" w:firstLineChars="200"/>
        <w:rPr>
          <w:rFonts w:hint="eastAsia" w:ascii="宋体" w:hAnsi="宋体" w:cs="宋体"/>
          <w:b/>
          <w:color w:val="auto"/>
          <w:kern w:val="0"/>
          <w:sz w:val="24"/>
        </w:rPr>
      </w:pPr>
      <w:r>
        <w:rPr>
          <w:rFonts w:hint="eastAsia" w:ascii="宋体" w:hAnsi="宋体" w:cs="宋体"/>
          <w:b/>
          <w:color w:val="auto"/>
          <w:sz w:val="24"/>
          <w:lang w:val="en-US" w:eastAsia="zh-CN"/>
        </w:rPr>
        <w:t>4</w:t>
      </w:r>
      <w:r>
        <w:rPr>
          <w:rFonts w:hint="eastAsia" w:ascii="宋体" w:hAnsi="宋体" w:cs="宋体"/>
          <w:b/>
          <w:color w:val="auto"/>
          <w:sz w:val="24"/>
        </w:rPr>
        <w:t>、本一览表中</w:t>
      </w:r>
      <w:r>
        <w:rPr>
          <w:rFonts w:hint="eastAsia" w:ascii="宋体" w:hAnsi="宋体" w:cs="宋体"/>
          <w:b/>
          <w:color w:val="auto"/>
          <w:sz w:val="24"/>
          <w:lang w:val="en-US" w:eastAsia="zh-CN"/>
        </w:rPr>
        <w:t>每项产品</w:t>
      </w:r>
      <w:r>
        <w:rPr>
          <w:rFonts w:hint="eastAsia" w:ascii="宋体" w:hAnsi="宋体" w:cs="宋体"/>
          <w:b/>
          <w:color w:val="auto"/>
          <w:sz w:val="24"/>
        </w:rPr>
        <w:t>不带“</w:t>
      </w:r>
      <w:r>
        <w:rPr>
          <w:rFonts w:hint="eastAsia" w:hAnsi="宋体"/>
          <w:b/>
          <w:bCs/>
          <w:color w:val="000000"/>
          <w:highlight w:val="none"/>
        </w:rPr>
        <w:t>▲</w:t>
      </w:r>
      <w:r>
        <w:rPr>
          <w:rFonts w:hint="eastAsia" w:ascii="宋体" w:hAnsi="宋体" w:cs="宋体"/>
          <w:b/>
          <w:color w:val="auto"/>
          <w:sz w:val="24"/>
        </w:rPr>
        <w:t>”的参数发生负偏离</w:t>
      </w:r>
      <w:r>
        <w:rPr>
          <w:rFonts w:hint="eastAsia" w:ascii="宋体" w:hAnsi="宋体" w:cs="宋体"/>
          <w:b/>
          <w:color w:val="auto"/>
          <w:sz w:val="24"/>
          <w:highlight w:val="none"/>
        </w:rPr>
        <w:t>达3项</w:t>
      </w:r>
      <w:r>
        <w:rPr>
          <w:rFonts w:hint="eastAsia" w:ascii="宋体" w:hAnsi="宋体" w:cs="宋体"/>
          <w:b/>
          <w:color w:val="auto"/>
          <w:sz w:val="24"/>
        </w:rPr>
        <w:t>数以上的，视为不实质性响应采购文件要求，评审时响应文件将被作为无效文件处理。</w:t>
      </w:r>
      <w:r>
        <w:rPr>
          <w:rFonts w:hint="eastAsia" w:ascii="宋体" w:hAnsi="宋体" w:cs="宋体"/>
          <w:b/>
          <w:color w:val="auto"/>
          <w:kern w:val="0"/>
          <w:sz w:val="24"/>
        </w:rPr>
        <w:t xml:space="preserve"> </w:t>
      </w:r>
    </w:p>
    <w:p w14:paraId="7894607E">
      <w:pPr>
        <w:pStyle w:val="7"/>
        <w:spacing w:line="400" w:lineRule="atLeast"/>
        <w:ind w:firstLine="482" w:firstLineChars="200"/>
        <w:rPr>
          <w:rFonts w:hint="eastAsia" w:ascii="宋体" w:hAnsi="宋体" w:cs="宋体"/>
          <w:b/>
          <w:color w:val="0C0C0C"/>
          <w:kern w:val="0"/>
          <w:sz w:val="24"/>
          <w:szCs w:val="24"/>
        </w:rPr>
      </w:pPr>
      <w:bookmarkStart w:id="63" w:name="_Toc20164"/>
      <w:r>
        <w:rPr>
          <w:rFonts w:hint="eastAsia" w:ascii="宋体" w:hAnsi="宋体" w:cs="宋体"/>
          <w:b/>
          <w:color w:val="0C0C0C"/>
          <w:kern w:val="0"/>
          <w:sz w:val="24"/>
          <w:szCs w:val="24"/>
          <w:lang w:val="en-US" w:eastAsia="zh-CN"/>
        </w:rPr>
        <w:t>5</w:t>
      </w:r>
      <w:r>
        <w:rPr>
          <w:rFonts w:hint="eastAsia" w:ascii="宋体" w:hAnsi="宋体" w:cs="宋体"/>
          <w:b/>
          <w:color w:val="0C0C0C"/>
          <w:kern w:val="0"/>
          <w:sz w:val="24"/>
          <w:szCs w:val="24"/>
        </w:rPr>
        <w:t>、</w:t>
      </w:r>
      <w:r>
        <w:rPr>
          <w:rFonts w:hint="eastAsia" w:ascii="宋体" w:hAnsi="宋体" w:cs="宋体"/>
          <w:b/>
          <w:bCs/>
          <w:color w:val="000000"/>
          <w:kern w:val="0"/>
          <w:szCs w:val="21"/>
          <w:highlight w:val="none"/>
          <w:lang w:bidi="ar"/>
        </w:rPr>
        <w:t>标的</w:t>
      </w:r>
      <w:r>
        <w:rPr>
          <w:rFonts w:hint="eastAsia" w:ascii="宋体" w:hAnsi="宋体" w:cs="宋体"/>
          <w:b/>
          <w:color w:val="0C0C0C"/>
          <w:kern w:val="0"/>
          <w:sz w:val="24"/>
          <w:szCs w:val="24"/>
        </w:rPr>
        <w:t>行业类别：工业</w:t>
      </w:r>
      <w:bookmarkEnd w:id="63"/>
    </w:p>
    <w:p w14:paraId="435D2E7A">
      <w:pPr>
        <w:ind w:firstLine="481"/>
        <w:rPr>
          <w:rFonts w:hint="eastAsia" w:ascii="宋体" w:hAnsi="宋体" w:cs="宋体"/>
        </w:rPr>
      </w:pPr>
    </w:p>
    <w:tbl>
      <w:tblPr>
        <w:tblStyle w:val="30"/>
        <w:tblW w:w="9969" w:type="dxa"/>
        <w:tblInd w:w="-2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59"/>
        <w:gridCol w:w="883"/>
        <w:gridCol w:w="433"/>
        <w:gridCol w:w="467"/>
        <w:gridCol w:w="5286"/>
        <w:gridCol w:w="1110"/>
        <w:gridCol w:w="1331"/>
      </w:tblGrid>
      <w:tr w14:paraId="2136B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8" w:hRule="atLeast"/>
        </w:trPr>
        <w:tc>
          <w:tcPr>
            <w:tcW w:w="459" w:type="dxa"/>
            <w:noWrap/>
            <w:vAlign w:val="center"/>
          </w:tcPr>
          <w:p w14:paraId="7B7FD573">
            <w:pPr>
              <w:spacing w:line="288" w:lineRule="auto"/>
              <w:jc w:val="center"/>
              <w:rPr>
                <w:rFonts w:hint="eastAsia" w:ascii="宋体" w:hAnsi="宋体" w:cs="宋体"/>
                <w:b/>
                <w:bCs/>
              </w:rPr>
            </w:pPr>
            <w:r>
              <w:rPr>
                <w:rFonts w:hint="eastAsia" w:ascii="宋体" w:hAnsi="宋体" w:cs="宋体"/>
                <w:b/>
                <w:bCs/>
              </w:rPr>
              <w:t>序号</w:t>
            </w:r>
          </w:p>
        </w:tc>
        <w:tc>
          <w:tcPr>
            <w:tcW w:w="883" w:type="dxa"/>
            <w:noWrap/>
            <w:vAlign w:val="center"/>
          </w:tcPr>
          <w:p w14:paraId="4496AA65">
            <w:pPr>
              <w:spacing w:line="288" w:lineRule="auto"/>
              <w:jc w:val="center"/>
              <w:rPr>
                <w:rFonts w:hint="eastAsia" w:ascii="宋体" w:hAnsi="宋体" w:cs="宋体"/>
                <w:b/>
                <w:bCs/>
              </w:rPr>
            </w:pPr>
            <w:r>
              <w:rPr>
                <w:rFonts w:hint="eastAsia" w:ascii="宋体" w:hAnsi="宋体" w:cs="宋体"/>
                <w:b/>
                <w:bCs/>
              </w:rPr>
              <w:t>标的名称</w:t>
            </w:r>
          </w:p>
        </w:tc>
        <w:tc>
          <w:tcPr>
            <w:tcW w:w="433" w:type="dxa"/>
            <w:noWrap/>
            <w:vAlign w:val="center"/>
          </w:tcPr>
          <w:p w14:paraId="743280AA">
            <w:pPr>
              <w:spacing w:line="288" w:lineRule="auto"/>
              <w:jc w:val="center"/>
              <w:rPr>
                <w:rFonts w:hint="eastAsia" w:ascii="宋体" w:hAnsi="宋体" w:cs="宋体"/>
                <w:b/>
                <w:bCs/>
              </w:rPr>
            </w:pPr>
            <w:r>
              <w:rPr>
                <w:rFonts w:hint="eastAsia" w:ascii="宋体" w:hAnsi="宋体" w:cs="宋体"/>
                <w:b/>
                <w:bCs/>
              </w:rPr>
              <w:t>数量</w:t>
            </w:r>
          </w:p>
        </w:tc>
        <w:tc>
          <w:tcPr>
            <w:tcW w:w="467" w:type="dxa"/>
            <w:tcBorders>
              <w:right w:val="single" w:color="auto" w:sz="4" w:space="0"/>
            </w:tcBorders>
            <w:noWrap/>
            <w:vAlign w:val="center"/>
          </w:tcPr>
          <w:p w14:paraId="687E11FA">
            <w:pPr>
              <w:spacing w:line="288" w:lineRule="auto"/>
              <w:jc w:val="center"/>
              <w:rPr>
                <w:rFonts w:hint="eastAsia" w:ascii="宋体" w:hAnsi="宋体" w:cs="宋体"/>
                <w:b/>
                <w:bCs/>
              </w:rPr>
            </w:pPr>
            <w:r>
              <w:rPr>
                <w:rFonts w:hint="eastAsia" w:ascii="宋体" w:hAnsi="宋体" w:cs="宋体"/>
                <w:b/>
                <w:bCs/>
              </w:rPr>
              <w:t>单位</w:t>
            </w:r>
          </w:p>
        </w:tc>
        <w:tc>
          <w:tcPr>
            <w:tcW w:w="5286" w:type="dxa"/>
            <w:tcBorders>
              <w:left w:val="single" w:color="auto" w:sz="4" w:space="0"/>
              <w:right w:val="single" w:color="auto" w:sz="4" w:space="0"/>
            </w:tcBorders>
            <w:noWrap/>
            <w:vAlign w:val="center"/>
          </w:tcPr>
          <w:p w14:paraId="2466E054">
            <w:pPr>
              <w:spacing w:line="288" w:lineRule="auto"/>
              <w:jc w:val="center"/>
              <w:rPr>
                <w:rFonts w:hint="eastAsia" w:ascii="宋体" w:hAnsi="宋体" w:cs="宋体"/>
                <w:b/>
                <w:bCs/>
              </w:rPr>
            </w:pPr>
            <w:r>
              <w:rPr>
                <w:rFonts w:hint="eastAsia" w:ascii="宋体" w:hAnsi="宋体" w:cs="宋体"/>
                <w:b/>
                <w:bCs/>
              </w:rPr>
              <w:t>技术要求概述</w:t>
            </w:r>
          </w:p>
        </w:tc>
        <w:tc>
          <w:tcPr>
            <w:tcW w:w="1110" w:type="dxa"/>
            <w:tcBorders>
              <w:left w:val="single" w:color="auto" w:sz="4" w:space="0"/>
            </w:tcBorders>
            <w:noWrap w:val="0"/>
            <w:vAlign w:val="center"/>
          </w:tcPr>
          <w:p w14:paraId="680C14AC">
            <w:pPr>
              <w:spacing w:line="288" w:lineRule="auto"/>
              <w:jc w:val="center"/>
              <w:rPr>
                <w:rFonts w:hint="eastAsia" w:ascii="宋体" w:hAnsi="宋体" w:cs="宋体"/>
                <w:b/>
                <w:bCs/>
              </w:rPr>
            </w:pPr>
            <w:r>
              <w:rPr>
                <w:rFonts w:hint="eastAsia" w:ascii="宋体" w:hAnsi="宋体" w:cs="宋体"/>
                <w:b/>
                <w:bCs/>
              </w:rPr>
              <w:t>预算金额（万元）</w:t>
            </w:r>
          </w:p>
        </w:tc>
        <w:tc>
          <w:tcPr>
            <w:tcW w:w="1331" w:type="dxa"/>
            <w:tcBorders>
              <w:left w:val="single" w:color="auto" w:sz="4" w:space="0"/>
            </w:tcBorders>
            <w:noWrap w:val="0"/>
            <w:vAlign w:val="center"/>
          </w:tcPr>
          <w:p w14:paraId="2A7EE978">
            <w:pPr>
              <w:spacing w:line="288" w:lineRule="auto"/>
              <w:jc w:val="center"/>
              <w:rPr>
                <w:rFonts w:hint="eastAsia" w:ascii="宋体" w:hAnsi="宋体" w:cs="宋体"/>
                <w:b/>
                <w:bCs/>
                <w:color w:val="auto"/>
              </w:rPr>
            </w:pPr>
            <w:r>
              <w:rPr>
                <w:rFonts w:hint="eastAsia" w:ascii="宋体" w:hAnsi="宋体" w:cs="宋体"/>
                <w:b/>
                <w:bCs/>
                <w:color w:val="auto"/>
              </w:rPr>
              <w:t>最高采购限价（万元）</w:t>
            </w:r>
          </w:p>
        </w:tc>
      </w:tr>
      <w:tr w14:paraId="671F38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trPr>
        <w:tc>
          <w:tcPr>
            <w:tcW w:w="459" w:type="dxa"/>
            <w:tcBorders>
              <w:bottom w:val="single" w:color="auto" w:sz="4" w:space="0"/>
            </w:tcBorders>
            <w:noWrap/>
            <w:vAlign w:val="center"/>
          </w:tcPr>
          <w:p w14:paraId="76D1AB2A">
            <w:pPr>
              <w:spacing w:line="288" w:lineRule="auto"/>
              <w:jc w:val="center"/>
              <w:rPr>
                <w:rFonts w:hint="eastAsia" w:ascii="宋体" w:hAnsi="宋体" w:cs="宋体"/>
                <w:color w:val="548DD4"/>
                <w:szCs w:val="21"/>
              </w:rPr>
            </w:pPr>
            <w:r>
              <w:rPr>
                <w:rFonts w:hint="eastAsia" w:ascii="宋体" w:hAnsi="宋体" w:cs="宋体"/>
                <w:szCs w:val="21"/>
              </w:rPr>
              <w:t>1</w:t>
            </w:r>
          </w:p>
        </w:tc>
        <w:tc>
          <w:tcPr>
            <w:tcW w:w="883" w:type="dxa"/>
            <w:tcBorders>
              <w:bottom w:val="single" w:color="auto" w:sz="4" w:space="0"/>
            </w:tcBorders>
            <w:noWrap/>
            <w:vAlign w:val="center"/>
          </w:tcPr>
          <w:p w14:paraId="4BB7662A">
            <w:pPr>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电子支气管内窥镜</w:t>
            </w:r>
          </w:p>
        </w:tc>
        <w:tc>
          <w:tcPr>
            <w:tcW w:w="433" w:type="dxa"/>
            <w:tcBorders>
              <w:bottom w:val="single" w:color="auto" w:sz="4" w:space="0"/>
            </w:tcBorders>
            <w:noWrap/>
            <w:vAlign w:val="center"/>
          </w:tcPr>
          <w:p w14:paraId="47AE7580">
            <w:pPr>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p>
        </w:tc>
        <w:tc>
          <w:tcPr>
            <w:tcW w:w="467" w:type="dxa"/>
            <w:tcBorders>
              <w:bottom w:val="single" w:color="auto" w:sz="4" w:space="0"/>
              <w:right w:val="single" w:color="auto" w:sz="4" w:space="0"/>
            </w:tcBorders>
            <w:noWrap/>
            <w:vAlign w:val="center"/>
          </w:tcPr>
          <w:p w14:paraId="5A86DB49">
            <w:pPr>
              <w:pStyle w:val="12"/>
              <w:numPr>
                <w:ilvl w:val="0"/>
                <w:numId w:val="0"/>
              </w:numPr>
              <w:spacing w:before="0"/>
              <w:jc w:val="both"/>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套</w:t>
            </w:r>
          </w:p>
        </w:tc>
        <w:tc>
          <w:tcPr>
            <w:tcW w:w="5286" w:type="dxa"/>
            <w:tcBorders>
              <w:left w:val="single" w:color="auto" w:sz="4" w:space="0"/>
              <w:bottom w:val="single" w:color="auto" w:sz="4" w:space="0"/>
              <w:right w:val="single" w:color="auto" w:sz="4" w:space="0"/>
            </w:tcBorders>
            <w:noWrap/>
            <w:vAlign w:val="center"/>
          </w:tcPr>
          <w:p w14:paraId="6FCC8D69">
            <w:pPr>
              <w:pStyle w:val="12"/>
              <w:numPr>
                <w:ilvl w:val="0"/>
                <w:numId w:val="3"/>
              </w:numPr>
              <w:spacing w:before="0"/>
              <w:jc w:val="both"/>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设备配置</w:t>
            </w:r>
          </w:p>
          <w:p w14:paraId="39B75EBF">
            <w:pPr>
              <w:pStyle w:val="12"/>
              <w:numPr>
                <w:ilvl w:val="0"/>
                <w:numId w:val="4"/>
              </w:numPr>
              <w:spacing w:before="0"/>
              <w:jc w:val="both"/>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电子支气管内窥镜，1套；</w:t>
            </w:r>
          </w:p>
          <w:p w14:paraId="4531C2B2">
            <w:pPr>
              <w:pStyle w:val="12"/>
              <w:numPr>
                <w:ilvl w:val="0"/>
                <w:numId w:val="4"/>
              </w:numPr>
              <w:spacing w:before="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储镜盒，1个。</w:t>
            </w:r>
          </w:p>
          <w:p w14:paraId="685EE063">
            <w:pPr>
              <w:pStyle w:val="12"/>
              <w:numPr>
                <w:ilvl w:val="0"/>
                <w:numId w:val="3"/>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技术参数</w:t>
            </w:r>
          </w:p>
          <w:p w14:paraId="4755237B">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1、视野角：≥110 度； </w:t>
            </w:r>
          </w:p>
          <w:p w14:paraId="10E4A7C3">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2、景深：2～50mm； </w:t>
            </w:r>
          </w:p>
          <w:p w14:paraId="551F7237">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3、先端部外径：≤4.2mm； </w:t>
            </w:r>
          </w:p>
          <w:p w14:paraId="210695C5">
            <w:pPr>
              <w:pStyle w:val="12"/>
              <w:numPr>
                <w:ilvl w:val="0"/>
                <w:numId w:val="0"/>
              </w:numPr>
              <w:spacing w:before="0"/>
              <w:jc w:val="both"/>
              <w:rPr>
                <w:rFonts w:hint="default" w:ascii="宋体" w:hAnsi="宋体" w:eastAsia="宋体" w:cs="宋体"/>
                <w:color w:val="000000"/>
                <w:szCs w:val="21"/>
                <w:lang w:val="en-US" w:eastAsia="zh-CN"/>
              </w:rPr>
            </w:pPr>
            <w:r>
              <w:rPr>
                <w:rFonts w:hint="eastAsia" w:hAnsi="宋体"/>
                <w:b/>
                <w:bCs/>
                <w:color w:val="000000"/>
                <w:highlight w:val="none"/>
              </w:rPr>
              <w:t>▲</w:t>
            </w:r>
            <w:r>
              <w:rPr>
                <w:rFonts w:hint="default" w:ascii="宋体" w:hAnsi="宋体" w:eastAsia="宋体" w:cs="宋体"/>
                <w:color w:val="000000"/>
                <w:szCs w:val="21"/>
                <w:lang w:val="en-US" w:eastAsia="zh-CN"/>
              </w:rPr>
              <w:t xml:space="preserve">4、插入部外径：≤4.1mm； </w:t>
            </w:r>
          </w:p>
          <w:p w14:paraId="77FA6D80">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5、钳子管道内径：≥2.0mm； </w:t>
            </w:r>
          </w:p>
          <w:p w14:paraId="1BB4BE16">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6、钳子管道最小可视距离：≤3.0mm； </w:t>
            </w:r>
          </w:p>
          <w:p w14:paraId="38C1FDEB">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7、有效长度：≥600mm； </w:t>
            </w:r>
          </w:p>
          <w:p w14:paraId="41E512FC">
            <w:pPr>
              <w:pStyle w:val="12"/>
              <w:numPr>
                <w:ilvl w:val="0"/>
                <w:numId w:val="0"/>
              </w:numPr>
              <w:spacing w:before="0"/>
              <w:jc w:val="both"/>
              <w:rPr>
                <w:rFonts w:hint="default" w:ascii="宋体" w:hAnsi="宋体" w:eastAsia="宋体" w:cs="宋体"/>
                <w:color w:val="000000"/>
                <w:szCs w:val="21"/>
                <w:lang w:val="en-US" w:eastAsia="zh-CN"/>
              </w:rPr>
            </w:pPr>
            <w:r>
              <w:rPr>
                <w:rFonts w:hint="eastAsia" w:hAnsi="宋体"/>
                <w:b/>
                <w:bCs/>
                <w:color w:val="000000"/>
                <w:highlight w:val="none"/>
              </w:rPr>
              <w:t>▲</w:t>
            </w:r>
            <w:r>
              <w:rPr>
                <w:rFonts w:hint="default" w:ascii="宋体" w:hAnsi="宋体" w:eastAsia="宋体" w:cs="宋体"/>
                <w:color w:val="000000"/>
                <w:szCs w:val="21"/>
                <w:lang w:val="en-US" w:eastAsia="zh-CN"/>
              </w:rPr>
              <w:t xml:space="preserve">8、弯曲部弯曲角度：向上≥210 度，向下≥130 度； </w:t>
            </w:r>
          </w:p>
          <w:p w14:paraId="426CE9E3">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9、插入管具有旋转功能； </w:t>
            </w:r>
          </w:p>
          <w:p w14:paraId="17A2E4F6">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10、具有光学染色功能（窄带成像），可增强黏膜表层血管的可视性； </w:t>
            </w:r>
          </w:p>
          <w:p w14:paraId="0F46880B">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11、带内镜信息记忆功能：内镜有记忆芯片，可将所连接内镜重要参 </w:t>
            </w:r>
          </w:p>
          <w:p w14:paraId="2D7F0873">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数显示于显示器上； </w:t>
            </w:r>
          </w:p>
          <w:p w14:paraId="021FEA28">
            <w:pPr>
              <w:pStyle w:val="12"/>
              <w:numPr>
                <w:ilvl w:val="0"/>
                <w:numId w:val="0"/>
              </w:numPr>
              <w:spacing w:before="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 xml:space="preserve">12、防水的一触式接头，无需防水帽，接头完全防水。 </w:t>
            </w:r>
          </w:p>
        </w:tc>
        <w:tc>
          <w:tcPr>
            <w:tcW w:w="1110" w:type="dxa"/>
            <w:tcBorders>
              <w:left w:val="single" w:color="auto" w:sz="4" w:space="0"/>
              <w:bottom w:val="single" w:color="auto" w:sz="4" w:space="0"/>
            </w:tcBorders>
            <w:noWrap w:val="0"/>
            <w:vAlign w:val="center"/>
          </w:tcPr>
          <w:p w14:paraId="7990F368">
            <w:pPr>
              <w:spacing w:line="36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80</w:t>
            </w:r>
          </w:p>
        </w:tc>
        <w:tc>
          <w:tcPr>
            <w:tcW w:w="1331" w:type="dxa"/>
            <w:tcBorders>
              <w:left w:val="single" w:color="auto" w:sz="4" w:space="0"/>
              <w:bottom w:val="single" w:color="auto" w:sz="4" w:space="0"/>
            </w:tcBorders>
            <w:noWrap w:val="0"/>
            <w:vAlign w:val="center"/>
          </w:tcPr>
          <w:p w14:paraId="49029C18">
            <w:pPr>
              <w:spacing w:line="36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68</w:t>
            </w:r>
          </w:p>
        </w:tc>
      </w:tr>
      <w:tr w14:paraId="52532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459" w:type="dxa"/>
            <w:tcBorders>
              <w:top w:val="single" w:color="auto" w:sz="4" w:space="0"/>
              <w:bottom w:val="single" w:color="auto" w:sz="4" w:space="0"/>
            </w:tcBorders>
            <w:noWrap/>
            <w:vAlign w:val="center"/>
          </w:tcPr>
          <w:p w14:paraId="3172308C">
            <w:pPr>
              <w:spacing w:line="288" w:lineRule="auto"/>
              <w:jc w:val="center"/>
              <w:rPr>
                <w:rFonts w:hint="eastAsia" w:ascii="宋体" w:hAnsi="宋体" w:eastAsia="宋体" w:cs="宋体"/>
                <w:strike/>
                <w:dstrike w:val="0"/>
                <w:color w:val="FF0000"/>
                <w:szCs w:val="21"/>
                <w:lang w:val="en-US" w:eastAsia="zh-CN"/>
              </w:rPr>
            </w:pPr>
            <w:r>
              <w:rPr>
                <w:rFonts w:hint="eastAsia" w:ascii="宋体" w:hAnsi="宋体" w:cs="宋体"/>
                <w:strike w:val="0"/>
                <w:dstrike w:val="0"/>
                <w:color w:val="auto"/>
                <w:szCs w:val="21"/>
                <w:lang w:val="en-US" w:eastAsia="zh-CN"/>
              </w:rPr>
              <w:t>2</w:t>
            </w:r>
          </w:p>
        </w:tc>
        <w:tc>
          <w:tcPr>
            <w:tcW w:w="883" w:type="dxa"/>
            <w:tcBorders>
              <w:top w:val="single" w:color="auto" w:sz="4" w:space="0"/>
              <w:bottom w:val="single" w:color="auto" w:sz="4" w:space="0"/>
            </w:tcBorders>
            <w:noWrap/>
            <w:vAlign w:val="center"/>
          </w:tcPr>
          <w:p w14:paraId="70DC287C">
            <w:pPr>
              <w:spacing w:line="288" w:lineRule="auto"/>
              <w:jc w:val="center"/>
              <w:rPr>
                <w:rFonts w:hint="default" w:ascii="宋体" w:hAnsi="宋体" w:eastAsia="宋体" w:cs="宋体"/>
                <w:b/>
                <w:bCs/>
                <w:strike/>
                <w:dstrike w:val="0"/>
                <w:color w:val="auto"/>
                <w:szCs w:val="21"/>
                <w:lang w:val="en-US" w:eastAsia="zh-CN"/>
              </w:rPr>
            </w:pPr>
            <w:r>
              <w:rPr>
                <w:rFonts w:hint="eastAsia" w:ascii="宋体" w:hAnsi="宋体" w:eastAsia="宋体" w:cs="宋体"/>
                <w:strike w:val="0"/>
                <w:dstrike w:val="0"/>
                <w:color w:val="auto"/>
                <w:szCs w:val="21"/>
                <w:lang w:val="en-US" w:eastAsia="zh-CN"/>
              </w:rPr>
              <w:t>电子鼻咽喉镜内窥镜</w:t>
            </w:r>
          </w:p>
        </w:tc>
        <w:tc>
          <w:tcPr>
            <w:tcW w:w="433" w:type="dxa"/>
            <w:tcBorders>
              <w:top w:val="single" w:color="auto" w:sz="4" w:space="0"/>
              <w:bottom w:val="single" w:color="auto" w:sz="4" w:space="0"/>
            </w:tcBorders>
            <w:noWrap/>
            <w:vAlign w:val="center"/>
          </w:tcPr>
          <w:p w14:paraId="45A3AF43">
            <w:pPr>
              <w:spacing w:line="288" w:lineRule="auto"/>
              <w:jc w:val="center"/>
              <w:rPr>
                <w:rFonts w:hint="default" w:ascii="宋体" w:hAnsi="宋体" w:eastAsia="宋体" w:cs="宋体"/>
                <w:strike w:val="0"/>
                <w:dstrike w:val="0"/>
                <w:color w:val="auto"/>
                <w:szCs w:val="21"/>
                <w:lang w:val="en-US" w:eastAsia="zh-CN"/>
              </w:rPr>
            </w:pPr>
            <w:r>
              <w:rPr>
                <w:rFonts w:hint="eastAsia" w:ascii="宋体" w:hAnsi="宋体" w:eastAsia="宋体" w:cs="宋体"/>
                <w:strike w:val="0"/>
                <w:dstrike w:val="0"/>
                <w:color w:val="auto"/>
                <w:szCs w:val="21"/>
                <w:lang w:val="en-US" w:eastAsia="zh-CN"/>
              </w:rPr>
              <w:t>1</w:t>
            </w:r>
          </w:p>
        </w:tc>
        <w:tc>
          <w:tcPr>
            <w:tcW w:w="467" w:type="dxa"/>
            <w:tcBorders>
              <w:top w:val="single" w:color="auto" w:sz="4" w:space="0"/>
              <w:bottom w:val="single" w:color="auto" w:sz="4" w:space="0"/>
              <w:right w:val="single" w:color="auto" w:sz="4" w:space="0"/>
            </w:tcBorders>
            <w:noWrap/>
            <w:vAlign w:val="center"/>
          </w:tcPr>
          <w:p w14:paraId="20037A5A">
            <w:pPr>
              <w:pStyle w:val="12"/>
              <w:numPr>
                <w:ilvl w:val="0"/>
                <w:numId w:val="0"/>
              </w:numPr>
              <w:spacing w:before="0"/>
              <w:jc w:val="both"/>
              <w:rPr>
                <w:rFonts w:hint="default" w:ascii="宋体" w:hAnsi="宋体" w:eastAsia="宋体" w:cs="宋体"/>
                <w:strike w:val="0"/>
                <w:dstrike w:val="0"/>
                <w:color w:val="auto"/>
                <w:szCs w:val="21"/>
                <w:lang w:val="en-US" w:eastAsia="zh-CN"/>
              </w:rPr>
            </w:pPr>
            <w:r>
              <w:rPr>
                <w:rFonts w:hint="eastAsia" w:ascii="宋体" w:hAnsi="宋体" w:eastAsia="宋体" w:cs="宋体"/>
                <w:strike w:val="0"/>
                <w:dstrike w:val="0"/>
                <w:color w:val="auto"/>
                <w:szCs w:val="21"/>
                <w:lang w:val="en-US" w:eastAsia="zh-CN"/>
              </w:rPr>
              <w:t>套</w:t>
            </w:r>
          </w:p>
        </w:tc>
        <w:tc>
          <w:tcPr>
            <w:tcW w:w="5286" w:type="dxa"/>
            <w:tcBorders>
              <w:top w:val="single" w:color="auto" w:sz="4" w:space="0"/>
              <w:left w:val="single" w:color="auto" w:sz="4" w:space="0"/>
              <w:bottom w:val="single" w:color="auto" w:sz="4" w:space="0"/>
              <w:right w:val="single" w:color="auto" w:sz="4" w:space="0"/>
            </w:tcBorders>
            <w:noWrap/>
            <w:vAlign w:val="center"/>
          </w:tcPr>
          <w:p w14:paraId="32A0AF52">
            <w:pPr>
              <w:pStyle w:val="12"/>
              <w:numPr>
                <w:ilvl w:val="0"/>
                <w:numId w:val="5"/>
              </w:numPr>
              <w:spacing w:before="0"/>
              <w:jc w:val="both"/>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配置清单</w:t>
            </w:r>
          </w:p>
          <w:p w14:paraId="0F91EEC9">
            <w:pPr>
              <w:pStyle w:val="12"/>
              <w:widowControl w:val="0"/>
              <w:numPr>
                <w:ilvl w:val="0"/>
                <w:numId w:val="6"/>
              </w:numPr>
              <w:spacing w:before="0" w:after="120"/>
              <w:jc w:val="both"/>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电子鼻咽喉内窥镜，1套；</w:t>
            </w:r>
          </w:p>
          <w:p w14:paraId="477E85FC">
            <w:pPr>
              <w:pStyle w:val="12"/>
              <w:widowControl w:val="0"/>
              <w:numPr>
                <w:ilvl w:val="0"/>
                <w:numId w:val="6"/>
              </w:numPr>
              <w:spacing w:before="0" w:after="120"/>
              <w:jc w:val="both"/>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储镜盒，1个。</w:t>
            </w:r>
          </w:p>
          <w:p w14:paraId="2F5ABBC8">
            <w:pPr>
              <w:pStyle w:val="12"/>
              <w:widowControl w:val="0"/>
              <w:numPr>
                <w:ilvl w:val="0"/>
                <w:numId w:val="5"/>
              </w:numPr>
              <w:spacing w:before="0" w:after="120"/>
              <w:ind w:left="0" w:leftChars="0" w:firstLine="0" w:firstLineChars="0"/>
              <w:jc w:val="both"/>
              <w:rPr>
                <w:rFonts w:hint="eastAsia" w:ascii="宋体" w:hAnsi="宋体" w:eastAsia="宋体" w:cs="宋体"/>
                <w:strike w:val="0"/>
                <w:dstrike w:val="0"/>
                <w:color w:val="auto"/>
                <w:szCs w:val="21"/>
                <w:lang w:val="en-US" w:eastAsia="zh-CN"/>
              </w:rPr>
            </w:pPr>
            <w:r>
              <w:rPr>
                <w:rFonts w:hint="eastAsia" w:ascii="宋体" w:hAnsi="宋体" w:eastAsia="宋体" w:cs="宋体"/>
                <w:strike w:val="0"/>
                <w:dstrike w:val="0"/>
                <w:color w:val="auto"/>
                <w:szCs w:val="21"/>
                <w:lang w:val="en-US" w:eastAsia="zh-CN"/>
              </w:rPr>
              <w:t>技术参数</w:t>
            </w:r>
          </w:p>
          <w:p w14:paraId="0C79A3C6">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1、视野角度：90度； </w:t>
            </w:r>
          </w:p>
          <w:p w14:paraId="3F2E430E">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2、景深：3.5-50mm； </w:t>
            </w:r>
          </w:p>
          <w:p w14:paraId="53B0BE05">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▲3、先端部外径≤2.7mm； </w:t>
            </w:r>
          </w:p>
          <w:p w14:paraId="559ABF66">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▲4、软性部外径≤2.95mm； </w:t>
            </w:r>
          </w:p>
          <w:p w14:paraId="1F8AED0F">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5、有效长度≥290mm； </w:t>
            </w:r>
          </w:p>
          <w:p w14:paraId="4D4083D2">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6、全长 ≥500mm； </w:t>
            </w:r>
          </w:p>
          <w:p w14:paraId="79DB7328">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7、弯曲角度：上≥ 130 度，下≥ 130 度； </w:t>
            </w:r>
          </w:p>
          <w:p w14:paraId="660C9F4C">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8、先端内置高画质 CCD，免调焦,影像更清晰； </w:t>
            </w:r>
          </w:p>
          <w:p w14:paraId="068B4F37">
            <w:pPr>
              <w:pStyle w:val="12"/>
              <w:widowControl w:val="0"/>
              <w:numPr>
                <w:ilvl w:val="0"/>
                <w:numId w:val="0"/>
              </w:numPr>
              <w:spacing w:before="0" w:after="120"/>
              <w:jc w:val="both"/>
              <w:rPr>
                <w:rFonts w:hint="default" w:ascii="宋体" w:hAnsi="宋体" w:cs="宋体"/>
                <w:color w:val="auto"/>
                <w:szCs w:val="21"/>
              </w:rPr>
            </w:pPr>
            <w:r>
              <w:rPr>
                <w:rFonts w:hint="default" w:ascii="宋体" w:hAnsi="宋体" w:cs="宋体"/>
                <w:color w:val="auto"/>
                <w:szCs w:val="21"/>
              </w:rPr>
              <w:t xml:space="preserve">9、图像预冻结功能，自动采集最清晰的图片； </w:t>
            </w:r>
          </w:p>
          <w:p w14:paraId="4B93DBEA">
            <w:pPr>
              <w:pStyle w:val="12"/>
              <w:widowControl w:val="0"/>
              <w:numPr>
                <w:ilvl w:val="0"/>
                <w:numId w:val="0"/>
              </w:numPr>
              <w:spacing w:before="0" w:after="120"/>
              <w:jc w:val="both"/>
              <w:rPr>
                <w:rFonts w:hint="eastAsia" w:ascii="宋体" w:hAnsi="宋体" w:eastAsia="宋体" w:cs="宋体"/>
                <w:strike w:val="0"/>
                <w:dstrike w:val="0"/>
                <w:color w:val="auto"/>
                <w:szCs w:val="21"/>
                <w:lang w:val="en-US" w:eastAsia="zh-CN"/>
              </w:rPr>
            </w:pPr>
            <w:r>
              <w:rPr>
                <w:rFonts w:hint="default" w:ascii="宋体" w:hAnsi="宋体" w:cs="宋体"/>
                <w:color w:val="auto"/>
                <w:szCs w:val="21"/>
              </w:rPr>
              <w:t xml:space="preserve">10、具有窄带成像技术（NBI）,可以增强毛细血管网和粘膜形态的可视性，提高早期癌检出率； </w:t>
            </w:r>
          </w:p>
        </w:tc>
        <w:tc>
          <w:tcPr>
            <w:tcW w:w="1110" w:type="dxa"/>
            <w:tcBorders>
              <w:top w:val="single" w:color="auto" w:sz="4" w:space="0"/>
              <w:left w:val="single" w:color="auto" w:sz="4" w:space="0"/>
              <w:bottom w:val="single" w:color="auto" w:sz="4" w:space="0"/>
            </w:tcBorders>
            <w:noWrap w:val="0"/>
            <w:vAlign w:val="center"/>
          </w:tcPr>
          <w:p w14:paraId="17B3CAC0">
            <w:pPr>
              <w:spacing w:line="36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75</w:t>
            </w:r>
          </w:p>
        </w:tc>
        <w:tc>
          <w:tcPr>
            <w:tcW w:w="1331" w:type="dxa"/>
            <w:tcBorders>
              <w:top w:val="single" w:color="auto" w:sz="4" w:space="0"/>
              <w:left w:val="single" w:color="auto" w:sz="4" w:space="0"/>
              <w:bottom w:val="single" w:color="auto" w:sz="4" w:space="0"/>
            </w:tcBorders>
            <w:noWrap w:val="0"/>
            <w:vAlign w:val="center"/>
          </w:tcPr>
          <w:p w14:paraId="1AC5CA08">
            <w:pPr>
              <w:spacing w:line="36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61</w:t>
            </w:r>
          </w:p>
        </w:tc>
      </w:tr>
      <w:tr w14:paraId="03522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trPr>
        <w:tc>
          <w:tcPr>
            <w:tcW w:w="459" w:type="dxa"/>
            <w:tcBorders>
              <w:top w:val="single" w:color="auto" w:sz="4" w:space="0"/>
              <w:bottom w:val="single" w:color="auto" w:sz="4" w:space="0"/>
            </w:tcBorders>
            <w:noWrap/>
            <w:vAlign w:val="center"/>
          </w:tcPr>
          <w:p w14:paraId="6C52BBFC">
            <w:pPr>
              <w:spacing w:line="288" w:lineRule="auto"/>
              <w:jc w:val="center"/>
              <w:rPr>
                <w:rFonts w:hint="eastAsia" w:ascii="宋体" w:hAnsi="宋体" w:eastAsia="宋体" w:cs="宋体"/>
                <w:b w:val="0"/>
                <w:bCs w:val="0"/>
                <w:color w:val="auto"/>
                <w:szCs w:val="21"/>
                <w:lang w:val="en-US" w:eastAsia="zh-CN"/>
              </w:rPr>
            </w:pPr>
            <w:r>
              <w:rPr>
                <w:rFonts w:hint="eastAsia" w:ascii="宋体" w:hAnsi="宋体" w:cs="宋体"/>
                <w:b w:val="0"/>
                <w:bCs w:val="0"/>
                <w:color w:val="auto"/>
                <w:szCs w:val="21"/>
                <w:lang w:val="en-US" w:eastAsia="zh-CN"/>
              </w:rPr>
              <w:t>3</w:t>
            </w:r>
          </w:p>
        </w:tc>
        <w:tc>
          <w:tcPr>
            <w:tcW w:w="883" w:type="dxa"/>
            <w:tcBorders>
              <w:top w:val="single" w:color="auto" w:sz="4" w:space="0"/>
              <w:bottom w:val="single" w:color="auto" w:sz="4" w:space="0"/>
            </w:tcBorders>
            <w:noWrap/>
            <w:vAlign w:val="center"/>
          </w:tcPr>
          <w:p w14:paraId="3A550B79">
            <w:pPr>
              <w:spacing w:line="288" w:lineRule="auto"/>
              <w:jc w:val="center"/>
              <w:rPr>
                <w:rFonts w:hint="eastAsia" w:ascii="宋体" w:hAnsi="宋体" w:eastAsia="宋体" w:cs="宋体"/>
                <w:b w:val="0"/>
                <w:bCs w:val="0"/>
                <w:color w:val="auto"/>
                <w:szCs w:val="21"/>
                <w:lang w:val="en-US" w:eastAsia="zh-CN"/>
              </w:rPr>
            </w:pPr>
            <w:r>
              <w:rPr>
                <w:rFonts w:hint="eastAsia" w:ascii="宋体" w:hAnsi="宋体" w:eastAsia="宋体" w:cs="宋体"/>
                <w:b w:val="0"/>
                <w:bCs w:val="0"/>
                <w:color w:val="auto"/>
                <w:szCs w:val="21"/>
                <w:lang w:val="en-US" w:eastAsia="zh-CN"/>
              </w:rPr>
              <w:t>高端心电监护仪</w:t>
            </w:r>
          </w:p>
        </w:tc>
        <w:tc>
          <w:tcPr>
            <w:tcW w:w="433" w:type="dxa"/>
            <w:tcBorders>
              <w:top w:val="single" w:color="auto" w:sz="4" w:space="0"/>
              <w:bottom w:val="single" w:color="auto" w:sz="4" w:space="0"/>
            </w:tcBorders>
            <w:noWrap/>
            <w:vAlign w:val="center"/>
          </w:tcPr>
          <w:p w14:paraId="509EAEC0">
            <w:pPr>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3</w:t>
            </w:r>
          </w:p>
        </w:tc>
        <w:tc>
          <w:tcPr>
            <w:tcW w:w="467" w:type="dxa"/>
            <w:tcBorders>
              <w:top w:val="single" w:color="auto" w:sz="4" w:space="0"/>
              <w:bottom w:val="single" w:color="auto" w:sz="4" w:space="0"/>
              <w:right w:val="single" w:color="auto" w:sz="4" w:space="0"/>
            </w:tcBorders>
            <w:noWrap/>
            <w:vAlign w:val="center"/>
          </w:tcPr>
          <w:p w14:paraId="04764B4B">
            <w:pPr>
              <w:pStyle w:val="12"/>
              <w:numPr>
                <w:ilvl w:val="0"/>
                <w:numId w:val="0"/>
              </w:numPr>
              <w:spacing w:before="0"/>
              <w:jc w:val="both"/>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台</w:t>
            </w:r>
          </w:p>
        </w:tc>
        <w:tc>
          <w:tcPr>
            <w:tcW w:w="5286" w:type="dxa"/>
            <w:tcBorders>
              <w:top w:val="single" w:color="auto" w:sz="4" w:space="0"/>
              <w:left w:val="single" w:color="auto" w:sz="4" w:space="0"/>
              <w:bottom w:val="single" w:color="auto" w:sz="4" w:space="0"/>
              <w:right w:val="single" w:color="auto" w:sz="4" w:space="0"/>
            </w:tcBorders>
            <w:noWrap/>
            <w:vAlign w:val="center"/>
          </w:tcPr>
          <w:p w14:paraId="78B62E55">
            <w:pPr>
              <w:pStyle w:val="12"/>
              <w:numPr>
                <w:ilvl w:val="0"/>
                <w:numId w:val="7"/>
              </w:numPr>
              <w:spacing w:before="0"/>
              <w:jc w:val="both"/>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配置清单</w:t>
            </w:r>
          </w:p>
          <w:p w14:paraId="194A33B4">
            <w:pPr>
              <w:pStyle w:val="12"/>
              <w:widowControl w:val="0"/>
              <w:numPr>
                <w:ilvl w:val="0"/>
                <w:numId w:val="8"/>
              </w:numPr>
              <w:spacing w:before="0" w:after="120"/>
              <w:jc w:val="both"/>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主机，1台；</w:t>
            </w:r>
          </w:p>
          <w:p w14:paraId="08A3AB97">
            <w:pPr>
              <w:pStyle w:val="12"/>
              <w:widowControl w:val="0"/>
              <w:numPr>
                <w:ilvl w:val="0"/>
                <w:numId w:val="8"/>
              </w:numPr>
              <w:spacing w:before="0" w:after="12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转运模块，1个；</w:t>
            </w:r>
          </w:p>
          <w:p w14:paraId="655C023B">
            <w:pPr>
              <w:pStyle w:val="12"/>
              <w:widowControl w:val="0"/>
              <w:numPr>
                <w:ilvl w:val="0"/>
                <w:numId w:val="8"/>
              </w:numPr>
              <w:spacing w:before="0" w:after="12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锂电池，1块；</w:t>
            </w:r>
          </w:p>
          <w:p w14:paraId="3A8BB46B">
            <w:pPr>
              <w:pStyle w:val="12"/>
              <w:widowControl w:val="0"/>
              <w:numPr>
                <w:ilvl w:val="0"/>
                <w:numId w:val="8"/>
              </w:numPr>
              <w:spacing w:before="0" w:after="12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三芯电源线，1根；</w:t>
            </w:r>
          </w:p>
          <w:p w14:paraId="29BE44A6">
            <w:pPr>
              <w:pStyle w:val="12"/>
              <w:widowControl w:val="0"/>
              <w:numPr>
                <w:ilvl w:val="0"/>
                <w:numId w:val="8"/>
              </w:numPr>
              <w:spacing w:before="0" w:after="12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配备双有创血压监测功能，内置；</w:t>
            </w:r>
          </w:p>
          <w:p w14:paraId="6C64C5AA">
            <w:pPr>
              <w:pStyle w:val="12"/>
              <w:widowControl w:val="0"/>
              <w:numPr>
                <w:ilvl w:val="0"/>
                <w:numId w:val="8"/>
              </w:numPr>
              <w:spacing w:before="0" w:after="12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使用说明书，1本；</w:t>
            </w:r>
          </w:p>
          <w:p w14:paraId="7D16370C">
            <w:pPr>
              <w:pStyle w:val="12"/>
              <w:widowControl w:val="0"/>
              <w:numPr>
                <w:ilvl w:val="0"/>
                <w:numId w:val="8"/>
              </w:numPr>
              <w:spacing w:before="0" w:after="12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设备保修卡，1张；</w:t>
            </w:r>
          </w:p>
          <w:p w14:paraId="1BF84806">
            <w:pPr>
              <w:pStyle w:val="12"/>
              <w:widowControl w:val="0"/>
              <w:numPr>
                <w:ilvl w:val="0"/>
                <w:numId w:val="8"/>
              </w:numPr>
              <w:spacing w:before="0" w:after="12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合格证，1张。</w:t>
            </w:r>
          </w:p>
          <w:p w14:paraId="019E8436">
            <w:pPr>
              <w:pStyle w:val="12"/>
              <w:widowControl w:val="0"/>
              <w:numPr>
                <w:ilvl w:val="0"/>
                <w:numId w:val="0"/>
              </w:numPr>
              <w:spacing w:before="0" w:after="120"/>
              <w:jc w:val="both"/>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二、功能介绍</w:t>
            </w:r>
          </w:p>
          <w:p w14:paraId="113EF470">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监护仪为模块化插件式床边监护仪，主机、显示屏和插件槽一体化设计，主机插槽数4 个。≥12寸彩色电容触摸屏，支持多点触摸操作，高分辨率达1280x800像素，8通道显示，显示屏亮度自动调节。配备转运监护模块，拔出后作为一个独立的监护仪支持病人的无缝转移，插入监护仪模块插槽作为主机模块，具有独立操作显示屏，屏幕尺寸≥5.5英寸，内置锂电池供电≥4小时，无风扇设计。</w:t>
            </w:r>
          </w:p>
          <w:p w14:paraId="3CD6279D">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三、技术参数</w:t>
            </w:r>
          </w:p>
          <w:p w14:paraId="5313D25A">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模块化插件式床边监护仪，主机、显示屏和插件槽一体化设计，主机插槽数≥4个。 </w:t>
            </w:r>
          </w:p>
          <w:p w14:paraId="6883907B">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eastAsia" w:hAnsi="宋体"/>
                <w:b/>
                <w:bCs/>
                <w:color w:val="000000"/>
                <w:highlight w:val="none"/>
              </w:rPr>
              <w:t>▲</w:t>
            </w:r>
            <w:r>
              <w:rPr>
                <w:rFonts w:hint="default" w:ascii="宋体" w:hAnsi="宋体" w:eastAsia="宋体" w:cs="宋体"/>
                <w:color w:val="000000"/>
                <w:szCs w:val="21"/>
                <w:lang w:val="en-US" w:eastAsia="zh-CN"/>
              </w:rPr>
              <w:t>2</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≥12 寸彩色电容触摸屏，支持多点触摸操作，高分辨率达1280x800 像素，4通道显示，显示屏亮度自动调节。 </w:t>
            </w:r>
          </w:p>
          <w:p w14:paraId="071B82FC">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eastAsia" w:hAnsi="宋体"/>
                <w:b/>
                <w:bCs/>
                <w:color w:val="000000"/>
                <w:highlight w:val="none"/>
              </w:rPr>
              <w:t>▲</w:t>
            </w:r>
            <w:r>
              <w:rPr>
                <w:rFonts w:hint="default" w:ascii="宋体" w:hAnsi="宋体" w:eastAsia="宋体" w:cs="宋体"/>
                <w:color w:val="000000"/>
                <w:szCs w:val="21"/>
                <w:lang w:val="en-US" w:eastAsia="zh-CN"/>
              </w:rPr>
              <w:t>3</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标配转运监护模块，拔出后作为一个独立的监护仪支持病人的无缝转移，插入监护仪模块插槽作为主机模块，具有独立操作显示屏，屏幕尺寸≥5.5英寸，内置锂电池供电≥4小时，无风扇设计。 </w:t>
            </w:r>
          </w:p>
          <w:p w14:paraId="1E17A426">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eastAsia" w:hAnsi="宋体"/>
                <w:b/>
                <w:bCs/>
                <w:color w:val="000000"/>
                <w:highlight w:val="none"/>
              </w:rPr>
              <w:t>▲</w:t>
            </w:r>
            <w:r>
              <w:rPr>
                <w:rFonts w:hint="default" w:ascii="宋体" w:hAnsi="宋体" w:eastAsia="宋体" w:cs="宋体"/>
                <w:color w:val="000000"/>
                <w:szCs w:val="21"/>
                <w:lang w:val="en-US" w:eastAsia="zh-CN"/>
              </w:rPr>
              <w:t>4</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标配转运监护仪可以实现插入监护仪主机的任意插槽 </w:t>
            </w:r>
            <w:r>
              <w:rPr>
                <w:rFonts w:hint="eastAsia" w:ascii="宋体" w:hAnsi="宋体" w:eastAsia="宋体" w:cs="宋体"/>
                <w:color w:val="000000"/>
                <w:szCs w:val="21"/>
                <w:lang w:val="en-US" w:eastAsia="zh-CN"/>
              </w:rPr>
              <w:t>。</w:t>
            </w:r>
          </w:p>
          <w:p w14:paraId="5B488129">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5</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基本功能模块支持心电，呼吸，心率，无创血压，血氧饱和度，脉搏，双通道体温和双通道有创血压的监测。 </w:t>
            </w:r>
          </w:p>
          <w:p w14:paraId="0E09CF2D">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6</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支持3/5导心电监测，支持房颤心律失常分析功能，支持不少于20种实时心律失常分析。 </w:t>
            </w:r>
          </w:p>
          <w:p w14:paraId="63133E7E">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eastAsia" w:hAnsi="宋体"/>
                <w:b/>
                <w:bCs/>
                <w:color w:val="000000"/>
                <w:highlight w:val="none"/>
              </w:rPr>
              <w:t>▲</w:t>
            </w:r>
            <w:r>
              <w:rPr>
                <w:rFonts w:hint="default" w:ascii="宋体" w:hAnsi="宋体" w:eastAsia="宋体" w:cs="宋体"/>
                <w:color w:val="000000"/>
                <w:szCs w:val="21"/>
                <w:lang w:val="en-US" w:eastAsia="zh-CN"/>
              </w:rPr>
              <w:t>7</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提供ST段分析功能，支持在专门的窗口中分组显示心脏前壁，下壁和侧壁的ST实时片段和参考片段，监测ST段抬高或者压低，提供ST报警。提供单个，或多个ST值报警，并支持相对的报警限设置。导联类型自动识别功能，具备智能导联脱落监测功能，导联脱落的情况下仍能保持监护。 </w:t>
            </w:r>
          </w:p>
          <w:p w14:paraId="7C516751">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8</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无创血压提供手动、自动间隔、连续、序列四种测量模式。 </w:t>
            </w:r>
          </w:p>
          <w:p w14:paraId="555DD5D5">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eastAsia" w:hAnsi="宋体"/>
                <w:b/>
                <w:bCs/>
                <w:color w:val="000000"/>
                <w:highlight w:val="none"/>
              </w:rPr>
              <w:t>▲</w:t>
            </w:r>
            <w:r>
              <w:rPr>
                <w:rFonts w:hint="default" w:ascii="宋体" w:hAnsi="宋体" w:eastAsia="宋体" w:cs="宋体"/>
                <w:color w:val="000000"/>
                <w:szCs w:val="21"/>
                <w:lang w:val="en-US" w:eastAsia="zh-CN"/>
              </w:rPr>
              <w:t>9</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具有QT/QTc测量功能，提供 QT，QTc 和ΔQTc 参数值，提供QT和QTc模板显示。 </w:t>
            </w:r>
          </w:p>
          <w:p w14:paraId="5A95C02C">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10</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无创血压成人测量范围：25-290mmHg（收缩压），10-250mmHg（舒张压），15-260mmHg（平均压）。 </w:t>
            </w:r>
          </w:p>
          <w:p w14:paraId="58EA91F9">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11</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无创血压小儿测量范围：25-240mmHg（收缩压），10-200mmHg（舒张压），15-215mmHg（平均压）。 </w:t>
            </w:r>
          </w:p>
          <w:p w14:paraId="009FDFFD">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12</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无创血压新生儿测量范围：25-140mmHg（收缩压），10-115mmHg（舒张压），15-125mmHg（平均压）。 </w:t>
            </w:r>
          </w:p>
          <w:p w14:paraId="6E0CC04B">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13</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支持双通道有创压IBP监测，支持升级≥6通道有创压监测，提供肺动脉锲压（PAWP）的监测和PPV参数监测，支持≥8道IBP波形叠加显示，满足临床对比查看和节约显示空间的需求。 </w:t>
            </w:r>
          </w:p>
          <w:p w14:paraId="6B6049E5">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14</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标配具备血液动力学计算，药物计算，氧合计算，通气计算和肾功能计算功能。 </w:t>
            </w:r>
          </w:p>
          <w:p w14:paraId="7598FA38">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15</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支持与主流呼吸机品牌的呼吸机相连，实现呼吸机设备的信息在监护仪上显示、存储、记录、打印或者用于参与计算。 </w:t>
            </w:r>
          </w:p>
          <w:p w14:paraId="19C9BC7C">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16</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大字体界面支持6个参数的设置和显示，具有图形化报警指示功能，看报警信息更容易，所有参数报警限自动设置，能够设置护理组，一个护理组能够设置 6-12 个病人。这些病人之间能够互相进行它床观察。 </w:t>
            </w:r>
          </w:p>
          <w:p w14:paraId="08F6891C">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17</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40个及以上参数的120小时（分辨率1分钟）趋势表、趋势图回顾，4小时（分辨率5秒）趋势表、趋势图回顾。1000 条事件回顾。每条报警事件至少能够存储32秒三道相关波形，以及报警触发时所有测量参数值。 </w:t>
            </w:r>
          </w:p>
          <w:p w14:paraId="674259AC">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eastAsia" w:hAnsi="宋体"/>
                <w:b/>
                <w:bCs/>
                <w:color w:val="000000"/>
                <w:highlight w:val="none"/>
              </w:rPr>
              <w:t>▲</w:t>
            </w:r>
            <w:r>
              <w:rPr>
                <w:rFonts w:hint="default" w:ascii="宋体" w:hAnsi="宋体" w:eastAsia="宋体" w:cs="宋体"/>
                <w:color w:val="000000"/>
                <w:szCs w:val="21"/>
                <w:lang w:val="en-US" w:eastAsia="zh-CN"/>
              </w:rPr>
              <w:t>18</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具备大于等于48小时全息波形的存储与回顾功能，120小时（分辨率5分钟）ST模板回顾。 </w:t>
            </w:r>
          </w:p>
          <w:p w14:paraId="5A46366F">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19</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具有在线帮助功能，能够指导用户掌握如何设置参数。具有高级参数指导功能，能够指导用户掌握高级参数的使用方法。 </w:t>
            </w:r>
          </w:p>
          <w:p w14:paraId="250B82A8">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20</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工作模式提供：监护模式、待机模式、体外循环模式模式、插管模式</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夜间模式、隐私模式、演示模式。 </w:t>
            </w:r>
          </w:p>
          <w:p w14:paraId="00FD8EDC">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21</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 xml:space="preserve">可升级FloTrac监测功能模块或可实现FloTrac技术单机产品，非漂浮导管热稀释法或无创阻抗法，可通过监测桡动脉压力提供连续心排量（CCO），每搏量变异（SVV），实时外周血管阻力（SVR）等监测参数，满足连续血流动力学监测需求升级血流动力学分析工具，满足科室的专业应用。 </w:t>
            </w:r>
          </w:p>
          <w:p w14:paraId="4A927D01">
            <w:pPr>
              <w:pStyle w:val="12"/>
              <w:widowControl w:val="0"/>
              <w:numPr>
                <w:ilvl w:val="0"/>
                <w:numId w:val="0"/>
              </w:numPr>
              <w:spacing w:before="0" w:after="120"/>
              <w:jc w:val="both"/>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22</w:t>
            </w:r>
            <w:r>
              <w:rPr>
                <w:rFonts w:hint="eastAsia" w:ascii="宋体" w:hAnsi="宋体" w:eastAsia="宋体" w:cs="宋体"/>
                <w:color w:val="000000"/>
                <w:szCs w:val="21"/>
                <w:lang w:val="en-US" w:eastAsia="zh-CN"/>
              </w:rPr>
              <w:t>、</w:t>
            </w:r>
            <w:r>
              <w:rPr>
                <w:rFonts w:hint="default" w:ascii="宋体" w:hAnsi="宋体" w:eastAsia="宋体" w:cs="宋体"/>
                <w:color w:val="000000"/>
                <w:szCs w:val="21"/>
                <w:lang w:val="en-US" w:eastAsia="zh-CN"/>
              </w:rPr>
              <w:t>可升级微创连续血流动力学监测模块，非无创电阻抗法，具有更好的监测准确性，可采用PiCCO或类似技术，实现CCO连续心排量、SVV每搏变异量等血液动力学监测参数，直观观察病人的变化情况</w:t>
            </w:r>
            <w:r>
              <w:rPr>
                <w:rFonts w:hint="eastAsia" w:ascii="宋体" w:hAnsi="宋体" w:eastAsia="宋体" w:cs="宋体"/>
                <w:color w:val="000000"/>
                <w:szCs w:val="21"/>
                <w:lang w:val="en-US" w:eastAsia="zh-CN"/>
              </w:rPr>
              <w:t>。</w:t>
            </w:r>
          </w:p>
        </w:tc>
        <w:tc>
          <w:tcPr>
            <w:tcW w:w="1110" w:type="dxa"/>
            <w:tcBorders>
              <w:top w:val="single" w:color="auto" w:sz="4" w:space="0"/>
              <w:left w:val="single" w:color="auto" w:sz="4" w:space="0"/>
              <w:bottom w:val="single" w:color="auto" w:sz="4" w:space="0"/>
            </w:tcBorders>
            <w:noWrap w:val="0"/>
            <w:vAlign w:val="center"/>
          </w:tcPr>
          <w:p w14:paraId="742168B4">
            <w:pPr>
              <w:spacing w:line="36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24</w:t>
            </w:r>
          </w:p>
        </w:tc>
        <w:tc>
          <w:tcPr>
            <w:tcW w:w="1331" w:type="dxa"/>
            <w:tcBorders>
              <w:top w:val="single" w:color="auto" w:sz="4" w:space="0"/>
              <w:left w:val="single" w:color="auto" w:sz="4" w:space="0"/>
              <w:bottom w:val="single" w:color="auto" w:sz="4" w:space="0"/>
            </w:tcBorders>
            <w:noWrap w:val="0"/>
            <w:vAlign w:val="center"/>
          </w:tcPr>
          <w:p w14:paraId="061ABEC4">
            <w:pPr>
              <w:spacing w:line="36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23.4</w:t>
            </w:r>
          </w:p>
        </w:tc>
      </w:tr>
      <w:tr w14:paraId="60C38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trPr>
        <w:tc>
          <w:tcPr>
            <w:tcW w:w="459" w:type="dxa"/>
            <w:tcBorders>
              <w:top w:val="single" w:color="auto" w:sz="4" w:space="0"/>
            </w:tcBorders>
            <w:noWrap/>
            <w:vAlign w:val="center"/>
          </w:tcPr>
          <w:p w14:paraId="7076AC63">
            <w:pPr>
              <w:spacing w:line="288" w:lineRule="auto"/>
              <w:jc w:val="center"/>
              <w:rPr>
                <w:rFonts w:hint="eastAsia" w:ascii="宋体" w:hAnsi="宋体" w:eastAsia="宋体" w:cs="宋体"/>
                <w:szCs w:val="21"/>
                <w:lang w:val="en-US" w:eastAsia="zh-CN"/>
              </w:rPr>
            </w:pPr>
            <w:r>
              <w:rPr>
                <w:rFonts w:hint="eastAsia" w:ascii="宋体" w:hAnsi="宋体" w:cs="宋体"/>
                <w:szCs w:val="21"/>
                <w:lang w:val="en-US" w:eastAsia="zh-CN"/>
              </w:rPr>
              <w:t>4</w:t>
            </w:r>
          </w:p>
        </w:tc>
        <w:tc>
          <w:tcPr>
            <w:tcW w:w="883" w:type="dxa"/>
            <w:tcBorders>
              <w:top w:val="single" w:color="auto" w:sz="4" w:space="0"/>
            </w:tcBorders>
            <w:noWrap/>
            <w:vAlign w:val="center"/>
          </w:tcPr>
          <w:p w14:paraId="0B304D6C">
            <w:pPr>
              <w:spacing w:line="288" w:lineRule="auto"/>
              <w:jc w:val="center"/>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鼻内窥镜手术器械</w:t>
            </w:r>
          </w:p>
        </w:tc>
        <w:tc>
          <w:tcPr>
            <w:tcW w:w="433" w:type="dxa"/>
            <w:tcBorders>
              <w:top w:val="single" w:color="auto" w:sz="4" w:space="0"/>
            </w:tcBorders>
            <w:noWrap/>
            <w:vAlign w:val="center"/>
          </w:tcPr>
          <w:p w14:paraId="0D0C55F6">
            <w:pPr>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p>
        </w:tc>
        <w:tc>
          <w:tcPr>
            <w:tcW w:w="467" w:type="dxa"/>
            <w:tcBorders>
              <w:top w:val="single" w:color="auto" w:sz="4" w:space="0"/>
              <w:right w:val="single" w:color="auto" w:sz="4" w:space="0"/>
            </w:tcBorders>
            <w:noWrap/>
            <w:vAlign w:val="center"/>
          </w:tcPr>
          <w:p w14:paraId="6433C034">
            <w:pPr>
              <w:pStyle w:val="12"/>
              <w:numPr>
                <w:ilvl w:val="0"/>
                <w:numId w:val="0"/>
              </w:numPr>
              <w:spacing w:before="0"/>
              <w:jc w:val="center"/>
              <w:rPr>
                <w:rFonts w:hint="default" w:eastAsia="宋体"/>
                <w:lang w:val="en-US" w:eastAsia="zh-CN"/>
              </w:rPr>
            </w:pPr>
            <w:r>
              <w:rPr>
                <w:rFonts w:hint="eastAsia" w:eastAsia="宋体"/>
                <w:lang w:val="en-US" w:eastAsia="zh-CN"/>
              </w:rPr>
              <w:t>套</w:t>
            </w:r>
          </w:p>
        </w:tc>
        <w:tc>
          <w:tcPr>
            <w:tcW w:w="5286" w:type="dxa"/>
            <w:tcBorders>
              <w:top w:val="single" w:color="auto" w:sz="4" w:space="0"/>
              <w:left w:val="single" w:color="auto" w:sz="4" w:space="0"/>
              <w:right w:val="single" w:color="auto" w:sz="4" w:space="0"/>
            </w:tcBorders>
            <w:noWrap/>
            <w:vAlign w:val="center"/>
          </w:tcPr>
          <w:p w14:paraId="4432435C">
            <w:pPr>
              <w:pStyle w:val="12"/>
              <w:numPr>
                <w:ilvl w:val="0"/>
                <w:numId w:val="9"/>
              </w:numPr>
              <w:spacing w:before="0"/>
              <w:jc w:val="both"/>
              <w:rPr>
                <w:rFonts w:hint="eastAsia"/>
                <w:lang w:val="en-US" w:eastAsia="zh-CN"/>
              </w:rPr>
            </w:pPr>
            <w:r>
              <w:rPr>
                <w:rFonts w:hint="eastAsia"/>
                <w:lang w:val="en-US" w:eastAsia="zh-CN"/>
              </w:rPr>
              <w:t>技术参数</w:t>
            </w:r>
          </w:p>
          <w:p w14:paraId="1F862074">
            <w:pPr>
              <w:pStyle w:val="12"/>
              <w:widowControl w:val="0"/>
              <w:numPr>
                <w:ilvl w:val="0"/>
                <w:numId w:val="10"/>
              </w:numPr>
              <w:spacing w:before="0" w:after="120"/>
              <w:jc w:val="both"/>
              <w:rPr>
                <w:rFonts w:hint="eastAsia"/>
                <w:lang w:val="en-US" w:eastAsia="zh-CN"/>
              </w:rPr>
            </w:pPr>
            <w:r>
              <w:rPr>
                <w:rFonts w:hint="eastAsia"/>
                <w:lang w:val="en-US" w:eastAsia="zh-CN"/>
              </w:rPr>
              <w:t>鼻剥离器：</w:t>
            </w:r>
          </w:p>
          <w:p w14:paraId="353DA5A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①鼻剥离器工作长度190mm，头部尺寸4.5mm，双头，一头锋利一头半锋利。</w:t>
            </w:r>
          </w:p>
          <w:p w14:paraId="5C9C9B2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 HRC51。</w:t>
            </w:r>
          </w:p>
          <w:p w14:paraId="74456A28">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42A8073C">
            <w:pPr>
              <w:pStyle w:val="12"/>
              <w:widowControl w:val="0"/>
              <w:numPr>
                <w:ilvl w:val="0"/>
                <w:numId w:val="0"/>
              </w:numPr>
              <w:spacing w:before="0" w:after="120"/>
              <w:jc w:val="both"/>
              <w:rPr>
                <w:rFonts w:hint="default"/>
                <w:lang w:val="en-US" w:eastAsia="zh-CN"/>
              </w:rPr>
            </w:pPr>
            <w:r>
              <w:rPr>
                <w:rFonts w:hint="eastAsia"/>
                <w:lang w:val="en-US" w:eastAsia="zh-CN"/>
              </w:rPr>
              <w:t>2、上颌窦探针</w:t>
            </w:r>
          </w:p>
          <w:p w14:paraId="5A893345">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①上颌窦探针工作长度 190mm，球型双头。</w:t>
            </w:r>
          </w:p>
          <w:p w14:paraId="423CA04C">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 HRC51。</w:t>
            </w:r>
          </w:p>
          <w:p w14:paraId="405C1450">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3282B5CA">
            <w:pPr>
              <w:pStyle w:val="12"/>
              <w:numPr>
                <w:ilvl w:val="0"/>
                <w:numId w:val="0"/>
              </w:numPr>
              <w:spacing w:before="0"/>
              <w:jc w:val="both"/>
              <w:rPr>
                <w:rFonts w:hint="eastAsia"/>
                <w:lang w:val="en-US" w:eastAsia="zh-CN"/>
              </w:rPr>
            </w:pPr>
            <w:r>
              <w:rPr>
                <w:rFonts w:hint="eastAsia"/>
                <w:lang w:val="en-US" w:eastAsia="zh-CN"/>
              </w:rPr>
              <w:t>3、鼻咬切钳</w:t>
            </w:r>
          </w:p>
          <w:p w14:paraId="421749B6">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①鼻咬切钳工作长度130mm，头部尺寸3.0mm</w:t>
            </w:r>
            <w:r>
              <w:rPr>
                <w:rFonts w:hint="eastAsia" w:ascii="Calibri" w:hAnsi="Calibri" w:cs="Calibri"/>
                <w:lang w:val="en-US" w:eastAsia="zh-CN"/>
              </w:rPr>
              <w:t>，</w:t>
            </w:r>
            <w:r>
              <w:rPr>
                <w:rFonts w:hint="default" w:ascii="Calibri" w:hAnsi="Calibri" w:cs="Calibri"/>
                <w:lang w:val="en-US" w:eastAsia="zh-CN"/>
              </w:rPr>
              <w:t>0°。</w:t>
            </w:r>
          </w:p>
          <w:p w14:paraId="15D4C4CB">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②要求刃口锋利，硬度HRC51。</w:t>
            </w:r>
          </w:p>
          <w:p w14:paraId="352F1C9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231735D6">
            <w:pPr>
              <w:pStyle w:val="12"/>
              <w:numPr>
                <w:ilvl w:val="0"/>
                <w:numId w:val="0"/>
              </w:numPr>
              <w:spacing w:before="0"/>
              <w:jc w:val="both"/>
              <w:rPr>
                <w:rFonts w:hint="eastAsia"/>
                <w:lang w:val="en-US" w:eastAsia="zh-CN"/>
              </w:rPr>
            </w:pPr>
            <w:r>
              <w:rPr>
                <w:rFonts w:hint="eastAsia"/>
                <w:lang w:val="en-US" w:eastAsia="zh-CN"/>
              </w:rPr>
              <w:t>4、鼻组织剪</w:t>
            </w:r>
          </w:p>
          <w:p w14:paraId="1523A790">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①鼻组织剪工作长度115mm，头部尺寸4.0mm，直口，盖板式。</w:t>
            </w:r>
          </w:p>
          <w:p w14:paraId="5A9EC94A">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②要求刃口锋利，硬度HRC51。</w:t>
            </w:r>
          </w:p>
          <w:p w14:paraId="1D8B9F00">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498FBA07">
            <w:pPr>
              <w:pStyle w:val="12"/>
              <w:numPr>
                <w:ilvl w:val="0"/>
                <w:numId w:val="0"/>
              </w:numPr>
              <w:spacing w:before="0"/>
              <w:jc w:val="both"/>
              <w:rPr>
                <w:rFonts w:hint="eastAsia"/>
                <w:lang w:val="en-US" w:eastAsia="zh-CN"/>
              </w:rPr>
            </w:pPr>
            <w:r>
              <w:rPr>
                <w:rFonts w:hint="eastAsia"/>
                <w:lang w:val="en-US" w:eastAsia="zh-CN"/>
              </w:rPr>
              <w:t>5、鼻咬切钳</w:t>
            </w:r>
          </w:p>
          <w:p w14:paraId="13C373AA">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①鼻咬切钳工作长度130mm，头部尺寸 3.0mm，0°卵圆口，盖板式。</w:t>
            </w:r>
          </w:p>
          <w:p w14:paraId="78E75478">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②要求刃口锋利，硬度HRC51。</w:t>
            </w:r>
          </w:p>
          <w:p w14:paraId="7A4A4A64">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67E105E8">
            <w:pPr>
              <w:pStyle w:val="12"/>
              <w:numPr>
                <w:ilvl w:val="0"/>
                <w:numId w:val="0"/>
              </w:numPr>
              <w:spacing w:before="0"/>
              <w:jc w:val="both"/>
              <w:rPr>
                <w:rFonts w:hint="eastAsia"/>
                <w:lang w:val="en-US" w:eastAsia="zh-CN"/>
              </w:rPr>
            </w:pPr>
            <w:r>
              <w:rPr>
                <w:rFonts w:hint="eastAsia"/>
                <w:lang w:val="en-US" w:eastAsia="zh-CN"/>
              </w:rPr>
              <w:t>6、鼻咬切钳</w:t>
            </w:r>
          </w:p>
          <w:p w14:paraId="0F19E42C">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①鼻咬切钳工作长度130mm，头部尺寸3.0mm，45°上翘卵圆口，盖板式。</w:t>
            </w:r>
          </w:p>
          <w:p w14:paraId="5C010B61">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②要求刃口锋利，硬度HRC51。</w:t>
            </w:r>
          </w:p>
          <w:p w14:paraId="705E5C1A">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4974EC78">
            <w:pPr>
              <w:pStyle w:val="12"/>
              <w:numPr>
                <w:ilvl w:val="0"/>
                <w:numId w:val="0"/>
              </w:numPr>
              <w:spacing w:before="0"/>
              <w:jc w:val="both"/>
              <w:rPr>
                <w:rFonts w:hint="eastAsia"/>
                <w:lang w:val="en-US" w:eastAsia="zh-CN"/>
              </w:rPr>
            </w:pPr>
            <w:r>
              <w:rPr>
                <w:rFonts w:hint="eastAsia"/>
                <w:lang w:val="en-US" w:eastAsia="zh-CN"/>
              </w:rPr>
              <w:t>7、鼻筛窦钳</w:t>
            </w:r>
          </w:p>
          <w:p w14:paraId="145CB992">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①鼻筛窦钳工作长度130mm，头部尺寸3.5mm，0°卵圆口，盖板式。</w:t>
            </w:r>
          </w:p>
          <w:p w14:paraId="152D369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 HRC51。</w:t>
            </w:r>
          </w:p>
          <w:p w14:paraId="0B50236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513CD7B2">
            <w:pPr>
              <w:pStyle w:val="12"/>
              <w:numPr>
                <w:ilvl w:val="0"/>
                <w:numId w:val="0"/>
              </w:numPr>
              <w:spacing w:before="0"/>
              <w:jc w:val="both"/>
              <w:rPr>
                <w:rFonts w:hint="eastAsia"/>
                <w:lang w:val="en-US" w:eastAsia="zh-CN"/>
              </w:rPr>
            </w:pPr>
            <w:r>
              <w:rPr>
                <w:rFonts w:hint="eastAsia"/>
                <w:lang w:val="en-US" w:eastAsia="zh-CN"/>
              </w:rPr>
              <w:t>8、鼻咬切钳</w:t>
            </w:r>
          </w:p>
          <w:p w14:paraId="274A0066">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①鼻咬切钳工作长度130mm，头部尺寸 3.0mm，45°上翘。</w:t>
            </w:r>
          </w:p>
          <w:p w14:paraId="4A2BDCF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 HRC51。</w:t>
            </w:r>
          </w:p>
          <w:p w14:paraId="46E55554">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64E42233">
            <w:pPr>
              <w:pStyle w:val="12"/>
              <w:widowControl w:val="0"/>
              <w:numPr>
                <w:ilvl w:val="0"/>
                <w:numId w:val="0"/>
              </w:numPr>
              <w:spacing w:before="0" w:after="120"/>
              <w:jc w:val="both"/>
              <w:rPr>
                <w:rFonts w:hint="eastAsia"/>
                <w:lang w:val="en-US" w:eastAsia="zh-CN"/>
              </w:rPr>
            </w:pPr>
            <w:r>
              <w:rPr>
                <w:rFonts w:hint="eastAsia"/>
                <w:lang w:val="en-US" w:eastAsia="zh-CN"/>
              </w:rPr>
              <w:t>9、额窦咬切钳</w:t>
            </w:r>
          </w:p>
          <w:p w14:paraId="00E247DA">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①额窦咬切钳头部尺寸1.5mm，上弯65°切口，内置冲洗通道。</w:t>
            </w:r>
          </w:p>
          <w:p w14:paraId="5397E2E1">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②要求刃口锋利，硬度HRC51。</w:t>
            </w:r>
          </w:p>
          <w:p w14:paraId="14B385BA">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7AB8D9C3">
            <w:pPr>
              <w:pStyle w:val="12"/>
              <w:numPr>
                <w:ilvl w:val="0"/>
                <w:numId w:val="0"/>
              </w:numPr>
              <w:spacing w:before="0"/>
              <w:jc w:val="both"/>
              <w:rPr>
                <w:rFonts w:hint="eastAsia"/>
                <w:lang w:val="en-US" w:eastAsia="zh-CN"/>
              </w:rPr>
            </w:pPr>
            <w:r>
              <w:rPr>
                <w:rFonts w:hint="eastAsia"/>
                <w:lang w:val="en-US" w:eastAsia="zh-CN"/>
              </w:rPr>
              <w:t>10、鼻筛窦钳</w:t>
            </w:r>
          </w:p>
          <w:p w14:paraId="1BAA5CA2">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①鼻筛窦钳工作长度130mm， 头部尺寸3.0mm，45°上翘长圆口，盖板式。</w:t>
            </w:r>
          </w:p>
          <w:p w14:paraId="229D87B2">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 HRC51。</w:t>
            </w:r>
          </w:p>
          <w:p w14:paraId="7F96C72C">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67DF9564">
            <w:pPr>
              <w:pStyle w:val="12"/>
              <w:numPr>
                <w:ilvl w:val="0"/>
                <w:numId w:val="0"/>
              </w:numPr>
              <w:spacing w:before="0"/>
              <w:jc w:val="both"/>
              <w:rPr>
                <w:rFonts w:hint="eastAsia"/>
                <w:lang w:val="en-US" w:eastAsia="zh-CN"/>
              </w:rPr>
            </w:pPr>
            <w:r>
              <w:rPr>
                <w:rFonts w:hint="eastAsia"/>
                <w:lang w:val="en-US" w:eastAsia="zh-CN"/>
              </w:rPr>
              <w:t>11、鼻筛窦钳</w:t>
            </w:r>
          </w:p>
          <w:p w14:paraId="6403B10B">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①鼻筛窦钳工作长度130mm，头部尺寸3.0mm，0°长圆口，盖板式。</w:t>
            </w:r>
          </w:p>
          <w:p w14:paraId="28017035">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 HRC51。</w:t>
            </w:r>
          </w:p>
          <w:p w14:paraId="52D23F5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361AFCA3">
            <w:pPr>
              <w:pStyle w:val="12"/>
              <w:numPr>
                <w:ilvl w:val="0"/>
                <w:numId w:val="0"/>
              </w:numPr>
              <w:spacing w:before="0"/>
              <w:jc w:val="both"/>
              <w:rPr>
                <w:rFonts w:hint="eastAsia"/>
                <w:lang w:val="en-US" w:eastAsia="zh-CN"/>
              </w:rPr>
            </w:pPr>
            <w:r>
              <w:rPr>
                <w:rFonts w:hint="eastAsia"/>
                <w:lang w:val="en-US" w:eastAsia="zh-CN"/>
              </w:rPr>
              <w:t>12、鼻剥离器</w:t>
            </w:r>
          </w:p>
          <w:p w14:paraId="25F349F6">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①鼻剥离器工作长度190mm，头部尺寸3.8mm，0°，单面带吸引，可旋转。</w:t>
            </w:r>
          </w:p>
          <w:p w14:paraId="28338C15">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 HRC51。</w:t>
            </w:r>
          </w:p>
          <w:p w14:paraId="5296678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5AC74E4D">
            <w:pPr>
              <w:pStyle w:val="12"/>
              <w:numPr>
                <w:ilvl w:val="0"/>
                <w:numId w:val="0"/>
              </w:numPr>
              <w:spacing w:before="0"/>
              <w:jc w:val="both"/>
              <w:rPr>
                <w:rFonts w:hint="eastAsia"/>
                <w:lang w:val="en-US" w:eastAsia="zh-CN"/>
              </w:rPr>
            </w:pPr>
            <w:r>
              <w:rPr>
                <w:rFonts w:hint="eastAsia"/>
                <w:lang w:val="en-US" w:eastAsia="zh-CN"/>
              </w:rPr>
              <w:t>13、鼻筛窦钳</w:t>
            </w:r>
          </w:p>
          <w:p w14:paraId="5D23BB8C">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①鼻筛窦钳工作长度130mm，头部尺寸3.5mm，90°上翘卵圆口，盖板式。</w:t>
            </w:r>
          </w:p>
          <w:p w14:paraId="778BA44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 HRC51。</w:t>
            </w:r>
          </w:p>
          <w:p w14:paraId="53209BB5">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19F02A9B">
            <w:pPr>
              <w:pStyle w:val="12"/>
              <w:widowControl w:val="0"/>
              <w:numPr>
                <w:ilvl w:val="0"/>
                <w:numId w:val="0"/>
              </w:numPr>
              <w:spacing w:before="0" w:after="120"/>
              <w:jc w:val="both"/>
              <w:rPr>
                <w:rFonts w:hint="eastAsia"/>
                <w:lang w:val="en-US" w:eastAsia="zh-CN"/>
              </w:rPr>
            </w:pPr>
            <w:r>
              <w:rPr>
                <w:rFonts w:hint="eastAsia"/>
                <w:lang w:val="en-US" w:eastAsia="zh-CN"/>
              </w:rPr>
              <w:t>14、鼻筛窦钳</w:t>
            </w:r>
          </w:p>
          <w:p w14:paraId="0DFB9F7E">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①鼻筛窦钳工作长度130mm，头部尺寸3.5mm，45°上翘卵圆口，盖板式。</w:t>
            </w:r>
          </w:p>
          <w:p w14:paraId="176B0EE4">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②硬度HRC51。</w:t>
            </w:r>
          </w:p>
          <w:p w14:paraId="06D8281F">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67B6CFC5">
            <w:pPr>
              <w:pStyle w:val="12"/>
              <w:widowControl w:val="0"/>
              <w:numPr>
                <w:ilvl w:val="0"/>
                <w:numId w:val="0"/>
              </w:numPr>
              <w:spacing w:before="0" w:after="120"/>
              <w:jc w:val="both"/>
              <w:rPr>
                <w:rFonts w:hint="eastAsia"/>
                <w:lang w:val="en-US" w:eastAsia="zh-CN"/>
              </w:rPr>
            </w:pPr>
            <w:r>
              <w:rPr>
                <w:rFonts w:hint="eastAsia"/>
                <w:lang w:val="en-US" w:eastAsia="zh-CN"/>
              </w:rPr>
              <w:t>15、鼻剪</w:t>
            </w:r>
          </w:p>
          <w:p w14:paraId="60A8751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①鼻剪工作部位上介。</w:t>
            </w:r>
          </w:p>
          <w:p w14:paraId="657A7821">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②要求刃口锋利，硬度HRC51。</w:t>
            </w:r>
          </w:p>
          <w:p w14:paraId="48D8F628">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09608D2D">
            <w:pPr>
              <w:pStyle w:val="12"/>
              <w:numPr>
                <w:ilvl w:val="0"/>
                <w:numId w:val="0"/>
              </w:numPr>
              <w:spacing w:before="0"/>
              <w:jc w:val="both"/>
              <w:rPr>
                <w:rFonts w:hint="eastAsia"/>
                <w:lang w:val="en-US" w:eastAsia="zh-CN"/>
              </w:rPr>
            </w:pPr>
            <w:r>
              <w:rPr>
                <w:rFonts w:hint="eastAsia"/>
                <w:lang w:val="en-US" w:eastAsia="zh-CN"/>
              </w:rPr>
              <w:t>16、蝶窦咬骨钳</w:t>
            </w:r>
          </w:p>
          <w:p w14:paraId="2C91F88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①蝶窦咬骨钳工作长度170mm，头部尺寸2.0mm，40°斜切口椎板式。</w:t>
            </w:r>
          </w:p>
          <w:p w14:paraId="2E69DB7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②要求刃口锋利，硬度HRC51。</w:t>
            </w:r>
          </w:p>
          <w:p w14:paraId="3C55D07C">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3C493A8E">
            <w:pPr>
              <w:pStyle w:val="12"/>
              <w:numPr>
                <w:ilvl w:val="0"/>
                <w:numId w:val="0"/>
              </w:numPr>
              <w:spacing w:before="0"/>
              <w:jc w:val="both"/>
              <w:rPr>
                <w:rFonts w:hint="eastAsia"/>
                <w:lang w:val="en-US" w:eastAsia="zh-CN"/>
              </w:rPr>
            </w:pPr>
            <w:r>
              <w:rPr>
                <w:rFonts w:hint="eastAsia"/>
                <w:lang w:val="en-US" w:eastAsia="zh-CN"/>
              </w:rPr>
              <w:t>17、鼻息肉钳</w:t>
            </w:r>
          </w:p>
          <w:p w14:paraId="50070951">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①鼻息肉钳工作长度130mm，头部尺寸65°，左右开口，内置冲洗通道。</w:t>
            </w:r>
          </w:p>
          <w:p w14:paraId="558A3760">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②硬度HRC51。</w:t>
            </w:r>
          </w:p>
          <w:p w14:paraId="0D16A1F8">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346463AD">
            <w:pPr>
              <w:pStyle w:val="12"/>
              <w:numPr>
                <w:ilvl w:val="0"/>
                <w:numId w:val="0"/>
              </w:numPr>
              <w:spacing w:before="0"/>
              <w:jc w:val="both"/>
              <w:rPr>
                <w:rFonts w:hint="eastAsia"/>
                <w:lang w:val="en-US" w:eastAsia="zh-CN"/>
              </w:rPr>
            </w:pPr>
            <w:r>
              <w:rPr>
                <w:rFonts w:hint="eastAsia"/>
                <w:lang w:val="en-US" w:eastAsia="zh-CN"/>
              </w:rPr>
              <w:t>18、鼻咬切钳</w:t>
            </w:r>
          </w:p>
          <w:p w14:paraId="3FCA3F14">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①鼻咬切钳工作长度110mm，头部尺寸2.5mm，360°旋转反咬型，咬口张开70°。</w:t>
            </w:r>
          </w:p>
          <w:p w14:paraId="5CDA61FF">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②要求刃口锋利，硬度HRC51。</w:t>
            </w:r>
          </w:p>
          <w:p w14:paraId="30EEC3E9">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24B6D6DB">
            <w:pPr>
              <w:pStyle w:val="12"/>
              <w:numPr>
                <w:ilvl w:val="0"/>
                <w:numId w:val="0"/>
              </w:numPr>
              <w:spacing w:before="0"/>
              <w:jc w:val="both"/>
              <w:rPr>
                <w:rFonts w:hint="eastAsia"/>
                <w:lang w:val="en-US" w:eastAsia="zh-CN"/>
              </w:rPr>
            </w:pPr>
            <w:r>
              <w:rPr>
                <w:rFonts w:hint="eastAsia"/>
                <w:lang w:val="en-US" w:eastAsia="zh-CN"/>
              </w:rPr>
              <w:t>19、鼻息肉钳</w:t>
            </w:r>
          </w:p>
          <w:p w14:paraId="4D6D7A0F">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①鼻息肉钳头部尺寸下弯115°，张开125°，内置冲洗通道。</w:t>
            </w:r>
          </w:p>
          <w:p w14:paraId="3A2F277B">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 HRC51。</w:t>
            </w:r>
          </w:p>
          <w:p w14:paraId="3DC4E20D">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375B6F38">
            <w:pPr>
              <w:pStyle w:val="12"/>
              <w:numPr>
                <w:ilvl w:val="0"/>
                <w:numId w:val="0"/>
              </w:numPr>
              <w:spacing w:before="0"/>
              <w:jc w:val="both"/>
              <w:rPr>
                <w:rFonts w:hint="eastAsia"/>
                <w:lang w:val="en-US" w:eastAsia="zh-CN"/>
              </w:rPr>
            </w:pPr>
            <w:r>
              <w:rPr>
                <w:rFonts w:hint="eastAsia"/>
                <w:lang w:val="en-US" w:eastAsia="zh-CN"/>
              </w:rPr>
              <w:t>20、鼻息肉钳</w:t>
            </w:r>
          </w:p>
          <w:p w14:paraId="30CE840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①鼻息肉钳头部尺寸下弯90°，张开115°，可360°旋转，内置冲洗通道。</w:t>
            </w:r>
          </w:p>
          <w:p w14:paraId="03CEA116">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②硬度HRC51。</w:t>
            </w:r>
          </w:p>
          <w:p w14:paraId="6B7CDD0C">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③整体采用医用级不锈钢材料。</w:t>
            </w:r>
          </w:p>
          <w:p w14:paraId="147ED423">
            <w:pPr>
              <w:pStyle w:val="12"/>
              <w:numPr>
                <w:ilvl w:val="0"/>
                <w:numId w:val="0"/>
              </w:numPr>
              <w:spacing w:before="0"/>
              <w:jc w:val="both"/>
              <w:rPr>
                <w:rFonts w:hint="eastAsia"/>
                <w:lang w:val="en-US" w:eastAsia="zh-CN"/>
              </w:rPr>
            </w:pPr>
            <w:r>
              <w:rPr>
                <w:rFonts w:hint="eastAsia"/>
                <w:lang w:val="en-US" w:eastAsia="zh-CN"/>
              </w:rPr>
              <w:t>21、鼻吸引管</w:t>
            </w:r>
          </w:p>
          <w:p w14:paraId="32A7122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①鼻吸引管工作长度110mm，Φ2.5mm，手柄为整体。</w:t>
            </w:r>
          </w:p>
          <w:p w14:paraId="43ABD9B4">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②整体采用医用级不锈钢材料。</w:t>
            </w:r>
          </w:p>
          <w:p w14:paraId="78F5FE28">
            <w:pPr>
              <w:pStyle w:val="12"/>
              <w:widowControl w:val="0"/>
              <w:numPr>
                <w:ilvl w:val="0"/>
                <w:numId w:val="0"/>
              </w:numPr>
              <w:spacing w:before="0" w:after="120"/>
              <w:jc w:val="both"/>
              <w:rPr>
                <w:rFonts w:hint="eastAsia"/>
                <w:lang w:val="en-US" w:eastAsia="zh-CN"/>
              </w:rPr>
            </w:pPr>
            <w:r>
              <w:rPr>
                <w:rFonts w:hint="eastAsia"/>
                <w:lang w:val="en-US" w:eastAsia="zh-CN"/>
              </w:rPr>
              <w:t>22、鼻吸引管</w:t>
            </w:r>
          </w:p>
          <w:p w14:paraId="1F274346">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①鼻吸引管工作长度110mm，Φ3.0mm，手柄为整体。</w:t>
            </w:r>
          </w:p>
          <w:p w14:paraId="76543670">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②整体采用医用级不锈钢材料。</w:t>
            </w:r>
          </w:p>
          <w:p w14:paraId="62EA473A">
            <w:pPr>
              <w:pStyle w:val="12"/>
              <w:numPr>
                <w:ilvl w:val="0"/>
                <w:numId w:val="0"/>
              </w:numPr>
              <w:spacing w:before="0"/>
              <w:jc w:val="both"/>
              <w:rPr>
                <w:rFonts w:hint="eastAsia"/>
                <w:lang w:val="en-US" w:eastAsia="zh-CN"/>
              </w:rPr>
            </w:pPr>
            <w:r>
              <w:rPr>
                <w:rFonts w:hint="eastAsia"/>
                <w:lang w:val="en-US" w:eastAsia="zh-CN"/>
              </w:rPr>
              <w:t>23、鼻吸引管</w:t>
            </w:r>
          </w:p>
          <w:p w14:paraId="4A3B191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①鼻吸引管工作长度120mm，Φ2.5mm，60°大弯，平口防堵塞，适用于上颌窦。</w:t>
            </w:r>
          </w:p>
          <w:p w14:paraId="5BCABEDD">
            <w:pPr>
              <w:pStyle w:val="12"/>
              <w:numPr>
                <w:ilvl w:val="0"/>
                <w:numId w:val="0"/>
              </w:numPr>
              <w:spacing w:before="0"/>
              <w:jc w:val="both"/>
              <w:rPr>
                <w:rFonts w:hint="eastAsia"/>
                <w:lang w:val="en-US" w:eastAsia="zh-CN"/>
              </w:rPr>
            </w:pPr>
            <w:r>
              <w:rPr>
                <w:rFonts w:hint="eastAsia"/>
                <w:lang w:val="en-US" w:eastAsia="zh-CN"/>
              </w:rPr>
              <w:t>24、鼻吸引管</w:t>
            </w:r>
          </w:p>
          <w:p w14:paraId="7B24E1F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①鼻吸引管工作长度120mm，Φ3.0mm，60°大弯，平口防堵塞，适用于上颌窦。</w:t>
            </w:r>
          </w:p>
          <w:p w14:paraId="5A7E81D4">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②整体采用医用级不锈钢材料。</w:t>
            </w:r>
          </w:p>
          <w:p w14:paraId="3ED88325">
            <w:pPr>
              <w:pStyle w:val="12"/>
              <w:numPr>
                <w:ilvl w:val="0"/>
                <w:numId w:val="0"/>
              </w:numPr>
              <w:spacing w:before="0"/>
              <w:jc w:val="both"/>
              <w:rPr>
                <w:rFonts w:hint="eastAsia"/>
                <w:lang w:val="en-US" w:eastAsia="zh-CN"/>
              </w:rPr>
            </w:pPr>
            <w:r>
              <w:rPr>
                <w:rFonts w:hint="eastAsia"/>
                <w:lang w:val="en-US" w:eastAsia="zh-CN"/>
              </w:rPr>
              <w:t>25、鼻吸引管</w:t>
            </w:r>
          </w:p>
          <w:p w14:paraId="35A7A693">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①鼻吸引管工作长度120mm，Φ3.0mm，70°短钝头，适用于上颌窦，防堵塞，手柄为整体。</w:t>
            </w:r>
          </w:p>
          <w:p w14:paraId="38274F5E">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②整体采用医用级不锈钢材料。</w:t>
            </w:r>
          </w:p>
          <w:p w14:paraId="49EA3624">
            <w:pPr>
              <w:pStyle w:val="12"/>
              <w:numPr>
                <w:ilvl w:val="0"/>
                <w:numId w:val="0"/>
              </w:numPr>
              <w:spacing w:before="0"/>
              <w:jc w:val="both"/>
              <w:rPr>
                <w:rFonts w:hint="eastAsia"/>
                <w:lang w:val="en-US" w:eastAsia="zh-CN"/>
              </w:rPr>
            </w:pPr>
            <w:r>
              <w:rPr>
                <w:rFonts w:hint="eastAsia"/>
                <w:lang w:val="en-US" w:eastAsia="zh-CN"/>
              </w:rPr>
              <w:t>26、鼻内窥镜手术器械消毒盒</w:t>
            </w:r>
          </w:p>
          <w:p w14:paraId="41D6BF47">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①鼻内窥镜消毒盒尺寸 386mm×242mm×100mm</w:t>
            </w:r>
            <w:r>
              <w:rPr>
                <w:rFonts w:hint="eastAsia" w:ascii="Calibri" w:hAnsi="Calibri" w:cs="Calibri"/>
                <w:lang w:val="en-US" w:eastAsia="zh-CN"/>
              </w:rPr>
              <w:t>。</w:t>
            </w:r>
          </w:p>
          <w:p w14:paraId="38D9CD8A">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②具有优良的耐腐蚀性和较高的耐用性。</w:t>
            </w:r>
          </w:p>
          <w:p w14:paraId="7564FACD">
            <w:pPr>
              <w:pStyle w:val="12"/>
              <w:numPr>
                <w:ilvl w:val="0"/>
                <w:numId w:val="0"/>
              </w:numPr>
              <w:spacing w:before="0"/>
              <w:jc w:val="both"/>
              <w:rPr>
                <w:rFonts w:hint="eastAsia"/>
                <w:lang w:val="en-US" w:eastAsia="zh-CN"/>
              </w:rPr>
            </w:pPr>
            <w:r>
              <w:rPr>
                <w:rFonts w:hint="eastAsia"/>
                <w:lang w:val="en-US" w:eastAsia="zh-CN"/>
              </w:rPr>
              <w:t>27、鼻吸引管</w:t>
            </w:r>
          </w:p>
          <w:p w14:paraId="68135C31">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①鼻吸引管工作长度110mm，Φ3.5mm，手柄为整体。</w:t>
            </w:r>
          </w:p>
          <w:p w14:paraId="2942E45A">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②整体采用医用级不锈钢材料。</w:t>
            </w:r>
          </w:p>
          <w:p w14:paraId="0A8830EE">
            <w:pPr>
              <w:pStyle w:val="12"/>
              <w:numPr>
                <w:ilvl w:val="0"/>
                <w:numId w:val="0"/>
              </w:numPr>
              <w:spacing w:before="0"/>
              <w:jc w:val="both"/>
              <w:rPr>
                <w:rFonts w:hint="eastAsia"/>
                <w:lang w:val="en-US" w:eastAsia="zh-CN"/>
              </w:rPr>
            </w:pPr>
            <w:r>
              <w:rPr>
                <w:rFonts w:hint="eastAsia"/>
                <w:lang w:val="en-US" w:eastAsia="zh-CN"/>
              </w:rPr>
              <w:t>28、鼻吸引管</w:t>
            </w:r>
          </w:p>
          <w:p w14:paraId="41838F26">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①鼻吸引管工作长度110mm，Φ4.0mm，手柄为整体。</w:t>
            </w:r>
          </w:p>
          <w:p w14:paraId="10257C6E">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②整体采用医用级不锈钢材料。</w:t>
            </w:r>
          </w:p>
          <w:p w14:paraId="35394463">
            <w:pPr>
              <w:pStyle w:val="12"/>
              <w:numPr>
                <w:ilvl w:val="0"/>
                <w:numId w:val="0"/>
              </w:numPr>
              <w:spacing w:before="0"/>
              <w:jc w:val="both"/>
              <w:rPr>
                <w:rFonts w:hint="eastAsia"/>
                <w:lang w:val="en-US" w:eastAsia="zh-CN"/>
              </w:rPr>
            </w:pPr>
            <w:r>
              <w:rPr>
                <w:rFonts w:hint="eastAsia"/>
                <w:lang w:val="en-US" w:eastAsia="zh-CN"/>
              </w:rPr>
              <w:t>29、鼻吸引管</w:t>
            </w:r>
          </w:p>
          <w:p w14:paraId="7CF08F6E">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①鼻吸引管工作长度110mm，Φ4.5mm，手柄为整体。</w:t>
            </w:r>
          </w:p>
          <w:p w14:paraId="6C926C8F">
            <w:pPr>
              <w:pStyle w:val="12"/>
              <w:widowControl w:val="0"/>
              <w:numPr>
                <w:ilvl w:val="0"/>
                <w:numId w:val="0"/>
              </w:numPr>
              <w:spacing w:before="0" w:after="120"/>
              <w:jc w:val="both"/>
              <w:rPr>
                <w:rFonts w:hint="default"/>
                <w:lang w:val="en-US" w:eastAsia="zh-CN"/>
              </w:rPr>
            </w:pPr>
            <w:r>
              <w:rPr>
                <w:rFonts w:hint="default" w:ascii="Calibri" w:hAnsi="Calibri" w:cs="Calibri"/>
                <w:lang w:val="en-US" w:eastAsia="zh-CN"/>
              </w:rPr>
              <w:t>②整体采用医用级不锈钢材料。</w:t>
            </w:r>
          </w:p>
        </w:tc>
        <w:tc>
          <w:tcPr>
            <w:tcW w:w="1110" w:type="dxa"/>
            <w:tcBorders>
              <w:top w:val="single" w:color="auto" w:sz="4" w:space="0"/>
              <w:left w:val="single" w:color="auto" w:sz="4" w:space="0"/>
              <w:right w:val="single" w:color="auto" w:sz="4" w:space="0"/>
            </w:tcBorders>
            <w:noWrap w:val="0"/>
            <w:vAlign w:val="center"/>
          </w:tcPr>
          <w:p w14:paraId="1DDE56EF">
            <w:pPr>
              <w:spacing w:line="36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11</w:t>
            </w:r>
          </w:p>
        </w:tc>
        <w:tc>
          <w:tcPr>
            <w:tcW w:w="1331" w:type="dxa"/>
            <w:tcBorders>
              <w:top w:val="single" w:color="auto" w:sz="4" w:space="0"/>
              <w:left w:val="single" w:color="auto" w:sz="4" w:space="0"/>
            </w:tcBorders>
            <w:noWrap w:val="0"/>
            <w:vAlign w:val="center"/>
          </w:tcPr>
          <w:p w14:paraId="3EE38060">
            <w:pPr>
              <w:spacing w:line="36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10.45</w:t>
            </w:r>
          </w:p>
        </w:tc>
      </w:tr>
      <w:tr w14:paraId="5E4C11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trPr>
        <w:tc>
          <w:tcPr>
            <w:tcW w:w="459" w:type="dxa"/>
            <w:tcBorders>
              <w:top w:val="single" w:color="auto" w:sz="4" w:space="0"/>
            </w:tcBorders>
            <w:noWrap/>
            <w:vAlign w:val="center"/>
          </w:tcPr>
          <w:p w14:paraId="002499A4">
            <w:pPr>
              <w:spacing w:line="288" w:lineRule="auto"/>
              <w:jc w:val="center"/>
              <w:rPr>
                <w:rFonts w:hint="default" w:ascii="宋体" w:hAnsi="宋体" w:cs="宋体"/>
                <w:szCs w:val="21"/>
                <w:lang w:val="en-US" w:eastAsia="zh-CN"/>
              </w:rPr>
            </w:pPr>
            <w:r>
              <w:rPr>
                <w:rFonts w:hint="eastAsia" w:ascii="宋体" w:hAnsi="宋体" w:cs="宋体"/>
                <w:szCs w:val="21"/>
                <w:lang w:val="en-US" w:eastAsia="zh-CN"/>
              </w:rPr>
              <w:t>5</w:t>
            </w:r>
          </w:p>
        </w:tc>
        <w:tc>
          <w:tcPr>
            <w:tcW w:w="883" w:type="dxa"/>
            <w:tcBorders>
              <w:top w:val="single" w:color="auto" w:sz="4" w:space="0"/>
            </w:tcBorders>
            <w:noWrap/>
            <w:vAlign w:val="center"/>
          </w:tcPr>
          <w:p w14:paraId="74CF9153">
            <w:pPr>
              <w:spacing w:line="288" w:lineRule="auto"/>
              <w:jc w:val="center"/>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可调式支撑喉镜手术器械</w:t>
            </w:r>
          </w:p>
        </w:tc>
        <w:tc>
          <w:tcPr>
            <w:tcW w:w="433" w:type="dxa"/>
            <w:tcBorders>
              <w:top w:val="single" w:color="auto" w:sz="4" w:space="0"/>
            </w:tcBorders>
            <w:noWrap/>
            <w:vAlign w:val="center"/>
          </w:tcPr>
          <w:p w14:paraId="4E8F3C9A">
            <w:pPr>
              <w:spacing w:line="288" w:lineRule="auto"/>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p>
        </w:tc>
        <w:tc>
          <w:tcPr>
            <w:tcW w:w="467" w:type="dxa"/>
            <w:tcBorders>
              <w:top w:val="single" w:color="auto" w:sz="4" w:space="0"/>
              <w:right w:val="single" w:color="auto" w:sz="4" w:space="0"/>
            </w:tcBorders>
            <w:noWrap/>
            <w:vAlign w:val="center"/>
          </w:tcPr>
          <w:p w14:paraId="3D8110D7">
            <w:pPr>
              <w:pStyle w:val="12"/>
              <w:numPr>
                <w:ilvl w:val="0"/>
                <w:numId w:val="0"/>
              </w:numPr>
              <w:spacing w:before="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套</w:t>
            </w:r>
          </w:p>
        </w:tc>
        <w:tc>
          <w:tcPr>
            <w:tcW w:w="5286" w:type="dxa"/>
            <w:tcBorders>
              <w:top w:val="single" w:color="auto" w:sz="4" w:space="0"/>
              <w:left w:val="single" w:color="auto" w:sz="4" w:space="0"/>
              <w:right w:val="single" w:color="auto" w:sz="4" w:space="0"/>
            </w:tcBorders>
            <w:noWrap/>
            <w:vAlign w:val="center"/>
          </w:tcPr>
          <w:p w14:paraId="43282556">
            <w:pPr>
              <w:pStyle w:val="12"/>
              <w:widowControl w:val="0"/>
              <w:numPr>
                <w:ilvl w:val="0"/>
                <w:numId w:val="0"/>
              </w:numPr>
              <w:spacing w:before="0" w:after="120"/>
              <w:jc w:val="both"/>
              <w:rPr>
                <w:rFonts w:hint="eastAsia" w:ascii="Calibri" w:hAnsi="Calibri" w:eastAsia="宋体" w:cs="Calibri"/>
                <w:lang w:val="en-US" w:eastAsia="zh-CN"/>
              </w:rPr>
            </w:pPr>
            <w:r>
              <w:rPr>
                <w:rFonts w:hint="eastAsia" w:ascii="Calibri" w:hAnsi="Calibri" w:eastAsia="宋体" w:cs="Calibri"/>
                <w:lang w:val="en-US" w:eastAsia="zh-CN"/>
              </w:rPr>
              <w:t>技术参数</w:t>
            </w:r>
          </w:p>
          <w:p w14:paraId="57F2B5CD">
            <w:pPr>
              <w:pStyle w:val="12"/>
              <w:numPr>
                <w:ilvl w:val="0"/>
                <w:numId w:val="0"/>
              </w:numPr>
              <w:spacing w:before="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1、显微喉钳</w:t>
            </w:r>
          </w:p>
          <w:p w14:paraId="1602D7F1">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①显微喉钳工作长度230mm，圆口0°，头部直径：Φ2.0mm，钳杆锥度型φ1.8-φ3.0mm。</w:t>
            </w:r>
          </w:p>
          <w:p w14:paraId="4EEC5517">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32F80C16">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 HRC51，头部咬切锋利</w:t>
            </w:r>
            <w:r>
              <w:rPr>
                <w:rFonts w:hint="eastAsia" w:ascii="Calibri" w:hAnsi="Calibri" w:eastAsia="宋体" w:cs="Calibri"/>
                <w:lang w:val="en-US" w:eastAsia="zh-CN"/>
              </w:rPr>
              <w:t>。</w:t>
            </w:r>
          </w:p>
          <w:p w14:paraId="5C40B16E">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48A17B69">
            <w:pPr>
              <w:pStyle w:val="12"/>
              <w:widowControl w:val="0"/>
              <w:numPr>
                <w:ilvl w:val="0"/>
                <w:numId w:val="0"/>
              </w:numPr>
              <w:spacing w:before="0" w:after="120"/>
              <w:jc w:val="both"/>
              <w:rPr>
                <w:rFonts w:hint="default" w:ascii="Calibri" w:hAnsi="Calibri" w:eastAsia="宋体" w:cs="Calibri"/>
                <w:lang w:val="en-US" w:eastAsia="zh-CN"/>
              </w:rPr>
            </w:pPr>
            <w:r>
              <w:rPr>
                <w:rFonts w:hint="eastAsia" w:ascii="Calibri" w:hAnsi="Calibri" w:eastAsia="宋体" w:cs="Calibri"/>
                <w:lang w:val="en-US" w:eastAsia="zh-CN"/>
              </w:rPr>
              <w:t>2、显微喉钳</w:t>
            </w:r>
          </w:p>
          <w:p w14:paraId="6F07DB8B">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①显微喉钳工作长度230mm，圆口45°，头部直径：Φ2.0mm，钳杆锥度型φ1.8-φ3.0mm。</w:t>
            </w:r>
          </w:p>
          <w:p w14:paraId="63CAA46E">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34B3A876">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4ED34129">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69CCAD33">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3、显微喉钳</w:t>
            </w:r>
          </w:p>
          <w:p w14:paraId="7DA743F9">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①显微喉钳工作长度230mm，圆口0°，头部直径：Φ2.0mm，钳杆锥度型φ1.8-φ3.0mm。</w:t>
            </w:r>
          </w:p>
          <w:p w14:paraId="42F263B5">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2BC96F33">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496A529E">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1525DF24">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4、显微喉钳</w:t>
            </w:r>
          </w:p>
          <w:p w14:paraId="58FD0B67">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①显微喉钳工作长度230mm，圆口右弯，头部直径：Φ2.0mm，钳杆锥度型φ1.8-φ3.0mm。</w:t>
            </w:r>
          </w:p>
          <w:p w14:paraId="467FAA49">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0330AA6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130D0C92">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63757262">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5、显微喉剪</w:t>
            </w:r>
          </w:p>
          <w:p w14:paraId="325C2F41">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①显微喉剪工作长度230mm，0°，钳杆锥度型φ1.8-φ3.0mm。</w:t>
            </w:r>
          </w:p>
          <w:p w14:paraId="70959030">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26D75549">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 HRC51，头部咬切锋利</w:t>
            </w:r>
            <w:r>
              <w:rPr>
                <w:rFonts w:hint="eastAsia" w:ascii="Calibri" w:hAnsi="Calibri" w:eastAsia="宋体" w:cs="Calibri"/>
                <w:lang w:val="en-US" w:eastAsia="zh-CN"/>
              </w:rPr>
              <w:t>。</w:t>
            </w:r>
          </w:p>
          <w:p w14:paraId="0A38053A">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26E16B2E">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6、显微喉剪</w:t>
            </w:r>
          </w:p>
          <w:p w14:paraId="440C9F8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①显微喉剪工作长度230mm，左弯，钳杆锥度型φ1.8-φ3.0mm。</w:t>
            </w:r>
          </w:p>
          <w:p w14:paraId="5B0156CB">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3AC28B62">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 HRC51，头部咬切锋利</w:t>
            </w:r>
            <w:r>
              <w:rPr>
                <w:rFonts w:hint="eastAsia" w:ascii="Calibri" w:hAnsi="Calibri" w:eastAsia="宋体" w:cs="Calibri"/>
                <w:lang w:val="en-US" w:eastAsia="zh-CN"/>
              </w:rPr>
              <w:t>。</w:t>
            </w:r>
          </w:p>
          <w:p w14:paraId="16BF1FA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269FD11A">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7、显微喉剪</w:t>
            </w:r>
          </w:p>
          <w:p w14:paraId="662609CD">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①显微喉剪工作长度230mm，右弯，钳杆锥度型φ1.8-φ3.0mm。</w:t>
            </w:r>
          </w:p>
          <w:p w14:paraId="6FB5F0B5">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628E7FFE">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460CC72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2FFEEB85">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8、显微喉剪</w:t>
            </w:r>
          </w:p>
          <w:p w14:paraId="4BD6F8DA">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①显微喉剪工作长度230mm，15°，钳杆锥度型φ1.8-φ3.0mm。</w:t>
            </w:r>
          </w:p>
          <w:p w14:paraId="66B55193">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0EE2AAC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083F1BEB">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79A041EA">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9、显微喉剪</w:t>
            </w:r>
          </w:p>
          <w:p w14:paraId="1FEC4C7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①显微喉剪工作长度230mm，45°，钳杆锥度型φ1.8-φ3.0mm。</w:t>
            </w:r>
          </w:p>
          <w:p w14:paraId="5A83BA71">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412AE187">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59458D2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4139A8F4">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10、显微喉钳</w:t>
            </w:r>
          </w:p>
          <w:p w14:paraId="2BA94432">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①显微喉钳工作长度230mm，三角45°，直径：Φ2.2mm，钳杆锥度型φ1.8-φ3.0mm。</w:t>
            </w:r>
          </w:p>
          <w:p w14:paraId="28603320">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5BA051BA">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33674324">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6C1FDFA7">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11、显微喉钳</w:t>
            </w:r>
          </w:p>
          <w:p w14:paraId="2F606FE3">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①显微喉钳工作长度230mm，头部尺寸2.2mm，三角0°，钳杆锥度型φ1.8-φ3.0mm。</w:t>
            </w:r>
          </w:p>
          <w:p w14:paraId="5A862479">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176998A9">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324D12D1">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7B882364">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12、显微喉钳</w:t>
            </w:r>
          </w:p>
          <w:p w14:paraId="5BDA2825">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①显微喉钳工作长度230mm，卵圆口左侧开 60°，钳杆锥度型φ1.8-φ3.0mm。</w:t>
            </w:r>
          </w:p>
          <w:p w14:paraId="3FDEAC1B">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066DEE73">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2CE9841D">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6EA4ADC1">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13、显微喉钳</w:t>
            </w:r>
          </w:p>
          <w:p w14:paraId="6FBB1BE5">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①显微喉钳工作长度230mm，卵圆口右侧开 60°，钳杆锥度型φ1.8-φ3.0mm。</w:t>
            </w:r>
          </w:p>
          <w:p w14:paraId="14D84214">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7D737B93">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11E618DA">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6870EFF7">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14、喉分离钳</w:t>
            </w:r>
          </w:p>
          <w:p w14:paraId="7BC42C06">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①喉分离钳工作长度230mm，0°分离式，细齿，头部尺寸2.2×7mm，钳杆锥度型φ1.8-φ3.0mm。</w:t>
            </w:r>
          </w:p>
          <w:p w14:paraId="1166C78F">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7BD76D1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③整体硬度HRC51，头部咬切锋利</w:t>
            </w:r>
            <w:r>
              <w:rPr>
                <w:rFonts w:hint="eastAsia" w:ascii="Calibri" w:hAnsi="Calibri" w:eastAsia="宋体" w:cs="Calibri"/>
                <w:lang w:val="en-US" w:eastAsia="zh-CN"/>
              </w:rPr>
              <w:t>。</w:t>
            </w:r>
          </w:p>
          <w:p w14:paraId="1A3625E5">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27F88917">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15、喉粘膜钳</w:t>
            </w:r>
          </w:p>
          <w:p w14:paraId="0B4B1705">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①喉粘膜钳工作长度230mm，抓式左弯70°，钳杆锥度型φ1.8-φ3.0mm。</w:t>
            </w:r>
          </w:p>
          <w:p w14:paraId="3C4526A9">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6460C380">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 HRC51。</w:t>
            </w:r>
          </w:p>
          <w:p w14:paraId="13BD0295">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5F41B9BE">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16、喉粘膜钳</w:t>
            </w:r>
          </w:p>
          <w:p w14:paraId="2CA47B6D">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①喉粘膜钳工作长度230mm，抓式右弯70°，钳杆锥度型φ1.8-φ3.0mm。</w:t>
            </w:r>
          </w:p>
          <w:p w14:paraId="1354CA47">
            <w:pPr>
              <w:pStyle w:val="12"/>
              <w:widowControl w:val="0"/>
              <w:numPr>
                <w:ilvl w:val="0"/>
                <w:numId w:val="0"/>
              </w:numPr>
              <w:spacing w:before="0" w:after="120"/>
              <w:jc w:val="both"/>
              <w:rPr>
                <w:rFonts w:hint="default" w:ascii="Calibri" w:hAnsi="Calibri" w:eastAsia="宋体" w:cs="Calibri"/>
                <w:lang w:val="en-US" w:eastAsia="zh-CN"/>
              </w:rPr>
            </w:pPr>
            <w:r>
              <w:rPr>
                <w:rFonts w:hint="eastAsia" w:hAnsi="宋体"/>
                <w:b/>
                <w:bCs/>
                <w:color w:val="000000"/>
                <w:highlight w:val="none"/>
              </w:rPr>
              <w:t>▲</w:t>
            </w:r>
            <w:r>
              <w:rPr>
                <w:rFonts w:hint="default" w:ascii="Calibri" w:hAnsi="Calibri" w:eastAsia="宋体" w:cs="Calibri"/>
                <w:lang w:val="en-US" w:eastAsia="zh-CN"/>
              </w:rPr>
              <w:t>②钳杆灰黑色防反光处理。</w:t>
            </w:r>
          </w:p>
          <w:p w14:paraId="7E2B29B3">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③整体硬度HRC51。</w:t>
            </w:r>
          </w:p>
          <w:p w14:paraId="2D8D0C9B">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④整体采用医用级不锈钢。</w:t>
            </w:r>
          </w:p>
          <w:p w14:paraId="7958D512">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17、吸引管</w:t>
            </w:r>
          </w:p>
          <w:p w14:paraId="22A6813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①吸引管工作长度：230mm，直径φ2.5mm。</w:t>
            </w:r>
          </w:p>
          <w:p w14:paraId="15AEF0D9">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②整体采用医用级不锈钢</w:t>
            </w:r>
            <w:r>
              <w:rPr>
                <w:rFonts w:hint="eastAsia" w:ascii="Calibri" w:hAnsi="Calibri" w:eastAsia="宋体" w:cs="Calibri"/>
                <w:lang w:val="en-US" w:eastAsia="zh-CN"/>
              </w:rPr>
              <w:t>。</w:t>
            </w:r>
          </w:p>
          <w:p w14:paraId="42CA7B96">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18、吸引管</w:t>
            </w:r>
          </w:p>
          <w:p w14:paraId="3EA2058E">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①吸引管工作长度：230mm，直径φ3.0mm</w:t>
            </w:r>
            <w:r>
              <w:rPr>
                <w:rFonts w:hint="eastAsia" w:ascii="Calibri" w:hAnsi="Calibri" w:eastAsia="宋体" w:cs="Calibri"/>
                <w:lang w:val="en-US" w:eastAsia="zh-CN"/>
              </w:rPr>
              <w:t>。</w:t>
            </w:r>
          </w:p>
          <w:p w14:paraId="496F55C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②整体采用医用级不锈钢</w:t>
            </w:r>
            <w:r>
              <w:rPr>
                <w:rFonts w:hint="eastAsia" w:ascii="Calibri" w:hAnsi="Calibri" w:eastAsia="宋体" w:cs="Calibri"/>
                <w:lang w:val="en-US" w:eastAsia="zh-CN"/>
              </w:rPr>
              <w:t>。</w:t>
            </w:r>
          </w:p>
          <w:p w14:paraId="2745B0F9">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19、吸引管</w:t>
            </w:r>
          </w:p>
          <w:p w14:paraId="563C7A4E">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①吸引管工作长度：230mm，直径φ3.5mm</w:t>
            </w:r>
            <w:r>
              <w:rPr>
                <w:rFonts w:hint="eastAsia" w:ascii="Calibri" w:hAnsi="Calibri" w:eastAsia="宋体" w:cs="Calibri"/>
                <w:lang w:val="en-US" w:eastAsia="zh-CN"/>
              </w:rPr>
              <w:t>。</w:t>
            </w:r>
          </w:p>
          <w:p w14:paraId="5EBEDBB7">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②整体采用医用级不锈钢</w:t>
            </w:r>
            <w:r>
              <w:rPr>
                <w:rFonts w:hint="eastAsia" w:ascii="Calibri" w:hAnsi="Calibri" w:eastAsia="宋体" w:cs="Calibri"/>
                <w:lang w:val="en-US" w:eastAsia="zh-CN"/>
              </w:rPr>
              <w:t>。</w:t>
            </w:r>
          </w:p>
          <w:p w14:paraId="3FD99D87">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20、显微喉刀</w:t>
            </w:r>
          </w:p>
          <w:p w14:paraId="3596867B">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①显微喉刀总长</w:t>
            </w:r>
            <w:r>
              <w:rPr>
                <w:rFonts w:hint="eastAsia" w:ascii="Calibri" w:hAnsi="Calibri" w:eastAsia="宋体" w:cs="Calibri"/>
                <w:lang w:val="en-US" w:eastAsia="zh-CN"/>
              </w:rPr>
              <w:t>：</w:t>
            </w:r>
            <w:r>
              <w:rPr>
                <w:rFonts w:hint="default" w:ascii="Calibri" w:hAnsi="Calibri" w:eastAsia="宋体" w:cs="Calibri"/>
                <w:lang w:val="en-US" w:eastAsia="zh-CN"/>
              </w:rPr>
              <w:t>235mm，头部镰状型1.8mm×9mm，刀杆锥度φ1-φ3，分体式。</w:t>
            </w:r>
          </w:p>
          <w:p w14:paraId="36B9AE43">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②整体硬度HRC51，头部切割锋利</w:t>
            </w:r>
            <w:r>
              <w:rPr>
                <w:rFonts w:hint="eastAsia" w:ascii="Calibri" w:hAnsi="Calibri" w:eastAsia="宋体" w:cs="Calibri"/>
                <w:lang w:val="en-US" w:eastAsia="zh-CN"/>
              </w:rPr>
              <w:t>。</w:t>
            </w:r>
          </w:p>
          <w:p w14:paraId="5FD56D61">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③整体采用医用级不锈钢。</w:t>
            </w:r>
          </w:p>
          <w:p w14:paraId="1D4D310D">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21、显微喉刀</w:t>
            </w:r>
          </w:p>
          <w:p w14:paraId="0D08E5CA">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①显微喉刀总长</w:t>
            </w:r>
            <w:r>
              <w:rPr>
                <w:rFonts w:hint="eastAsia" w:ascii="Calibri" w:hAnsi="Calibri" w:eastAsia="宋体" w:cs="Calibri"/>
                <w:lang w:val="en-US" w:eastAsia="zh-CN"/>
              </w:rPr>
              <w:t>：</w:t>
            </w:r>
            <w:r>
              <w:rPr>
                <w:rFonts w:hint="default" w:ascii="Calibri" w:hAnsi="Calibri" w:eastAsia="宋体" w:cs="Calibri"/>
                <w:lang w:val="en-US" w:eastAsia="zh-CN"/>
              </w:rPr>
              <w:t>235mm，头部三角尖头，刀杆锥度φ1-φ3，分体式。</w:t>
            </w:r>
          </w:p>
          <w:p w14:paraId="6BDF6037">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②整体硬度HRC51，头部切割锋利</w:t>
            </w:r>
            <w:r>
              <w:rPr>
                <w:rFonts w:hint="eastAsia" w:ascii="Calibri" w:hAnsi="Calibri" w:eastAsia="宋体" w:cs="Calibri"/>
                <w:lang w:val="en-US" w:eastAsia="zh-CN"/>
              </w:rPr>
              <w:t>。</w:t>
            </w:r>
          </w:p>
          <w:p w14:paraId="6D734A7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③整体采用医用级不锈钢。</w:t>
            </w:r>
          </w:p>
          <w:p w14:paraId="127CDCD8">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22、显微喉刀</w:t>
            </w:r>
          </w:p>
          <w:p w14:paraId="6CFAD01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①显微喉刀总长：235mm，头部45°半圆扁头，刀杆锥度φ1-φ3，分体式。</w:t>
            </w:r>
          </w:p>
          <w:p w14:paraId="7C5CC94A">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②整体硬度HRC51，头部切割锋利</w:t>
            </w:r>
            <w:r>
              <w:rPr>
                <w:rFonts w:hint="eastAsia" w:ascii="Calibri" w:hAnsi="Calibri" w:eastAsia="宋体" w:cs="Calibri"/>
                <w:lang w:val="en-US" w:eastAsia="zh-CN"/>
              </w:rPr>
              <w:t>。</w:t>
            </w:r>
          </w:p>
          <w:p w14:paraId="03698B6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③整体采用医用级不锈钢。</w:t>
            </w:r>
          </w:p>
          <w:p w14:paraId="5A80869E">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23、刀柄</w:t>
            </w:r>
          </w:p>
          <w:p w14:paraId="7AA08793">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①刀柄宽度30mm,长度110mm。</w:t>
            </w:r>
          </w:p>
          <w:p w14:paraId="1CAF870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②整体硬度HRC51，与刀杆配合使用</w:t>
            </w:r>
            <w:r>
              <w:rPr>
                <w:rFonts w:hint="eastAsia" w:ascii="Calibri" w:hAnsi="Calibri" w:eastAsia="宋体" w:cs="Calibri"/>
                <w:lang w:val="en-US" w:eastAsia="zh-CN"/>
              </w:rPr>
              <w:t>。</w:t>
            </w:r>
          </w:p>
          <w:p w14:paraId="27663005">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③整体采用医用级不锈钢。</w:t>
            </w:r>
          </w:p>
          <w:p w14:paraId="5B6E0F5B">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24、可调喉镜</w:t>
            </w:r>
          </w:p>
          <w:p w14:paraId="058AAEB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①可调喉镜，配合12°内窥镜使用，长度175mm，调节高度范围：0-13mm，调节角度范围：0-10°，前端尺寸19.5mm×16mm，后端尺寸29mm×20mm。</w:t>
            </w:r>
          </w:p>
          <w:p w14:paraId="789DBD7E">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②整体硬度 HRC51</w:t>
            </w:r>
            <w:r>
              <w:rPr>
                <w:rFonts w:hint="eastAsia" w:ascii="Calibri" w:hAnsi="Calibri" w:eastAsia="宋体" w:cs="Calibri"/>
                <w:lang w:val="en-US" w:eastAsia="zh-CN"/>
              </w:rPr>
              <w:t>。</w:t>
            </w:r>
          </w:p>
          <w:p w14:paraId="26F9743E">
            <w:pPr>
              <w:keepNext w:val="0"/>
              <w:keepLines w:val="0"/>
              <w:widowControl/>
              <w:suppressLineNumbers w:val="0"/>
              <w:jc w:val="left"/>
              <w:rPr>
                <w:rFonts w:hint="default" w:ascii="Calibri" w:hAnsi="Calibri" w:eastAsia="宋体" w:cs="Calibri"/>
                <w:lang w:val="en-US" w:eastAsia="zh-CN"/>
              </w:rPr>
            </w:pPr>
            <w:r>
              <w:rPr>
                <w:rFonts w:hint="default" w:ascii="Calibri" w:hAnsi="Calibri" w:eastAsia="宋体" w:cs="Calibri"/>
                <w:lang w:val="en-US" w:eastAsia="zh-CN"/>
              </w:rPr>
              <w:t>③</w:t>
            </w:r>
            <w:r>
              <w:rPr>
                <w:rFonts w:hint="eastAsia" w:ascii="Calibri" w:hAnsi="Calibri" w:eastAsia="宋体" w:cs="Calibri"/>
                <w:kern w:val="2"/>
                <w:sz w:val="21"/>
                <w:szCs w:val="24"/>
                <w:lang w:val="en-US" w:eastAsia="zh-CN" w:bidi="ar-SA"/>
              </w:rPr>
              <w:t>整体采用医用级不锈钢材料。</w:t>
            </w:r>
          </w:p>
          <w:p w14:paraId="0394A5D2">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25、支撑架</w:t>
            </w:r>
          </w:p>
          <w:p w14:paraId="5DE4D0F1">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①支撑架长度380mm,杆子35°，涡轮式，不锈钢支撑圈，胸托直径φ120，转轮直径φ80。</w:t>
            </w:r>
          </w:p>
          <w:p w14:paraId="099D9D00">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②整体硬度 HRC51。</w:t>
            </w:r>
          </w:p>
          <w:p w14:paraId="77C7888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③整体采用医用级不锈钢材料。</w:t>
            </w:r>
          </w:p>
          <w:p w14:paraId="5809899A">
            <w:pPr>
              <w:pStyle w:val="12"/>
              <w:widowControl w:val="0"/>
              <w:numPr>
                <w:ilvl w:val="0"/>
                <w:numId w:val="0"/>
              </w:numPr>
              <w:spacing w:before="0" w:after="120"/>
              <w:jc w:val="both"/>
              <w:rPr>
                <w:rFonts w:hint="eastAsia" w:ascii="Times New Roman" w:hAnsi="Times New Roman" w:eastAsia="宋体" w:cs="Times New Roman"/>
                <w:lang w:val="en-US" w:eastAsia="zh-CN"/>
              </w:rPr>
            </w:pPr>
          </w:p>
          <w:p w14:paraId="4E252DDC">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26、喉内窥镜</w:t>
            </w:r>
          </w:p>
          <w:p w14:paraId="54415658">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①外形尺寸</w:t>
            </w:r>
          </w:p>
          <w:p w14:paraId="199F6307">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镜体外径：Φ4.0mm；视向角：12°；工作长度：185mm；视场角：≧50°；有效景深范围：5-50mm；</w:t>
            </w:r>
          </w:p>
          <w:p w14:paraId="000E9DD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目镜罩外径：Φ31.75mm；设计光学工作距 d0:30mm；视场中心角分辨力，ra (d): 3.3C/(°)；</w:t>
            </w:r>
          </w:p>
          <w:p w14:paraId="7C9C4642">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②在工作距离处成像应清晰，清晰范围应不小于视场直径的70%，视场边缘应圆整，在视场内不应有影响观察的划痕、麻点及附着物等疵病；</w:t>
            </w:r>
          </w:p>
          <w:p w14:paraId="3CE3251D">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③各联接部位牢固可靠，密封良好，经密封性试验后，无成像模糊等异常现象；</w:t>
            </w:r>
          </w:p>
          <w:p w14:paraId="1D59F73C">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④外表面及镜端面应光滑，不得有锋棱、毛刺及明显的伤痕等缺陷；</w:t>
            </w:r>
          </w:p>
          <w:p w14:paraId="537C67F1">
            <w:pPr>
              <w:pStyle w:val="12"/>
              <w:widowControl w:val="0"/>
              <w:numPr>
                <w:ilvl w:val="0"/>
                <w:numId w:val="0"/>
              </w:numPr>
              <w:spacing w:before="0" w:after="120"/>
              <w:jc w:val="both"/>
              <w:rPr>
                <w:rFonts w:hint="default" w:ascii="Calibri" w:hAnsi="Calibri" w:eastAsia="宋体" w:cs="宋体"/>
                <w:lang w:val="en-US" w:eastAsia="zh-CN"/>
              </w:rPr>
            </w:pPr>
            <w:r>
              <w:rPr>
                <w:rFonts w:hint="default" w:ascii="Calibri" w:hAnsi="Calibri" w:eastAsia="宋体" w:cs="宋体"/>
                <w:lang w:val="en-US" w:eastAsia="zh-CN"/>
              </w:rPr>
              <w:t>⑤支持高温高压、低温等离子灭菌方式。</w:t>
            </w:r>
          </w:p>
          <w:p w14:paraId="494A2B84">
            <w:pPr>
              <w:pStyle w:val="12"/>
              <w:widowControl w:val="0"/>
              <w:numPr>
                <w:ilvl w:val="0"/>
                <w:numId w:val="0"/>
              </w:numPr>
              <w:spacing w:before="0" w:after="12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27、支撑喉镜手术消毒盒</w:t>
            </w:r>
          </w:p>
          <w:p w14:paraId="5448D707">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①支撑喉镜手术消毒盒尺寸472mm×286mm×91mm</w:t>
            </w:r>
          </w:p>
          <w:p w14:paraId="6A931CAA">
            <w:pPr>
              <w:pStyle w:val="12"/>
              <w:widowControl w:val="0"/>
              <w:numPr>
                <w:ilvl w:val="0"/>
                <w:numId w:val="0"/>
              </w:numPr>
              <w:spacing w:before="0" w:after="120"/>
              <w:jc w:val="both"/>
              <w:rPr>
                <w:rFonts w:hint="default" w:ascii="Calibri" w:hAnsi="Calibri" w:eastAsia="宋体" w:cs="Calibri"/>
                <w:lang w:val="en-US" w:eastAsia="zh-CN"/>
              </w:rPr>
            </w:pPr>
            <w:r>
              <w:rPr>
                <w:rFonts w:hint="default" w:ascii="Calibri" w:hAnsi="Calibri" w:eastAsia="宋体" w:cs="Calibri"/>
                <w:lang w:val="en-US" w:eastAsia="zh-CN"/>
              </w:rPr>
              <w:t>②具有优良的耐腐蚀性和较高的耐用性。</w:t>
            </w:r>
          </w:p>
          <w:p w14:paraId="4CC5A2F0">
            <w:pPr>
              <w:pStyle w:val="12"/>
              <w:widowControl w:val="0"/>
              <w:numPr>
                <w:ilvl w:val="0"/>
                <w:numId w:val="0"/>
              </w:numPr>
              <w:spacing w:before="0" w:after="120"/>
              <w:jc w:val="both"/>
              <w:rPr>
                <w:rFonts w:hint="default" w:ascii="Times New Roman" w:hAnsi="Times New Roman" w:eastAsia="宋体" w:cs="Times New Roman"/>
                <w:lang w:val="en-US" w:eastAsia="zh-CN"/>
              </w:rPr>
            </w:pPr>
            <w:r>
              <w:rPr>
                <w:rFonts w:hint="default" w:ascii="Calibri" w:hAnsi="Calibri" w:eastAsia="宋体" w:cs="Calibri"/>
                <w:lang w:val="en-US" w:eastAsia="zh-CN"/>
              </w:rPr>
              <w:t>③整体采用医用级不锈钢材料。</w:t>
            </w:r>
          </w:p>
        </w:tc>
        <w:tc>
          <w:tcPr>
            <w:tcW w:w="1110" w:type="dxa"/>
            <w:tcBorders>
              <w:top w:val="single" w:color="auto" w:sz="4" w:space="0"/>
              <w:left w:val="single" w:color="auto" w:sz="4" w:space="0"/>
              <w:right w:val="single" w:color="auto" w:sz="4" w:space="0"/>
            </w:tcBorders>
            <w:noWrap w:val="0"/>
            <w:vAlign w:val="center"/>
          </w:tcPr>
          <w:p w14:paraId="58F3C0F0">
            <w:pPr>
              <w:spacing w:line="36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15</w:t>
            </w:r>
          </w:p>
        </w:tc>
        <w:tc>
          <w:tcPr>
            <w:tcW w:w="1331" w:type="dxa"/>
            <w:tcBorders>
              <w:top w:val="single" w:color="auto" w:sz="4" w:space="0"/>
              <w:left w:val="single" w:color="auto" w:sz="4" w:space="0"/>
            </w:tcBorders>
            <w:noWrap w:val="0"/>
            <w:vAlign w:val="center"/>
          </w:tcPr>
          <w:p w14:paraId="1CCC40B6">
            <w:pPr>
              <w:spacing w:line="36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14.25</w:t>
            </w:r>
          </w:p>
        </w:tc>
      </w:tr>
      <w:tr w14:paraId="6D48E8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trPr>
        <w:tc>
          <w:tcPr>
            <w:tcW w:w="459" w:type="dxa"/>
            <w:tcBorders>
              <w:top w:val="single" w:color="auto" w:sz="4" w:space="0"/>
            </w:tcBorders>
            <w:noWrap/>
            <w:vAlign w:val="center"/>
          </w:tcPr>
          <w:p w14:paraId="5E3193CD">
            <w:pPr>
              <w:spacing w:line="288" w:lineRule="auto"/>
              <w:jc w:val="center"/>
              <w:rPr>
                <w:rFonts w:hint="default" w:ascii="宋体" w:hAnsi="宋体" w:cs="宋体"/>
                <w:szCs w:val="21"/>
                <w:lang w:val="en-US" w:eastAsia="zh-CN"/>
              </w:rPr>
            </w:pPr>
            <w:r>
              <w:rPr>
                <w:rFonts w:hint="eastAsia" w:ascii="宋体" w:hAnsi="宋体" w:cs="宋体"/>
                <w:szCs w:val="21"/>
                <w:lang w:val="en-US" w:eastAsia="zh-CN"/>
              </w:rPr>
              <w:t>6</w:t>
            </w:r>
          </w:p>
        </w:tc>
        <w:tc>
          <w:tcPr>
            <w:tcW w:w="883" w:type="dxa"/>
            <w:tcBorders>
              <w:top w:val="single" w:color="auto" w:sz="4" w:space="0"/>
            </w:tcBorders>
            <w:noWrap/>
            <w:vAlign w:val="center"/>
          </w:tcPr>
          <w:p w14:paraId="00DC11B3">
            <w:pPr>
              <w:spacing w:line="288" w:lineRule="auto"/>
              <w:jc w:val="center"/>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儿童中央监护仪（1拖8）</w:t>
            </w:r>
          </w:p>
        </w:tc>
        <w:tc>
          <w:tcPr>
            <w:tcW w:w="433" w:type="dxa"/>
            <w:tcBorders>
              <w:top w:val="single" w:color="auto" w:sz="4" w:space="0"/>
            </w:tcBorders>
            <w:noWrap/>
            <w:vAlign w:val="center"/>
          </w:tcPr>
          <w:p w14:paraId="1FF55C05">
            <w:pPr>
              <w:spacing w:line="288" w:lineRule="auto"/>
              <w:jc w:val="center"/>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1</w:t>
            </w:r>
          </w:p>
        </w:tc>
        <w:tc>
          <w:tcPr>
            <w:tcW w:w="467" w:type="dxa"/>
            <w:tcBorders>
              <w:top w:val="single" w:color="auto" w:sz="4" w:space="0"/>
              <w:right w:val="single" w:color="auto" w:sz="4" w:space="0"/>
            </w:tcBorders>
            <w:noWrap/>
            <w:vAlign w:val="center"/>
          </w:tcPr>
          <w:p w14:paraId="140A1B15">
            <w:pPr>
              <w:pStyle w:val="12"/>
              <w:numPr>
                <w:ilvl w:val="0"/>
                <w:numId w:val="0"/>
              </w:numPr>
              <w:spacing w:before="0"/>
              <w:ind w:left="0" w:leftChars="0" w:firstLine="0" w:firstLineChars="0"/>
              <w:jc w:val="center"/>
              <w:rPr>
                <w:rFonts w:hint="eastAsia"/>
              </w:rPr>
            </w:pPr>
            <w:r>
              <w:rPr>
                <w:rFonts w:hint="eastAsia"/>
                <w:lang w:val="en-US" w:eastAsia="zh-CN"/>
              </w:rPr>
              <w:t>套</w:t>
            </w:r>
          </w:p>
        </w:tc>
        <w:tc>
          <w:tcPr>
            <w:tcW w:w="5286" w:type="dxa"/>
            <w:tcBorders>
              <w:top w:val="single" w:color="auto" w:sz="4" w:space="0"/>
              <w:left w:val="single" w:color="auto" w:sz="4" w:space="0"/>
              <w:right w:val="single" w:color="auto" w:sz="4" w:space="0"/>
            </w:tcBorders>
            <w:noWrap/>
            <w:vAlign w:val="center"/>
          </w:tcPr>
          <w:p w14:paraId="36206586">
            <w:pPr>
              <w:pStyle w:val="12"/>
              <w:numPr>
                <w:ilvl w:val="0"/>
                <w:numId w:val="0"/>
              </w:numPr>
              <w:spacing w:before="0"/>
              <w:ind w:firstLine="420" w:firstLineChars="200"/>
              <w:jc w:val="both"/>
              <w:rPr>
                <w:rFonts w:hint="eastAsia"/>
                <w:lang w:val="en-US" w:eastAsia="zh-CN"/>
              </w:rPr>
            </w:pPr>
            <w:r>
              <w:rPr>
                <w:rFonts w:hint="eastAsia"/>
                <w:lang w:val="en-US" w:eastAsia="zh-CN"/>
              </w:rPr>
              <w:t>儿科中央监护系统包含一套中央监护站，配备中央监护系统（带2显示屏）1套、监护仪 7台、输液泵7台、注射泵8台、生命体征监测仪2台。</w:t>
            </w:r>
          </w:p>
          <w:p w14:paraId="7E1BC3F0">
            <w:pPr>
              <w:pStyle w:val="12"/>
              <w:numPr>
                <w:ilvl w:val="0"/>
                <w:numId w:val="11"/>
              </w:numPr>
              <w:spacing w:before="0"/>
              <w:jc w:val="both"/>
              <w:rPr>
                <w:rFonts w:hint="eastAsia"/>
                <w:b/>
                <w:bCs/>
                <w:lang w:val="en-US" w:eastAsia="zh-CN"/>
              </w:rPr>
            </w:pPr>
            <w:r>
              <w:rPr>
                <w:rFonts w:hint="eastAsia"/>
                <w:b/>
                <w:bCs/>
                <w:lang w:val="en-US" w:eastAsia="zh-CN"/>
              </w:rPr>
              <w:t>中央监护系统</w:t>
            </w:r>
          </w:p>
          <w:p w14:paraId="7FCDB3B0">
            <w:pPr>
              <w:pStyle w:val="12"/>
              <w:numPr>
                <w:ilvl w:val="0"/>
                <w:numId w:val="0"/>
              </w:numPr>
              <w:spacing w:before="0"/>
              <w:jc w:val="both"/>
              <w:rPr>
                <w:rFonts w:hint="eastAsia"/>
                <w:lang w:val="en-US" w:eastAsia="zh-CN"/>
              </w:rPr>
            </w:pPr>
            <w:r>
              <w:rPr>
                <w:rFonts w:hint="eastAsia"/>
                <w:lang w:val="en-US" w:eastAsia="zh-CN"/>
              </w:rPr>
              <w:t>（一）配置清单</w:t>
            </w:r>
          </w:p>
          <w:p w14:paraId="5739D5FE">
            <w:pPr>
              <w:pStyle w:val="12"/>
              <w:widowControl w:val="0"/>
              <w:numPr>
                <w:ilvl w:val="0"/>
                <w:numId w:val="12"/>
              </w:numPr>
              <w:spacing w:before="0" w:after="120"/>
              <w:jc w:val="both"/>
              <w:rPr>
                <w:rFonts w:hint="eastAsia"/>
                <w:lang w:val="en-US" w:eastAsia="zh-CN"/>
              </w:rPr>
            </w:pPr>
            <w:r>
              <w:rPr>
                <w:rFonts w:hint="eastAsia"/>
                <w:lang w:val="en-US" w:eastAsia="zh-CN"/>
              </w:rPr>
              <w:t>主机，1台。</w:t>
            </w:r>
          </w:p>
          <w:p w14:paraId="00247A20">
            <w:pPr>
              <w:pStyle w:val="12"/>
              <w:widowControl w:val="0"/>
              <w:numPr>
                <w:ilvl w:val="0"/>
                <w:numId w:val="12"/>
              </w:numPr>
              <w:spacing w:before="0" w:after="120"/>
              <w:jc w:val="both"/>
              <w:rPr>
                <w:rFonts w:hint="default"/>
                <w:lang w:val="en-US" w:eastAsia="zh-CN"/>
              </w:rPr>
            </w:pPr>
            <w:r>
              <w:rPr>
                <w:rFonts w:hint="eastAsia"/>
                <w:lang w:val="en-US" w:eastAsia="zh-CN"/>
              </w:rPr>
              <w:t>显示器，2台。</w:t>
            </w:r>
          </w:p>
          <w:p w14:paraId="57694704">
            <w:pPr>
              <w:pStyle w:val="12"/>
              <w:widowControl w:val="0"/>
              <w:numPr>
                <w:ilvl w:val="0"/>
                <w:numId w:val="12"/>
              </w:numPr>
              <w:spacing w:before="0" w:after="120"/>
              <w:jc w:val="both"/>
              <w:rPr>
                <w:rFonts w:hint="default"/>
                <w:lang w:val="en-US" w:eastAsia="zh-CN"/>
              </w:rPr>
            </w:pPr>
            <w:r>
              <w:rPr>
                <w:rFonts w:hint="eastAsia"/>
                <w:lang w:val="en-US" w:eastAsia="zh-CN"/>
              </w:rPr>
              <w:t>使用说明书，1套。</w:t>
            </w:r>
          </w:p>
          <w:p w14:paraId="2FB5F68A">
            <w:pPr>
              <w:pStyle w:val="12"/>
              <w:widowControl w:val="0"/>
              <w:numPr>
                <w:ilvl w:val="0"/>
                <w:numId w:val="0"/>
              </w:numPr>
              <w:spacing w:before="0" w:after="120"/>
              <w:ind w:leftChars="0"/>
              <w:jc w:val="both"/>
              <w:rPr>
                <w:rFonts w:hint="eastAsia"/>
                <w:lang w:val="en-US" w:eastAsia="zh-CN"/>
              </w:rPr>
            </w:pPr>
            <w:r>
              <w:rPr>
                <w:rFonts w:hint="eastAsia"/>
                <w:lang w:val="en-US" w:eastAsia="zh-CN"/>
              </w:rPr>
              <w:t>（二）技术参数</w:t>
            </w:r>
          </w:p>
          <w:p w14:paraId="59596820">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default"/>
                <w:lang w:val="en-US" w:eastAsia="zh-CN"/>
              </w:rPr>
              <w:t>1</w:t>
            </w:r>
            <w:r>
              <w:rPr>
                <w:rFonts w:hint="eastAsia"/>
                <w:lang w:val="en-US" w:eastAsia="zh-CN"/>
              </w:rPr>
              <w:t>、</w:t>
            </w:r>
            <w:r>
              <w:rPr>
                <w:rFonts w:hint="default"/>
                <w:lang w:val="en-US" w:eastAsia="zh-CN"/>
              </w:rPr>
              <w:t>要求护士站安装1套中央站支持联网≥32床病人集中管理，支持联网床旁监护仪，患者遥测设备或者上述设备混合联网。</w:t>
            </w:r>
          </w:p>
          <w:p w14:paraId="53545B07">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default"/>
                <w:lang w:val="en-US" w:eastAsia="zh-CN"/>
              </w:rPr>
              <w:t>2</w:t>
            </w:r>
            <w:r>
              <w:rPr>
                <w:rFonts w:hint="eastAsia"/>
                <w:lang w:val="en-US" w:eastAsia="zh-CN"/>
              </w:rPr>
              <w:t>、</w:t>
            </w:r>
            <w:r>
              <w:rPr>
                <w:rFonts w:hint="default"/>
                <w:lang w:val="en-US" w:eastAsia="zh-CN"/>
              </w:rPr>
              <w:t>要求中央站可以控制监护仪接收/解除/转移病人。</w:t>
            </w:r>
          </w:p>
          <w:p w14:paraId="67C45FFB">
            <w:pPr>
              <w:pStyle w:val="12"/>
              <w:widowControl w:val="0"/>
              <w:numPr>
                <w:ilvl w:val="0"/>
                <w:numId w:val="0"/>
              </w:numPr>
              <w:spacing w:before="0" w:after="120"/>
              <w:jc w:val="both"/>
              <w:rPr>
                <w:rFonts w:hint="default"/>
                <w:lang w:val="en-US" w:eastAsia="zh-CN"/>
              </w:rPr>
            </w:pPr>
            <w:r>
              <w:rPr>
                <w:rFonts w:hint="default"/>
                <w:lang w:val="en-US" w:eastAsia="zh-CN"/>
              </w:rPr>
              <w:t>3</w:t>
            </w:r>
            <w:r>
              <w:rPr>
                <w:rFonts w:hint="eastAsia"/>
                <w:lang w:val="en-US" w:eastAsia="zh-CN"/>
              </w:rPr>
              <w:t>、</w:t>
            </w:r>
            <w:r>
              <w:rPr>
                <w:rFonts w:hint="default"/>
                <w:lang w:val="en-US" w:eastAsia="zh-CN"/>
              </w:rPr>
              <w:t>要求中央站可以控制监护仪启动/停止NIBP测量。</w:t>
            </w:r>
          </w:p>
          <w:p w14:paraId="6BE8519B">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default"/>
                <w:lang w:val="en-US" w:eastAsia="zh-CN"/>
              </w:rPr>
              <w:t>4</w:t>
            </w:r>
            <w:r>
              <w:rPr>
                <w:rFonts w:hint="eastAsia"/>
                <w:lang w:val="en-US" w:eastAsia="zh-CN"/>
              </w:rPr>
              <w:t>、</w:t>
            </w:r>
            <w:r>
              <w:rPr>
                <w:rFonts w:hint="default"/>
                <w:lang w:val="en-US" w:eastAsia="zh-CN"/>
              </w:rPr>
              <w:t>要求中心监护系统可以控制监护仪进入夜间模式。中央站/工作站可支持其所管辖的所有病床一键进入夜间模式。</w:t>
            </w:r>
          </w:p>
          <w:p w14:paraId="603905B2">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default"/>
                <w:lang w:val="en-US" w:eastAsia="zh-CN"/>
              </w:rPr>
              <w:t>5</w:t>
            </w:r>
            <w:r>
              <w:rPr>
                <w:rFonts w:hint="eastAsia"/>
                <w:lang w:val="en-US" w:eastAsia="zh-CN"/>
              </w:rPr>
              <w:t>、</w:t>
            </w:r>
            <w:r>
              <w:rPr>
                <w:rFonts w:hint="default"/>
                <w:lang w:val="en-US" w:eastAsia="zh-CN"/>
              </w:rPr>
              <w:t>要求中心监护系统可以控制监护仪进入隐私模式，中央站/工作站可支持其所管辖的所有病床一键进入隐私模式。</w:t>
            </w:r>
          </w:p>
          <w:p w14:paraId="7380C780">
            <w:pPr>
              <w:pStyle w:val="12"/>
              <w:widowControl w:val="0"/>
              <w:numPr>
                <w:ilvl w:val="0"/>
                <w:numId w:val="0"/>
              </w:numPr>
              <w:spacing w:before="0" w:after="120"/>
              <w:jc w:val="both"/>
              <w:rPr>
                <w:rFonts w:hint="default"/>
                <w:lang w:val="en-US" w:eastAsia="zh-CN"/>
              </w:rPr>
            </w:pPr>
            <w:r>
              <w:rPr>
                <w:rFonts w:hint="default"/>
                <w:lang w:val="en-US" w:eastAsia="zh-CN"/>
              </w:rPr>
              <w:t>6</w:t>
            </w:r>
            <w:r>
              <w:rPr>
                <w:rFonts w:hint="eastAsia"/>
                <w:lang w:val="en-US" w:eastAsia="zh-CN"/>
              </w:rPr>
              <w:t>、</w:t>
            </w:r>
            <w:r>
              <w:rPr>
                <w:rFonts w:hint="default"/>
                <w:lang w:val="en-US" w:eastAsia="zh-CN"/>
              </w:rPr>
              <w:t>要求中央站主机可支持连接2个显示屏。</w:t>
            </w:r>
          </w:p>
          <w:p w14:paraId="78C769D6">
            <w:pPr>
              <w:pStyle w:val="12"/>
              <w:widowControl w:val="0"/>
              <w:numPr>
                <w:ilvl w:val="0"/>
                <w:numId w:val="0"/>
              </w:numPr>
              <w:spacing w:before="0" w:after="120"/>
              <w:jc w:val="both"/>
              <w:rPr>
                <w:rFonts w:hint="default"/>
                <w:lang w:val="en-US" w:eastAsia="zh-CN"/>
              </w:rPr>
            </w:pPr>
            <w:r>
              <w:rPr>
                <w:rFonts w:hint="default"/>
                <w:lang w:val="en-US" w:eastAsia="zh-CN"/>
              </w:rPr>
              <w:t>7</w:t>
            </w:r>
            <w:r>
              <w:rPr>
                <w:rFonts w:hint="eastAsia"/>
                <w:lang w:val="en-US" w:eastAsia="zh-CN"/>
              </w:rPr>
              <w:t>、</w:t>
            </w:r>
            <w:r>
              <w:rPr>
                <w:rFonts w:hint="default"/>
                <w:lang w:val="en-US" w:eastAsia="zh-CN"/>
              </w:rPr>
              <w:t>要求中央站显示器尺寸应≥24英寸。</w:t>
            </w:r>
          </w:p>
          <w:p w14:paraId="0F2D0663">
            <w:pPr>
              <w:pStyle w:val="12"/>
              <w:widowControl w:val="0"/>
              <w:numPr>
                <w:ilvl w:val="0"/>
                <w:numId w:val="0"/>
              </w:numPr>
              <w:spacing w:before="0" w:after="120"/>
              <w:jc w:val="both"/>
              <w:rPr>
                <w:rFonts w:hint="default"/>
                <w:lang w:val="en-US" w:eastAsia="zh-CN"/>
              </w:rPr>
            </w:pPr>
            <w:r>
              <w:rPr>
                <w:rFonts w:hint="default"/>
                <w:lang w:val="en-US" w:eastAsia="zh-CN"/>
              </w:rPr>
              <w:t>8</w:t>
            </w:r>
            <w:r>
              <w:rPr>
                <w:rFonts w:hint="eastAsia"/>
                <w:lang w:val="en-US" w:eastAsia="zh-CN"/>
              </w:rPr>
              <w:t>、</w:t>
            </w:r>
            <w:r>
              <w:rPr>
                <w:rFonts w:hint="default"/>
                <w:lang w:val="en-US" w:eastAsia="zh-CN"/>
              </w:rPr>
              <w:t>要求中央站支持的显示分辨率≥1920</w:t>
            </w:r>
            <w:r>
              <w:rPr>
                <w:rFonts w:hint="eastAsia"/>
                <w:lang w:val="en-US" w:eastAsia="zh-CN"/>
              </w:rPr>
              <w:t>*</w:t>
            </w:r>
            <w:r>
              <w:rPr>
                <w:rFonts w:hint="default"/>
                <w:lang w:val="en-US" w:eastAsia="zh-CN"/>
              </w:rPr>
              <w:t>1080像素。</w:t>
            </w:r>
          </w:p>
          <w:p w14:paraId="57E95FF3">
            <w:pPr>
              <w:pStyle w:val="12"/>
              <w:widowControl w:val="0"/>
              <w:numPr>
                <w:ilvl w:val="0"/>
                <w:numId w:val="0"/>
              </w:numPr>
              <w:spacing w:before="0" w:after="120"/>
              <w:jc w:val="both"/>
              <w:rPr>
                <w:rFonts w:hint="default"/>
                <w:lang w:val="en-US" w:eastAsia="zh-CN"/>
              </w:rPr>
            </w:pPr>
            <w:r>
              <w:rPr>
                <w:rFonts w:hint="default"/>
                <w:lang w:val="en-US" w:eastAsia="zh-CN"/>
              </w:rPr>
              <w:t>9</w:t>
            </w:r>
            <w:r>
              <w:rPr>
                <w:rFonts w:hint="eastAsia"/>
                <w:lang w:val="en-US" w:eastAsia="zh-CN"/>
              </w:rPr>
              <w:t>、</w:t>
            </w:r>
            <w:r>
              <w:rPr>
                <w:rFonts w:hint="default"/>
                <w:lang w:val="en-US" w:eastAsia="zh-CN"/>
              </w:rPr>
              <w:t>要求中央站主机采用磁盘阵列式设计，保障数据的存储安全和系统运行稳定。</w:t>
            </w:r>
          </w:p>
          <w:p w14:paraId="46E4B99C">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default"/>
                <w:lang w:val="en-US" w:eastAsia="zh-CN"/>
              </w:rPr>
              <w:t>10</w:t>
            </w:r>
            <w:r>
              <w:rPr>
                <w:rFonts w:hint="eastAsia"/>
                <w:lang w:val="en-US" w:eastAsia="zh-CN"/>
              </w:rPr>
              <w:t>、</w:t>
            </w:r>
            <w:r>
              <w:rPr>
                <w:rFonts w:hint="default"/>
                <w:lang w:val="en-US" w:eastAsia="zh-CN"/>
              </w:rPr>
              <w:t>要求中央站单个显示屏可显示≥36个病人的数据。</w:t>
            </w:r>
          </w:p>
          <w:p w14:paraId="436F0258">
            <w:pPr>
              <w:pStyle w:val="12"/>
              <w:widowControl w:val="0"/>
              <w:numPr>
                <w:ilvl w:val="0"/>
                <w:numId w:val="0"/>
              </w:numPr>
              <w:spacing w:before="0" w:after="120"/>
              <w:jc w:val="both"/>
              <w:rPr>
                <w:rFonts w:hint="default"/>
                <w:lang w:val="en-US" w:eastAsia="zh-CN"/>
              </w:rPr>
            </w:pPr>
            <w:r>
              <w:rPr>
                <w:rFonts w:hint="default"/>
                <w:lang w:val="en-US" w:eastAsia="zh-CN"/>
              </w:rPr>
              <w:t>11</w:t>
            </w:r>
            <w:r>
              <w:rPr>
                <w:rFonts w:hint="eastAsia"/>
                <w:lang w:val="en-US" w:eastAsia="zh-CN"/>
              </w:rPr>
              <w:t>、</w:t>
            </w:r>
            <w:r>
              <w:rPr>
                <w:rFonts w:hint="default"/>
                <w:lang w:val="en-US" w:eastAsia="zh-CN"/>
              </w:rPr>
              <w:t>要求中央站/工作站交互界面与所提供的监护仪的交互界面保持风格一致。</w:t>
            </w:r>
          </w:p>
          <w:p w14:paraId="6A002AF8">
            <w:pPr>
              <w:pStyle w:val="12"/>
              <w:widowControl w:val="0"/>
              <w:numPr>
                <w:ilvl w:val="0"/>
                <w:numId w:val="0"/>
              </w:numPr>
              <w:spacing w:before="0" w:after="120"/>
              <w:jc w:val="both"/>
              <w:rPr>
                <w:rFonts w:hint="default"/>
                <w:lang w:val="en-US" w:eastAsia="zh-CN"/>
              </w:rPr>
            </w:pPr>
            <w:r>
              <w:rPr>
                <w:rFonts w:hint="default"/>
                <w:lang w:val="en-US" w:eastAsia="zh-CN"/>
              </w:rPr>
              <w:t>12</w:t>
            </w:r>
            <w:r>
              <w:rPr>
                <w:rFonts w:hint="eastAsia"/>
                <w:lang w:val="en-US" w:eastAsia="zh-CN"/>
              </w:rPr>
              <w:t>、</w:t>
            </w:r>
            <w:r>
              <w:rPr>
                <w:rFonts w:hint="default"/>
                <w:lang w:val="en-US" w:eastAsia="zh-CN"/>
              </w:rPr>
              <w:t>要求多床区域每个病床至少可以显示8道波形，16个参数区。</w:t>
            </w:r>
          </w:p>
          <w:p w14:paraId="11FFE2A8">
            <w:pPr>
              <w:pStyle w:val="12"/>
              <w:widowControl w:val="0"/>
              <w:numPr>
                <w:ilvl w:val="0"/>
                <w:numId w:val="0"/>
              </w:numPr>
              <w:spacing w:before="0" w:after="120"/>
              <w:jc w:val="both"/>
              <w:rPr>
                <w:rFonts w:hint="default"/>
                <w:lang w:val="en-US" w:eastAsia="zh-CN"/>
              </w:rPr>
            </w:pPr>
            <w:r>
              <w:rPr>
                <w:rFonts w:hint="default"/>
                <w:lang w:val="en-US" w:eastAsia="zh-CN"/>
              </w:rPr>
              <w:t>13</w:t>
            </w:r>
            <w:r>
              <w:rPr>
                <w:rFonts w:hint="eastAsia"/>
                <w:lang w:val="en-US" w:eastAsia="zh-CN"/>
              </w:rPr>
              <w:t>、</w:t>
            </w:r>
            <w:r>
              <w:rPr>
                <w:rFonts w:hint="default"/>
                <w:lang w:val="en-US" w:eastAsia="zh-CN"/>
              </w:rPr>
              <w:t>要求多床区域可进行颜色标记，实现分组显示。</w:t>
            </w:r>
          </w:p>
          <w:p w14:paraId="1F566E39">
            <w:pPr>
              <w:pStyle w:val="12"/>
              <w:widowControl w:val="0"/>
              <w:numPr>
                <w:ilvl w:val="0"/>
                <w:numId w:val="0"/>
              </w:numPr>
              <w:spacing w:before="0" w:after="120"/>
              <w:jc w:val="both"/>
              <w:rPr>
                <w:rFonts w:hint="default"/>
                <w:lang w:val="en-US" w:eastAsia="zh-CN"/>
              </w:rPr>
            </w:pPr>
            <w:r>
              <w:rPr>
                <w:rFonts w:hint="default"/>
                <w:lang w:val="en-US" w:eastAsia="zh-CN"/>
              </w:rPr>
              <w:t>14</w:t>
            </w:r>
            <w:r>
              <w:rPr>
                <w:rFonts w:hint="eastAsia"/>
                <w:lang w:val="en-US" w:eastAsia="zh-CN"/>
              </w:rPr>
              <w:t>、</w:t>
            </w:r>
            <w:r>
              <w:rPr>
                <w:rFonts w:hint="default"/>
                <w:lang w:val="en-US" w:eastAsia="zh-CN"/>
              </w:rPr>
              <w:t>要求多床区域可以配置大字体界面。</w:t>
            </w:r>
          </w:p>
          <w:p w14:paraId="17640F31">
            <w:pPr>
              <w:pStyle w:val="12"/>
              <w:widowControl w:val="0"/>
              <w:numPr>
                <w:ilvl w:val="0"/>
                <w:numId w:val="0"/>
              </w:numPr>
              <w:spacing w:before="0" w:after="120"/>
              <w:jc w:val="both"/>
              <w:rPr>
                <w:rFonts w:hint="default"/>
                <w:lang w:val="en-US" w:eastAsia="zh-CN"/>
              </w:rPr>
            </w:pPr>
            <w:r>
              <w:rPr>
                <w:rFonts w:hint="default"/>
                <w:lang w:val="en-US" w:eastAsia="zh-CN"/>
              </w:rPr>
              <w:t>15</w:t>
            </w:r>
            <w:r>
              <w:rPr>
                <w:rFonts w:hint="eastAsia"/>
                <w:lang w:val="en-US" w:eastAsia="zh-CN"/>
              </w:rPr>
              <w:t>、</w:t>
            </w:r>
            <w:r>
              <w:rPr>
                <w:rFonts w:hint="default"/>
                <w:lang w:val="en-US" w:eastAsia="zh-CN"/>
              </w:rPr>
              <w:t>要求在多床区域可显示病人ID,用于替代病人姓名以保护病人隐私。</w:t>
            </w:r>
          </w:p>
          <w:p w14:paraId="73D15E6D">
            <w:pPr>
              <w:pStyle w:val="12"/>
              <w:widowControl w:val="0"/>
              <w:numPr>
                <w:ilvl w:val="0"/>
                <w:numId w:val="0"/>
              </w:numPr>
              <w:spacing w:before="0" w:after="120"/>
              <w:jc w:val="both"/>
              <w:rPr>
                <w:rFonts w:hint="default"/>
                <w:lang w:val="en-US" w:eastAsia="zh-CN"/>
              </w:rPr>
            </w:pPr>
            <w:r>
              <w:rPr>
                <w:rFonts w:hint="default"/>
                <w:lang w:val="en-US" w:eastAsia="zh-CN"/>
              </w:rPr>
              <w:t>16</w:t>
            </w:r>
            <w:r>
              <w:rPr>
                <w:rFonts w:hint="eastAsia"/>
                <w:lang w:val="en-US" w:eastAsia="zh-CN"/>
              </w:rPr>
              <w:t>、</w:t>
            </w:r>
            <w:r>
              <w:rPr>
                <w:rFonts w:hint="default"/>
                <w:lang w:val="en-US" w:eastAsia="zh-CN"/>
              </w:rPr>
              <w:t>要求重点观察床可显示至少可以提供12道波形，16个参数区。</w:t>
            </w:r>
          </w:p>
          <w:p w14:paraId="243CC6B5">
            <w:pPr>
              <w:pStyle w:val="12"/>
              <w:widowControl w:val="0"/>
              <w:numPr>
                <w:ilvl w:val="0"/>
                <w:numId w:val="0"/>
              </w:numPr>
              <w:spacing w:before="0" w:after="120"/>
              <w:jc w:val="both"/>
              <w:rPr>
                <w:rFonts w:hint="default"/>
                <w:lang w:val="en-US" w:eastAsia="zh-CN"/>
              </w:rPr>
            </w:pPr>
            <w:r>
              <w:rPr>
                <w:rFonts w:hint="default"/>
                <w:lang w:val="en-US" w:eastAsia="zh-CN"/>
              </w:rPr>
              <w:t>17</w:t>
            </w:r>
            <w:r>
              <w:rPr>
                <w:rFonts w:hint="eastAsia"/>
                <w:lang w:val="en-US" w:eastAsia="zh-CN"/>
              </w:rPr>
              <w:t>、</w:t>
            </w:r>
            <w:r>
              <w:rPr>
                <w:rFonts w:hint="default"/>
                <w:lang w:val="en-US" w:eastAsia="zh-CN"/>
              </w:rPr>
              <w:t>要求重点观察床支持趋势与实时参数波形同时显示，互不遮挡。</w:t>
            </w:r>
          </w:p>
          <w:p w14:paraId="46CAF7B7">
            <w:pPr>
              <w:pStyle w:val="12"/>
              <w:widowControl w:val="0"/>
              <w:numPr>
                <w:ilvl w:val="0"/>
                <w:numId w:val="0"/>
              </w:numPr>
              <w:spacing w:before="0" w:after="120"/>
              <w:jc w:val="both"/>
              <w:rPr>
                <w:rFonts w:hint="default"/>
                <w:lang w:val="en-US" w:eastAsia="zh-CN"/>
              </w:rPr>
            </w:pPr>
            <w:r>
              <w:rPr>
                <w:rFonts w:hint="default"/>
                <w:lang w:val="en-US" w:eastAsia="zh-CN"/>
              </w:rPr>
              <w:t>18</w:t>
            </w:r>
            <w:r>
              <w:rPr>
                <w:rFonts w:hint="eastAsia"/>
                <w:lang w:val="en-US" w:eastAsia="zh-CN"/>
              </w:rPr>
              <w:t>、</w:t>
            </w:r>
            <w:r>
              <w:rPr>
                <w:rFonts w:hint="default"/>
                <w:lang w:val="en-US" w:eastAsia="zh-CN"/>
              </w:rPr>
              <w:t>要求支持趋势图/表回顾功能。支持自定义趋势组功能，可由用户自行选择参数及调整参数顺序。</w:t>
            </w:r>
          </w:p>
          <w:p w14:paraId="34E4CF12">
            <w:pPr>
              <w:pStyle w:val="12"/>
              <w:widowControl w:val="0"/>
              <w:numPr>
                <w:ilvl w:val="0"/>
                <w:numId w:val="0"/>
              </w:numPr>
              <w:spacing w:before="0" w:after="120"/>
              <w:jc w:val="both"/>
              <w:rPr>
                <w:rFonts w:hint="default"/>
                <w:lang w:val="en-US" w:eastAsia="zh-CN"/>
              </w:rPr>
            </w:pPr>
            <w:r>
              <w:rPr>
                <w:rFonts w:hint="default"/>
                <w:lang w:val="en-US" w:eastAsia="zh-CN"/>
              </w:rPr>
              <w:t>19</w:t>
            </w:r>
            <w:r>
              <w:rPr>
                <w:rFonts w:hint="eastAsia"/>
                <w:lang w:val="en-US" w:eastAsia="zh-CN"/>
              </w:rPr>
              <w:t>、</w:t>
            </w:r>
            <w:r>
              <w:rPr>
                <w:rFonts w:hint="default"/>
                <w:lang w:val="en-US" w:eastAsia="zh-CN"/>
              </w:rPr>
              <w:t>要求具备事件回顾功能。支持事件列表显示及筛选，并支持事件重命名，锁定及备注功能。</w:t>
            </w:r>
          </w:p>
          <w:p w14:paraId="1899F07E">
            <w:pPr>
              <w:pStyle w:val="12"/>
              <w:widowControl w:val="0"/>
              <w:numPr>
                <w:ilvl w:val="0"/>
                <w:numId w:val="0"/>
              </w:numPr>
              <w:spacing w:before="0" w:after="120"/>
              <w:jc w:val="both"/>
              <w:rPr>
                <w:rFonts w:hint="default"/>
                <w:lang w:val="en-US" w:eastAsia="zh-CN"/>
              </w:rPr>
            </w:pPr>
            <w:r>
              <w:rPr>
                <w:rFonts w:hint="default"/>
                <w:lang w:val="en-US" w:eastAsia="zh-CN"/>
              </w:rPr>
              <w:t>20</w:t>
            </w:r>
            <w:r>
              <w:rPr>
                <w:rFonts w:hint="eastAsia"/>
                <w:lang w:val="en-US" w:eastAsia="zh-CN"/>
              </w:rPr>
              <w:t>、</w:t>
            </w:r>
            <w:r>
              <w:rPr>
                <w:rFonts w:hint="default"/>
                <w:lang w:val="en-US" w:eastAsia="zh-CN"/>
              </w:rPr>
              <w:t>要求具备≥240小时趋势数据存储，分辨率≥1分钟。</w:t>
            </w:r>
          </w:p>
          <w:p w14:paraId="7D5D32E7">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default"/>
                <w:lang w:val="en-US" w:eastAsia="zh-CN"/>
              </w:rPr>
              <w:t>21</w:t>
            </w:r>
            <w:r>
              <w:rPr>
                <w:rFonts w:hint="eastAsia"/>
                <w:lang w:val="en-US" w:eastAsia="zh-CN"/>
              </w:rPr>
              <w:t>、</w:t>
            </w:r>
            <w:r>
              <w:rPr>
                <w:rFonts w:hint="default"/>
                <w:lang w:val="en-US" w:eastAsia="zh-CN"/>
              </w:rPr>
              <w:t>要求具备≥240小时全息波形数据存储，分辨率≥250Hz。</w:t>
            </w:r>
          </w:p>
          <w:p w14:paraId="6558DCFB">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default"/>
                <w:lang w:val="en-US" w:eastAsia="zh-CN"/>
              </w:rPr>
              <w:t>22</w:t>
            </w:r>
            <w:r>
              <w:rPr>
                <w:rFonts w:hint="eastAsia"/>
                <w:lang w:val="en-US" w:eastAsia="zh-CN"/>
              </w:rPr>
              <w:t>、</w:t>
            </w:r>
            <w:r>
              <w:rPr>
                <w:rFonts w:hint="default"/>
                <w:lang w:val="en-US" w:eastAsia="zh-CN"/>
              </w:rPr>
              <w:t>要求具备≥240小时ST片段数据存储，分辨率≥5分钟。</w:t>
            </w:r>
          </w:p>
          <w:p w14:paraId="2868AE42">
            <w:pPr>
              <w:pStyle w:val="12"/>
              <w:widowControl w:val="0"/>
              <w:numPr>
                <w:ilvl w:val="0"/>
                <w:numId w:val="0"/>
              </w:numPr>
              <w:spacing w:before="0" w:after="120"/>
              <w:jc w:val="both"/>
              <w:rPr>
                <w:rFonts w:hint="default"/>
                <w:lang w:val="en-US" w:eastAsia="zh-CN"/>
              </w:rPr>
            </w:pPr>
            <w:r>
              <w:rPr>
                <w:rFonts w:hint="default"/>
                <w:lang w:val="en-US" w:eastAsia="zh-CN"/>
              </w:rPr>
              <w:t>23</w:t>
            </w:r>
            <w:r>
              <w:rPr>
                <w:rFonts w:hint="eastAsia"/>
                <w:lang w:val="en-US" w:eastAsia="zh-CN"/>
              </w:rPr>
              <w:t>、</w:t>
            </w:r>
            <w:r>
              <w:rPr>
                <w:rFonts w:hint="default"/>
                <w:lang w:val="en-US" w:eastAsia="zh-CN"/>
              </w:rPr>
              <w:t>要求支持≥1000条事件存储，事件类型应包括报警事件及手动事件。事件应存储事件发生时刻的全部参数及至少3道相关波形，波形长度≥32秒。</w:t>
            </w:r>
          </w:p>
          <w:p w14:paraId="6FF9B9FD">
            <w:pPr>
              <w:pStyle w:val="12"/>
              <w:widowControl w:val="0"/>
              <w:numPr>
                <w:ilvl w:val="0"/>
                <w:numId w:val="0"/>
              </w:numPr>
              <w:spacing w:before="0" w:after="120"/>
              <w:jc w:val="both"/>
              <w:rPr>
                <w:rFonts w:hint="default"/>
                <w:lang w:val="en-US" w:eastAsia="zh-CN"/>
              </w:rPr>
            </w:pPr>
            <w:r>
              <w:rPr>
                <w:rFonts w:hint="default"/>
                <w:lang w:val="en-US" w:eastAsia="zh-CN"/>
              </w:rPr>
              <w:t>24</w:t>
            </w:r>
            <w:r>
              <w:rPr>
                <w:rFonts w:hint="eastAsia"/>
                <w:lang w:val="en-US" w:eastAsia="zh-CN"/>
              </w:rPr>
              <w:t>、</w:t>
            </w:r>
            <w:r>
              <w:rPr>
                <w:rFonts w:hint="default"/>
                <w:lang w:val="en-US" w:eastAsia="zh-CN"/>
              </w:rPr>
              <w:t>要求具备≥3000条NIBP测量数据存储。</w:t>
            </w:r>
          </w:p>
          <w:p w14:paraId="77206109">
            <w:pPr>
              <w:pStyle w:val="12"/>
              <w:widowControl w:val="0"/>
              <w:numPr>
                <w:ilvl w:val="0"/>
                <w:numId w:val="0"/>
              </w:numPr>
              <w:spacing w:before="0" w:after="120"/>
              <w:jc w:val="both"/>
              <w:rPr>
                <w:rFonts w:hint="default"/>
                <w:lang w:val="en-US" w:eastAsia="zh-CN"/>
              </w:rPr>
            </w:pPr>
            <w:r>
              <w:rPr>
                <w:rFonts w:hint="default"/>
                <w:lang w:val="en-US" w:eastAsia="zh-CN"/>
              </w:rPr>
              <w:t>25</w:t>
            </w:r>
            <w:r>
              <w:rPr>
                <w:rFonts w:hint="eastAsia"/>
                <w:lang w:val="en-US" w:eastAsia="zh-CN"/>
              </w:rPr>
              <w:t>、</w:t>
            </w:r>
            <w:r>
              <w:rPr>
                <w:rFonts w:hint="default"/>
                <w:lang w:val="en-US" w:eastAsia="zh-CN"/>
              </w:rPr>
              <w:t>要求具备≥720条CO测量数据存储。</w:t>
            </w:r>
          </w:p>
          <w:p w14:paraId="58E539DD">
            <w:pPr>
              <w:pStyle w:val="12"/>
              <w:widowControl w:val="0"/>
              <w:numPr>
                <w:ilvl w:val="0"/>
                <w:numId w:val="0"/>
              </w:numPr>
              <w:spacing w:before="0" w:after="120"/>
              <w:jc w:val="both"/>
              <w:rPr>
                <w:rFonts w:hint="default"/>
                <w:lang w:val="en-US" w:eastAsia="zh-CN"/>
              </w:rPr>
            </w:pPr>
            <w:r>
              <w:rPr>
                <w:rFonts w:hint="default"/>
                <w:lang w:val="en-US" w:eastAsia="zh-CN"/>
              </w:rPr>
              <w:t>26.</w:t>
            </w:r>
            <w:r>
              <w:rPr>
                <w:rFonts w:hint="eastAsia"/>
                <w:lang w:val="en-US" w:eastAsia="zh-CN"/>
              </w:rPr>
              <w:t>、</w:t>
            </w:r>
            <w:r>
              <w:rPr>
                <w:rFonts w:hint="default"/>
                <w:lang w:val="en-US" w:eastAsia="zh-CN"/>
              </w:rPr>
              <w:t>要求具备≥720条12导静息分析结果数据存储。</w:t>
            </w:r>
          </w:p>
          <w:p w14:paraId="4DBD983A">
            <w:pPr>
              <w:pStyle w:val="12"/>
              <w:widowControl w:val="0"/>
              <w:numPr>
                <w:ilvl w:val="0"/>
                <w:numId w:val="0"/>
              </w:numPr>
              <w:spacing w:before="0" w:after="120"/>
              <w:jc w:val="both"/>
              <w:rPr>
                <w:rFonts w:hint="default"/>
                <w:lang w:val="en-US" w:eastAsia="zh-CN"/>
              </w:rPr>
            </w:pPr>
            <w:r>
              <w:rPr>
                <w:rFonts w:hint="default"/>
                <w:lang w:val="en-US" w:eastAsia="zh-CN"/>
              </w:rPr>
              <w:t>27</w:t>
            </w:r>
            <w:r>
              <w:rPr>
                <w:rFonts w:hint="eastAsia"/>
                <w:lang w:val="en-US" w:eastAsia="zh-CN"/>
              </w:rPr>
              <w:t>、</w:t>
            </w:r>
            <w:r>
              <w:rPr>
                <w:rFonts w:hint="default"/>
                <w:lang w:val="en-US" w:eastAsia="zh-CN"/>
              </w:rPr>
              <w:t>要求具备≥48小时呼吸氧合图曲线数据存储。</w:t>
            </w:r>
          </w:p>
          <w:p w14:paraId="32235ECE">
            <w:pPr>
              <w:pStyle w:val="12"/>
              <w:widowControl w:val="0"/>
              <w:numPr>
                <w:ilvl w:val="0"/>
                <w:numId w:val="0"/>
              </w:numPr>
              <w:spacing w:before="0" w:after="120"/>
              <w:jc w:val="both"/>
              <w:rPr>
                <w:rFonts w:hint="default"/>
                <w:lang w:val="en-US" w:eastAsia="zh-CN"/>
              </w:rPr>
            </w:pPr>
            <w:r>
              <w:rPr>
                <w:rFonts w:hint="default"/>
                <w:lang w:val="en-US" w:eastAsia="zh-CN"/>
              </w:rPr>
              <w:t>28</w:t>
            </w:r>
            <w:r>
              <w:rPr>
                <w:rFonts w:hint="eastAsia"/>
                <w:lang w:val="en-US" w:eastAsia="zh-CN"/>
              </w:rPr>
              <w:t>、</w:t>
            </w:r>
            <w:r>
              <w:rPr>
                <w:rFonts w:hint="default"/>
                <w:lang w:val="en-US" w:eastAsia="zh-CN"/>
              </w:rPr>
              <w:t>要求已解除的历史病人可永久保存。</w:t>
            </w:r>
          </w:p>
          <w:p w14:paraId="29832BA9">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default"/>
                <w:lang w:val="en-US" w:eastAsia="zh-CN"/>
              </w:rPr>
              <w:t>29</w:t>
            </w:r>
            <w:r>
              <w:rPr>
                <w:rFonts w:hint="eastAsia"/>
                <w:lang w:val="en-US" w:eastAsia="zh-CN"/>
              </w:rPr>
              <w:t>、</w:t>
            </w:r>
            <w:r>
              <w:rPr>
                <w:rFonts w:hint="default"/>
                <w:lang w:val="en-US" w:eastAsia="zh-CN"/>
              </w:rPr>
              <w:t>要求具备已解除病人数据回顾功能。</w:t>
            </w:r>
          </w:p>
          <w:p w14:paraId="543D7A84">
            <w:pPr>
              <w:pStyle w:val="12"/>
              <w:widowControl w:val="0"/>
              <w:numPr>
                <w:ilvl w:val="0"/>
                <w:numId w:val="0"/>
              </w:numPr>
              <w:spacing w:before="0" w:after="120"/>
              <w:jc w:val="both"/>
              <w:rPr>
                <w:rFonts w:hint="default"/>
                <w:lang w:val="en-US" w:eastAsia="zh-CN"/>
              </w:rPr>
            </w:pPr>
            <w:r>
              <w:rPr>
                <w:rFonts w:hint="default"/>
                <w:lang w:val="en-US" w:eastAsia="zh-CN"/>
              </w:rPr>
              <w:t>30</w:t>
            </w:r>
            <w:r>
              <w:rPr>
                <w:rFonts w:hint="eastAsia"/>
                <w:lang w:val="en-US" w:eastAsia="zh-CN"/>
              </w:rPr>
              <w:t>、</w:t>
            </w:r>
            <w:r>
              <w:rPr>
                <w:rFonts w:hint="default"/>
                <w:lang w:val="en-US" w:eastAsia="zh-CN"/>
              </w:rPr>
              <w:t>提供心肌缺血图形化显示工具，可以快速查看ST值的变化。</w:t>
            </w:r>
          </w:p>
          <w:p w14:paraId="1D8C01D5">
            <w:pPr>
              <w:pStyle w:val="12"/>
              <w:widowControl w:val="0"/>
              <w:numPr>
                <w:ilvl w:val="0"/>
                <w:numId w:val="0"/>
              </w:numPr>
              <w:spacing w:before="0" w:after="120"/>
              <w:jc w:val="both"/>
              <w:rPr>
                <w:rFonts w:hint="default"/>
                <w:lang w:val="en-US" w:eastAsia="zh-CN"/>
              </w:rPr>
            </w:pPr>
            <w:r>
              <w:rPr>
                <w:rFonts w:hint="default"/>
                <w:lang w:val="en-US" w:eastAsia="zh-CN"/>
              </w:rPr>
              <w:t>31</w:t>
            </w:r>
            <w:r>
              <w:rPr>
                <w:rFonts w:hint="eastAsia"/>
                <w:lang w:val="en-US" w:eastAsia="zh-CN"/>
              </w:rPr>
              <w:t>、</w:t>
            </w:r>
            <w:r>
              <w:rPr>
                <w:rFonts w:hint="default"/>
                <w:lang w:val="en-US" w:eastAsia="zh-CN"/>
              </w:rPr>
              <w:t>要求可升级支持对病人24小时心电数据进行统计分析，提供HR、ST、QT/QTc、心律失常、起搏的统计结果，并能够查看相关细节。</w:t>
            </w:r>
          </w:p>
          <w:p w14:paraId="5733A5B5">
            <w:pPr>
              <w:pStyle w:val="12"/>
              <w:widowControl w:val="0"/>
              <w:numPr>
                <w:ilvl w:val="0"/>
                <w:numId w:val="0"/>
              </w:numPr>
              <w:spacing w:before="0" w:after="120"/>
              <w:jc w:val="both"/>
              <w:rPr>
                <w:rFonts w:hint="default"/>
                <w:lang w:val="en-US" w:eastAsia="zh-CN"/>
              </w:rPr>
            </w:pPr>
            <w:r>
              <w:rPr>
                <w:rFonts w:hint="default"/>
                <w:lang w:val="en-US" w:eastAsia="zh-CN"/>
              </w:rPr>
              <w:t>32</w:t>
            </w:r>
            <w:r>
              <w:rPr>
                <w:rFonts w:hint="eastAsia"/>
                <w:lang w:val="en-US" w:eastAsia="zh-CN"/>
              </w:rPr>
              <w:t>、</w:t>
            </w:r>
            <w:r>
              <w:rPr>
                <w:rFonts w:hint="default"/>
                <w:lang w:val="en-US" w:eastAsia="zh-CN"/>
              </w:rPr>
              <w:t>要求具备动态血压分析功能，可对监护仪NIBP测量结果，进行综合分析。</w:t>
            </w:r>
          </w:p>
          <w:p w14:paraId="0D96CD7A">
            <w:pPr>
              <w:pStyle w:val="12"/>
              <w:widowControl w:val="0"/>
              <w:numPr>
                <w:ilvl w:val="0"/>
                <w:numId w:val="0"/>
              </w:numPr>
              <w:spacing w:before="0" w:after="120"/>
              <w:jc w:val="both"/>
              <w:rPr>
                <w:rFonts w:hint="default"/>
                <w:lang w:val="en-US" w:eastAsia="zh-CN"/>
              </w:rPr>
            </w:pPr>
            <w:r>
              <w:rPr>
                <w:rFonts w:hint="default"/>
                <w:lang w:val="en-US" w:eastAsia="zh-CN"/>
              </w:rPr>
              <w:t>33</w:t>
            </w:r>
            <w:r>
              <w:rPr>
                <w:rFonts w:hint="eastAsia"/>
                <w:lang w:val="en-US" w:eastAsia="zh-CN"/>
              </w:rPr>
              <w:t>、</w:t>
            </w:r>
            <w:r>
              <w:rPr>
                <w:rFonts w:hint="default"/>
                <w:lang w:val="en-US" w:eastAsia="zh-CN"/>
              </w:rPr>
              <w:t>具有早期预警评分结果显示功能，支持以大字体看板方式，显示所有床的早期预警评分结果。</w:t>
            </w:r>
          </w:p>
          <w:p w14:paraId="09B73625">
            <w:pPr>
              <w:pStyle w:val="12"/>
              <w:widowControl w:val="0"/>
              <w:numPr>
                <w:ilvl w:val="0"/>
                <w:numId w:val="0"/>
              </w:numPr>
              <w:spacing w:before="0" w:after="120"/>
              <w:jc w:val="both"/>
              <w:rPr>
                <w:rFonts w:hint="default"/>
                <w:lang w:val="en-US" w:eastAsia="zh-CN"/>
              </w:rPr>
            </w:pPr>
            <w:r>
              <w:rPr>
                <w:rFonts w:hint="default"/>
                <w:lang w:val="en-US" w:eastAsia="zh-CN"/>
              </w:rPr>
              <w:t>34</w:t>
            </w:r>
            <w:r>
              <w:rPr>
                <w:rFonts w:hint="eastAsia"/>
                <w:lang w:val="en-US" w:eastAsia="zh-CN"/>
              </w:rPr>
              <w:t>、</w:t>
            </w:r>
            <w:r>
              <w:rPr>
                <w:rFonts w:hint="default"/>
                <w:lang w:val="en-US" w:eastAsia="zh-CN"/>
              </w:rPr>
              <w:t>具有格拉斯哥昏迷评分结果显示功能，支持以大字体看板方式，显示所有床的早期预警评分结果。</w:t>
            </w:r>
          </w:p>
          <w:p w14:paraId="08BF742D">
            <w:pPr>
              <w:pStyle w:val="12"/>
              <w:widowControl w:val="0"/>
              <w:numPr>
                <w:ilvl w:val="0"/>
                <w:numId w:val="0"/>
              </w:numPr>
              <w:spacing w:before="0" w:after="120"/>
              <w:jc w:val="both"/>
              <w:rPr>
                <w:rFonts w:hint="default"/>
                <w:lang w:val="en-US" w:eastAsia="zh-CN"/>
              </w:rPr>
            </w:pPr>
            <w:r>
              <w:rPr>
                <w:rFonts w:hint="default"/>
                <w:lang w:val="en-US" w:eastAsia="zh-CN"/>
              </w:rPr>
              <w:t>35</w:t>
            </w:r>
            <w:r>
              <w:rPr>
                <w:rFonts w:hint="eastAsia"/>
                <w:lang w:val="en-US" w:eastAsia="zh-CN"/>
              </w:rPr>
              <w:t>、</w:t>
            </w:r>
            <w:r>
              <w:rPr>
                <w:rFonts w:hint="default"/>
                <w:lang w:val="en-US" w:eastAsia="zh-CN"/>
              </w:rPr>
              <w:t>要求中央站支持打印心电图波形上的卡尺信息。</w:t>
            </w:r>
          </w:p>
          <w:p w14:paraId="405FF593">
            <w:pPr>
              <w:pStyle w:val="12"/>
              <w:widowControl w:val="0"/>
              <w:numPr>
                <w:ilvl w:val="0"/>
                <w:numId w:val="0"/>
              </w:numPr>
              <w:spacing w:before="0" w:after="120"/>
              <w:jc w:val="both"/>
              <w:rPr>
                <w:rFonts w:hint="default"/>
                <w:lang w:val="en-US" w:eastAsia="zh-CN"/>
              </w:rPr>
            </w:pPr>
            <w:r>
              <w:rPr>
                <w:rFonts w:hint="default"/>
                <w:lang w:val="en-US" w:eastAsia="zh-CN"/>
              </w:rPr>
              <w:t>36</w:t>
            </w:r>
            <w:r>
              <w:rPr>
                <w:rFonts w:hint="eastAsia"/>
                <w:lang w:val="en-US" w:eastAsia="zh-CN"/>
              </w:rPr>
              <w:t>、</w:t>
            </w:r>
            <w:r>
              <w:rPr>
                <w:rFonts w:hint="default"/>
                <w:lang w:val="en-US" w:eastAsia="zh-CN"/>
              </w:rPr>
              <w:t>要求具备定时打印功能，可在定时自动打印指定的报告。</w:t>
            </w:r>
          </w:p>
          <w:p w14:paraId="5E1879C7">
            <w:pPr>
              <w:pStyle w:val="12"/>
              <w:widowControl w:val="0"/>
              <w:numPr>
                <w:ilvl w:val="0"/>
                <w:numId w:val="0"/>
              </w:numPr>
              <w:spacing w:before="0" w:after="120"/>
              <w:jc w:val="both"/>
              <w:rPr>
                <w:rFonts w:hint="default"/>
                <w:lang w:val="en-US" w:eastAsia="zh-CN"/>
              </w:rPr>
            </w:pPr>
            <w:r>
              <w:rPr>
                <w:rFonts w:hint="default"/>
                <w:lang w:val="en-US" w:eastAsia="zh-CN"/>
              </w:rPr>
              <w:t>37</w:t>
            </w:r>
            <w:r>
              <w:rPr>
                <w:rFonts w:hint="eastAsia"/>
                <w:lang w:val="en-US" w:eastAsia="zh-CN"/>
              </w:rPr>
              <w:t>、</w:t>
            </w:r>
            <w:r>
              <w:rPr>
                <w:rFonts w:hint="default"/>
                <w:lang w:val="en-US" w:eastAsia="zh-CN"/>
              </w:rPr>
              <w:t>要求具备完成病历报告功能，可在解除病人时自动打印指定报告。</w:t>
            </w:r>
          </w:p>
          <w:p w14:paraId="1532C4DF">
            <w:pPr>
              <w:pStyle w:val="12"/>
              <w:widowControl w:val="0"/>
              <w:numPr>
                <w:ilvl w:val="0"/>
                <w:numId w:val="0"/>
              </w:numPr>
              <w:spacing w:before="0" w:after="120"/>
              <w:jc w:val="both"/>
              <w:rPr>
                <w:rFonts w:hint="default"/>
                <w:lang w:val="en-US" w:eastAsia="zh-CN"/>
              </w:rPr>
            </w:pPr>
            <w:r>
              <w:rPr>
                <w:rFonts w:hint="eastAsia" w:hAnsi="宋体"/>
                <w:b/>
                <w:bCs/>
                <w:color w:val="000000"/>
                <w:highlight w:val="none"/>
              </w:rPr>
              <w:t>▲</w:t>
            </w:r>
            <w:r>
              <w:rPr>
                <w:rFonts w:hint="eastAsia" w:hAnsi="宋体"/>
                <w:b/>
                <w:bCs/>
                <w:color w:val="000000"/>
                <w:highlight w:val="none"/>
                <w:lang w:val="en-US" w:eastAsia="zh-CN"/>
              </w:rPr>
              <w:t>38、</w:t>
            </w:r>
            <w:r>
              <w:rPr>
                <w:rFonts w:hint="default"/>
                <w:lang w:val="en-US" w:eastAsia="zh-CN"/>
              </w:rPr>
              <w:t>要求具备时间同步功能，可与医院时钟服务器连接，并对联网的监护仪进行时间同步。</w:t>
            </w:r>
          </w:p>
          <w:p w14:paraId="0CC074F0">
            <w:pPr>
              <w:pStyle w:val="12"/>
              <w:widowControl w:val="0"/>
              <w:numPr>
                <w:ilvl w:val="0"/>
                <w:numId w:val="11"/>
              </w:numPr>
              <w:spacing w:before="0" w:after="120"/>
              <w:ind w:left="0" w:leftChars="0" w:firstLine="0" w:firstLineChars="0"/>
              <w:jc w:val="both"/>
              <w:rPr>
                <w:rFonts w:hint="eastAsia"/>
                <w:b/>
                <w:bCs/>
                <w:lang w:val="en-US" w:eastAsia="zh-CN"/>
              </w:rPr>
            </w:pPr>
            <w:r>
              <w:rPr>
                <w:rFonts w:hint="eastAsia"/>
                <w:b/>
                <w:bCs/>
                <w:lang w:val="en-US" w:eastAsia="zh-CN"/>
              </w:rPr>
              <w:t>病人监护仪</w:t>
            </w:r>
          </w:p>
          <w:p w14:paraId="380CE7CD">
            <w:pPr>
              <w:pStyle w:val="12"/>
              <w:widowControl w:val="0"/>
              <w:numPr>
                <w:ilvl w:val="0"/>
                <w:numId w:val="13"/>
              </w:numPr>
              <w:spacing w:before="0" w:after="120"/>
              <w:jc w:val="both"/>
              <w:rPr>
                <w:rFonts w:hint="eastAsia"/>
                <w:lang w:val="en-US" w:eastAsia="zh-CN"/>
              </w:rPr>
            </w:pPr>
            <w:r>
              <w:rPr>
                <w:rFonts w:hint="eastAsia"/>
                <w:lang w:val="en-US" w:eastAsia="zh-CN"/>
              </w:rPr>
              <w:t>配置清单</w:t>
            </w:r>
          </w:p>
          <w:p w14:paraId="6C88F67D">
            <w:pPr>
              <w:pStyle w:val="12"/>
              <w:widowControl w:val="0"/>
              <w:numPr>
                <w:ilvl w:val="0"/>
                <w:numId w:val="14"/>
              </w:numPr>
              <w:spacing w:before="0" w:after="120"/>
              <w:jc w:val="both"/>
              <w:rPr>
                <w:rFonts w:hint="eastAsia"/>
                <w:lang w:val="en-US" w:eastAsia="zh-CN"/>
              </w:rPr>
            </w:pPr>
            <w:r>
              <w:rPr>
                <w:rFonts w:hint="eastAsia"/>
                <w:lang w:val="en-US" w:eastAsia="zh-CN"/>
              </w:rPr>
              <w:t>主机，1台。</w:t>
            </w:r>
          </w:p>
          <w:p w14:paraId="71909F7B">
            <w:pPr>
              <w:pStyle w:val="12"/>
              <w:widowControl w:val="0"/>
              <w:numPr>
                <w:ilvl w:val="0"/>
                <w:numId w:val="14"/>
              </w:numPr>
              <w:spacing w:before="0" w:after="120"/>
              <w:jc w:val="both"/>
              <w:rPr>
                <w:rFonts w:hint="default"/>
                <w:lang w:val="en-US" w:eastAsia="zh-CN"/>
              </w:rPr>
            </w:pPr>
            <w:r>
              <w:rPr>
                <w:rFonts w:hint="eastAsia"/>
                <w:lang w:val="en-US" w:eastAsia="zh-CN"/>
              </w:rPr>
              <w:t>血氧主电缆，1根。</w:t>
            </w:r>
          </w:p>
          <w:p w14:paraId="1BAB6F20">
            <w:pPr>
              <w:pStyle w:val="12"/>
              <w:widowControl w:val="0"/>
              <w:numPr>
                <w:ilvl w:val="0"/>
                <w:numId w:val="14"/>
              </w:numPr>
              <w:spacing w:before="0" w:after="120"/>
              <w:jc w:val="both"/>
              <w:rPr>
                <w:rFonts w:hint="default"/>
                <w:lang w:val="en-US" w:eastAsia="zh-CN"/>
              </w:rPr>
            </w:pPr>
            <w:r>
              <w:rPr>
                <w:rFonts w:hint="eastAsia"/>
                <w:lang w:val="en-US" w:eastAsia="zh-CN"/>
              </w:rPr>
              <w:t>血氧探头，1份。</w:t>
            </w:r>
          </w:p>
          <w:p w14:paraId="468D177D">
            <w:pPr>
              <w:pStyle w:val="12"/>
              <w:widowControl w:val="0"/>
              <w:numPr>
                <w:ilvl w:val="0"/>
                <w:numId w:val="14"/>
              </w:numPr>
              <w:spacing w:before="0" w:after="120"/>
              <w:jc w:val="both"/>
              <w:rPr>
                <w:rFonts w:hint="default"/>
                <w:lang w:val="en-US" w:eastAsia="zh-CN"/>
              </w:rPr>
            </w:pPr>
            <w:r>
              <w:rPr>
                <w:rFonts w:hint="eastAsia"/>
                <w:lang w:val="en-US" w:eastAsia="zh-CN"/>
              </w:rPr>
              <w:t>无创血压导气管，1根。</w:t>
            </w:r>
          </w:p>
          <w:p w14:paraId="12E22E66">
            <w:pPr>
              <w:pStyle w:val="12"/>
              <w:widowControl w:val="0"/>
              <w:numPr>
                <w:ilvl w:val="0"/>
                <w:numId w:val="14"/>
              </w:numPr>
              <w:spacing w:before="0" w:after="120"/>
              <w:jc w:val="both"/>
              <w:rPr>
                <w:rFonts w:hint="default"/>
                <w:lang w:val="en-US" w:eastAsia="zh-CN"/>
              </w:rPr>
            </w:pPr>
            <w:r>
              <w:rPr>
                <w:rFonts w:hint="eastAsia"/>
                <w:lang w:val="en-US" w:eastAsia="zh-CN"/>
              </w:rPr>
              <w:t>血压袖套，1套。</w:t>
            </w:r>
          </w:p>
          <w:p w14:paraId="4BC63C99">
            <w:pPr>
              <w:pStyle w:val="12"/>
              <w:widowControl w:val="0"/>
              <w:numPr>
                <w:ilvl w:val="0"/>
                <w:numId w:val="14"/>
              </w:numPr>
              <w:spacing w:before="0" w:after="120"/>
              <w:jc w:val="both"/>
              <w:rPr>
                <w:rFonts w:hint="default"/>
                <w:lang w:val="en-US" w:eastAsia="zh-CN"/>
              </w:rPr>
            </w:pPr>
            <w:r>
              <w:rPr>
                <w:rFonts w:hint="eastAsia"/>
                <w:lang w:val="en-US" w:eastAsia="zh-CN"/>
              </w:rPr>
              <w:t>电池，1块。</w:t>
            </w:r>
          </w:p>
          <w:p w14:paraId="389786BC">
            <w:pPr>
              <w:pStyle w:val="12"/>
              <w:widowControl w:val="0"/>
              <w:numPr>
                <w:ilvl w:val="0"/>
                <w:numId w:val="14"/>
              </w:numPr>
              <w:spacing w:before="0" w:after="120"/>
              <w:jc w:val="both"/>
              <w:rPr>
                <w:rFonts w:hint="default"/>
                <w:lang w:val="en-US" w:eastAsia="zh-CN"/>
              </w:rPr>
            </w:pPr>
            <w:r>
              <w:rPr>
                <w:rFonts w:hint="eastAsia"/>
                <w:lang w:val="en-US" w:eastAsia="zh-CN"/>
              </w:rPr>
              <w:t>电源线，1根。</w:t>
            </w:r>
          </w:p>
          <w:p w14:paraId="7EE838F8">
            <w:pPr>
              <w:pStyle w:val="12"/>
              <w:widowControl w:val="0"/>
              <w:numPr>
                <w:ilvl w:val="0"/>
                <w:numId w:val="14"/>
              </w:numPr>
              <w:spacing w:before="0" w:after="120"/>
              <w:jc w:val="both"/>
              <w:rPr>
                <w:rFonts w:hint="default"/>
                <w:lang w:val="en-US" w:eastAsia="zh-CN"/>
              </w:rPr>
            </w:pPr>
            <w:r>
              <w:rPr>
                <w:rFonts w:hint="eastAsia"/>
                <w:lang w:val="en-US" w:eastAsia="zh-CN"/>
              </w:rPr>
              <w:t>使用说明书，1本。</w:t>
            </w:r>
          </w:p>
          <w:p w14:paraId="3EA5EBD3">
            <w:pPr>
              <w:pStyle w:val="12"/>
              <w:widowControl w:val="0"/>
              <w:numPr>
                <w:ilvl w:val="0"/>
                <w:numId w:val="13"/>
              </w:numPr>
              <w:spacing w:before="0" w:after="120"/>
              <w:ind w:left="0" w:leftChars="0" w:firstLine="0" w:firstLineChars="0"/>
              <w:jc w:val="both"/>
              <w:rPr>
                <w:rFonts w:hint="eastAsia"/>
                <w:lang w:val="en-US" w:eastAsia="zh-CN"/>
              </w:rPr>
            </w:pPr>
            <w:r>
              <w:rPr>
                <w:rFonts w:hint="eastAsia"/>
                <w:lang w:val="en-US" w:eastAsia="zh-CN"/>
              </w:rPr>
              <w:t>技术参数</w:t>
            </w:r>
          </w:p>
          <w:p w14:paraId="65570683">
            <w:pPr>
              <w:pStyle w:val="12"/>
              <w:widowControl w:val="0"/>
              <w:numPr>
                <w:ilvl w:val="0"/>
                <w:numId w:val="0"/>
              </w:numPr>
              <w:spacing w:before="0" w:after="120"/>
              <w:ind w:leftChars="0"/>
              <w:jc w:val="both"/>
              <w:rPr>
                <w:rFonts w:hint="default"/>
                <w:lang w:val="en-US" w:eastAsia="zh-CN"/>
              </w:rPr>
            </w:pPr>
            <w:r>
              <w:rPr>
                <w:rFonts w:hint="default"/>
                <w:lang w:val="en-US" w:eastAsia="zh-CN"/>
              </w:rPr>
              <w:t>1</w:t>
            </w:r>
            <w:r>
              <w:rPr>
                <w:rFonts w:hint="eastAsia"/>
                <w:lang w:val="en-US" w:eastAsia="zh-CN"/>
              </w:rPr>
              <w:t>、</w:t>
            </w:r>
            <w:r>
              <w:rPr>
                <w:rFonts w:hint="default"/>
                <w:lang w:val="en-US" w:eastAsia="zh-CN"/>
              </w:rPr>
              <w:t>整机要求：</w:t>
            </w:r>
          </w:p>
          <w:p w14:paraId="6499B5B4">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1.1、模块化监护仪，主机集成内置≥2槽位插件槽，可支持IBP，CO2任意参数模块的即插即用快速扩展临床应用。</w:t>
            </w:r>
          </w:p>
          <w:p w14:paraId="2EDDE22A">
            <w:pPr>
              <w:pStyle w:val="12"/>
              <w:widowControl w:val="0"/>
              <w:numPr>
                <w:ilvl w:val="0"/>
                <w:numId w:val="0"/>
              </w:numPr>
              <w:spacing w:before="0" w:after="120"/>
              <w:ind w:leftChars="0"/>
              <w:jc w:val="both"/>
              <w:rPr>
                <w:rFonts w:hint="default"/>
                <w:lang w:val="en-US" w:eastAsia="zh-CN"/>
              </w:rPr>
            </w:pPr>
            <w:r>
              <w:rPr>
                <w:rFonts w:hint="default"/>
                <w:lang w:val="en-US" w:eastAsia="zh-CN"/>
              </w:rPr>
              <w:t xml:space="preserve">1.2、整机无风扇设计，防水等级IPX1或更高。 </w:t>
            </w:r>
          </w:p>
          <w:p w14:paraId="79F02B3E">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1.3、≥10.1英寸彩色液晶触摸屏，分辨率高达</w:t>
            </w:r>
            <w:r>
              <w:rPr>
                <w:rFonts w:hint="default"/>
                <w:highlight w:val="none"/>
                <w:lang w:val="en-US" w:eastAsia="zh-CN"/>
              </w:rPr>
              <w:t>1280</w:t>
            </w:r>
            <w:r>
              <w:rPr>
                <w:rFonts w:hint="eastAsia"/>
                <w:highlight w:val="none"/>
                <w:lang w:val="en-US" w:eastAsia="zh-CN"/>
              </w:rPr>
              <w:t>*</w:t>
            </w:r>
            <w:r>
              <w:rPr>
                <w:rFonts w:hint="default"/>
                <w:highlight w:val="none"/>
                <w:lang w:val="en-US" w:eastAsia="zh-CN"/>
              </w:rPr>
              <w:t>800像素或更高</w:t>
            </w:r>
            <w:r>
              <w:rPr>
                <w:rFonts w:hint="default"/>
                <w:lang w:val="en-US" w:eastAsia="zh-CN"/>
              </w:rPr>
              <w:t>，≥8通道波形显示。</w:t>
            </w:r>
          </w:p>
          <w:p w14:paraId="75767C6F">
            <w:pPr>
              <w:pStyle w:val="12"/>
              <w:widowControl w:val="0"/>
              <w:numPr>
                <w:ilvl w:val="0"/>
                <w:numId w:val="0"/>
              </w:numPr>
              <w:spacing w:before="0" w:after="120"/>
              <w:ind w:leftChars="0"/>
              <w:jc w:val="both"/>
              <w:rPr>
                <w:rFonts w:hint="default"/>
                <w:lang w:val="en-US" w:eastAsia="zh-CN"/>
              </w:rPr>
            </w:pPr>
            <w:r>
              <w:rPr>
                <w:rFonts w:hint="default"/>
                <w:lang w:val="en-US" w:eastAsia="zh-CN"/>
              </w:rPr>
              <w:t>1.4、屏幕采用最新电容屏非电阻屏。</w:t>
            </w:r>
          </w:p>
          <w:p w14:paraId="52B3D28B">
            <w:pPr>
              <w:pStyle w:val="12"/>
              <w:widowControl w:val="0"/>
              <w:numPr>
                <w:ilvl w:val="0"/>
                <w:numId w:val="0"/>
              </w:numPr>
              <w:spacing w:before="0" w:after="120"/>
              <w:ind w:leftChars="0"/>
              <w:jc w:val="both"/>
              <w:rPr>
                <w:rFonts w:hint="default"/>
                <w:lang w:val="en-US" w:eastAsia="zh-CN"/>
              </w:rPr>
            </w:pPr>
            <w:r>
              <w:rPr>
                <w:rFonts w:hint="default"/>
                <w:lang w:val="en-US" w:eastAsia="zh-CN"/>
              </w:rPr>
              <w:t>1.5、显示屏可支持亮度自动调节功能。</w:t>
            </w:r>
          </w:p>
          <w:p w14:paraId="6BD41760">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1.6、屏幕倾斜10~15度设计，符合人机工程学，便于临床团队观察和操作。</w:t>
            </w:r>
          </w:p>
          <w:p w14:paraId="6B82A2E9">
            <w:pPr>
              <w:pStyle w:val="12"/>
              <w:widowControl w:val="0"/>
              <w:numPr>
                <w:ilvl w:val="0"/>
                <w:numId w:val="0"/>
              </w:numPr>
              <w:spacing w:before="0" w:after="120"/>
              <w:ind w:leftChars="0"/>
              <w:jc w:val="both"/>
              <w:rPr>
                <w:rFonts w:hint="default"/>
                <w:lang w:val="en-US" w:eastAsia="zh-CN"/>
              </w:rPr>
            </w:pPr>
            <w:r>
              <w:rPr>
                <w:rFonts w:hint="default"/>
                <w:lang w:val="en-US" w:eastAsia="zh-CN"/>
              </w:rPr>
              <w:t>1.7、监测患者类型为小儿、新生儿，不含成人，所有监测参数适用于新生儿，标配新生儿专用附件。</w:t>
            </w:r>
          </w:p>
          <w:p w14:paraId="552A3C4A">
            <w:pPr>
              <w:pStyle w:val="12"/>
              <w:widowControl w:val="0"/>
              <w:numPr>
                <w:ilvl w:val="0"/>
                <w:numId w:val="0"/>
              </w:numPr>
              <w:spacing w:before="0" w:after="120"/>
              <w:ind w:leftChars="0"/>
              <w:jc w:val="both"/>
              <w:rPr>
                <w:rFonts w:hint="default"/>
                <w:lang w:val="en-US" w:eastAsia="zh-CN"/>
              </w:rPr>
            </w:pPr>
            <w:r>
              <w:rPr>
                <w:rFonts w:hint="default"/>
                <w:lang w:val="en-US" w:eastAsia="zh-CN"/>
              </w:rPr>
              <w:t>1.8、内置锂电池，插槽式设计，无需螺丝刀工具支持快速拆卸和安装。锂电池支持监护仪工作时间≥4小时。</w:t>
            </w:r>
          </w:p>
          <w:p w14:paraId="7BD461F7">
            <w:pPr>
              <w:pStyle w:val="12"/>
              <w:widowControl w:val="0"/>
              <w:numPr>
                <w:ilvl w:val="0"/>
                <w:numId w:val="0"/>
              </w:numPr>
              <w:spacing w:before="0" w:after="120"/>
              <w:ind w:leftChars="0"/>
              <w:jc w:val="both"/>
              <w:rPr>
                <w:rFonts w:hint="default"/>
                <w:lang w:val="en-US" w:eastAsia="zh-CN"/>
              </w:rPr>
            </w:pPr>
            <w:r>
              <w:rPr>
                <w:rFonts w:hint="default"/>
                <w:lang w:val="en-US" w:eastAsia="zh-CN"/>
              </w:rPr>
              <w:t>1.9、安全规格：ECG, TEMP, IBP, SpO2 , NIBP监测参数抗电击程度为防除颤CF型。</w:t>
            </w:r>
          </w:p>
          <w:p w14:paraId="5EF60641">
            <w:pPr>
              <w:pStyle w:val="12"/>
              <w:widowControl w:val="0"/>
              <w:numPr>
                <w:ilvl w:val="0"/>
                <w:numId w:val="0"/>
              </w:numPr>
              <w:spacing w:before="0" w:after="120"/>
              <w:ind w:leftChars="0"/>
              <w:jc w:val="both"/>
              <w:rPr>
                <w:rFonts w:hint="default"/>
                <w:lang w:val="en-US" w:eastAsia="zh-CN"/>
              </w:rPr>
            </w:pPr>
            <w:r>
              <w:rPr>
                <w:rFonts w:hint="default"/>
                <w:lang w:val="en-US" w:eastAsia="zh-CN"/>
              </w:rPr>
              <w:t>1.10、监护仪设计使用年限≥8年。</w:t>
            </w:r>
          </w:p>
          <w:p w14:paraId="48FCF10C">
            <w:pPr>
              <w:pStyle w:val="12"/>
              <w:widowControl w:val="0"/>
              <w:numPr>
                <w:ilvl w:val="0"/>
                <w:numId w:val="0"/>
              </w:numPr>
              <w:spacing w:before="0" w:after="120"/>
              <w:ind w:leftChars="0"/>
              <w:jc w:val="both"/>
              <w:rPr>
                <w:rFonts w:hint="default"/>
                <w:lang w:val="en-US" w:eastAsia="zh-CN"/>
              </w:rPr>
            </w:pPr>
            <w:r>
              <w:rPr>
                <w:rFonts w:hint="default"/>
                <w:lang w:val="en-US" w:eastAsia="zh-CN"/>
              </w:rPr>
              <w:t>1.11、监护仪清洁维护支持的清洁剂≥40种，在厂家手册中清晰列举清洁剂的种类。</w:t>
            </w:r>
          </w:p>
          <w:p w14:paraId="4F1A02D4">
            <w:pPr>
              <w:pStyle w:val="12"/>
              <w:widowControl w:val="0"/>
              <w:numPr>
                <w:ilvl w:val="0"/>
                <w:numId w:val="0"/>
              </w:numPr>
              <w:spacing w:before="0" w:after="120"/>
              <w:ind w:leftChars="0"/>
              <w:jc w:val="both"/>
              <w:rPr>
                <w:rFonts w:hint="default"/>
                <w:lang w:val="en-US" w:eastAsia="zh-CN"/>
              </w:rPr>
            </w:pPr>
            <w:r>
              <w:rPr>
                <w:rFonts w:hint="default"/>
                <w:lang w:val="en-US" w:eastAsia="zh-CN"/>
              </w:rPr>
              <w:t>1.12、监护仪主机工作大气压环境范围：57.0~107.4kPa。</w:t>
            </w:r>
          </w:p>
          <w:p w14:paraId="5F29C4A5">
            <w:pPr>
              <w:pStyle w:val="12"/>
              <w:widowControl w:val="0"/>
              <w:numPr>
                <w:ilvl w:val="0"/>
                <w:numId w:val="0"/>
              </w:numPr>
              <w:spacing w:before="0" w:after="120"/>
              <w:ind w:leftChars="0"/>
              <w:jc w:val="both"/>
              <w:rPr>
                <w:rFonts w:hint="default"/>
                <w:lang w:val="en-US" w:eastAsia="zh-CN"/>
              </w:rPr>
            </w:pPr>
            <w:r>
              <w:rPr>
                <w:rFonts w:hint="default"/>
                <w:lang w:val="en-US" w:eastAsia="zh-CN"/>
              </w:rPr>
              <w:t>1.13、监护仪主机工作温度环境范围：0~40°C。</w:t>
            </w:r>
          </w:p>
          <w:p w14:paraId="1B0771C3">
            <w:pPr>
              <w:pStyle w:val="12"/>
              <w:widowControl w:val="0"/>
              <w:numPr>
                <w:ilvl w:val="0"/>
                <w:numId w:val="0"/>
              </w:numPr>
              <w:spacing w:before="0" w:after="120"/>
              <w:ind w:leftChars="0"/>
              <w:jc w:val="both"/>
              <w:rPr>
                <w:rFonts w:hint="default"/>
                <w:lang w:val="en-US" w:eastAsia="zh-CN"/>
              </w:rPr>
            </w:pPr>
            <w:r>
              <w:rPr>
                <w:rFonts w:hint="default"/>
                <w:lang w:val="en-US" w:eastAsia="zh-CN"/>
              </w:rPr>
              <w:t>1.14、监护仪主机工作湿度环境范围；15~95%。</w:t>
            </w:r>
          </w:p>
          <w:p w14:paraId="28FE1CE8">
            <w:pPr>
              <w:pStyle w:val="12"/>
              <w:widowControl w:val="0"/>
              <w:numPr>
                <w:ilvl w:val="0"/>
                <w:numId w:val="0"/>
              </w:numPr>
              <w:spacing w:before="0" w:after="120"/>
              <w:ind w:leftChars="0"/>
              <w:jc w:val="both"/>
              <w:rPr>
                <w:rFonts w:hint="default"/>
                <w:lang w:val="en-US" w:eastAsia="zh-CN"/>
              </w:rPr>
            </w:pPr>
            <w:r>
              <w:rPr>
                <w:rFonts w:hint="default"/>
                <w:lang w:val="en-US" w:eastAsia="zh-CN"/>
              </w:rPr>
              <w:t>2</w:t>
            </w:r>
            <w:r>
              <w:rPr>
                <w:rFonts w:hint="eastAsia"/>
                <w:lang w:val="en-US" w:eastAsia="zh-CN"/>
              </w:rPr>
              <w:t>、</w:t>
            </w:r>
            <w:r>
              <w:rPr>
                <w:rFonts w:hint="default"/>
                <w:lang w:val="en-US" w:eastAsia="zh-CN"/>
              </w:rPr>
              <w:t>监测参数：</w:t>
            </w:r>
          </w:p>
          <w:p w14:paraId="13525381">
            <w:pPr>
              <w:pStyle w:val="12"/>
              <w:widowControl w:val="0"/>
              <w:numPr>
                <w:ilvl w:val="0"/>
                <w:numId w:val="0"/>
              </w:numPr>
              <w:spacing w:before="0" w:after="120"/>
              <w:ind w:leftChars="0"/>
              <w:jc w:val="both"/>
              <w:rPr>
                <w:rFonts w:hint="default"/>
                <w:lang w:val="en-US" w:eastAsia="zh-CN"/>
              </w:rPr>
            </w:pPr>
            <w:r>
              <w:rPr>
                <w:rFonts w:hint="default"/>
                <w:lang w:val="en-US" w:eastAsia="zh-CN"/>
              </w:rPr>
              <w:t>2.1、配置3/5导心电，呼吸，无创血压，血氧饱和度，脉搏和双通道体温参数监测。</w:t>
            </w:r>
          </w:p>
          <w:p w14:paraId="5F1CEEB2">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2.2、心电监护支持心率，ST段测量，心律失常分析，QT/QTc连续实时测量和对应报警功能，适用于新生儿。</w:t>
            </w:r>
          </w:p>
          <w:p w14:paraId="0B4E4076">
            <w:pPr>
              <w:pStyle w:val="12"/>
              <w:widowControl w:val="0"/>
              <w:numPr>
                <w:ilvl w:val="0"/>
                <w:numId w:val="0"/>
              </w:numPr>
              <w:spacing w:before="0" w:after="120"/>
              <w:ind w:leftChars="0"/>
              <w:jc w:val="both"/>
              <w:rPr>
                <w:rFonts w:hint="default"/>
                <w:lang w:val="en-US" w:eastAsia="zh-CN"/>
              </w:rPr>
            </w:pPr>
            <w:r>
              <w:rPr>
                <w:rFonts w:hint="default"/>
                <w:lang w:val="en-US" w:eastAsia="zh-CN"/>
              </w:rPr>
              <w:t>2.3、提供新生儿专用心电电缆</w:t>
            </w:r>
          </w:p>
          <w:p w14:paraId="28BCC014">
            <w:pPr>
              <w:pStyle w:val="12"/>
              <w:widowControl w:val="0"/>
              <w:numPr>
                <w:ilvl w:val="0"/>
                <w:numId w:val="0"/>
              </w:numPr>
              <w:spacing w:before="0" w:after="120"/>
              <w:ind w:leftChars="0"/>
              <w:jc w:val="both"/>
              <w:rPr>
                <w:rFonts w:hint="default"/>
                <w:lang w:val="en-US" w:eastAsia="zh-CN"/>
              </w:rPr>
            </w:pPr>
            <w:r>
              <w:rPr>
                <w:rFonts w:hint="default"/>
                <w:lang w:val="en-US" w:eastAsia="zh-CN"/>
              </w:rPr>
              <w:t>2.4、心电算法通过AHA/MIT-BIH数据库验证。</w:t>
            </w:r>
          </w:p>
          <w:p w14:paraId="75CA5183">
            <w:pPr>
              <w:pStyle w:val="12"/>
              <w:widowControl w:val="0"/>
              <w:numPr>
                <w:ilvl w:val="0"/>
                <w:numId w:val="0"/>
              </w:numPr>
              <w:spacing w:before="0" w:after="120"/>
              <w:ind w:leftChars="0"/>
              <w:jc w:val="both"/>
              <w:rPr>
                <w:rFonts w:hint="default"/>
                <w:lang w:val="en-US" w:eastAsia="zh-CN"/>
              </w:rPr>
            </w:pPr>
            <w:r>
              <w:rPr>
                <w:rFonts w:hint="default"/>
                <w:lang w:val="en-US" w:eastAsia="zh-CN"/>
              </w:rPr>
              <w:t>2.5、心电波形扫描速度支持6.25mm/s、12.5 mm/s、25 mm/s和50 mm/s。</w:t>
            </w:r>
          </w:p>
          <w:p w14:paraId="35C7BA48">
            <w:pPr>
              <w:pStyle w:val="12"/>
              <w:widowControl w:val="0"/>
              <w:numPr>
                <w:ilvl w:val="0"/>
                <w:numId w:val="0"/>
              </w:numPr>
              <w:spacing w:before="0" w:after="120"/>
              <w:ind w:leftChars="0"/>
              <w:jc w:val="both"/>
              <w:rPr>
                <w:rFonts w:hint="default"/>
                <w:lang w:val="en-US" w:eastAsia="zh-CN"/>
              </w:rPr>
            </w:pPr>
            <w:r>
              <w:rPr>
                <w:rFonts w:hint="default"/>
                <w:lang w:val="en-US" w:eastAsia="zh-CN"/>
              </w:rPr>
              <w:t>2.6、提供窗口支持心脏下壁，侧壁和前壁对应多个ST片段的同屏实时显示，提供参考片段和实时片段的对比查看。</w:t>
            </w:r>
          </w:p>
          <w:p w14:paraId="0BF2AAB6">
            <w:pPr>
              <w:pStyle w:val="12"/>
              <w:widowControl w:val="0"/>
              <w:numPr>
                <w:ilvl w:val="0"/>
                <w:numId w:val="0"/>
              </w:numPr>
              <w:spacing w:before="0" w:after="120"/>
              <w:ind w:leftChars="0"/>
              <w:jc w:val="both"/>
              <w:rPr>
                <w:rFonts w:hint="default"/>
                <w:lang w:val="en-US" w:eastAsia="zh-CN"/>
              </w:rPr>
            </w:pPr>
            <w:r>
              <w:rPr>
                <w:rFonts w:hint="default"/>
                <w:lang w:val="en-US" w:eastAsia="zh-CN"/>
              </w:rPr>
              <w:t>2.7、支持≥20种心律失常分析</w:t>
            </w:r>
            <w:r>
              <w:rPr>
                <w:rFonts w:hint="eastAsia"/>
                <w:lang w:val="en-US" w:eastAsia="zh-CN"/>
              </w:rPr>
              <w:t>，</w:t>
            </w:r>
            <w:r>
              <w:rPr>
                <w:rFonts w:hint="default"/>
                <w:lang w:val="en-US" w:eastAsia="zh-CN"/>
              </w:rPr>
              <w:t>适用于新生儿。</w:t>
            </w:r>
          </w:p>
          <w:p w14:paraId="3A8D68F0">
            <w:pPr>
              <w:pStyle w:val="12"/>
              <w:widowControl w:val="0"/>
              <w:numPr>
                <w:ilvl w:val="0"/>
                <w:numId w:val="0"/>
              </w:numPr>
              <w:spacing w:before="0" w:after="120"/>
              <w:ind w:leftChars="0"/>
              <w:jc w:val="both"/>
              <w:rPr>
                <w:rFonts w:hint="default"/>
                <w:lang w:val="en-US" w:eastAsia="zh-CN"/>
              </w:rPr>
            </w:pPr>
            <w:r>
              <w:rPr>
                <w:rFonts w:hint="default"/>
                <w:lang w:val="en-US" w:eastAsia="zh-CN"/>
              </w:rPr>
              <w:t>2.8、QT和QTc实时监测参数测量范围：200～800 ms。</w:t>
            </w:r>
          </w:p>
          <w:p w14:paraId="04255FA6">
            <w:pPr>
              <w:pStyle w:val="12"/>
              <w:widowControl w:val="0"/>
              <w:numPr>
                <w:ilvl w:val="0"/>
                <w:numId w:val="0"/>
              </w:numPr>
              <w:spacing w:before="0" w:after="120"/>
              <w:ind w:leftChars="0"/>
              <w:jc w:val="both"/>
              <w:rPr>
                <w:rFonts w:hint="default"/>
                <w:lang w:val="en-US" w:eastAsia="zh-CN"/>
              </w:rPr>
            </w:pPr>
            <w:r>
              <w:rPr>
                <w:rFonts w:hint="default"/>
                <w:lang w:val="en-US" w:eastAsia="zh-CN"/>
              </w:rPr>
              <w:t>2.9、支持升级提供过去24小时心电概览报告查看与打印，包括心率统计结果，心律失常统计结果，ST统计和QT/QTc统计结果。</w:t>
            </w:r>
          </w:p>
          <w:p w14:paraId="483B6803">
            <w:pPr>
              <w:pStyle w:val="12"/>
              <w:widowControl w:val="0"/>
              <w:numPr>
                <w:ilvl w:val="0"/>
                <w:numId w:val="0"/>
              </w:numPr>
              <w:spacing w:before="0" w:after="120"/>
              <w:ind w:leftChars="0"/>
              <w:jc w:val="both"/>
              <w:rPr>
                <w:rFonts w:hint="default"/>
                <w:lang w:val="en-US" w:eastAsia="zh-CN"/>
              </w:rPr>
            </w:pPr>
            <w:r>
              <w:rPr>
                <w:rFonts w:hint="default"/>
                <w:lang w:val="en-US" w:eastAsia="zh-CN"/>
              </w:rPr>
              <w:t>2.10、提供SpO2</w:t>
            </w:r>
            <w:r>
              <w:rPr>
                <w:rFonts w:hint="eastAsia"/>
                <w:lang w:val="en-US" w:eastAsia="zh-CN"/>
              </w:rPr>
              <w:t>，</w:t>
            </w:r>
            <w:r>
              <w:rPr>
                <w:rFonts w:hint="default"/>
                <w:lang w:val="en-US" w:eastAsia="zh-CN"/>
              </w:rPr>
              <w:t>PR和灌注指数(PI)参数的实时监测，适用于小儿和新生儿。</w:t>
            </w:r>
          </w:p>
          <w:p w14:paraId="0BEE3C49">
            <w:pPr>
              <w:pStyle w:val="12"/>
              <w:widowControl w:val="0"/>
              <w:numPr>
                <w:ilvl w:val="0"/>
                <w:numId w:val="0"/>
              </w:numPr>
              <w:spacing w:before="0" w:after="120"/>
              <w:ind w:leftChars="0"/>
              <w:jc w:val="both"/>
              <w:rPr>
                <w:rFonts w:hint="default"/>
                <w:lang w:val="en-US" w:eastAsia="zh-CN"/>
              </w:rPr>
            </w:pPr>
            <w:r>
              <w:rPr>
                <w:rFonts w:hint="default"/>
                <w:lang w:val="en-US" w:eastAsia="zh-CN"/>
              </w:rPr>
              <w:t>2.11、提供新生儿专用可重复使用血氧探头一个，防水等级IPX7。</w:t>
            </w:r>
          </w:p>
          <w:p w14:paraId="080CF89B">
            <w:pPr>
              <w:pStyle w:val="12"/>
              <w:widowControl w:val="0"/>
              <w:numPr>
                <w:ilvl w:val="0"/>
                <w:numId w:val="0"/>
              </w:numPr>
              <w:spacing w:before="0" w:after="120"/>
              <w:ind w:leftChars="0"/>
              <w:jc w:val="both"/>
              <w:rPr>
                <w:rFonts w:hint="default"/>
                <w:lang w:val="en-US" w:eastAsia="zh-CN"/>
              </w:rPr>
            </w:pPr>
            <w:r>
              <w:rPr>
                <w:rFonts w:hint="default"/>
                <w:lang w:val="en-US" w:eastAsia="zh-CN"/>
              </w:rPr>
              <w:t>2.12、配置无创血压测量，适用于小儿和新生儿。</w:t>
            </w:r>
          </w:p>
          <w:p w14:paraId="0C9826BB">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2.13、提供手动，自动，连续和序列4种测量模式，并提供24小时血压统计结果，满足临床应用。</w:t>
            </w:r>
          </w:p>
          <w:p w14:paraId="36909EA7">
            <w:pPr>
              <w:pStyle w:val="12"/>
              <w:widowControl w:val="0"/>
              <w:numPr>
                <w:ilvl w:val="0"/>
                <w:numId w:val="0"/>
              </w:numPr>
              <w:spacing w:before="0" w:after="120"/>
              <w:ind w:leftChars="0"/>
              <w:jc w:val="both"/>
              <w:rPr>
                <w:rFonts w:hint="default"/>
                <w:lang w:val="en-US" w:eastAsia="zh-CN"/>
              </w:rPr>
            </w:pPr>
            <w:r>
              <w:rPr>
                <w:rFonts w:hint="default"/>
                <w:lang w:val="en-US" w:eastAsia="zh-CN"/>
              </w:rPr>
              <w:t>2.14、无创血压小儿测量范围：收缩压25~240mmHg，舒张压10~200mmHg，平均压15~215mmHg；无创血压新生儿测量范围：收缩压25~140mmHg，舒张压10~115mmHg，平均压15~125mmHg。</w:t>
            </w:r>
          </w:p>
          <w:p w14:paraId="5CDC4EE5">
            <w:pPr>
              <w:pStyle w:val="12"/>
              <w:widowControl w:val="0"/>
              <w:numPr>
                <w:ilvl w:val="0"/>
                <w:numId w:val="0"/>
              </w:numPr>
              <w:spacing w:before="0" w:after="120"/>
              <w:ind w:leftChars="0"/>
              <w:jc w:val="both"/>
              <w:rPr>
                <w:rFonts w:hint="default"/>
                <w:lang w:val="en-US" w:eastAsia="zh-CN"/>
              </w:rPr>
            </w:pPr>
            <w:r>
              <w:rPr>
                <w:rFonts w:hint="default"/>
                <w:lang w:val="en-US" w:eastAsia="zh-CN"/>
              </w:rPr>
              <w:t>2.15、提供新生儿专用血压测量袖带一套，包括≥3个尺寸不同的袖带，满足不同新生儿臂围的监测</w:t>
            </w:r>
          </w:p>
          <w:p w14:paraId="4A3353D5">
            <w:pPr>
              <w:pStyle w:val="12"/>
              <w:widowControl w:val="0"/>
              <w:numPr>
                <w:ilvl w:val="0"/>
                <w:numId w:val="0"/>
              </w:numPr>
              <w:spacing w:before="0" w:after="120"/>
              <w:ind w:leftChars="0"/>
              <w:jc w:val="both"/>
              <w:rPr>
                <w:rFonts w:hint="default"/>
                <w:lang w:val="en-US" w:eastAsia="zh-CN"/>
              </w:rPr>
            </w:pPr>
            <w:r>
              <w:rPr>
                <w:rFonts w:hint="default"/>
                <w:lang w:val="en-US" w:eastAsia="zh-CN"/>
              </w:rPr>
              <w:t>2.16、提供双通道体温和温差参数的监测, 并可根据需要更改体温通道标名。</w:t>
            </w:r>
          </w:p>
          <w:p w14:paraId="760AF0CD">
            <w:pPr>
              <w:pStyle w:val="12"/>
              <w:widowControl w:val="0"/>
              <w:numPr>
                <w:ilvl w:val="0"/>
                <w:numId w:val="0"/>
              </w:numPr>
              <w:spacing w:before="0" w:after="120"/>
              <w:ind w:leftChars="0"/>
              <w:jc w:val="both"/>
              <w:rPr>
                <w:rFonts w:hint="default"/>
                <w:lang w:val="en-US" w:eastAsia="zh-CN"/>
              </w:rPr>
            </w:pPr>
            <w:r>
              <w:rPr>
                <w:rFonts w:hint="default"/>
                <w:lang w:val="en-US" w:eastAsia="zh-CN"/>
              </w:rPr>
              <w:t xml:space="preserve"> 2.17、支持升级多达4通道有创压监测，适用于小儿和新生儿。</w:t>
            </w:r>
          </w:p>
          <w:p w14:paraId="55DD10A7">
            <w:pPr>
              <w:pStyle w:val="12"/>
              <w:widowControl w:val="0"/>
              <w:numPr>
                <w:ilvl w:val="0"/>
                <w:numId w:val="0"/>
              </w:numPr>
              <w:spacing w:before="0" w:after="120"/>
              <w:ind w:leftChars="0"/>
              <w:jc w:val="both"/>
              <w:rPr>
                <w:rFonts w:hint="default"/>
                <w:lang w:val="en-US" w:eastAsia="zh-CN"/>
              </w:rPr>
            </w:pPr>
            <w:r>
              <w:rPr>
                <w:rFonts w:hint="default"/>
                <w:lang w:val="en-US" w:eastAsia="zh-CN"/>
              </w:rPr>
              <w:t>2.18、可升级CO2模块，即插即用，支持新生儿呼末CO2监测，采用微流技术，采样速率50ml/min</w:t>
            </w:r>
          </w:p>
          <w:p w14:paraId="25946090">
            <w:pPr>
              <w:pStyle w:val="12"/>
              <w:widowControl w:val="0"/>
              <w:numPr>
                <w:ilvl w:val="0"/>
                <w:numId w:val="0"/>
              </w:numPr>
              <w:spacing w:before="0" w:after="120"/>
              <w:ind w:leftChars="0"/>
              <w:jc w:val="both"/>
              <w:rPr>
                <w:rFonts w:hint="default"/>
                <w:lang w:val="en-US" w:eastAsia="zh-CN"/>
              </w:rPr>
            </w:pPr>
            <w:r>
              <w:rPr>
                <w:rFonts w:hint="default"/>
                <w:lang w:val="en-US" w:eastAsia="zh-CN"/>
              </w:rPr>
              <w:t xml:space="preserve"> 2.19、可升级12导联心电监测，支持小儿、新生儿监测。</w:t>
            </w:r>
          </w:p>
          <w:p w14:paraId="0EAF9F5D">
            <w:pPr>
              <w:pStyle w:val="12"/>
              <w:widowControl w:val="0"/>
              <w:numPr>
                <w:ilvl w:val="0"/>
                <w:numId w:val="0"/>
              </w:numPr>
              <w:spacing w:before="0" w:after="120"/>
              <w:ind w:leftChars="0"/>
              <w:jc w:val="both"/>
              <w:rPr>
                <w:rFonts w:hint="default"/>
                <w:lang w:val="en-US" w:eastAsia="zh-CN"/>
              </w:rPr>
            </w:pPr>
            <w:r>
              <w:rPr>
                <w:rFonts w:hint="default"/>
                <w:lang w:val="en-US" w:eastAsia="zh-CN"/>
              </w:rPr>
              <w:t>3</w:t>
            </w:r>
            <w:r>
              <w:rPr>
                <w:rFonts w:hint="eastAsia"/>
                <w:lang w:val="en-US" w:eastAsia="zh-CN"/>
              </w:rPr>
              <w:t>、</w:t>
            </w:r>
            <w:r>
              <w:rPr>
                <w:rFonts w:hint="default"/>
                <w:lang w:val="en-US" w:eastAsia="zh-CN"/>
              </w:rPr>
              <w:t>系统功能：</w:t>
            </w:r>
          </w:p>
          <w:p w14:paraId="6F5D1964">
            <w:pPr>
              <w:pStyle w:val="12"/>
              <w:widowControl w:val="0"/>
              <w:numPr>
                <w:ilvl w:val="0"/>
                <w:numId w:val="0"/>
              </w:numPr>
              <w:spacing w:before="0" w:after="120"/>
              <w:ind w:leftChars="0"/>
              <w:jc w:val="both"/>
              <w:rPr>
                <w:rFonts w:hint="default"/>
                <w:lang w:val="en-US" w:eastAsia="zh-CN"/>
              </w:rPr>
            </w:pPr>
            <w:r>
              <w:rPr>
                <w:rFonts w:hint="default"/>
                <w:lang w:val="en-US" w:eastAsia="zh-CN"/>
              </w:rPr>
              <w:t xml:space="preserve"> 3.1、支持所有监测参数报警限一键自动设置功能，满足医护团队快速管理患者报警需求，产品用户手册提供报警限自动设置规则。</w:t>
            </w:r>
          </w:p>
          <w:p w14:paraId="4EB62A23">
            <w:pPr>
              <w:pStyle w:val="12"/>
              <w:widowControl w:val="0"/>
              <w:numPr>
                <w:ilvl w:val="0"/>
                <w:numId w:val="0"/>
              </w:numPr>
              <w:spacing w:before="0" w:after="120"/>
              <w:ind w:leftChars="0"/>
              <w:jc w:val="both"/>
              <w:rPr>
                <w:rFonts w:hint="default"/>
                <w:lang w:val="en-US" w:eastAsia="zh-CN"/>
              </w:rPr>
            </w:pPr>
            <w:r>
              <w:rPr>
                <w:rFonts w:hint="default"/>
                <w:lang w:val="en-US" w:eastAsia="zh-CN"/>
              </w:rPr>
              <w:t>提供多种新生儿监护界面，包括呼吸氧合、大字体、单血氧界面。</w:t>
            </w:r>
          </w:p>
          <w:p w14:paraId="51B4BB7B">
            <w:pPr>
              <w:pStyle w:val="12"/>
              <w:widowControl w:val="0"/>
              <w:numPr>
                <w:ilvl w:val="0"/>
                <w:numId w:val="0"/>
              </w:numPr>
              <w:spacing w:before="0" w:after="120"/>
              <w:ind w:leftChars="0"/>
              <w:jc w:val="both"/>
              <w:rPr>
                <w:rFonts w:hint="default"/>
                <w:lang w:val="en-US" w:eastAsia="zh-CN"/>
              </w:rPr>
            </w:pPr>
            <w:r>
              <w:rPr>
                <w:rFonts w:hint="default"/>
                <w:lang w:val="en-US" w:eastAsia="zh-CN"/>
              </w:rPr>
              <w:t xml:space="preserve"> 3.3、提供单血氧大参数界面，界面显示SpO2，PR,PI和多组SpO2监测值列表相关参数</w:t>
            </w:r>
          </w:p>
          <w:p w14:paraId="5F3E6BCD">
            <w:pPr>
              <w:pStyle w:val="12"/>
              <w:widowControl w:val="0"/>
              <w:numPr>
                <w:ilvl w:val="0"/>
                <w:numId w:val="0"/>
              </w:numPr>
              <w:spacing w:before="0" w:after="120"/>
              <w:ind w:leftChars="0"/>
              <w:jc w:val="both"/>
              <w:rPr>
                <w:rFonts w:hint="default"/>
                <w:lang w:val="en-US" w:eastAsia="zh-CN"/>
              </w:rPr>
            </w:pPr>
            <w:r>
              <w:rPr>
                <w:rFonts w:hint="default"/>
                <w:lang w:val="en-US" w:eastAsia="zh-CN"/>
              </w:rPr>
              <w:t xml:space="preserve"> 3.4、提供CCHD筛查工具，支持新生儿先天性心脏病通过患者血氧进行筛查</w:t>
            </w:r>
          </w:p>
          <w:p w14:paraId="3F18DF2D">
            <w:pPr>
              <w:pStyle w:val="12"/>
              <w:widowControl w:val="0"/>
              <w:numPr>
                <w:ilvl w:val="0"/>
                <w:numId w:val="0"/>
              </w:numPr>
              <w:spacing w:before="0" w:after="120"/>
              <w:ind w:leftChars="0"/>
              <w:jc w:val="both"/>
              <w:rPr>
                <w:rFonts w:hint="default"/>
                <w:lang w:val="en-US" w:eastAsia="zh-CN"/>
              </w:rPr>
            </w:pPr>
            <w:r>
              <w:rPr>
                <w:rFonts w:hint="default"/>
                <w:lang w:val="en-US" w:eastAsia="zh-CN"/>
              </w:rPr>
              <w:t xml:space="preserve"> 3.5、提供新生儿呼吸氧合专用界面，实时识别和标记ABD事件，协助临床对于新生儿的呼吸暂停的监测和管理</w:t>
            </w:r>
          </w:p>
          <w:p w14:paraId="0A67D0C9">
            <w:pPr>
              <w:pStyle w:val="12"/>
              <w:widowControl w:val="0"/>
              <w:numPr>
                <w:ilvl w:val="0"/>
                <w:numId w:val="0"/>
              </w:numPr>
              <w:spacing w:before="0" w:after="120"/>
              <w:ind w:leftChars="0"/>
              <w:jc w:val="both"/>
              <w:rPr>
                <w:rFonts w:hint="default"/>
                <w:lang w:val="en-US" w:eastAsia="zh-CN"/>
              </w:rPr>
            </w:pPr>
            <w:r>
              <w:rPr>
                <w:rFonts w:hint="default"/>
                <w:lang w:val="en-US" w:eastAsia="zh-CN"/>
              </w:rPr>
              <w:t xml:space="preserve"> 3.6、大字体界面支持6个参数区的设置和显示</w:t>
            </w:r>
          </w:p>
          <w:p w14:paraId="523F4E17">
            <w:pPr>
              <w:pStyle w:val="12"/>
              <w:widowControl w:val="0"/>
              <w:numPr>
                <w:ilvl w:val="0"/>
                <w:numId w:val="0"/>
              </w:numPr>
              <w:spacing w:before="0" w:after="120"/>
              <w:ind w:leftChars="0"/>
              <w:jc w:val="both"/>
              <w:rPr>
                <w:rFonts w:hint="default"/>
                <w:lang w:val="en-US" w:eastAsia="zh-CN"/>
              </w:rPr>
            </w:pPr>
            <w:r>
              <w:rPr>
                <w:rFonts w:hint="default"/>
                <w:lang w:val="en-US" w:eastAsia="zh-CN"/>
              </w:rPr>
              <w:t>3.7、支持肾功能计算功能。</w:t>
            </w:r>
          </w:p>
          <w:p w14:paraId="0630073A">
            <w:pPr>
              <w:pStyle w:val="12"/>
              <w:widowControl w:val="0"/>
              <w:numPr>
                <w:ilvl w:val="0"/>
                <w:numId w:val="0"/>
              </w:numPr>
              <w:spacing w:before="0" w:after="120"/>
              <w:ind w:leftChars="0"/>
              <w:jc w:val="both"/>
              <w:rPr>
                <w:rFonts w:hint="default"/>
                <w:lang w:val="en-US" w:eastAsia="zh-CN"/>
              </w:rPr>
            </w:pPr>
            <w:r>
              <w:rPr>
                <w:rFonts w:hint="default"/>
                <w:lang w:val="en-US" w:eastAsia="zh-CN"/>
              </w:rPr>
              <w:t>3.8、具有图形化技术报警指示功能，帮助医护团队快速识别报警来源。</w:t>
            </w:r>
          </w:p>
          <w:p w14:paraId="1E9767B0">
            <w:pPr>
              <w:pStyle w:val="12"/>
              <w:widowControl w:val="0"/>
              <w:numPr>
                <w:ilvl w:val="0"/>
                <w:numId w:val="0"/>
              </w:numPr>
              <w:spacing w:before="0" w:after="120"/>
              <w:ind w:leftChars="0"/>
              <w:jc w:val="both"/>
              <w:rPr>
                <w:rFonts w:hint="default"/>
                <w:lang w:val="en-US" w:eastAsia="zh-CN"/>
              </w:rPr>
            </w:pPr>
            <w:r>
              <w:rPr>
                <w:rFonts w:hint="default"/>
                <w:lang w:val="en-US" w:eastAsia="zh-CN"/>
              </w:rPr>
              <w:t>3.9、支持≥120小时趋势图和趋势表回顾，支持选择不同趋势组回顾</w:t>
            </w:r>
          </w:p>
          <w:p w14:paraId="38A34DD8">
            <w:pPr>
              <w:pStyle w:val="12"/>
              <w:widowControl w:val="0"/>
              <w:numPr>
                <w:ilvl w:val="0"/>
                <w:numId w:val="0"/>
              </w:numPr>
              <w:spacing w:before="0" w:after="120"/>
              <w:ind w:leftChars="0"/>
              <w:jc w:val="both"/>
              <w:rPr>
                <w:rFonts w:hint="default"/>
                <w:lang w:val="en-US" w:eastAsia="zh-CN"/>
              </w:rPr>
            </w:pPr>
            <w:r>
              <w:rPr>
                <w:rFonts w:hint="default"/>
                <w:lang w:val="en-US" w:eastAsia="zh-CN"/>
              </w:rPr>
              <w:t>3.10、≥1000条事件回顾。每条报警事件至少能够存储32秒三道相关波形，以及报警触发时所有测量参数值</w:t>
            </w:r>
          </w:p>
          <w:p w14:paraId="66303777">
            <w:pPr>
              <w:pStyle w:val="12"/>
              <w:widowControl w:val="0"/>
              <w:numPr>
                <w:ilvl w:val="0"/>
                <w:numId w:val="0"/>
              </w:numPr>
              <w:spacing w:before="0" w:after="120"/>
              <w:ind w:leftChars="0"/>
              <w:jc w:val="both"/>
              <w:rPr>
                <w:rFonts w:hint="default"/>
                <w:lang w:val="en-US" w:eastAsia="zh-CN"/>
              </w:rPr>
            </w:pPr>
            <w:r>
              <w:rPr>
                <w:rFonts w:hint="default"/>
                <w:lang w:val="en-US" w:eastAsia="zh-CN"/>
              </w:rPr>
              <w:t>3.11、≥1000组NIBP测量结果</w:t>
            </w:r>
          </w:p>
          <w:p w14:paraId="1CA377EA">
            <w:pPr>
              <w:pStyle w:val="12"/>
              <w:widowControl w:val="0"/>
              <w:numPr>
                <w:ilvl w:val="0"/>
                <w:numId w:val="0"/>
              </w:numPr>
              <w:spacing w:before="0" w:after="120"/>
              <w:ind w:leftChars="0"/>
              <w:jc w:val="both"/>
              <w:rPr>
                <w:rFonts w:hint="default"/>
                <w:lang w:val="en-US" w:eastAsia="zh-CN"/>
              </w:rPr>
            </w:pPr>
            <w:r>
              <w:rPr>
                <w:rFonts w:hint="default"/>
                <w:lang w:val="en-US" w:eastAsia="zh-CN"/>
              </w:rPr>
              <w:t>3.12、≥120小时（分辨率1分钟）ST模板存储与回顾</w:t>
            </w:r>
          </w:p>
          <w:p w14:paraId="4F15F7C1">
            <w:pPr>
              <w:pStyle w:val="12"/>
              <w:widowControl w:val="0"/>
              <w:numPr>
                <w:ilvl w:val="0"/>
                <w:numId w:val="0"/>
              </w:numPr>
              <w:spacing w:before="0" w:after="120"/>
              <w:ind w:leftChars="0"/>
              <w:jc w:val="both"/>
              <w:rPr>
                <w:rFonts w:hint="default"/>
                <w:lang w:val="en-US" w:eastAsia="zh-CN"/>
              </w:rPr>
            </w:pPr>
            <w:r>
              <w:rPr>
                <w:rFonts w:hint="default"/>
                <w:lang w:val="en-US" w:eastAsia="zh-CN"/>
              </w:rPr>
              <w:t>3.13、支持48小时全息波形的存储与回顾功能</w:t>
            </w:r>
          </w:p>
          <w:p w14:paraId="1F5F73E3">
            <w:pPr>
              <w:pStyle w:val="12"/>
              <w:widowControl w:val="0"/>
              <w:numPr>
                <w:ilvl w:val="0"/>
                <w:numId w:val="0"/>
              </w:numPr>
              <w:spacing w:before="0" w:after="120"/>
              <w:ind w:leftChars="0"/>
              <w:jc w:val="both"/>
              <w:rPr>
                <w:rFonts w:hint="default"/>
                <w:lang w:val="en-US" w:eastAsia="zh-CN"/>
              </w:rPr>
            </w:pPr>
            <w:r>
              <w:rPr>
                <w:rFonts w:hint="default"/>
                <w:lang w:val="en-US" w:eastAsia="zh-CN"/>
              </w:rPr>
              <w:t>3.14、支持监护仪历史病人数据的存储和回顾，并支持通过USB接口将历史病人数据导出到U盘。</w:t>
            </w:r>
          </w:p>
          <w:p w14:paraId="2621DF85">
            <w:pPr>
              <w:pStyle w:val="12"/>
              <w:widowControl w:val="0"/>
              <w:numPr>
                <w:ilvl w:val="0"/>
                <w:numId w:val="0"/>
              </w:numPr>
              <w:spacing w:before="0" w:after="120"/>
              <w:ind w:leftChars="0"/>
              <w:jc w:val="both"/>
              <w:rPr>
                <w:rFonts w:hint="default"/>
                <w:lang w:val="en-US" w:eastAsia="zh-CN"/>
              </w:rPr>
            </w:pPr>
            <w:r>
              <w:rPr>
                <w:rFonts w:hint="default"/>
                <w:lang w:val="en-US" w:eastAsia="zh-CN"/>
              </w:rPr>
              <w:t>3.15、支持RJ45接口进行有线网络通信，和除颤监护仪一起联网通信到中心监护系统。</w:t>
            </w:r>
          </w:p>
          <w:p w14:paraId="22E304C3">
            <w:pPr>
              <w:pStyle w:val="12"/>
              <w:widowControl w:val="0"/>
              <w:numPr>
                <w:ilvl w:val="0"/>
                <w:numId w:val="0"/>
              </w:numPr>
              <w:spacing w:before="0" w:after="120"/>
              <w:ind w:leftChars="0"/>
              <w:jc w:val="both"/>
              <w:rPr>
                <w:rFonts w:hint="default"/>
                <w:lang w:val="en-US" w:eastAsia="zh-CN"/>
              </w:rPr>
            </w:pPr>
            <w:r>
              <w:rPr>
                <w:rFonts w:hint="default"/>
                <w:lang w:val="en-US" w:eastAsia="zh-CN"/>
              </w:rPr>
              <w:t>3.16、支持监护仪进入夜间模式，隐私模式，演示模式和待机模式。</w:t>
            </w:r>
          </w:p>
          <w:p w14:paraId="331E0310">
            <w:pPr>
              <w:pStyle w:val="12"/>
              <w:widowControl w:val="0"/>
              <w:numPr>
                <w:ilvl w:val="0"/>
                <w:numId w:val="0"/>
              </w:numPr>
              <w:spacing w:before="0" w:after="120"/>
              <w:ind w:leftChars="0"/>
              <w:jc w:val="both"/>
              <w:rPr>
                <w:rFonts w:hint="default"/>
                <w:lang w:val="en-US" w:eastAsia="zh-CN"/>
              </w:rPr>
            </w:pPr>
            <w:r>
              <w:rPr>
                <w:rFonts w:hint="default"/>
                <w:lang w:val="en-US" w:eastAsia="zh-CN"/>
              </w:rPr>
              <w:t>3.17、提供心肌缺血评估工具，可以快速查看ST值的变化。</w:t>
            </w:r>
          </w:p>
          <w:p w14:paraId="408BC38A">
            <w:pPr>
              <w:pStyle w:val="12"/>
              <w:widowControl w:val="0"/>
              <w:numPr>
                <w:ilvl w:val="0"/>
                <w:numId w:val="0"/>
              </w:numPr>
              <w:spacing w:before="0" w:after="120"/>
              <w:ind w:leftChars="0"/>
              <w:jc w:val="both"/>
              <w:rPr>
                <w:rFonts w:hint="default"/>
                <w:lang w:val="en-US" w:eastAsia="zh-CN"/>
              </w:rPr>
            </w:pPr>
            <w:r>
              <w:rPr>
                <w:rFonts w:hint="default"/>
                <w:lang w:val="en-US" w:eastAsia="zh-CN"/>
              </w:rPr>
              <w:t>3.18、提供计时器功能，界面区提供设置≥4个计时器，每个计时器支持独立设置和计时功能，计时方向包括正计时和倒计时两种选择。</w:t>
            </w:r>
          </w:p>
          <w:p w14:paraId="294BC0C7">
            <w:pPr>
              <w:pStyle w:val="12"/>
              <w:widowControl w:val="0"/>
              <w:numPr>
                <w:ilvl w:val="0"/>
                <w:numId w:val="0"/>
              </w:numPr>
              <w:spacing w:before="0" w:after="120"/>
              <w:ind w:leftChars="0"/>
              <w:jc w:val="both"/>
              <w:rPr>
                <w:rFonts w:hint="default"/>
                <w:lang w:val="en-US" w:eastAsia="zh-CN"/>
              </w:rPr>
            </w:pPr>
            <w:r>
              <w:rPr>
                <w:rFonts w:hint="default"/>
                <w:lang w:val="en-US" w:eastAsia="zh-CN"/>
              </w:rPr>
              <w:t>3.19、支持格拉斯哥昏迷评分（GCS）功能。</w:t>
            </w:r>
          </w:p>
          <w:p w14:paraId="7388439C">
            <w:pPr>
              <w:pStyle w:val="12"/>
              <w:widowControl w:val="0"/>
              <w:numPr>
                <w:ilvl w:val="0"/>
                <w:numId w:val="0"/>
              </w:numPr>
              <w:spacing w:before="0" w:after="120"/>
              <w:ind w:leftChars="0"/>
              <w:jc w:val="both"/>
              <w:rPr>
                <w:rFonts w:hint="default"/>
                <w:lang w:val="en-US" w:eastAsia="zh-CN"/>
              </w:rPr>
            </w:pPr>
            <w:r>
              <w:rPr>
                <w:rFonts w:hint="default"/>
                <w:lang w:val="en-US" w:eastAsia="zh-CN"/>
              </w:rPr>
              <w:t>3.20、动态趋势界面可支持统计1-24小时心律失常报警、参数超限报警信息，并对超限报警区间的波形进行高亮显示，帮助医护人员快速识别异常趋势信息。</w:t>
            </w:r>
          </w:p>
          <w:p w14:paraId="1073B47E">
            <w:pPr>
              <w:pStyle w:val="12"/>
              <w:widowControl w:val="0"/>
              <w:numPr>
                <w:ilvl w:val="0"/>
                <w:numId w:val="0"/>
              </w:numPr>
              <w:spacing w:before="0" w:after="120"/>
              <w:ind w:leftChars="0"/>
              <w:jc w:val="both"/>
              <w:rPr>
                <w:rFonts w:hint="default"/>
                <w:lang w:val="en-US" w:eastAsia="zh-CN"/>
              </w:rPr>
            </w:pPr>
            <w:r>
              <w:rPr>
                <w:rFonts w:hint="default"/>
                <w:lang w:val="en-US" w:eastAsia="zh-CN"/>
              </w:rPr>
              <w:t>3.21、提供屏幕截图功能，将屏幕截图通过USB接口导出到U盘。</w:t>
            </w:r>
          </w:p>
          <w:p w14:paraId="2269B90F">
            <w:pPr>
              <w:pStyle w:val="12"/>
              <w:widowControl w:val="0"/>
              <w:numPr>
                <w:ilvl w:val="0"/>
                <w:numId w:val="0"/>
              </w:numPr>
              <w:spacing w:before="0" w:after="120"/>
              <w:ind w:leftChars="0"/>
              <w:jc w:val="both"/>
              <w:rPr>
                <w:rFonts w:hint="eastAsia"/>
                <w:b/>
                <w:bCs/>
                <w:lang w:val="en-US" w:eastAsia="zh-CN"/>
              </w:rPr>
            </w:pPr>
            <w:r>
              <w:rPr>
                <w:rFonts w:hint="eastAsia"/>
                <w:b/>
                <w:bCs/>
                <w:lang w:val="en-US" w:eastAsia="zh-CN"/>
              </w:rPr>
              <w:t>三、输液泵</w:t>
            </w:r>
          </w:p>
          <w:p w14:paraId="6AA8B951">
            <w:pPr>
              <w:pStyle w:val="12"/>
              <w:widowControl w:val="0"/>
              <w:numPr>
                <w:ilvl w:val="0"/>
                <w:numId w:val="0"/>
              </w:numPr>
              <w:spacing w:before="0" w:after="120"/>
              <w:ind w:leftChars="0"/>
              <w:jc w:val="both"/>
              <w:rPr>
                <w:rFonts w:hint="eastAsia"/>
                <w:lang w:val="en-US" w:eastAsia="zh-CN"/>
              </w:rPr>
            </w:pPr>
            <w:r>
              <w:rPr>
                <w:rFonts w:hint="eastAsia"/>
                <w:lang w:val="en-US" w:eastAsia="zh-CN"/>
              </w:rPr>
              <w:t>（一）配置清单</w:t>
            </w:r>
          </w:p>
          <w:p w14:paraId="21096548">
            <w:pPr>
              <w:pStyle w:val="12"/>
              <w:widowControl w:val="0"/>
              <w:numPr>
                <w:ilvl w:val="0"/>
                <w:numId w:val="0"/>
              </w:numPr>
              <w:spacing w:before="0" w:after="120"/>
              <w:ind w:leftChars="0"/>
              <w:jc w:val="both"/>
              <w:rPr>
                <w:rFonts w:hint="eastAsia"/>
                <w:lang w:val="en-US" w:eastAsia="zh-CN"/>
              </w:rPr>
            </w:pPr>
            <w:r>
              <w:rPr>
                <w:rFonts w:hint="eastAsia"/>
                <w:lang w:val="en-US" w:eastAsia="zh-CN"/>
              </w:rPr>
              <w:t>1、输液泵主机，1台。</w:t>
            </w:r>
          </w:p>
          <w:p w14:paraId="49A9FD75">
            <w:pPr>
              <w:pStyle w:val="12"/>
              <w:widowControl w:val="0"/>
              <w:numPr>
                <w:ilvl w:val="0"/>
                <w:numId w:val="0"/>
              </w:numPr>
              <w:spacing w:before="0" w:after="120"/>
              <w:ind w:leftChars="0"/>
              <w:jc w:val="both"/>
              <w:rPr>
                <w:rFonts w:hint="eastAsia"/>
                <w:lang w:val="en-US" w:eastAsia="zh-CN"/>
              </w:rPr>
            </w:pPr>
            <w:r>
              <w:rPr>
                <w:rFonts w:hint="eastAsia"/>
                <w:lang w:val="en-US" w:eastAsia="zh-CN"/>
              </w:rPr>
              <w:t>2、输液泵标准紧固夹，1份。</w:t>
            </w:r>
          </w:p>
          <w:p w14:paraId="67536542">
            <w:pPr>
              <w:pStyle w:val="12"/>
              <w:widowControl w:val="0"/>
              <w:numPr>
                <w:ilvl w:val="0"/>
                <w:numId w:val="0"/>
              </w:numPr>
              <w:spacing w:before="0" w:after="120"/>
              <w:ind w:leftChars="0"/>
              <w:jc w:val="both"/>
              <w:rPr>
                <w:rFonts w:hint="eastAsia"/>
                <w:lang w:val="en-US" w:eastAsia="zh-CN"/>
              </w:rPr>
            </w:pPr>
            <w:r>
              <w:rPr>
                <w:rFonts w:hint="eastAsia"/>
                <w:lang w:val="en-US" w:eastAsia="zh-CN"/>
              </w:rPr>
              <w:t>3、电源线，1份。</w:t>
            </w:r>
          </w:p>
          <w:p w14:paraId="1BC5D049">
            <w:pPr>
              <w:pStyle w:val="12"/>
              <w:widowControl w:val="0"/>
              <w:numPr>
                <w:ilvl w:val="0"/>
                <w:numId w:val="0"/>
              </w:numPr>
              <w:spacing w:before="0" w:after="120"/>
              <w:ind w:leftChars="0"/>
              <w:jc w:val="both"/>
              <w:rPr>
                <w:rFonts w:hint="eastAsia"/>
                <w:lang w:val="en-US" w:eastAsia="zh-CN"/>
              </w:rPr>
            </w:pPr>
            <w:r>
              <w:rPr>
                <w:rFonts w:hint="eastAsia"/>
                <w:lang w:val="en-US" w:eastAsia="zh-CN"/>
              </w:rPr>
              <w:t>4、使用说明书，1套。</w:t>
            </w:r>
          </w:p>
          <w:p w14:paraId="21C2CBDE">
            <w:pPr>
              <w:pStyle w:val="12"/>
              <w:widowControl w:val="0"/>
              <w:numPr>
                <w:ilvl w:val="0"/>
                <w:numId w:val="0"/>
              </w:numPr>
              <w:spacing w:before="0" w:after="120"/>
              <w:ind w:leftChars="0"/>
              <w:jc w:val="both"/>
              <w:rPr>
                <w:rFonts w:hint="eastAsia"/>
                <w:lang w:val="en-US" w:eastAsia="zh-CN"/>
              </w:rPr>
            </w:pPr>
            <w:r>
              <w:rPr>
                <w:rFonts w:hint="eastAsia"/>
                <w:lang w:val="en-US" w:eastAsia="zh-CN"/>
              </w:rPr>
              <w:t>（二）技术参数</w:t>
            </w:r>
          </w:p>
          <w:p w14:paraId="3D25E7B4">
            <w:pPr>
              <w:pStyle w:val="12"/>
              <w:widowControl w:val="0"/>
              <w:numPr>
                <w:ilvl w:val="0"/>
                <w:numId w:val="0"/>
              </w:numPr>
              <w:spacing w:before="0" w:after="120"/>
              <w:ind w:leftChars="0"/>
              <w:jc w:val="both"/>
              <w:rPr>
                <w:rFonts w:hint="default"/>
                <w:lang w:val="en-US" w:eastAsia="zh-CN"/>
              </w:rPr>
            </w:pPr>
            <w:r>
              <w:rPr>
                <w:rFonts w:hint="default"/>
                <w:lang w:val="en-US" w:eastAsia="zh-CN"/>
              </w:rPr>
              <w:t>1</w:t>
            </w:r>
            <w:r>
              <w:rPr>
                <w:rFonts w:hint="eastAsia"/>
                <w:lang w:val="en-US" w:eastAsia="zh-CN"/>
              </w:rPr>
              <w:t>、</w:t>
            </w:r>
            <w:r>
              <w:rPr>
                <w:rFonts w:hint="default"/>
                <w:lang w:val="en-US" w:eastAsia="zh-CN"/>
              </w:rPr>
              <w:t>整机设计使用年限≥10年</w:t>
            </w:r>
            <w:r>
              <w:rPr>
                <w:rFonts w:hint="eastAsia"/>
                <w:lang w:val="en-US" w:eastAsia="zh-CN"/>
              </w:rPr>
              <w:t>。</w:t>
            </w:r>
          </w:p>
          <w:p w14:paraId="2C30B047">
            <w:pPr>
              <w:pStyle w:val="12"/>
              <w:widowControl w:val="0"/>
              <w:numPr>
                <w:ilvl w:val="0"/>
                <w:numId w:val="0"/>
              </w:numPr>
              <w:spacing w:before="0" w:after="120"/>
              <w:ind w:leftChars="0"/>
              <w:jc w:val="both"/>
              <w:rPr>
                <w:rFonts w:hint="default"/>
                <w:lang w:val="en-US" w:eastAsia="zh-CN"/>
              </w:rPr>
            </w:pPr>
            <w:r>
              <w:rPr>
                <w:rFonts w:hint="default"/>
                <w:lang w:val="en-US" w:eastAsia="zh-CN"/>
              </w:rPr>
              <w:t>2</w:t>
            </w:r>
            <w:r>
              <w:rPr>
                <w:rFonts w:hint="eastAsia"/>
                <w:lang w:val="en-US" w:eastAsia="zh-CN"/>
              </w:rPr>
              <w:t>、</w:t>
            </w:r>
            <w:r>
              <w:rPr>
                <w:rFonts w:hint="default"/>
                <w:lang w:val="en-US" w:eastAsia="zh-CN"/>
              </w:rPr>
              <w:t>支持输血功能，并提供证明文件</w:t>
            </w:r>
            <w:r>
              <w:rPr>
                <w:rFonts w:hint="eastAsia"/>
                <w:lang w:val="en-US" w:eastAsia="zh-CN"/>
              </w:rPr>
              <w:t>。</w:t>
            </w:r>
          </w:p>
          <w:p w14:paraId="27D7E245">
            <w:pPr>
              <w:pStyle w:val="12"/>
              <w:widowControl w:val="0"/>
              <w:numPr>
                <w:ilvl w:val="0"/>
                <w:numId w:val="0"/>
              </w:numPr>
              <w:spacing w:before="0" w:after="120"/>
              <w:ind w:leftChars="0"/>
              <w:jc w:val="both"/>
              <w:rPr>
                <w:rFonts w:hint="default"/>
                <w:lang w:val="en-US" w:eastAsia="zh-CN"/>
              </w:rPr>
            </w:pPr>
            <w:r>
              <w:rPr>
                <w:rFonts w:hint="default"/>
                <w:lang w:val="en-US" w:eastAsia="zh-CN"/>
              </w:rPr>
              <w:t>3</w:t>
            </w:r>
            <w:r>
              <w:rPr>
                <w:rFonts w:hint="eastAsia"/>
                <w:lang w:val="en-US" w:eastAsia="zh-CN"/>
              </w:rPr>
              <w:t>、</w:t>
            </w:r>
            <w:r>
              <w:rPr>
                <w:rFonts w:hint="default"/>
                <w:lang w:val="en-US" w:eastAsia="zh-CN"/>
              </w:rPr>
              <w:t>支持临床常用输血管路，无需专用输血管路</w:t>
            </w:r>
            <w:r>
              <w:rPr>
                <w:rFonts w:hint="eastAsia"/>
                <w:lang w:val="en-US" w:eastAsia="zh-CN"/>
              </w:rPr>
              <w:t>。</w:t>
            </w:r>
          </w:p>
          <w:p w14:paraId="02D52558">
            <w:pPr>
              <w:pStyle w:val="12"/>
              <w:widowControl w:val="0"/>
              <w:numPr>
                <w:ilvl w:val="0"/>
                <w:numId w:val="0"/>
              </w:numPr>
              <w:spacing w:before="0" w:after="120"/>
              <w:ind w:leftChars="0"/>
              <w:jc w:val="both"/>
              <w:rPr>
                <w:rFonts w:hint="default"/>
                <w:lang w:val="en-US" w:eastAsia="zh-CN"/>
              </w:rPr>
            </w:pPr>
            <w:r>
              <w:rPr>
                <w:rFonts w:hint="default"/>
                <w:lang w:val="en-US" w:eastAsia="zh-CN"/>
              </w:rPr>
              <w:t>4</w:t>
            </w:r>
            <w:r>
              <w:rPr>
                <w:rFonts w:hint="eastAsia"/>
                <w:lang w:val="en-US" w:eastAsia="zh-CN"/>
              </w:rPr>
              <w:t>、</w:t>
            </w:r>
            <w:r>
              <w:rPr>
                <w:rFonts w:hint="default"/>
                <w:lang w:val="en-US" w:eastAsia="zh-CN"/>
              </w:rPr>
              <w:t>可升级肠内营养液输液功能</w:t>
            </w:r>
            <w:r>
              <w:rPr>
                <w:rFonts w:hint="eastAsia"/>
                <w:lang w:val="en-US" w:eastAsia="zh-CN"/>
              </w:rPr>
              <w:t>。</w:t>
            </w:r>
          </w:p>
          <w:p w14:paraId="17F53F67">
            <w:pPr>
              <w:pStyle w:val="12"/>
              <w:widowControl w:val="0"/>
              <w:numPr>
                <w:ilvl w:val="0"/>
                <w:numId w:val="0"/>
              </w:numPr>
              <w:spacing w:before="0" w:after="120"/>
              <w:ind w:leftChars="0"/>
              <w:jc w:val="both"/>
              <w:rPr>
                <w:rFonts w:hint="default"/>
                <w:lang w:val="en-US" w:eastAsia="zh-CN"/>
              </w:rPr>
            </w:pPr>
            <w:r>
              <w:rPr>
                <w:rFonts w:hint="default"/>
                <w:lang w:val="en-US" w:eastAsia="zh-CN"/>
              </w:rPr>
              <w:t>5</w:t>
            </w:r>
            <w:r>
              <w:rPr>
                <w:rFonts w:hint="eastAsia"/>
                <w:lang w:val="en-US" w:eastAsia="zh-CN"/>
              </w:rPr>
              <w:t>、</w:t>
            </w:r>
            <w:r>
              <w:rPr>
                <w:rFonts w:hint="default"/>
                <w:lang w:val="en-US" w:eastAsia="zh-CN"/>
              </w:rPr>
              <w:t>输液精度≤±5%</w:t>
            </w:r>
            <w:r>
              <w:rPr>
                <w:rFonts w:hint="eastAsia"/>
                <w:lang w:val="en-US" w:eastAsia="zh-CN"/>
              </w:rPr>
              <w:t>。</w:t>
            </w:r>
          </w:p>
          <w:p w14:paraId="67C290EB">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6</w:t>
            </w:r>
            <w:r>
              <w:rPr>
                <w:rFonts w:hint="eastAsia"/>
                <w:lang w:val="en-US" w:eastAsia="zh-CN"/>
              </w:rPr>
              <w:t>、</w:t>
            </w:r>
            <w:r>
              <w:rPr>
                <w:rFonts w:hint="default"/>
                <w:lang w:val="en-US" w:eastAsia="zh-CN"/>
              </w:rPr>
              <w:t>速率范围：0.1-2000ml/h, 最小步进0.01ml/h</w:t>
            </w:r>
            <w:r>
              <w:rPr>
                <w:rFonts w:hint="eastAsia"/>
                <w:lang w:val="en-US" w:eastAsia="zh-CN"/>
              </w:rPr>
              <w:t>。</w:t>
            </w:r>
          </w:p>
          <w:p w14:paraId="68224F84">
            <w:pPr>
              <w:pStyle w:val="12"/>
              <w:widowControl w:val="0"/>
              <w:numPr>
                <w:ilvl w:val="0"/>
                <w:numId w:val="0"/>
              </w:numPr>
              <w:spacing w:before="0" w:after="120"/>
              <w:ind w:leftChars="0"/>
              <w:jc w:val="both"/>
              <w:rPr>
                <w:rFonts w:hint="default"/>
                <w:lang w:val="en-US" w:eastAsia="zh-CN"/>
              </w:rPr>
            </w:pPr>
            <w:r>
              <w:rPr>
                <w:rFonts w:hint="default"/>
                <w:lang w:val="en-US" w:eastAsia="zh-CN"/>
              </w:rPr>
              <w:t>7</w:t>
            </w:r>
            <w:r>
              <w:rPr>
                <w:rFonts w:hint="eastAsia"/>
                <w:lang w:val="en-US" w:eastAsia="zh-CN"/>
              </w:rPr>
              <w:t>、</w:t>
            </w:r>
            <w:r>
              <w:rPr>
                <w:rFonts w:hint="default"/>
                <w:lang w:val="en-US" w:eastAsia="zh-CN"/>
              </w:rPr>
              <w:t>预置输液总量范围：0.1-9999.99ml</w:t>
            </w:r>
            <w:r>
              <w:rPr>
                <w:rFonts w:hint="eastAsia"/>
                <w:lang w:val="en-US" w:eastAsia="zh-CN"/>
              </w:rPr>
              <w:t>。</w:t>
            </w:r>
          </w:p>
          <w:p w14:paraId="66095BF9">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8</w:t>
            </w:r>
            <w:r>
              <w:rPr>
                <w:rFonts w:hint="eastAsia"/>
                <w:lang w:val="en-US" w:eastAsia="zh-CN"/>
              </w:rPr>
              <w:t>、</w:t>
            </w:r>
            <w:r>
              <w:rPr>
                <w:rFonts w:hint="default"/>
                <w:lang w:val="en-US" w:eastAsia="zh-CN"/>
              </w:rPr>
              <w:t>快进流速范围：0.1-2000ml/h，具有自动和手动快进可选</w:t>
            </w:r>
            <w:r>
              <w:rPr>
                <w:rFonts w:hint="eastAsia"/>
                <w:lang w:val="en-US" w:eastAsia="zh-CN"/>
              </w:rPr>
              <w:t>。</w:t>
            </w:r>
          </w:p>
          <w:p w14:paraId="19955090">
            <w:pPr>
              <w:pStyle w:val="12"/>
              <w:widowControl w:val="0"/>
              <w:numPr>
                <w:ilvl w:val="0"/>
                <w:numId w:val="0"/>
              </w:numPr>
              <w:spacing w:before="0" w:after="120"/>
              <w:ind w:leftChars="0"/>
              <w:jc w:val="both"/>
              <w:rPr>
                <w:rFonts w:hint="default"/>
                <w:lang w:val="en-US" w:eastAsia="zh-CN"/>
              </w:rPr>
            </w:pPr>
            <w:r>
              <w:rPr>
                <w:rFonts w:hint="default"/>
                <w:lang w:val="en-US" w:eastAsia="zh-CN"/>
              </w:rPr>
              <w:t>9</w:t>
            </w:r>
            <w:r>
              <w:rPr>
                <w:rFonts w:hint="eastAsia"/>
                <w:lang w:val="en-US" w:eastAsia="zh-CN"/>
              </w:rPr>
              <w:t>、</w:t>
            </w:r>
            <w:r>
              <w:rPr>
                <w:rFonts w:hint="default"/>
                <w:lang w:val="en-US" w:eastAsia="zh-CN"/>
              </w:rPr>
              <w:t>可自动统计四种累计量：24h累计量、最近累计量、自定义时间段累计量、定时间隔累计量</w:t>
            </w:r>
            <w:r>
              <w:rPr>
                <w:rFonts w:hint="eastAsia"/>
                <w:lang w:val="en-US" w:eastAsia="zh-CN"/>
              </w:rPr>
              <w:t>。</w:t>
            </w:r>
          </w:p>
          <w:p w14:paraId="53A9205D">
            <w:pPr>
              <w:pStyle w:val="12"/>
              <w:widowControl w:val="0"/>
              <w:numPr>
                <w:ilvl w:val="0"/>
                <w:numId w:val="0"/>
              </w:numPr>
              <w:spacing w:before="0" w:after="120"/>
              <w:ind w:leftChars="0"/>
              <w:jc w:val="both"/>
              <w:rPr>
                <w:rFonts w:hint="default"/>
                <w:lang w:val="en-US" w:eastAsia="zh-CN"/>
              </w:rPr>
            </w:pPr>
            <w:r>
              <w:rPr>
                <w:rFonts w:hint="default"/>
                <w:lang w:val="en-US" w:eastAsia="zh-CN"/>
              </w:rPr>
              <w:t>10</w:t>
            </w:r>
            <w:r>
              <w:rPr>
                <w:rFonts w:hint="eastAsia"/>
                <w:lang w:val="en-US" w:eastAsia="zh-CN"/>
              </w:rPr>
              <w:t>、</w:t>
            </w:r>
            <w:r>
              <w:rPr>
                <w:rFonts w:hint="default"/>
                <w:lang w:val="en-US" w:eastAsia="zh-CN"/>
              </w:rPr>
              <w:t>无需额外工具或设备，可直接在输液泵添加输液器品牌名称</w:t>
            </w:r>
            <w:r>
              <w:rPr>
                <w:rFonts w:hint="eastAsia"/>
                <w:lang w:val="en-US" w:eastAsia="zh-CN"/>
              </w:rPr>
              <w:t>。</w:t>
            </w:r>
          </w:p>
          <w:p w14:paraId="31D9808A">
            <w:pPr>
              <w:pStyle w:val="12"/>
              <w:widowControl w:val="0"/>
              <w:numPr>
                <w:ilvl w:val="0"/>
                <w:numId w:val="0"/>
              </w:numPr>
              <w:spacing w:before="0" w:after="120"/>
              <w:ind w:leftChars="0"/>
              <w:jc w:val="both"/>
              <w:rPr>
                <w:rFonts w:hint="default"/>
                <w:lang w:val="en-US" w:eastAsia="zh-CN"/>
              </w:rPr>
            </w:pPr>
            <w:r>
              <w:rPr>
                <w:rFonts w:hint="default"/>
                <w:lang w:val="en-US" w:eastAsia="zh-CN"/>
              </w:rPr>
              <w:t>11</w:t>
            </w:r>
            <w:r>
              <w:rPr>
                <w:rFonts w:hint="eastAsia"/>
                <w:lang w:val="en-US" w:eastAsia="zh-CN"/>
              </w:rPr>
              <w:t>、</w:t>
            </w:r>
            <w:r>
              <w:rPr>
                <w:rFonts w:hint="default"/>
                <w:lang w:val="en-US" w:eastAsia="zh-CN"/>
              </w:rPr>
              <w:t>8种输液模式：速度模式、时间模式、体重模式、梯度模式、序列模式、剂量时间模式、点滴模式、和间断给药模式</w:t>
            </w:r>
            <w:r>
              <w:rPr>
                <w:rFonts w:hint="eastAsia"/>
                <w:lang w:val="en-US" w:eastAsia="zh-CN"/>
              </w:rPr>
              <w:t>。</w:t>
            </w:r>
          </w:p>
          <w:p w14:paraId="7C5E3E67">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12</w:t>
            </w:r>
            <w:r>
              <w:rPr>
                <w:rFonts w:hint="eastAsia"/>
                <w:lang w:val="en-US" w:eastAsia="zh-CN"/>
              </w:rPr>
              <w:t>、</w:t>
            </w:r>
            <w:r>
              <w:rPr>
                <w:rFonts w:hint="default"/>
                <w:lang w:val="en-US" w:eastAsia="zh-CN"/>
              </w:rPr>
              <w:t>不小于3.5英寸彩色显示屏，电容触摸屏技术</w:t>
            </w:r>
            <w:r>
              <w:rPr>
                <w:rFonts w:hint="eastAsia"/>
                <w:lang w:val="en-US" w:eastAsia="zh-CN"/>
              </w:rPr>
              <w:t>。</w:t>
            </w:r>
          </w:p>
          <w:p w14:paraId="05371A3A">
            <w:pPr>
              <w:pStyle w:val="12"/>
              <w:widowControl w:val="0"/>
              <w:numPr>
                <w:ilvl w:val="0"/>
                <w:numId w:val="0"/>
              </w:numPr>
              <w:spacing w:before="0" w:after="120"/>
              <w:ind w:leftChars="0"/>
              <w:jc w:val="both"/>
              <w:rPr>
                <w:rFonts w:hint="default"/>
                <w:lang w:val="en-US" w:eastAsia="zh-CN"/>
              </w:rPr>
            </w:pPr>
            <w:r>
              <w:rPr>
                <w:rFonts w:hint="default"/>
                <w:lang w:val="en-US" w:eastAsia="zh-CN"/>
              </w:rPr>
              <w:t>13</w:t>
            </w:r>
            <w:r>
              <w:rPr>
                <w:rFonts w:hint="eastAsia"/>
                <w:lang w:val="en-US" w:eastAsia="zh-CN"/>
              </w:rPr>
              <w:t>、</w:t>
            </w:r>
            <w:r>
              <w:rPr>
                <w:rFonts w:hint="default"/>
                <w:lang w:val="en-US" w:eastAsia="zh-CN"/>
              </w:rPr>
              <w:t>全中文软件操作界面</w:t>
            </w:r>
            <w:r>
              <w:rPr>
                <w:rFonts w:hint="eastAsia"/>
                <w:lang w:val="en-US" w:eastAsia="zh-CN"/>
              </w:rPr>
              <w:t>。</w:t>
            </w:r>
          </w:p>
          <w:p w14:paraId="67503996">
            <w:pPr>
              <w:pStyle w:val="12"/>
              <w:widowControl w:val="0"/>
              <w:numPr>
                <w:ilvl w:val="0"/>
                <w:numId w:val="0"/>
              </w:numPr>
              <w:spacing w:before="0" w:after="120"/>
              <w:ind w:leftChars="0"/>
              <w:jc w:val="both"/>
              <w:rPr>
                <w:rFonts w:hint="default"/>
                <w:lang w:val="en-US" w:eastAsia="zh-CN"/>
              </w:rPr>
            </w:pPr>
            <w:r>
              <w:rPr>
                <w:rFonts w:hint="default"/>
                <w:lang w:val="en-US" w:eastAsia="zh-CN"/>
              </w:rPr>
              <w:t>14</w:t>
            </w:r>
            <w:r>
              <w:rPr>
                <w:rFonts w:hint="eastAsia"/>
                <w:lang w:val="en-US" w:eastAsia="zh-CN"/>
              </w:rPr>
              <w:t>、</w:t>
            </w:r>
            <w:r>
              <w:rPr>
                <w:rFonts w:hint="default"/>
                <w:lang w:val="en-US" w:eastAsia="zh-CN"/>
              </w:rPr>
              <w:t>锁屏功能：支持自动锁屏，自动锁屏时间可调</w:t>
            </w:r>
            <w:r>
              <w:rPr>
                <w:rFonts w:hint="eastAsia"/>
                <w:lang w:val="en-US" w:eastAsia="zh-CN"/>
              </w:rPr>
              <w:t>。</w:t>
            </w:r>
          </w:p>
          <w:p w14:paraId="2C42A753">
            <w:pPr>
              <w:pStyle w:val="12"/>
              <w:widowControl w:val="0"/>
              <w:numPr>
                <w:ilvl w:val="0"/>
                <w:numId w:val="0"/>
              </w:numPr>
              <w:spacing w:before="0" w:after="120"/>
              <w:ind w:leftChars="0"/>
              <w:jc w:val="both"/>
              <w:rPr>
                <w:rFonts w:hint="default"/>
                <w:lang w:val="en-US" w:eastAsia="zh-CN"/>
              </w:rPr>
            </w:pPr>
            <w:r>
              <w:rPr>
                <w:rFonts w:hint="default"/>
                <w:lang w:val="en-US" w:eastAsia="zh-CN"/>
              </w:rPr>
              <w:t>15</w:t>
            </w:r>
            <w:r>
              <w:rPr>
                <w:rFonts w:hint="eastAsia"/>
                <w:lang w:val="en-US" w:eastAsia="zh-CN"/>
              </w:rPr>
              <w:t>、</w:t>
            </w:r>
            <w:r>
              <w:rPr>
                <w:rFonts w:hint="default"/>
                <w:lang w:val="en-US" w:eastAsia="zh-CN"/>
              </w:rPr>
              <w:t>支持药物库，可储存5000种药物信息。</w:t>
            </w:r>
          </w:p>
          <w:p w14:paraId="78077114">
            <w:pPr>
              <w:pStyle w:val="12"/>
              <w:widowControl w:val="0"/>
              <w:numPr>
                <w:ilvl w:val="0"/>
                <w:numId w:val="0"/>
              </w:numPr>
              <w:spacing w:before="0" w:after="120"/>
              <w:ind w:leftChars="0"/>
              <w:jc w:val="both"/>
              <w:rPr>
                <w:rFonts w:hint="default"/>
                <w:lang w:val="en-US" w:eastAsia="zh-CN"/>
              </w:rPr>
            </w:pPr>
            <w:r>
              <w:rPr>
                <w:rFonts w:hint="default"/>
                <w:lang w:val="en-US" w:eastAsia="zh-CN"/>
              </w:rPr>
              <w:t>16</w:t>
            </w:r>
            <w:r>
              <w:rPr>
                <w:rFonts w:hint="eastAsia"/>
                <w:lang w:val="en-US" w:eastAsia="zh-CN"/>
              </w:rPr>
              <w:t>、</w:t>
            </w:r>
            <w:r>
              <w:rPr>
                <w:rFonts w:hint="default"/>
                <w:lang w:val="en-US" w:eastAsia="zh-CN"/>
              </w:rPr>
              <w:t>支持药物色彩标识，选择不同类型药物时对应的药物色彩标识自动显示在屏幕上，支持4种以上颜色</w:t>
            </w:r>
            <w:r>
              <w:rPr>
                <w:rFonts w:hint="eastAsia"/>
                <w:lang w:val="en-US" w:eastAsia="zh-CN"/>
              </w:rPr>
              <w:t>。</w:t>
            </w:r>
          </w:p>
          <w:p w14:paraId="3E99B5D8">
            <w:pPr>
              <w:pStyle w:val="12"/>
              <w:widowControl w:val="0"/>
              <w:numPr>
                <w:ilvl w:val="0"/>
                <w:numId w:val="0"/>
              </w:numPr>
              <w:spacing w:before="0" w:after="120"/>
              <w:ind w:leftChars="0"/>
              <w:jc w:val="both"/>
              <w:rPr>
                <w:rFonts w:hint="default"/>
                <w:lang w:val="en-US" w:eastAsia="zh-CN"/>
              </w:rPr>
            </w:pPr>
            <w:r>
              <w:rPr>
                <w:rFonts w:hint="default"/>
                <w:lang w:val="en-US" w:eastAsia="zh-CN"/>
              </w:rPr>
              <w:t>17</w:t>
            </w:r>
            <w:r>
              <w:rPr>
                <w:rFonts w:hint="eastAsia"/>
                <w:lang w:val="en-US" w:eastAsia="zh-CN"/>
              </w:rPr>
              <w:t>、</w:t>
            </w:r>
            <w:r>
              <w:rPr>
                <w:rFonts w:hint="default"/>
                <w:lang w:val="en-US" w:eastAsia="zh-CN"/>
              </w:rPr>
              <w:t>报警时可通过示意图片直观提示报警信息</w:t>
            </w:r>
            <w:r>
              <w:rPr>
                <w:rFonts w:hint="eastAsia"/>
                <w:lang w:val="en-US" w:eastAsia="zh-CN"/>
              </w:rPr>
              <w:t>。</w:t>
            </w:r>
          </w:p>
          <w:p w14:paraId="155FF6D8">
            <w:pPr>
              <w:pStyle w:val="12"/>
              <w:widowControl w:val="0"/>
              <w:numPr>
                <w:ilvl w:val="0"/>
                <w:numId w:val="0"/>
              </w:numPr>
              <w:spacing w:before="0" w:after="120"/>
              <w:ind w:leftChars="0"/>
              <w:jc w:val="both"/>
              <w:rPr>
                <w:rFonts w:hint="default"/>
                <w:lang w:val="en-US" w:eastAsia="zh-CN"/>
              </w:rPr>
            </w:pPr>
            <w:r>
              <w:rPr>
                <w:rFonts w:hint="default"/>
                <w:lang w:val="en-US" w:eastAsia="zh-CN"/>
              </w:rPr>
              <w:t>18</w:t>
            </w:r>
            <w:r>
              <w:rPr>
                <w:rFonts w:hint="eastAsia"/>
                <w:lang w:val="en-US" w:eastAsia="zh-CN"/>
              </w:rPr>
              <w:t>、</w:t>
            </w:r>
            <w:r>
              <w:rPr>
                <w:rFonts w:hint="default"/>
                <w:lang w:val="en-US" w:eastAsia="zh-CN"/>
              </w:rPr>
              <w:t>在线动态压力监测，可实时显示当前压力数值</w:t>
            </w:r>
            <w:r>
              <w:rPr>
                <w:rFonts w:hint="eastAsia"/>
                <w:lang w:val="en-US" w:eastAsia="zh-CN"/>
              </w:rPr>
              <w:t>。</w:t>
            </w:r>
          </w:p>
          <w:p w14:paraId="69815244">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19</w:t>
            </w:r>
            <w:r>
              <w:rPr>
                <w:rFonts w:hint="eastAsia"/>
                <w:lang w:val="en-US" w:eastAsia="zh-CN"/>
              </w:rPr>
              <w:t>、</w:t>
            </w:r>
            <w:r>
              <w:rPr>
                <w:rFonts w:hint="default"/>
                <w:lang w:val="en-US" w:eastAsia="zh-CN"/>
              </w:rPr>
              <w:t>压力报警阈值最低可设置50mmHg</w:t>
            </w:r>
            <w:r>
              <w:rPr>
                <w:rFonts w:hint="eastAsia"/>
                <w:lang w:val="en-US" w:eastAsia="zh-CN"/>
              </w:rPr>
              <w:t>。</w:t>
            </w:r>
          </w:p>
          <w:p w14:paraId="7B096A59">
            <w:pPr>
              <w:pStyle w:val="12"/>
              <w:widowControl w:val="0"/>
              <w:numPr>
                <w:ilvl w:val="0"/>
                <w:numId w:val="0"/>
              </w:numPr>
              <w:spacing w:before="0" w:after="120"/>
              <w:ind w:leftChars="0"/>
              <w:jc w:val="both"/>
              <w:rPr>
                <w:rFonts w:hint="default"/>
                <w:lang w:val="en-US" w:eastAsia="zh-CN"/>
              </w:rPr>
            </w:pPr>
            <w:r>
              <w:rPr>
                <w:rFonts w:hint="default"/>
                <w:lang w:val="en-US" w:eastAsia="zh-CN"/>
              </w:rPr>
              <w:t>20</w:t>
            </w:r>
            <w:r>
              <w:rPr>
                <w:rFonts w:hint="eastAsia"/>
                <w:lang w:val="en-US" w:eastAsia="zh-CN"/>
              </w:rPr>
              <w:t>、</w:t>
            </w:r>
            <w:r>
              <w:rPr>
                <w:rFonts w:hint="default"/>
                <w:lang w:val="en-US" w:eastAsia="zh-CN"/>
              </w:rPr>
              <w:t>具备阻塞前预警提示功能，当管路压力未触发阻塞报警时，泵可自动识别压力上升并在屏幕上进行提示</w:t>
            </w:r>
            <w:r>
              <w:rPr>
                <w:rFonts w:hint="eastAsia"/>
                <w:lang w:val="en-US" w:eastAsia="zh-CN"/>
              </w:rPr>
              <w:t>。</w:t>
            </w:r>
          </w:p>
          <w:p w14:paraId="3BCEA778">
            <w:pPr>
              <w:pStyle w:val="12"/>
              <w:widowControl w:val="0"/>
              <w:numPr>
                <w:ilvl w:val="0"/>
                <w:numId w:val="0"/>
              </w:numPr>
              <w:spacing w:before="0" w:after="120"/>
              <w:ind w:leftChars="0"/>
              <w:jc w:val="both"/>
              <w:rPr>
                <w:rFonts w:hint="default"/>
                <w:lang w:val="en-US" w:eastAsia="zh-CN"/>
              </w:rPr>
            </w:pPr>
            <w:r>
              <w:rPr>
                <w:rFonts w:hint="default"/>
                <w:lang w:val="en-US" w:eastAsia="zh-CN"/>
              </w:rPr>
              <w:t>21</w:t>
            </w:r>
            <w:r>
              <w:rPr>
                <w:rFonts w:hint="eastAsia"/>
                <w:lang w:val="en-US" w:eastAsia="zh-CN"/>
              </w:rPr>
              <w:t>、</w:t>
            </w:r>
            <w:r>
              <w:rPr>
                <w:rFonts w:hint="default"/>
                <w:lang w:val="en-US" w:eastAsia="zh-CN"/>
              </w:rPr>
              <w:t>具备阻塞后自动重启输液功能，短暂性阻塞触发报警后，泵检测到阻塞压力缓解时，无需人为干预，泵自动重新启动输液</w:t>
            </w:r>
            <w:r>
              <w:rPr>
                <w:rFonts w:hint="eastAsia"/>
                <w:lang w:val="en-US" w:eastAsia="zh-CN"/>
              </w:rPr>
              <w:t>。</w:t>
            </w:r>
          </w:p>
          <w:p w14:paraId="6B37E47C">
            <w:pPr>
              <w:pStyle w:val="12"/>
              <w:widowControl w:val="0"/>
              <w:numPr>
                <w:ilvl w:val="0"/>
                <w:numId w:val="0"/>
              </w:numPr>
              <w:spacing w:before="0" w:after="120"/>
              <w:ind w:leftChars="0"/>
              <w:jc w:val="both"/>
              <w:rPr>
                <w:rFonts w:hint="default"/>
                <w:lang w:val="en-US" w:eastAsia="zh-CN"/>
              </w:rPr>
            </w:pPr>
            <w:r>
              <w:rPr>
                <w:rFonts w:hint="default"/>
                <w:lang w:val="en-US" w:eastAsia="zh-CN"/>
              </w:rPr>
              <w:t>22</w:t>
            </w:r>
            <w:r>
              <w:rPr>
                <w:rFonts w:hint="eastAsia"/>
                <w:lang w:val="en-US" w:eastAsia="zh-CN"/>
              </w:rPr>
              <w:t>、</w:t>
            </w:r>
            <w:r>
              <w:rPr>
                <w:rFonts w:hint="default"/>
                <w:lang w:val="en-US" w:eastAsia="zh-CN"/>
              </w:rPr>
              <w:t>具备单个气泡和累积气泡报警功能，支持最小15μL的单个气泡报警</w:t>
            </w:r>
            <w:r>
              <w:rPr>
                <w:rFonts w:hint="eastAsia"/>
                <w:lang w:val="en-US" w:eastAsia="zh-CN"/>
              </w:rPr>
              <w:t>。</w:t>
            </w:r>
          </w:p>
          <w:p w14:paraId="379E7D88">
            <w:pPr>
              <w:pStyle w:val="12"/>
              <w:widowControl w:val="0"/>
              <w:numPr>
                <w:ilvl w:val="0"/>
                <w:numId w:val="0"/>
              </w:numPr>
              <w:spacing w:before="0" w:after="120"/>
              <w:ind w:leftChars="0"/>
              <w:jc w:val="both"/>
              <w:rPr>
                <w:rFonts w:hint="default"/>
                <w:lang w:val="en-US" w:eastAsia="zh-CN"/>
              </w:rPr>
            </w:pPr>
            <w:r>
              <w:rPr>
                <w:rFonts w:hint="default"/>
                <w:lang w:val="en-US" w:eastAsia="zh-CN"/>
              </w:rPr>
              <w:t>23</w:t>
            </w:r>
            <w:r>
              <w:rPr>
                <w:rFonts w:hint="eastAsia"/>
                <w:lang w:val="en-US" w:eastAsia="zh-CN"/>
              </w:rPr>
              <w:t>、</w:t>
            </w:r>
            <w:r>
              <w:rPr>
                <w:rFonts w:hint="default"/>
                <w:lang w:val="en-US" w:eastAsia="zh-CN"/>
              </w:rPr>
              <w:t>信息储存：可存储5000条的历史记录</w:t>
            </w:r>
            <w:r>
              <w:rPr>
                <w:rFonts w:hint="eastAsia"/>
                <w:lang w:val="en-US" w:eastAsia="zh-CN"/>
              </w:rPr>
              <w:t>。</w:t>
            </w:r>
          </w:p>
          <w:p w14:paraId="4C023DD1">
            <w:pPr>
              <w:pStyle w:val="12"/>
              <w:widowControl w:val="0"/>
              <w:numPr>
                <w:ilvl w:val="0"/>
                <w:numId w:val="0"/>
              </w:numPr>
              <w:spacing w:before="0" w:after="120"/>
              <w:ind w:leftChars="0"/>
              <w:jc w:val="both"/>
              <w:rPr>
                <w:rFonts w:hint="default"/>
                <w:lang w:val="en-US" w:eastAsia="zh-CN"/>
              </w:rPr>
            </w:pPr>
            <w:r>
              <w:rPr>
                <w:rFonts w:hint="default"/>
                <w:lang w:val="en-US" w:eastAsia="zh-CN"/>
              </w:rPr>
              <w:t>24</w:t>
            </w:r>
            <w:r>
              <w:rPr>
                <w:rFonts w:hint="eastAsia"/>
                <w:lang w:val="en-US" w:eastAsia="zh-CN"/>
              </w:rPr>
              <w:t>、</w:t>
            </w:r>
            <w:r>
              <w:rPr>
                <w:rFonts w:hint="default"/>
                <w:lang w:val="en-US" w:eastAsia="zh-CN"/>
              </w:rPr>
              <w:t>电池工作时间≥5小时</w:t>
            </w:r>
            <w:r>
              <w:rPr>
                <w:rFonts w:hint="default"/>
                <w:highlight w:val="none"/>
                <w:lang w:val="en-US" w:eastAsia="zh-CN"/>
              </w:rPr>
              <w:t>@</w:t>
            </w:r>
            <w:r>
              <w:rPr>
                <w:rFonts w:hint="default"/>
                <w:lang w:val="en-US" w:eastAsia="zh-CN"/>
              </w:rPr>
              <w:t>25ml/h</w:t>
            </w:r>
            <w:r>
              <w:rPr>
                <w:rFonts w:hint="eastAsia"/>
                <w:lang w:val="en-US" w:eastAsia="zh-CN"/>
              </w:rPr>
              <w:t>。</w:t>
            </w:r>
          </w:p>
          <w:p w14:paraId="7FD94E0D">
            <w:pPr>
              <w:pStyle w:val="12"/>
              <w:widowControl w:val="0"/>
              <w:numPr>
                <w:ilvl w:val="0"/>
                <w:numId w:val="0"/>
              </w:numPr>
              <w:spacing w:before="0" w:after="120"/>
              <w:ind w:leftChars="0"/>
              <w:jc w:val="both"/>
              <w:rPr>
                <w:rFonts w:hint="default"/>
                <w:lang w:val="en-US" w:eastAsia="zh-CN"/>
              </w:rPr>
            </w:pPr>
            <w:r>
              <w:rPr>
                <w:rFonts w:hint="default"/>
                <w:lang w:val="en-US" w:eastAsia="zh-CN"/>
              </w:rPr>
              <w:t>25</w:t>
            </w:r>
            <w:r>
              <w:rPr>
                <w:rFonts w:hint="eastAsia"/>
                <w:lang w:val="en-US" w:eastAsia="zh-CN"/>
              </w:rPr>
              <w:t>、</w:t>
            </w:r>
            <w:r>
              <w:rPr>
                <w:rFonts w:hint="default"/>
                <w:lang w:val="en-US" w:eastAsia="zh-CN"/>
              </w:rPr>
              <w:t>防异物及进液等级IP44</w:t>
            </w:r>
            <w:r>
              <w:rPr>
                <w:rFonts w:hint="eastAsia"/>
                <w:lang w:val="en-US" w:eastAsia="zh-CN"/>
              </w:rPr>
              <w:t>。</w:t>
            </w:r>
          </w:p>
          <w:p w14:paraId="335AE1D6">
            <w:pPr>
              <w:pStyle w:val="12"/>
              <w:widowControl w:val="0"/>
              <w:numPr>
                <w:ilvl w:val="0"/>
                <w:numId w:val="0"/>
              </w:numPr>
              <w:spacing w:before="0" w:after="120"/>
              <w:ind w:leftChars="0"/>
              <w:jc w:val="both"/>
              <w:rPr>
                <w:rFonts w:hint="default"/>
                <w:lang w:val="en-US" w:eastAsia="zh-CN"/>
              </w:rPr>
            </w:pPr>
            <w:r>
              <w:rPr>
                <w:rFonts w:hint="default"/>
                <w:lang w:val="en-US" w:eastAsia="zh-CN"/>
              </w:rPr>
              <w:t>26</w:t>
            </w:r>
            <w:r>
              <w:rPr>
                <w:rFonts w:hint="eastAsia"/>
                <w:lang w:val="en-US" w:eastAsia="zh-CN"/>
              </w:rPr>
              <w:t>、</w:t>
            </w:r>
            <w:r>
              <w:rPr>
                <w:rFonts w:hint="default"/>
                <w:lang w:val="en-US" w:eastAsia="zh-CN"/>
              </w:rPr>
              <w:t>整机重量不超过1.5kg</w:t>
            </w:r>
            <w:r>
              <w:rPr>
                <w:rFonts w:hint="eastAsia"/>
                <w:lang w:val="en-US" w:eastAsia="zh-CN"/>
              </w:rPr>
              <w:t>。</w:t>
            </w:r>
          </w:p>
          <w:p w14:paraId="0F285B7B">
            <w:pPr>
              <w:pStyle w:val="12"/>
              <w:widowControl w:val="0"/>
              <w:numPr>
                <w:ilvl w:val="0"/>
                <w:numId w:val="0"/>
              </w:numPr>
              <w:spacing w:before="0" w:after="120"/>
              <w:ind w:leftChars="0"/>
              <w:jc w:val="both"/>
              <w:rPr>
                <w:rFonts w:hint="default"/>
                <w:lang w:val="en-US" w:eastAsia="zh-CN"/>
              </w:rPr>
            </w:pPr>
            <w:r>
              <w:rPr>
                <w:rFonts w:hint="default"/>
                <w:lang w:val="en-US" w:eastAsia="zh-CN"/>
              </w:rPr>
              <w:t>27</w:t>
            </w:r>
            <w:r>
              <w:rPr>
                <w:rFonts w:hint="eastAsia"/>
                <w:lang w:val="en-US" w:eastAsia="zh-CN"/>
              </w:rPr>
              <w:t>、</w:t>
            </w:r>
            <w:r>
              <w:rPr>
                <w:rFonts w:hint="default"/>
                <w:lang w:val="en-US" w:eastAsia="zh-CN"/>
              </w:rPr>
              <w:t>满足EN1789标准，适合在救护车使用</w:t>
            </w:r>
            <w:r>
              <w:rPr>
                <w:rFonts w:hint="eastAsia"/>
                <w:lang w:val="en-US" w:eastAsia="zh-CN"/>
              </w:rPr>
              <w:t>。</w:t>
            </w:r>
          </w:p>
          <w:p w14:paraId="2B15FB04">
            <w:pPr>
              <w:pStyle w:val="12"/>
              <w:widowControl w:val="0"/>
              <w:numPr>
                <w:ilvl w:val="0"/>
                <w:numId w:val="0"/>
              </w:numPr>
              <w:spacing w:before="0" w:after="120"/>
              <w:ind w:leftChars="0"/>
              <w:jc w:val="both"/>
              <w:rPr>
                <w:rFonts w:hint="eastAsia"/>
                <w:b/>
                <w:bCs/>
                <w:lang w:val="en-US" w:eastAsia="zh-CN"/>
              </w:rPr>
            </w:pPr>
            <w:r>
              <w:rPr>
                <w:rFonts w:hint="eastAsia"/>
                <w:b/>
                <w:bCs/>
                <w:lang w:val="en-US" w:eastAsia="zh-CN"/>
              </w:rPr>
              <w:t>四、注射泵</w:t>
            </w:r>
          </w:p>
          <w:p w14:paraId="1125AD9F">
            <w:pPr>
              <w:pStyle w:val="12"/>
              <w:widowControl w:val="0"/>
              <w:numPr>
                <w:ilvl w:val="0"/>
                <w:numId w:val="0"/>
              </w:numPr>
              <w:spacing w:before="0" w:after="120"/>
              <w:ind w:leftChars="0"/>
              <w:jc w:val="both"/>
              <w:rPr>
                <w:rFonts w:hint="eastAsia"/>
                <w:lang w:val="en-US" w:eastAsia="zh-CN"/>
              </w:rPr>
            </w:pPr>
            <w:r>
              <w:rPr>
                <w:rFonts w:hint="eastAsia"/>
                <w:lang w:val="en-US" w:eastAsia="zh-CN"/>
              </w:rPr>
              <w:t>（一）配置清单</w:t>
            </w:r>
          </w:p>
          <w:p w14:paraId="26514EFF">
            <w:pPr>
              <w:pStyle w:val="12"/>
              <w:widowControl w:val="0"/>
              <w:numPr>
                <w:ilvl w:val="0"/>
                <w:numId w:val="0"/>
              </w:numPr>
              <w:spacing w:before="0" w:after="120"/>
              <w:ind w:leftChars="0"/>
              <w:jc w:val="both"/>
              <w:rPr>
                <w:rFonts w:hint="eastAsia"/>
                <w:lang w:val="en-US" w:eastAsia="zh-CN"/>
              </w:rPr>
            </w:pPr>
            <w:r>
              <w:rPr>
                <w:rFonts w:hint="eastAsia"/>
                <w:lang w:val="en-US" w:eastAsia="zh-CN"/>
              </w:rPr>
              <w:t>1、注射泵主机，1台。</w:t>
            </w:r>
          </w:p>
          <w:p w14:paraId="3AF0D337">
            <w:pPr>
              <w:pStyle w:val="12"/>
              <w:widowControl w:val="0"/>
              <w:numPr>
                <w:ilvl w:val="0"/>
                <w:numId w:val="0"/>
              </w:numPr>
              <w:spacing w:before="0" w:after="120"/>
              <w:ind w:leftChars="0"/>
              <w:jc w:val="both"/>
              <w:rPr>
                <w:rFonts w:hint="eastAsia"/>
                <w:lang w:val="en-US" w:eastAsia="zh-CN"/>
              </w:rPr>
            </w:pPr>
            <w:r>
              <w:rPr>
                <w:rFonts w:hint="eastAsia"/>
                <w:lang w:val="en-US" w:eastAsia="zh-CN"/>
              </w:rPr>
              <w:t>2、电源线，1份。</w:t>
            </w:r>
          </w:p>
          <w:p w14:paraId="03FD48FE">
            <w:pPr>
              <w:pStyle w:val="12"/>
              <w:widowControl w:val="0"/>
              <w:numPr>
                <w:ilvl w:val="0"/>
                <w:numId w:val="0"/>
              </w:numPr>
              <w:spacing w:before="0" w:after="120"/>
              <w:ind w:leftChars="0"/>
              <w:jc w:val="both"/>
              <w:rPr>
                <w:rFonts w:hint="eastAsia"/>
                <w:lang w:val="en-US" w:eastAsia="zh-CN"/>
              </w:rPr>
            </w:pPr>
            <w:r>
              <w:rPr>
                <w:rFonts w:hint="eastAsia"/>
                <w:lang w:val="en-US" w:eastAsia="zh-CN"/>
              </w:rPr>
              <w:t>3、使用说明书，1本。</w:t>
            </w:r>
          </w:p>
          <w:p w14:paraId="3E8E87C4">
            <w:pPr>
              <w:pStyle w:val="12"/>
              <w:widowControl w:val="0"/>
              <w:numPr>
                <w:ilvl w:val="0"/>
                <w:numId w:val="0"/>
              </w:numPr>
              <w:spacing w:before="0" w:after="120"/>
              <w:ind w:leftChars="0"/>
              <w:jc w:val="both"/>
              <w:rPr>
                <w:rFonts w:hint="eastAsia"/>
                <w:lang w:val="en-US" w:eastAsia="zh-CN"/>
              </w:rPr>
            </w:pPr>
            <w:r>
              <w:rPr>
                <w:rFonts w:hint="eastAsia"/>
                <w:lang w:val="en-US" w:eastAsia="zh-CN"/>
              </w:rPr>
              <w:t>（二）技术参数</w:t>
            </w:r>
          </w:p>
          <w:p w14:paraId="5531BB43">
            <w:pPr>
              <w:pStyle w:val="12"/>
              <w:widowControl w:val="0"/>
              <w:numPr>
                <w:ilvl w:val="0"/>
                <w:numId w:val="0"/>
              </w:numPr>
              <w:spacing w:before="0" w:after="120"/>
              <w:ind w:leftChars="0"/>
              <w:jc w:val="both"/>
              <w:rPr>
                <w:rFonts w:hint="default"/>
                <w:lang w:val="en-US" w:eastAsia="zh-CN"/>
              </w:rPr>
            </w:pPr>
            <w:r>
              <w:rPr>
                <w:rFonts w:hint="default"/>
                <w:lang w:val="en-US" w:eastAsia="zh-CN"/>
              </w:rPr>
              <w:t>单通道注射泵</w:t>
            </w:r>
          </w:p>
          <w:p w14:paraId="0EE79DE0">
            <w:pPr>
              <w:pStyle w:val="12"/>
              <w:widowControl w:val="0"/>
              <w:numPr>
                <w:ilvl w:val="0"/>
                <w:numId w:val="0"/>
              </w:numPr>
              <w:spacing w:before="0" w:after="120"/>
              <w:ind w:leftChars="0"/>
              <w:jc w:val="both"/>
              <w:rPr>
                <w:rFonts w:hint="default"/>
                <w:lang w:val="en-US" w:eastAsia="zh-CN"/>
              </w:rPr>
            </w:pPr>
            <w:r>
              <w:rPr>
                <w:rFonts w:hint="default"/>
                <w:lang w:val="en-US" w:eastAsia="zh-CN"/>
              </w:rPr>
              <w:t>1</w:t>
            </w:r>
            <w:r>
              <w:rPr>
                <w:rFonts w:hint="eastAsia"/>
                <w:lang w:val="en-US" w:eastAsia="zh-CN"/>
              </w:rPr>
              <w:t>、</w:t>
            </w:r>
            <w:r>
              <w:rPr>
                <w:rFonts w:hint="default"/>
                <w:lang w:val="en-US" w:eastAsia="zh-CN"/>
              </w:rPr>
              <w:t>注射泵需通过国家药品监督管理局三类注册证</w:t>
            </w:r>
            <w:r>
              <w:rPr>
                <w:rFonts w:hint="eastAsia"/>
                <w:lang w:val="en-US" w:eastAsia="zh-CN"/>
              </w:rPr>
              <w:t>。</w:t>
            </w:r>
          </w:p>
          <w:p w14:paraId="4F46568F">
            <w:pPr>
              <w:pStyle w:val="12"/>
              <w:widowControl w:val="0"/>
              <w:numPr>
                <w:ilvl w:val="0"/>
                <w:numId w:val="0"/>
              </w:numPr>
              <w:spacing w:before="0" w:after="120"/>
              <w:ind w:leftChars="0"/>
              <w:jc w:val="both"/>
              <w:rPr>
                <w:rFonts w:hint="default"/>
                <w:lang w:val="en-US" w:eastAsia="zh-CN"/>
              </w:rPr>
            </w:pPr>
            <w:r>
              <w:rPr>
                <w:rFonts w:hint="default"/>
                <w:lang w:val="en-US" w:eastAsia="zh-CN"/>
              </w:rPr>
              <w:t>2</w:t>
            </w:r>
            <w:r>
              <w:rPr>
                <w:rFonts w:hint="eastAsia"/>
                <w:lang w:val="en-US" w:eastAsia="zh-CN"/>
              </w:rPr>
              <w:t>、</w:t>
            </w:r>
            <w:r>
              <w:rPr>
                <w:rFonts w:hint="default"/>
                <w:lang w:val="en-US" w:eastAsia="zh-CN"/>
              </w:rPr>
              <w:t>整机使用期限≥10年（提供证明文件）</w:t>
            </w:r>
            <w:r>
              <w:rPr>
                <w:rFonts w:hint="eastAsia"/>
                <w:lang w:val="en-US" w:eastAsia="zh-CN"/>
              </w:rPr>
              <w:t>。</w:t>
            </w:r>
          </w:p>
          <w:p w14:paraId="714D80A5">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3</w:t>
            </w:r>
            <w:r>
              <w:rPr>
                <w:rFonts w:hint="eastAsia"/>
                <w:lang w:val="en-US" w:eastAsia="zh-CN"/>
              </w:rPr>
              <w:t>、</w:t>
            </w:r>
            <w:r>
              <w:rPr>
                <w:rFonts w:hint="default"/>
                <w:lang w:val="en-US" w:eastAsia="zh-CN"/>
              </w:rPr>
              <w:t>注射精度≤±1.8%，机械精度≤±0.5%</w:t>
            </w:r>
            <w:r>
              <w:rPr>
                <w:rFonts w:hint="eastAsia"/>
                <w:lang w:val="en-US" w:eastAsia="zh-CN"/>
              </w:rPr>
              <w:t>。</w:t>
            </w:r>
          </w:p>
          <w:p w14:paraId="68EAF7E5">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4</w:t>
            </w:r>
            <w:r>
              <w:rPr>
                <w:rFonts w:hint="eastAsia"/>
                <w:lang w:val="en-US" w:eastAsia="zh-CN"/>
              </w:rPr>
              <w:t>、</w:t>
            </w:r>
            <w:r>
              <w:rPr>
                <w:rFonts w:hint="default"/>
                <w:lang w:val="en-US" w:eastAsia="zh-CN"/>
              </w:rPr>
              <w:t>注射速度范围：0.01-2300ml/h,且最小速度和步进均为0.01ml/h</w:t>
            </w:r>
            <w:r>
              <w:rPr>
                <w:rFonts w:hint="eastAsia"/>
                <w:lang w:val="en-US" w:eastAsia="zh-CN"/>
              </w:rPr>
              <w:t>。</w:t>
            </w:r>
          </w:p>
          <w:p w14:paraId="39EE7222">
            <w:pPr>
              <w:pStyle w:val="12"/>
              <w:widowControl w:val="0"/>
              <w:numPr>
                <w:ilvl w:val="0"/>
                <w:numId w:val="0"/>
              </w:numPr>
              <w:spacing w:before="0" w:after="120"/>
              <w:ind w:leftChars="0"/>
              <w:jc w:val="both"/>
              <w:rPr>
                <w:rFonts w:hint="default"/>
                <w:lang w:val="en-US" w:eastAsia="zh-CN"/>
              </w:rPr>
            </w:pPr>
            <w:r>
              <w:rPr>
                <w:rFonts w:hint="default"/>
                <w:lang w:val="en-US" w:eastAsia="zh-CN"/>
              </w:rPr>
              <w:t>5</w:t>
            </w:r>
            <w:r>
              <w:rPr>
                <w:rFonts w:hint="eastAsia"/>
                <w:lang w:val="en-US" w:eastAsia="zh-CN"/>
              </w:rPr>
              <w:t>、</w:t>
            </w:r>
            <w:r>
              <w:rPr>
                <w:rFonts w:hint="default"/>
                <w:lang w:val="en-US" w:eastAsia="zh-CN"/>
              </w:rPr>
              <w:t>快推速度范围：0.01-2300ml/h, 且最小速度和步进均为0.01ml/h</w:t>
            </w:r>
            <w:r>
              <w:rPr>
                <w:rFonts w:hint="eastAsia"/>
                <w:lang w:val="en-US" w:eastAsia="zh-CN"/>
              </w:rPr>
              <w:t>。</w:t>
            </w:r>
          </w:p>
          <w:p w14:paraId="2B56C3E8">
            <w:pPr>
              <w:pStyle w:val="12"/>
              <w:widowControl w:val="0"/>
              <w:numPr>
                <w:ilvl w:val="0"/>
                <w:numId w:val="0"/>
              </w:numPr>
              <w:spacing w:before="0" w:after="120"/>
              <w:ind w:leftChars="0"/>
              <w:jc w:val="both"/>
              <w:rPr>
                <w:rFonts w:hint="default"/>
                <w:lang w:val="en-US" w:eastAsia="zh-CN"/>
              </w:rPr>
            </w:pPr>
            <w:r>
              <w:rPr>
                <w:rFonts w:hint="default"/>
                <w:lang w:val="en-US" w:eastAsia="zh-CN"/>
              </w:rPr>
              <w:t>6</w:t>
            </w:r>
            <w:r>
              <w:rPr>
                <w:rFonts w:hint="eastAsia"/>
                <w:lang w:val="en-US" w:eastAsia="zh-CN"/>
              </w:rPr>
              <w:t>、</w:t>
            </w:r>
            <w:r>
              <w:rPr>
                <w:rFonts w:hint="default"/>
                <w:lang w:val="en-US" w:eastAsia="zh-CN"/>
              </w:rPr>
              <w:t>可自动统计四种累计量：24h累计量、最近累计量、自定义时间段累计量、定时间隔累计量</w:t>
            </w:r>
            <w:r>
              <w:rPr>
                <w:rFonts w:hint="eastAsia"/>
                <w:lang w:val="en-US" w:eastAsia="zh-CN"/>
              </w:rPr>
              <w:t>。</w:t>
            </w:r>
          </w:p>
          <w:p w14:paraId="3F0C723B">
            <w:pPr>
              <w:pStyle w:val="12"/>
              <w:widowControl w:val="0"/>
              <w:numPr>
                <w:ilvl w:val="0"/>
                <w:numId w:val="0"/>
              </w:numPr>
              <w:spacing w:before="0" w:after="120"/>
              <w:ind w:leftChars="0"/>
              <w:jc w:val="both"/>
              <w:rPr>
                <w:rFonts w:hint="default"/>
                <w:lang w:val="en-US" w:eastAsia="zh-CN"/>
              </w:rPr>
            </w:pPr>
            <w:r>
              <w:rPr>
                <w:rFonts w:hint="default"/>
                <w:lang w:val="en-US" w:eastAsia="zh-CN"/>
              </w:rPr>
              <w:t>7</w:t>
            </w:r>
            <w:r>
              <w:rPr>
                <w:rFonts w:hint="eastAsia"/>
                <w:lang w:val="en-US" w:eastAsia="zh-CN"/>
              </w:rPr>
              <w:t>、</w:t>
            </w:r>
            <w:r>
              <w:rPr>
                <w:rFonts w:hint="default"/>
                <w:lang w:val="en-US" w:eastAsia="zh-CN"/>
              </w:rPr>
              <w:t>支持注射器规格：2ml、3ml、5ml、10ml、20ml、30ml、50/60ml</w:t>
            </w:r>
            <w:r>
              <w:rPr>
                <w:rFonts w:hint="eastAsia"/>
                <w:lang w:val="en-US" w:eastAsia="zh-CN"/>
              </w:rPr>
              <w:t>。</w:t>
            </w:r>
          </w:p>
          <w:p w14:paraId="0354F335">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8</w:t>
            </w:r>
            <w:r>
              <w:rPr>
                <w:rFonts w:hint="eastAsia"/>
                <w:lang w:val="en-US" w:eastAsia="zh-CN"/>
              </w:rPr>
              <w:t>、</w:t>
            </w:r>
            <w:r>
              <w:rPr>
                <w:rFonts w:hint="default"/>
                <w:lang w:val="en-US" w:eastAsia="zh-CN"/>
              </w:rPr>
              <w:t>注射泵具有电动离合，加载注射器时不松开捏柄推杆也可自动感应制动，防止意外Bolus</w:t>
            </w:r>
            <w:r>
              <w:rPr>
                <w:rFonts w:hint="eastAsia"/>
                <w:lang w:val="en-US" w:eastAsia="zh-CN"/>
              </w:rPr>
              <w:t>。</w:t>
            </w:r>
          </w:p>
          <w:p w14:paraId="52E6B45B">
            <w:pPr>
              <w:pStyle w:val="12"/>
              <w:widowControl w:val="0"/>
              <w:numPr>
                <w:ilvl w:val="0"/>
                <w:numId w:val="0"/>
              </w:numPr>
              <w:spacing w:before="0" w:after="120"/>
              <w:ind w:leftChars="0"/>
              <w:jc w:val="both"/>
              <w:rPr>
                <w:rFonts w:hint="default"/>
                <w:lang w:val="en-US" w:eastAsia="zh-CN"/>
              </w:rPr>
            </w:pPr>
            <w:r>
              <w:rPr>
                <w:rFonts w:hint="default"/>
                <w:lang w:val="en-US" w:eastAsia="zh-CN"/>
              </w:rPr>
              <w:t>9</w:t>
            </w:r>
            <w:r>
              <w:rPr>
                <w:rFonts w:hint="eastAsia"/>
                <w:lang w:val="en-US" w:eastAsia="zh-CN"/>
              </w:rPr>
              <w:t>、</w:t>
            </w:r>
            <w:r>
              <w:rPr>
                <w:rFonts w:hint="default"/>
                <w:lang w:val="en-US" w:eastAsia="zh-CN"/>
              </w:rPr>
              <w:t>8种注射模式：速度模式、时间模式、体重模式、梯度模式、序列模式、剂量时间模式、间断给药模式、TIVA模式</w:t>
            </w:r>
            <w:r>
              <w:rPr>
                <w:rFonts w:hint="eastAsia"/>
                <w:lang w:val="en-US" w:eastAsia="zh-CN"/>
              </w:rPr>
              <w:t>。</w:t>
            </w:r>
          </w:p>
          <w:p w14:paraId="184CC0B6">
            <w:pPr>
              <w:pStyle w:val="12"/>
              <w:widowControl w:val="0"/>
              <w:numPr>
                <w:ilvl w:val="0"/>
                <w:numId w:val="0"/>
              </w:numPr>
              <w:spacing w:before="0" w:after="120"/>
              <w:ind w:leftChars="0"/>
              <w:jc w:val="both"/>
              <w:rPr>
                <w:rFonts w:hint="default"/>
                <w:lang w:val="en-US" w:eastAsia="zh-CN"/>
              </w:rPr>
            </w:pPr>
            <w:r>
              <w:rPr>
                <w:rFonts w:hint="default"/>
                <w:lang w:val="en-US" w:eastAsia="zh-CN"/>
              </w:rPr>
              <w:t>10</w:t>
            </w:r>
            <w:r>
              <w:rPr>
                <w:rFonts w:hint="eastAsia"/>
                <w:lang w:val="en-US" w:eastAsia="zh-CN"/>
              </w:rPr>
              <w:t>、</w:t>
            </w:r>
            <w:r>
              <w:rPr>
                <w:rFonts w:hint="default"/>
                <w:lang w:val="en-US" w:eastAsia="zh-CN"/>
              </w:rPr>
              <w:t>支持镇痛药、化疗药、胰岛素输注（提供证明文件）</w:t>
            </w:r>
            <w:r>
              <w:rPr>
                <w:rFonts w:hint="eastAsia"/>
                <w:lang w:val="en-US" w:eastAsia="zh-CN"/>
              </w:rPr>
              <w:t>。</w:t>
            </w:r>
          </w:p>
          <w:p w14:paraId="5E95D11E">
            <w:pPr>
              <w:pStyle w:val="12"/>
              <w:widowControl w:val="0"/>
              <w:numPr>
                <w:ilvl w:val="0"/>
                <w:numId w:val="0"/>
              </w:numPr>
              <w:spacing w:before="0" w:after="120"/>
              <w:ind w:leftChars="0"/>
              <w:jc w:val="both"/>
              <w:rPr>
                <w:rFonts w:hint="default"/>
                <w:lang w:val="en-US" w:eastAsia="zh-CN"/>
              </w:rPr>
            </w:pPr>
            <w:r>
              <w:rPr>
                <w:rFonts w:hint="default"/>
                <w:lang w:val="en-US" w:eastAsia="zh-CN"/>
              </w:rPr>
              <w:t>11</w:t>
            </w:r>
            <w:r>
              <w:rPr>
                <w:rFonts w:hint="eastAsia"/>
                <w:lang w:val="en-US" w:eastAsia="zh-CN"/>
              </w:rPr>
              <w:t>、</w:t>
            </w:r>
            <w:r>
              <w:rPr>
                <w:rFonts w:hint="default"/>
                <w:lang w:val="en-US" w:eastAsia="zh-CN"/>
              </w:rPr>
              <w:t>可选TCI模式，TCI模式支持三种药物：丙泊酚，瑞芬太尼，苏芬太尼，支持丙泊酚小儿药代模型</w:t>
            </w:r>
            <w:r>
              <w:rPr>
                <w:rFonts w:hint="eastAsia"/>
                <w:lang w:val="en-US" w:eastAsia="zh-CN"/>
              </w:rPr>
              <w:t>。</w:t>
            </w:r>
          </w:p>
          <w:p w14:paraId="111FFBAD">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12</w:t>
            </w:r>
            <w:r>
              <w:rPr>
                <w:rFonts w:hint="eastAsia"/>
                <w:lang w:val="en-US" w:eastAsia="zh-CN"/>
              </w:rPr>
              <w:t>、</w:t>
            </w:r>
            <w:r>
              <w:rPr>
                <w:rFonts w:hint="default"/>
                <w:lang w:val="en-US" w:eastAsia="zh-CN"/>
              </w:rPr>
              <w:t>不小于3.5英寸彩色显示屏，电容触摸屏技术</w:t>
            </w:r>
            <w:r>
              <w:rPr>
                <w:rFonts w:hint="eastAsia"/>
                <w:lang w:val="en-US" w:eastAsia="zh-CN"/>
              </w:rPr>
              <w:t>。</w:t>
            </w:r>
          </w:p>
          <w:p w14:paraId="29EDF8F0">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13</w:t>
            </w:r>
            <w:r>
              <w:rPr>
                <w:rFonts w:hint="eastAsia"/>
                <w:lang w:val="en-US" w:eastAsia="zh-CN"/>
              </w:rPr>
              <w:t>、</w:t>
            </w:r>
            <w:r>
              <w:rPr>
                <w:rFonts w:hint="default"/>
                <w:lang w:val="en-US" w:eastAsia="zh-CN"/>
              </w:rPr>
              <w:t>支持药物库，可储存5000种药物信息</w:t>
            </w:r>
            <w:r>
              <w:rPr>
                <w:rFonts w:hint="eastAsia"/>
                <w:lang w:val="en-US" w:eastAsia="zh-CN"/>
              </w:rPr>
              <w:t>。</w:t>
            </w:r>
          </w:p>
          <w:p w14:paraId="76BA18C1">
            <w:pPr>
              <w:pStyle w:val="12"/>
              <w:widowControl w:val="0"/>
              <w:numPr>
                <w:ilvl w:val="0"/>
                <w:numId w:val="0"/>
              </w:numPr>
              <w:spacing w:before="0" w:after="120"/>
              <w:ind w:leftChars="0"/>
              <w:jc w:val="both"/>
              <w:rPr>
                <w:rFonts w:hint="default"/>
                <w:lang w:val="en-US" w:eastAsia="zh-CN"/>
              </w:rPr>
            </w:pPr>
            <w:r>
              <w:rPr>
                <w:rFonts w:hint="default"/>
                <w:lang w:val="en-US" w:eastAsia="zh-CN"/>
              </w:rPr>
              <w:t>14</w:t>
            </w:r>
            <w:r>
              <w:rPr>
                <w:rFonts w:hint="eastAsia"/>
                <w:lang w:val="en-US" w:eastAsia="zh-CN"/>
              </w:rPr>
              <w:t>、</w:t>
            </w:r>
            <w:r>
              <w:rPr>
                <w:rFonts w:hint="default"/>
                <w:lang w:val="en-US" w:eastAsia="zh-CN"/>
              </w:rPr>
              <w:t>支持药物色彩标识，选择不同类型药物时对应的药物色彩标识自动显示在屏幕上，支持20种以上颜色</w:t>
            </w:r>
            <w:r>
              <w:rPr>
                <w:rFonts w:hint="eastAsia"/>
                <w:lang w:val="en-US" w:eastAsia="zh-CN"/>
              </w:rPr>
              <w:t>。</w:t>
            </w:r>
          </w:p>
          <w:p w14:paraId="64ADE02B">
            <w:pPr>
              <w:pStyle w:val="12"/>
              <w:widowControl w:val="0"/>
              <w:numPr>
                <w:ilvl w:val="0"/>
                <w:numId w:val="0"/>
              </w:numPr>
              <w:spacing w:before="0" w:after="120"/>
              <w:ind w:leftChars="0"/>
              <w:jc w:val="both"/>
              <w:rPr>
                <w:rFonts w:hint="default"/>
                <w:lang w:val="en-US" w:eastAsia="zh-CN"/>
              </w:rPr>
            </w:pPr>
            <w:r>
              <w:rPr>
                <w:rFonts w:hint="default"/>
                <w:lang w:val="en-US" w:eastAsia="zh-CN"/>
              </w:rPr>
              <w:t>15</w:t>
            </w:r>
            <w:r>
              <w:rPr>
                <w:rFonts w:hint="eastAsia"/>
                <w:lang w:val="en-US" w:eastAsia="zh-CN"/>
              </w:rPr>
              <w:t>、</w:t>
            </w:r>
            <w:r>
              <w:rPr>
                <w:rFonts w:hint="default"/>
                <w:lang w:val="en-US" w:eastAsia="zh-CN"/>
              </w:rPr>
              <w:t>在线动态压力监测，可实时显示当前压力数值</w:t>
            </w:r>
            <w:r>
              <w:rPr>
                <w:rFonts w:hint="eastAsia"/>
                <w:lang w:val="en-US" w:eastAsia="zh-CN"/>
              </w:rPr>
              <w:t>。</w:t>
            </w:r>
          </w:p>
          <w:p w14:paraId="3FAF7EC4">
            <w:pPr>
              <w:pStyle w:val="12"/>
              <w:widowControl w:val="0"/>
              <w:numPr>
                <w:ilvl w:val="0"/>
                <w:numId w:val="0"/>
              </w:numPr>
              <w:spacing w:before="0" w:after="120"/>
              <w:ind w:leftChars="0"/>
              <w:jc w:val="both"/>
              <w:rPr>
                <w:rFonts w:hint="default"/>
                <w:lang w:val="en-US" w:eastAsia="zh-CN"/>
              </w:rPr>
            </w:pPr>
            <w:r>
              <w:rPr>
                <w:rFonts w:hint="default"/>
                <w:lang w:val="en-US" w:eastAsia="zh-CN"/>
              </w:rPr>
              <w:t>16</w:t>
            </w:r>
            <w:r>
              <w:rPr>
                <w:rFonts w:hint="eastAsia"/>
                <w:lang w:val="en-US" w:eastAsia="zh-CN"/>
              </w:rPr>
              <w:t>、</w:t>
            </w:r>
            <w:r>
              <w:rPr>
                <w:rFonts w:hint="default"/>
                <w:lang w:val="en-US" w:eastAsia="zh-CN"/>
              </w:rPr>
              <w:t>阻塞压力报警档位至少15档，最低档位可设置50mmHg</w:t>
            </w:r>
            <w:r>
              <w:rPr>
                <w:rFonts w:hint="eastAsia"/>
                <w:lang w:val="en-US" w:eastAsia="zh-CN"/>
              </w:rPr>
              <w:t>。</w:t>
            </w:r>
          </w:p>
          <w:p w14:paraId="2FC5CF51">
            <w:pPr>
              <w:pStyle w:val="12"/>
              <w:widowControl w:val="0"/>
              <w:numPr>
                <w:ilvl w:val="0"/>
                <w:numId w:val="0"/>
              </w:numPr>
              <w:spacing w:before="0" w:after="120"/>
              <w:ind w:leftChars="0"/>
              <w:jc w:val="both"/>
              <w:rPr>
                <w:rFonts w:hint="default"/>
                <w:lang w:val="en-US" w:eastAsia="zh-CN"/>
              </w:rPr>
            </w:pPr>
            <w:r>
              <w:rPr>
                <w:rFonts w:hint="default"/>
                <w:lang w:val="en-US" w:eastAsia="zh-CN"/>
              </w:rPr>
              <w:t>17</w:t>
            </w:r>
            <w:r>
              <w:rPr>
                <w:rFonts w:hint="eastAsia"/>
                <w:lang w:val="en-US" w:eastAsia="zh-CN"/>
              </w:rPr>
              <w:t>、</w:t>
            </w:r>
            <w:r>
              <w:rPr>
                <w:rFonts w:hint="default"/>
                <w:lang w:val="en-US" w:eastAsia="zh-CN"/>
              </w:rPr>
              <w:t>具备阻塞前预警提示功能，当管路压力未触发阻塞报警时，泵可自动识别压力上升并在屏幕上进行提示</w:t>
            </w:r>
            <w:r>
              <w:rPr>
                <w:rFonts w:hint="eastAsia"/>
                <w:lang w:val="en-US" w:eastAsia="zh-CN"/>
              </w:rPr>
              <w:t>。</w:t>
            </w:r>
          </w:p>
          <w:p w14:paraId="1E65944A">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18</w:t>
            </w:r>
            <w:r>
              <w:rPr>
                <w:rFonts w:hint="eastAsia"/>
                <w:lang w:val="en-US" w:eastAsia="zh-CN"/>
              </w:rPr>
              <w:t>、</w:t>
            </w:r>
            <w:r>
              <w:rPr>
                <w:rFonts w:hint="default"/>
                <w:lang w:val="en-US" w:eastAsia="zh-CN"/>
              </w:rPr>
              <w:t>具备阻塞后自动重启输液功能，短暂性阻塞触发报警后，泵检测到阻塞压力缓解时，无需人为干预，泵自动重新启动输液</w:t>
            </w:r>
            <w:r>
              <w:rPr>
                <w:rFonts w:hint="eastAsia"/>
                <w:lang w:val="en-US" w:eastAsia="zh-CN"/>
              </w:rPr>
              <w:t>。</w:t>
            </w:r>
          </w:p>
          <w:p w14:paraId="21BEA575">
            <w:pPr>
              <w:pStyle w:val="12"/>
              <w:widowControl w:val="0"/>
              <w:numPr>
                <w:ilvl w:val="0"/>
                <w:numId w:val="0"/>
              </w:numPr>
              <w:spacing w:before="0" w:after="120"/>
              <w:ind w:leftChars="0"/>
              <w:jc w:val="both"/>
              <w:rPr>
                <w:rFonts w:hint="default"/>
                <w:lang w:val="en-US" w:eastAsia="zh-CN"/>
              </w:rPr>
            </w:pPr>
            <w:r>
              <w:rPr>
                <w:rFonts w:hint="eastAsia" w:hAnsi="宋体"/>
                <w:b/>
                <w:bCs/>
                <w:color w:val="000000"/>
                <w:highlight w:val="none"/>
              </w:rPr>
              <w:t>▲</w:t>
            </w:r>
            <w:r>
              <w:rPr>
                <w:rFonts w:hint="default"/>
                <w:lang w:val="en-US" w:eastAsia="zh-CN"/>
              </w:rPr>
              <w:t>19</w:t>
            </w:r>
            <w:r>
              <w:rPr>
                <w:rFonts w:hint="eastAsia"/>
                <w:lang w:val="en-US" w:eastAsia="zh-CN"/>
              </w:rPr>
              <w:t>、</w:t>
            </w:r>
            <w:r>
              <w:rPr>
                <w:rFonts w:hint="default"/>
                <w:lang w:val="en-US" w:eastAsia="zh-CN"/>
              </w:rPr>
              <w:t>具有历史记录功能，可存储5000条的历史记录</w:t>
            </w:r>
            <w:r>
              <w:rPr>
                <w:rFonts w:hint="eastAsia"/>
                <w:lang w:val="en-US" w:eastAsia="zh-CN"/>
              </w:rPr>
              <w:t>。</w:t>
            </w:r>
          </w:p>
          <w:p w14:paraId="79A77DAF">
            <w:pPr>
              <w:pStyle w:val="12"/>
              <w:widowControl w:val="0"/>
              <w:numPr>
                <w:ilvl w:val="0"/>
                <w:numId w:val="0"/>
              </w:numPr>
              <w:spacing w:before="0" w:after="120"/>
              <w:ind w:leftChars="0"/>
              <w:jc w:val="both"/>
              <w:rPr>
                <w:rFonts w:hint="default"/>
                <w:lang w:val="en-US" w:eastAsia="zh-CN"/>
              </w:rPr>
            </w:pPr>
            <w:r>
              <w:rPr>
                <w:rFonts w:hint="default"/>
                <w:lang w:val="en-US" w:eastAsia="zh-CN"/>
              </w:rPr>
              <w:t>20</w:t>
            </w:r>
            <w:r>
              <w:rPr>
                <w:rFonts w:hint="eastAsia"/>
                <w:lang w:val="en-US" w:eastAsia="zh-CN"/>
              </w:rPr>
              <w:t>、</w:t>
            </w:r>
            <w:r>
              <w:rPr>
                <w:rFonts w:hint="default"/>
                <w:lang w:val="en-US" w:eastAsia="zh-CN"/>
              </w:rPr>
              <w:t>电池工作时间≥6.5小时</w:t>
            </w:r>
            <w:r>
              <w:rPr>
                <w:rFonts w:hint="default"/>
                <w:highlight w:val="none"/>
                <w:lang w:val="en-US" w:eastAsia="zh-CN"/>
              </w:rPr>
              <w:t>@</w:t>
            </w:r>
            <w:r>
              <w:rPr>
                <w:rFonts w:hint="default"/>
                <w:lang w:val="en-US" w:eastAsia="zh-CN"/>
              </w:rPr>
              <w:t>5ml/h</w:t>
            </w:r>
            <w:r>
              <w:rPr>
                <w:rFonts w:hint="eastAsia"/>
                <w:lang w:val="en-US" w:eastAsia="zh-CN"/>
              </w:rPr>
              <w:t>。</w:t>
            </w:r>
          </w:p>
          <w:p w14:paraId="6C64AD56">
            <w:pPr>
              <w:pStyle w:val="12"/>
              <w:widowControl w:val="0"/>
              <w:numPr>
                <w:ilvl w:val="0"/>
                <w:numId w:val="0"/>
              </w:numPr>
              <w:spacing w:before="0" w:after="120"/>
              <w:ind w:leftChars="0"/>
              <w:jc w:val="both"/>
              <w:rPr>
                <w:rFonts w:hint="default"/>
                <w:lang w:val="en-US" w:eastAsia="zh-CN"/>
              </w:rPr>
            </w:pPr>
            <w:r>
              <w:rPr>
                <w:rFonts w:hint="default"/>
                <w:lang w:val="en-US" w:eastAsia="zh-CN"/>
              </w:rPr>
              <w:t>21</w:t>
            </w:r>
            <w:r>
              <w:rPr>
                <w:rFonts w:hint="eastAsia"/>
                <w:lang w:val="en-US" w:eastAsia="zh-CN"/>
              </w:rPr>
              <w:t>、</w:t>
            </w:r>
            <w:r>
              <w:rPr>
                <w:rFonts w:hint="default"/>
                <w:lang w:val="en-US" w:eastAsia="zh-CN"/>
              </w:rPr>
              <w:t>防异物及进液等级IP44</w:t>
            </w:r>
            <w:r>
              <w:rPr>
                <w:rFonts w:hint="eastAsia"/>
                <w:lang w:val="en-US" w:eastAsia="zh-CN"/>
              </w:rPr>
              <w:t>。</w:t>
            </w:r>
          </w:p>
          <w:p w14:paraId="2A302F2D">
            <w:pPr>
              <w:pStyle w:val="12"/>
              <w:widowControl w:val="0"/>
              <w:numPr>
                <w:ilvl w:val="0"/>
                <w:numId w:val="0"/>
              </w:numPr>
              <w:spacing w:before="0" w:after="120"/>
              <w:ind w:leftChars="0"/>
              <w:jc w:val="both"/>
              <w:rPr>
                <w:rFonts w:hint="default"/>
                <w:lang w:val="en-US" w:eastAsia="zh-CN"/>
              </w:rPr>
            </w:pPr>
            <w:r>
              <w:rPr>
                <w:rFonts w:hint="default"/>
                <w:lang w:val="en-US" w:eastAsia="zh-CN"/>
              </w:rPr>
              <w:t>22</w:t>
            </w:r>
            <w:r>
              <w:rPr>
                <w:rFonts w:hint="eastAsia"/>
                <w:lang w:val="en-US" w:eastAsia="zh-CN"/>
              </w:rPr>
              <w:t>、</w:t>
            </w:r>
            <w:r>
              <w:rPr>
                <w:rFonts w:hint="default"/>
                <w:lang w:val="en-US" w:eastAsia="zh-CN"/>
              </w:rPr>
              <w:t>整机重量不超过1.7kg</w:t>
            </w:r>
            <w:r>
              <w:rPr>
                <w:rFonts w:hint="eastAsia"/>
                <w:lang w:val="en-US" w:eastAsia="zh-CN"/>
              </w:rPr>
              <w:t>。</w:t>
            </w:r>
          </w:p>
          <w:p w14:paraId="6C6F544E">
            <w:pPr>
              <w:pStyle w:val="12"/>
              <w:widowControl w:val="0"/>
              <w:numPr>
                <w:ilvl w:val="0"/>
                <w:numId w:val="0"/>
              </w:numPr>
              <w:spacing w:before="0" w:after="120"/>
              <w:ind w:leftChars="0"/>
              <w:jc w:val="both"/>
              <w:rPr>
                <w:rFonts w:hint="default"/>
                <w:lang w:val="en-US" w:eastAsia="zh-CN"/>
              </w:rPr>
            </w:pPr>
            <w:r>
              <w:rPr>
                <w:rFonts w:hint="default"/>
                <w:lang w:val="en-US" w:eastAsia="zh-CN"/>
              </w:rPr>
              <w:t>23</w:t>
            </w:r>
            <w:r>
              <w:rPr>
                <w:rFonts w:hint="eastAsia"/>
                <w:lang w:val="en-US" w:eastAsia="zh-CN"/>
              </w:rPr>
              <w:t>、</w:t>
            </w:r>
            <w:r>
              <w:rPr>
                <w:rFonts w:hint="default"/>
                <w:lang w:val="en-US" w:eastAsia="zh-CN"/>
              </w:rPr>
              <w:t>满足EN1789标准，适合在救护车使用</w:t>
            </w:r>
            <w:r>
              <w:rPr>
                <w:rFonts w:hint="eastAsia"/>
                <w:lang w:val="en-US" w:eastAsia="zh-CN"/>
              </w:rPr>
              <w:t>。</w:t>
            </w:r>
          </w:p>
          <w:p w14:paraId="3BD71D45">
            <w:pPr>
              <w:pStyle w:val="12"/>
              <w:widowControl w:val="0"/>
              <w:numPr>
                <w:ilvl w:val="0"/>
                <w:numId w:val="0"/>
              </w:numPr>
              <w:spacing w:before="0" w:after="120"/>
              <w:ind w:leftChars="0"/>
              <w:jc w:val="both"/>
              <w:rPr>
                <w:rFonts w:hint="default"/>
                <w:lang w:val="en-US" w:eastAsia="zh-CN"/>
              </w:rPr>
            </w:pPr>
            <w:r>
              <w:rPr>
                <w:rFonts w:hint="default"/>
                <w:lang w:val="en-US" w:eastAsia="zh-CN"/>
              </w:rPr>
              <w:t>24</w:t>
            </w:r>
            <w:r>
              <w:rPr>
                <w:rFonts w:hint="eastAsia"/>
                <w:lang w:val="en-US" w:eastAsia="zh-CN"/>
              </w:rPr>
              <w:t>、</w:t>
            </w:r>
            <w:r>
              <w:rPr>
                <w:rFonts w:hint="default"/>
                <w:lang w:val="en-US" w:eastAsia="zh-CN"/>
              </w:rPr>
              <w:t>输注泵可升级接入同品牌监护仪中央站，实现监护仪和输注泵信息同屏查看</w:t>
            </w:r>
            <w:r>
              <w:rPr>
                <w:rFonts w:hint="eastAsia"/>
                <w:lang w:val="en-US" w:eastAsia="zh-CN"/>
              </w:rPr>
              <w:t>。</w:t>
            </w:r>
          </w:p>
          <w:p w14:paraId="40FA6554">
            <w:pPr>
              <w:pStyle w:val="12"/>
              <w:widowControl w:val="0"/>
              <w:numPr>
                <w:ilvl w:val="0"/>
                <w:numId w:val="0"/>
              </w:numPr>
              <w:spacing w:before="0" w:after="120"/>
              <w:ind w:leftChars="0"/>
              <w:jc w:val="both"/>
              <w:rPr>
                <w:rFonts w:hint="default"/>
                <w:lang w:val="en-US" w:eastAsia="zh-CN"/>
              </w:rPr>
            </w:pPr>
            <w:r>
              <w:rPr>
                <w:rFonts w:hint="default"/>
                <w:lang w:val="en-US" w:eastAsia="zh-CN"/>
              </w:rPr>
              <w:t>25</w:t>
            </w:r>
            <w:r>
              <w:rPr>
                <w:rFonts w:hint="eastAsia"/>
                <w:lang w:val="en-US" w:eastAsia="zh-CN"/>
              </w:rPr>
              <w:t>、</w:t>
            </w:r>
            <w:r>
              <w:rPr>
                <w:rFonts w:hint="default"/>
                <w:lang w:val="en-US" w:eastAsia="zh-CN"/>
              </w:rPr>
              <w:t>输注泵可升级接入同品牌设备管理看板，实时了解设备使用状态和科室分布以及使用率、出厂时间和工作时长等信息</w:t>
            </w:r>
            <w:r>
              <w:rPr>
                <w:rFonts w:hint="eastAsia"/>
                <w:lang w:val="en-US" w:eastAsia="zh-CN"/>
              </w:rPr>
              <w:t>。</w:t>
            </w:r>
          </w:p>
          <w:p w14:paraId="7349239E">
            <w:pPr>
              <w:pStyle w:val="12"/>
              <w:widowControl w:val="0"/>
              <w:numPr>
                <w:ilvl w:val="0"/>
                <w:numId w:val="0"/>
              </w:numPr>
              <w:spacing w:before="0" w:after="120"/>
              <w:ind w:leftChars="0"/>
              <w:jc w:val="both"/>
              <w:rPr>
                <w:rFonts w:hint="eastAsia"/>
                <w:b/>
                <w:bCs/>
                <w:lang w:val="en-US" w:eastAsia="zh-CN"/>
              </w:rPr>
            </w:pPr>
            <w:r>
              <w:rPr>
                <w:rFonts w:hint="eastAsia"/>
                <w:b/>
                <w:bCs/>
                <w:lang w:val="en-US" w:eastAsia="zh-CN"/>
              </w:rPr>
              <w:t>五、生命体征监测仪</w:t>
            </w:r>
          </w:p>
          <w:p w14:paraId="64DA4171">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（一）配置清单</w:t>
            </w:r>
          </w:p>
          <w:p w14:paraId="2C72735A">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1、主机，1台。</w:t>
            </w:r>
          </w:p>
          <w:p w14:paraId="42587461">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2、血氧附件包，1份。</w:t>
            </w:r>
          </w:p>
          <w:p w14:paraId="4D2971C9">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3、无创血压导气管，1根。</w:t>
            </w:r>
          </w:p>
          <w:p w14:paraId="28D4C45C">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4、血压袖套，1套。</w:t>
            </w:r>
          </w:p>
          <w:p w14:paraId="4CEACDF5">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5、电池，1块。</w:t>
            </w:r>
          </w:p>
          <w:p w14:paraId="603B12C3">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6、电源线，1根。</w:t>
            </w:r>
          </w:p>
          <w:p w14:paraId="2F956484">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7、使用说明书，1本。</w:t>
            </w:r>
          </w:p>
          <w:p w14:paraId="49268CAC">
            <w:pPr>
              <w:pStyle w:val="12"/>
              <w:widowControl w:val="0"/>
              <w:numPr>
                <w:ilvl w:val="0"/>
                <w:numId w:val="0"/>
              </w:numPr>
              <w:spacing w:before="0" w:after="120"/>
              <w:ind w:leftChars="0"/>
              <w:jc w:val="both"/>
              <w:rPr>
                <w:rFonts w:hint="eastAsia"/>
                <w:b w:val="0"/>
                <w:bCs w:val="0"/>
                <w:lang w:val="en-US" w:eastAsia="zh-CN"/>
              </w:rPr>
            </w:pPr>
            <w:r>
              <w:rPr>
                <w:rFonts w:hint="eastAsia"/>
                <w:b w:val="0"/>
                <w:bCs w:val="0"/>
                <w:lang w:val="en-US" w:eastAsia="zh-CN"/>
              </w:rPr>
              <w:t>（二）技术参数</w:t>
            </w:r>
          </w:p>
          <w:p w14:paraId="54AEBCA8">
            <w:pPr>
              <w:pStyle w:val="12"/>
              <w:widowControl w:val="0"/>
              <w:numPr>
                <w:ilvl w:val="0"/>
                <w:numId w:val="0"/>
              </w:numPr>
              <w:spacing w:before="0" w:after="120"/>
              <w:ind w:leftChars="0"/>
              <w:jc w:val="both"/>
              <w:rPr>
                <w:rFonts w:hint="default"/>
                <w:b w:val="0"/>
                <w:bCs w:val="0"/>
                <w:lang w:val="en-US" w:eastAsia="zh-CN"/>
              </w:rPr>
            </w:pPr>
            <w:r>
              <w:rPr>
                <w:rFonts w:hint="default"/>
                <w:b w:val="0"/>
                <w:bCs w:val="0"/>
                <w:lang w:val="en-US" w:eastAsia="zh-CN"/>
              </w:rPr>
              <w:t>1</w:t>
            </w:r>
            <w:r>
              <w:rPr>
                <w:rFonts w:hint="eastAsia"/>
                <w:b w:val="0"/>
                <w:bCs w:val="0"/>
                <w:lang w:val="en-US" w:eastAsia="zh-CN"/>
              </w:rPr>
              <w:t>、</w:t>
            </w:r>
            <w:r>
              <w:rPr>
                <w:rFonts w:hint="default"/>
                <w:b w:val="0"/>
                <w:bCs w:val="0"/>
                <w:lang w:val="en-US" w:eastAsia="zh-CN"/>
              </w:rPr>
              <w:t>适用于小儿、新生儿患者生命体征监测，支持点测或连续监测模式</w:t>
            </w:r>
            <w:r>
              <w:rPr>
                <w:rFonts w:hint="eastAsia"/>
                <w:b w:val="0"/>
                <w:bCs w:val="0"/>
                <w:lang w:val="en-US" w:eastAsia="zh-CN"/>
              </w:rPr>
              <w:t>。</w:t>
            </w:r>
          </w:p>
          <w:p w14:paraId="1E71F8D4">
            <w:pPr>
              <w:pStyle w:val="12"/>
              <w:widowControl w:val="0"/>
              <w:numPr>
                <w:ilvl w:val="0"/>
                <w:numId w:val="0"/>
              </w:numPr>
              <w:spacing w:before="0" w:after="120"/>
              <w:ind w:leftChars="0"/>
              <w:jc w:val="both"/>
              <w:rPr>
                <w:rFonts w:hint="default"/>
                <w:b w:val="0"/>
                <w:bCs w:val="0"/>
                <w:lang w:val="en-US" w:eastAsia="zh-CN"/>
              </w:rPr>
            </w:pPr>
            <w:r>
              <w:rPr>
                <w:rFonts w:hint="eastAsia" w:hAnsi="宋体"/>
                <w:b/>
                <w:bCs/>
                <w:color w:val="000000"/>
                <w:highlight w:val="none"/>
              </w:rPr>
              <w:t>▲</w:t>
            </w:r>
            <w:r>
              <w:rPr>
                <w:rFonts w:hint="default"/>
                <w:b w:val="0"/>
                <w:bCs w:val="0"/>
                <w:lang w:val="en-US" w:eastAsia="zh-CN"/>
              </w:rPr>
              <w:t>2</w:t>
            </w:r>
            <w:r>
              <w:rPr>
                <w:rFonts w:hint="eastAsia"/>
                <w:b w:val="0"/>
                <w:bCs w:val="0"/>
                <w:lang w:val="en-US" w:eastAsia="zh-CN"/>
              </w:rPr>
              <w:t>、</w:t>
            </w:r>
            <w:r>
              <w:rPr>
                <w:rFonts w:hint="default"/>
                <w:b w:val="0"/>
                <w:bCs w:val="0"/>
                <w:lang w:val="en-US" w:eastAsia="zh-CN"/>
              </w:rPr>
              <w:t>8英寸TFT彩色显示屏，1024x768分辨率，标配旋钮与按键操作，可选配触摸屏</w:t>
            </w:r>
            <w:r>
              <w:rPr>
                <w:rFonts w:hint="eastAsia"/>
                <w:b w:val="0"/>
                <w:bCs w:val="0"/>
                <w:lang w:val="en-US" w:eastAsia="zh-CN"/>
              </w:rPr>
              <w:t>。</w:t>
            </w:r>
          </w:p>
          <w:p w14:paraId="4B06C502">
            <w:pPr>
              <w:pStyle w:val="12"/>
              <w:widowControl w:val="0"/>
              <w:numPr>
                <w:ilvl w:val="0"/>
                <w:numId w:val="0"/>
              </w:numPr>
              <w:spacing w:before="0" w:after="120"/>
              <w:ind w:leftChars="0"/>
              <w:jc w:val="both"/>
              <w:rPr>
                <w:rFonts w:hint="default"/>
                <w:b w:val="0"/>
                <w:bCs w:val="0"/>
                <w:lang w:val="en-US" w:eastAsia="zh-CN"/>
              </w:rPr>
            </w:pPr>
            <w:r>
              <w:rPr>
                <w:rFonts w:hint="eastAsia" w:hAnsi="宋体"/>
                <w:b/>
                <w:bCs/>
                <w:color w:val="000000"/>
                <w:highlight w:val="none"/>
              </w:rPr>
              <w:t>▲</w:t>
            </w:r>
            <w:r>
              <w:rPr>
                <w:rFonts w:hint="default"/>
                <w:b w:val="0"/>
                <w:bCs w:val="0"/>
                <w:lang w:val="en-US" w:eastAsia="zh-CN"/>
              </w:rPr>
              <w:t>3</w:t>
            </w:r>
            <w:r>
              <w:rPr>
                <w:rFonts w:hint="eastAsia"/>
                <w:b w:val="0"/>
                <w:bCs w:val="0"/>
                <w:lang w:val="en-US" w:eastAsia="zh-CN"/>
              </w:rPr>
              <w:t>、</w:t>
            </w:r>
            <w:r>
              <w:rPr>
                <w:rFonts w:hint="default"/>
                <w:b w:val="0"/>
                <w:bCs w:val="0"/>
                <w:lang w:val="en-US" w:eastAsia="zh-CN"/>
              </w:rPr>
              <w:t>支持监测无创血压、血氧、脉搏、体温等参数，支持多达30个可定制的手输参数</w:t>
            </w:r>
            <w:r>
              <w:rPr>
                <w:rFonts w:hint="eastAsia"/>
                <w:b w:val="0"/>
                <w:bCs w:val="0"/>
                <w:lang w:val="en-US" w:eastAsia="zh-CN"/>
              </w:rPr>
              <w:t>。</w:t>
            </w:r>
          </w:p>
          <w:p w14:paraId="425F2073">
            <w:pPr>
              <w:pStyle w:val="12"/>
              <w:widowControl w:val="0"/>
              <w:numPr>
                <w:ilvl w:val="0"/>
                <w:numId w:val="0"/>
              </w:numPr>
              <w:spacing w:before="0" w:after="120"/>
              <w:ind w:leftChars="0"/>
              <w:jc w:val="both"/>
              <w:rPr>
                <w:rFonts w:hint="default"/>
                <w:b w:val="0"/>
                <w:bCs w:val="0"/>
                <w:lang w:val="en-US" w:eastAsia="zh-CN"/>
              </w:rPr>
            </w:pPr>
            <w:r>
              <w:rPr>
                <w:rFonts w:hint="eastAsia" w:hAnsi="宋体"/>
                <w:b/>
                <w:bCs/>
                <w:color w:val="000000"/>
                <w:highlight w:val="none"/>
              </w:rPr>
              <w:t>▲</w:t>
            </w:r>
            <w:r>
              <w:rPr>
                <w:rFonts w:hint="default"/>
                <w:b w:val="0"/>
                <w:bCs w:val="0"/>
                <w:lang w:val="en-US" w:eastAsia="zh-CN"/>
              </w:rPr>
              <w:t>4</w:t>
            </w:r>
            <w:r>
              <w:rPr>
                <w:rFonts w:hint="eastAsia"/>
                <w:b w:val="0"/>
                <w:bCs w:val="0"/>
                <w:lang w:val="en-US" w:eastAsia="zh-CN"/>
              </w:rPr>
              <w:t>、</w:t>
            </w:r>
            <w:r>
              <w:rPr>
                <w:rFonts w:hint="default"/>
                <w:b w:val="0"/>
                <w:bCs w:val="0"/>
                <w:lang w:val="en-US" w:eastAsia="zh-CN"/>
              </w:rPr>
              <w:t>无创血压测量支持充气测量，15秒内即可出值，支持血压平均值测量</w:t>
            </w:r>
            <w:r>
              <w:rPr>
                <w:rFonts w:hint="eastAsia"/>
                <w:b w:val="0"/>
                <w:bCs w:val="0"/>
                <w:lang w:val="en-US" w:eastAsia="zh-CN"/>
              </w:rPr>
              <w:t>。</w:t>
            </w:r>
          </w:p>
          <w:p w14:paraId="623CB1FE">
            <w:pPr>
              <w:pStyle w:val="12"/>
              <w:widowControl w:val="0"/>
              <w:numPr>
                <w:ilvl w:val="0"/>
                <w:numId w:val="0"/>
              </w:numPr>
              <w:spacing w:before="0" w:after="120"/>
              <w:ind w:leftChars="0"/>
              <w:jc w:val="both"/>
              <w:rPr>
                <w:rFonts w:hint="default"/>
                <w:b w:val="0"/>
                <w:bCs w:val="0"/>
                <w:lang w:val="en-US" w:eastAsia="zh-CN"/>
              </w:rPr>
            </w:pPr>
            <w:r>
              <w:rPr>
                <w:rFonts w:hint="default"/>
                <w:b w:val="0"/>
                <w:bCs w:val="0"/>
                <w:lang w:val="en-US" w:eastAsia="zh-CN"/>
              </w:rPr>
              <w:t>5</w:t>
            </w:r>
            <w:r>
              <w:rPr>
                <w:rFonts w:hint="eastAsia"/>
                <w:b w:val="0"/>
                <w:bCs w:val="0"/>
                <w:lang w:val="en-US" w:eastAsia="zh-CN"/>
              </w:rPr>
              <w:t>、</w:t>
            </w:r>
            <w:r>
              <w:rPr>
                <w:rFonts w:hint="default"/>
                <w:b w:val="0"/>
                <w:bCs w:val="0"/>
                <w:lang w:val="en-US" w:eastAsia="zh-CN"/>
              </w:rPr>
              <w:t>血氧测量可选配双通道血氧模块及双血氧附件包，提高工作效率</w:t>
            </w:r>
            <w:r>
              <w:rPr>
                <w:rFonts w:hint="eastAsia"/>
                <w:b w:val="0"/>
                <w:bCs w:val="0"/>
                <w:lang w:val="en-US" w:eastAsia="zh-CN"/>
              </w:rPr>
              <w:t>。</w:t>
            </w:r>
          </w:p>
          <w:p w14:paraId="65972693">
            <w:pPr>
              <w:pStyle w:val="12"/>
              <w:widowControl w:val="0"/>
              <w:numPr>
                <w:ilvl w:val="0"/>
                <w:numId w:val="0"/>
              </w:numPr>
              <w:spacing w:before="0" w:after="120"/>
              <w:ind w:leftChars="0"/>
              <w:jc w:val="both"/>
              <w:rPr>
                <w:rFonts w:hint="default"/>
                <w:b w:val="0"/>
                <w:bCs w:val="0"/>
                <w:lang w:val="en-US" w:eastAsia="zh-CN"/>
              </w:rPr>
            </w:pPr>
            <w:r>
              <w:rPr>
                <w:rFonts w:hint="eastAsia" w:hAnsi="宋体"/>
                <w:b/>
                <w:bCs/>
                <w:color w:val="000000"/>
                <w:highlight w:val="none"/>
              </w:rPr>
              <w:t>▲</w:t>
            </w:r>
            <w:r>
              <w:rPr>
                <w:rFonts w:hint="eastAsia"/>
                <w:b w:val="0"/>
                <w:bCs w:val="0"/>
                <w:lang w:val="en-US" w:eastAsia="zh-CN"/>
              </w:rPr>
              <w:t>6、</w:t>
            </w:r>
            <w:r>
              <w:rPr>
                <w:rFonts w:hint="default"/>
                <w:b w:val="0"/>
                <w:bCs w:val="0"/>
                <w:lang w:val="en-US" w:eastAsia="zh-CN"/>
              </w:rPr>
              <w:t>标配CCHD筛查工具，作为新生儿严重型先心病的有效筛查手段</w:t>
            </w:r>
            <w:r>
              <w:rPr>
                <w:rFonts w:hint="eastAsia"/>
                <w:b w:val="0"/>
                <w:bCs w:val="0"/>
                <w:lang w:val="en-US" w:eastAsia="zh-CN"/>
              </w:rPr>
              <w:t>。</w:t>
            </w:r>
          </w:p>
          <w:p w14:paraId="5D4B964D">
            <w:pPr>
              <w:pStyle w:val="12"/>
              <w:widowControl w:val="0"/>
              <w:numPr>
                <w:ilvl w:val="0"/>
                <w:numId w:val="0"/>
              </w:numPr>
              <w:spacing w:before="0" w:after="120"/>
              <w:ind w:leftChars="0"/>
              <w:jc w:val="both"/>
              <w:rPr>
                <w:rFonts w:hint="default"/>
                <w:b w:val="0"/>
                <w:bCs w:val="0"/>
                <w:lang w:val="en-US" w:eastAsia="zh-CN"/>
              </w:rPr>
            </w:pPr>
            <w:r>
              <w:rPr>
                <w:rFonts w:hint="eastAsia" w:hAnsi="宋体"/>
                <w:b/>
                <w:bCs/>
                <w:color w:val="000000"/>
                <w:highlight w:val="none"/>
              </w:rPr>
              <w:t>▲</w:t>
            </w:r>
            <w:r>
              <w:rPr>
                <w:rFonts w:hint="eastAsia"/>
                <w:b w:val="0"/>
                <w:bCs w:val="0"/>
                <w:lang w:val="en-US" w:eastAsia="zh-CN"/>
              </w:rPr>
              <w:t>7、</w:t>
            </w:r>
            <w:r>
              <w:rPr>
                <w:rFonts w:hint="default"/>
                <w:b w:val="0"/>
                <w:bCs w:val="0"/>
                <w:lang w:val="en-US" w:eastAsia="zh-CN"/>
              </w:rPr>
              <w:t>支持自定义工作模式，灵活调整应用科室、界面布局与参数设置，减少操作时间</w:t>
            </w:r>
            <w:r>
              <w:rPr>
                <w:rFonts w:hint="eastAsia"/>
                <w:b w:val="0"/>
                <w:bCs w:val="0"/>
                <w:lang w:val="en-US" w:eastAsia="zh-CN"/>
              </w:rPr>
              <w:t>。</w:t>
            </w:r>
          </w:p>
          <w:p w14:paraId="1179E03C">
            <w:pPr>
              <w:pStyle w:val="12"/>
              <w:widowControl w:val="0"/>
              <w:numPr>
                <w:ilvl w:val="0"/>
                <w:numId w:val="0"/>
              </w:numPr>
              <w:spacing w:before="0" w:after="120"/>
              <w:ind w:leftChars="0"/>
              <w:jc w:val="both"/>
              <w:rPr>
                <w:rFonts w:hint="default"/>
                <w:b w:val="0"/>
                <w:bCs w:val="0"/>
                <w:lang w:val="en-US" w:eastAsia="zh-CN"/>
              </w:rPr>
            </w:pPr>
            <w:r>
              <w:rPr>
                <w:rFonts w:hint="eastAsia"/>
                <w:b w:val="0"/>
                <w:bCs w:val="0"/>
                <w:lang w:val="en-US" w:eastAsia="zh-CN"/>
              </w:rPr>
              <w:t>8、</w:t>
            </w:r>
            <w:r>
              <w:rPr>
                <w:rFonts w:hint="default"/>
                <w:b w:val="0"/>
                <w:bCs w:val="0"/>
                <w:lang w:val="en-US" w:eastAsia="zh-CN"/>
              </w:rPr>
              <w:t>内置可充电锂电池，无需工具快速拆装，最高可支持不少于8小时供电，支持关机延迟</w:t>
            </w:r>
            <w:r>
              <w:rPr>
                <w:rFonts w:hint="eastAsia"/>
                <w:b w:val="0"/>
                <w:bCs w:val="0"/>
                <w:lang w:val="en-US" w:eastAsia="zh-CN"/>
              </w:rPr>
              <w:t>。</w:t>
            </w:r>
          </w:p>
          <w:p w14:paraId="5D6177AD">
            <w:pPr>
              <w:pStyle w:val="12"/>
              <w:widowControl w:val="0"/>
              <w:numPr>
                <w:ilvl w:val="0"/>
                <w:numId w:val="0"/>
              </w:numPr>
              <w:spacing w:before="0" w:after="120"/>
              <w:ind w:leftChars="0"/>
              <w:jc w:val="both"/>
              <w:rPr>
                <w:rFonts w:hint="default"/>
                <w:b w:val="0"/>
                <w:bCs w:val="0"/>
                <w:lang w:val="en-US" w:eastAsia="zh-CN"/>
              </w:rPr>
            </w:pPr>
            <w:r>
              <w:rPr>
                <w:rFonts w:hint="eastAsia"/>
                <w:b w:val="0"/>
                <w:bCs w:val="0"/>
                <w:lang w:val="en-US" w:eastAsia="zh-CN"/>
              </w:rPr>
              <w:t>9、</w:t>
            </w:r>
            <w:r>
              <w:rPr>
                <w:rFonts w:hint="default"/>
                <w:b w:val="0"/>
                <w:bCs w:val="0"/>
                <w:lang w:val="en-US" w:eastAsia="zh-CN"/>
              </w:rPr>
              <w:t>支持一维和二维扫描枪，通过USB 接口与监测仪相连</w:t>
            </w:r>
            <w:r>
              <w:rPr>
                <w:rFonts w:hint="eastAsia"/>
                <w:b w:val="0"/>
                <w:bCs w:val="0"/>
                <w:lang w:val="en-US" w:eastAsia="zh-CN"/>
              </w:rPr>
              <w:t>。</w:t>
            </w:r>
          </w:p>
          <w:p w14:paraId="777CC19B">
            <w:pPr>
              <w:pStyle w:val="12"/>
              <w:widowControl w:val="0"/>
              <w:numPr>
                <w:ilvl w:val="0"/>
                <w:numId w:val="0"/>
              </w:numPr>
              <w:spacing w:before="0" w:after="120"/>
              <w:ind w:leftChars="0"/>
              <w:jc w:val="both"/>
              <w:rPr>
                <w:rFonts w:hint="default"/>
                <w:b w:val="0"/>
                <w:bCs w:val="0"/>
                <w:lang w:val="en-US" w:eastAsia="zh-CN"/>
              </w:rPr>
            </w:pPr>
            <w:r>
              <w:rPr>
                <w:rFonts w:hint="eastAsia" w:hAnsi="宋体"/>
                <w:b/>
                <w:bCs/>
                <w:color w:val="000000"/>
                <w:highlight w:val="none"/>
              </w:rPr>
              <w:t>▲</w:t>
            </w:r>
            <w:r>
              <w:rPr>
                <w:rFonts w:hint="default"/>
                <w:b w:val="0"/>
                <w:bCs w:val="0"/>
                <w:lang w:val="en-US" w:eastAsia="zh-CN"/>
              </w:rPr>
              <w:t>1</w:t>
            </w:r>
            <w:r>
              <w:rPr>
                <w:rFonts w:hint="eastAsia"/>
                <w:b w:val="0"/>
                <w:bCs w:val="0"/>
                <w:lang w:val="en-US" w:eastAsia="zh-CN"/>
              </w:rPr>
              <w:t>0、</w:t>
            </w:r>
            <w:r>
              <w:rPr>
                <w:rFonts w:hint="default"/>
                <w:b w:val="0"/>
                <w:bCs w:val="0"/>
                <w:lang w:val="en-US" w:eastAsia="zh-CN"/>
              </w:rPr>
              <w:t xml:space="preserve">支持导入自定义EWS早期预警评分系统，提供疼痛评分模板并支持自定义 </w:t>
            </w:r>
            <w:r>
              <w:rPr>
                <w:rFonts w:hint="eastAsia"/>
                <w:b w:val="0"/>
                <w:bCs w:val="0"/>
                <w:lang w:val="en-US" w:eastAsia="zh-CN"/>
              </w:rPr>
              <w:t>。</w:t>
            </w:r>
          </w:p>
          <w:p w14:paraId="47B41847">
            <w:pPr>
              <w:pStyle w:val="12"/>
              <w:widowControl w:val="0"/>
              <w:numPr>
                <w:ilvl w:val="0"/>
                <w:numId w:val="0"/>
              </w:numPr>
              <w:spacing w:before="0" w:after="120"/>
              <w:ind w:leftChars="0"/>
              <w:jc w:val="both"/>
              <w:rPr>
                <w:rFonts w:hint="default"/>
                <w:b w:val="0"/>
                <w:bCs w:val="0"/>
                <w:lang w:val="en-US" w:eastAsia="zh-CN"/>
              </w:rPr>
            </w:pPr>
            <w:r>
              <w:rPr>
                <w:rFonts w:hint="default"/>
                <w:b w:val="0"/>
                <w:bCs w:val="0"/>
                <w:lang w:val="en-US" w:eastAsia="zh-CN"/>
              </w:rPr>
              <w:t>1</w:t>
            </w:r>
            <w:r>
              <w:rPr>
                <w:rFonts w:hint="eastAsia"/>
                <w:b w:val="0"/>
                <w:bCs w:val="0"/>
                <w:lang w:val="en-US" w:eastAsia="zh-CN"/>
              </w:rPr>
              <w:t>1、</w:t>
            </w:r>
            <w:r>
              <w:rPr>
                <w:rFonts w:hint="default"/>
                <w:b w:val="0"/>
                <w:bCs w:val="0"/>
                <w:lang w:val="en-US" w:eastAsia="zh-CN"/>
              </w:rPr>
              <w:t>最多支持200个事件回顾，点测模式最多支持5000组数据回顾，连续监测模式最多支持240小时数据回顾</w:t>
            </w:r>
            <w:r>
              <w:rPr>
                <w:rFonts w:hint="eastAsia"/>
                <w:b w:val="0"/>
                <w:bCs w:val="0"/>
                <w:lang w:val="en-US" w:eastAsia="zh-CN"/>
              </w:rPr>
              <w:t>。</w:t>
            </w:r>
          </w:p>
          <w:p w14:paraId="1407895A">
            <w:pPr>
              <w:pStyle w:val="12"/>
              <w:widowControl w:val="0"/>
              <w:numPr>
                <w:ilvl w:val="0"/>
                <w:numId w:val="0"/>
              </w:numPr>
              <w:spacing w:before="0" w:after="120"/>
              <w:ind w:leftChars="0"/>
              <w:jc w:val="both"/>
              <w:rPr>
                <w:rFonts w:hint="default"/>
                <w:b w:val="0"/>
                <w:bCs w:val="0"/>
                <w:lang w:val="en-US" w:eastAsia="zh-CN"/>
              </w:rPr>
            </w:pPr>
            <w:r>
              <w:rPr>
                <w:rFonts w:hint="default"/>
                <w:b w:val="0"/>
                <w:bCs w:val="0"/>
                <w:lang w:val="en-US" w:eastAsia="zh-CN"/>
              </w:rPr>
              <w:t>1</w:t>
            </w:r>
            <w:r>
              <w:rPr>
                <w:rFonts w:hint="eastAsia"/>
                <w:b w:val="0"/>
                <w:bCs w:val="0"/>
                <w:lang w:val="en-US" w:eastAsia="zh-CN"/>
              </w:rPr>
              <w:t>2、</w:t>
            </w:r>
            <w:r>
              <w:rPr>
                <w:rFonts w:hint="default"/>
                <w:b w:val="0"/>
                <w:bCs w:val="0"/>
                <w:lang w:val="en-US" w:eastAsia="zh-CN"/>
              </w:rPr>
              <w:t>可通过有线网络和无线网络无缝集成医院信息系统，通过HL7连接医院EMR系统</w:t>
            </w:r>
            <w:r>
              <w:rPr>
                <w:rFonts w:hint="eastAsia"/>
                <w:b w:val="0"/>
                <w:bCs w:val="0"/>
                <w:lang w:val="en-US" w:eastAsia="zh-CN"/>
              </w:rPr>
              <w:t>。</w:t>
            </w:r>
          </w:p>
          <w:p w14:paraId="309F0220">
            <w:pPr>
              <w:pStyle w:val="12"/>
              <w:widowControl w:val="0"/>
              <w:numPr>
                <w:ilvl w:val="0"/>
                <w:numId w:val="0"/>
              </w:numPr>
              <w:spacing w:before="0" w:after="120"/>
              <w:ind w:leftChars="0"/>
              <w:jc w:val="both"/>
              <w:rPr>
                <w:rFonts w:hint="default"/>
                <w:b w:val="0"/>
                <w:bCs w:val="0"/>
                <w:lang w:val="en-US" w:eastAsia="zh-CN"/>
              </w:rPr>
            </w:pPr>
            <w:r>
              <w:rPr>
                <w:rFonts w:hint="default"/>
                <w:b w:val="0"/>
                <w:bCs w:val="0"/>
                <w:lang w:val="en-US" w:eastAsia="zh-CN"/>
              </w:rPr>
              <w:t>1</w:t>
            </w:r>
            <w:r>
              <w:rPr>
                <w:rFonts w:hint="eastAsia"/>
                <w:b w:val="0"/>
                <w:bCs w:val="0"/>
                <w:lang w:val="en-US" w:eastAsia="zh-CN"/>
              </w:rPr>
              <w:t>3、</w:t>
            </w:r>
            <w:r>
              <w:rPr>
                <w:rFonts w:hint="default"/>
                <w:b w:val="0"/>
                <w:bCs w:val="0"/>
                <w:lang w:val="en-US" w:eastAsia="zh-CN"/>
              </w:rPr>
              <w:t>能够与中央监护站集成，同时查看连续监测与点测数据</w:t>
            </w:r>
            <w:r>
              <w:rPr>
                <w:rFonts w:hint="eastAsia"/>
                <w:b w:val="0"/>
                <w:bCs w:val="0"/>
                <w:lang w:val="en-US" w:eastAsia="zh-CN"/>
              </w:rPr>
              <w:t>。</w:t>
            </w:r>
          </w:p>
          <w:p w14:paraId="26707C56">
            <w:pPr>
              <w:pStyle w:val="12"/>
              <w:widowControl w:val="0"/>
              <w:numPr>
                <w:ilvl w:val="0"/>
                <w:numId w:val="0"/>
              </w:numPr>
              <w:spacing w:before="0" w:after="120"/>
              <w:ind w:leftChars="0"/>
              <w:jc w:val="both"/>
              <w:rPr>
                <w:rFonts w:hint="default"/>
                <w:b w:val="0"/>
                <w:bCs w:val="0"/>
                <w:lang w:val="en-US" w:eastAsia="zh-CN"/>
              </w:rPr>
            </w:pPr>
            <w:r>
              <w:rPr>
                <w:rFonts w:hint="default"/>
                <w:b w:val="0"/>
                <w:bCs w:val="0"/>
                <w:lang w:val="en-US" w:eastAsia="zh-CN"/>
              </w:rPr>
              <w:t>1</w:t>
            </w:r>
            <w:r>
              <w:rPr>
                <w:rFonts w:hint="eastAsia"/>
                <w:b w:val="0"/>
                <w:bCs w:val="0"/>
                <w:lang w:val="en-US" w:eastAsia="zh-CN"/>
              </w:rPr>
              <w:t>4、</w:t>
            </w:r>
            <w:r>
              <w:rPr>
                <w:rFonts w:hint="default"/>
                <w:b w:val="0"/>
                <w:bCs w:val="0"/>
                <w:lang w:val="en-US" w:eastAsia="zh-CN"/>
              </w:rPr>
              <w:t>支持设备在线维护，直观查看设备利用情况，最大限度地提高设备利用率</w:t>
            </w:r>
            <w:r>
              <w:rPr>
                <w:rFonts w:hint="eastAsia"/>
                <w:b w:val="0"/>
                <w:bCs w:val="0"/>
                <w:lang w:val="en-US" w:eastAsia="zh-CN"/>
              </w:rPr>
              <w:t>。</w:t>
            </w:r>
          </w:p>
          <w:p w14:paraId="39EE7270">
            <w:pPr>
              <w:pStyle w:val="12"/>
              <w:widowControl w:val="0"/>
              <w:numPr>
                <w:ilvl w:val="0"/>
                <w:numId w:val="0"/>
              </w:numPr>
              <w:spacing w:before="0" w:after="120"/>
              <w:ind w:leftChars="0"/>
              <w:jc w:val="both"/>
              <w:rPr>
                <w:rFonts w:hint="default"/>
                <w:b w:val="0"/>
                <w:bCs w:val="0"/>
                <w:lang w:val="en-US" w:eastAsia="zh-CN"/>
              </w:rPr>
            </w:pPr>
            <w:r>
              <w:rPr>
                <w:rFonts w:hint="eastAsia" w:hAnsi="宋体"/>
                <w:b/>
                <w:bCs/>
                <w:color w:val="000000"/>
                <w:highlight w:val="none"/>
              </w:rPr>
              <w:t>▲</w:t>
            </w:r>
            <w:r>
              <w:rPr>
                <w:rFonts w:hint="default"/>
                <w:b w:val="0"/>
                <w:bCs w:val="0"/>
                <w:lang w:val="en-US" w:eastAsia="zh-CN"/>
              </w:rPr>
              <w:t>1</w:t>
            </w:r>
            <w:r>
              <w:rPr>
                <w:rFonts w:hint="eastAsia"/>
                <w:b w:val="0"/>
                <w:bCs w:val="0"/>
                <w:lang w:val="en-US" w:eastAsia="zh-CN"/>
              </w:rPr>
              <w:t>5、</w:t>
            </w:r>
            <w:r>
              <w:rPr>
                <w:rFonts w:hint="default"/>
                <w:b w:val="0"/>
                <w:bCs w:val="0"/>
                <w:lang w:val="en-US" w:eastAsia="zh-CN"/>
              </w:rPr>
              <w:t>主机外壳采用无缝设计与优质选材，IPX2级防水，CF型防电击程度，支持多达51种清洁消毒剂，易于清洁消毒</w:t>
            </w:r>
            <w:r>
              <w:rPr>
                <w:rFonts w:hint="eastAsia"/>
                <w:b w:val="0"/>
                <w:bCs w:val="0"/>
                <w:lang w:val="en-US" w:eastAsia="zh-CN"/>
              </w:rPr>
              <w:t>。</w:t>
            </w:r>
          </w:p>
        </w:tc>
        <w:tc>
          <w:tcPr>
            <w:tcW w:w="1110" w:type="dxa"/>
            <w:tcBorders>
              <w:top w:val="single" w:color="auto" w:sz="4" w:space="0"/>
              <w:left w:val="single" w:color="auto" w:sz="4" w:space="0"/>
              <w:right w:val="single" w:color="auto" w:sz="4" w:space="0"/>
            </w:tcBorders>
            <w:noWrap w:val="0"/>
            <w:vAlign w:val="center"/>
          </w:tcPr>
          <w:p w14:paraId="6EBB7D06">
            <w:pPr>
              <w:spacing w:line="36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40</w:t>
            </w:r>
          </w:p>
        </w:tc>
        <w:tc>
          <w:tcPr>
            <w:tcW w:w="1331" w:type="dxa"/>
            <w:tcBorders>
              <w:top w:val="single" w:color="auto" w:sz="4" w:space="0"/>
              <w:left w:val="single" w:color="auto" w:sz="4" w:space="0"/>
            </w:tcBorders>
            <w:noWrap w:val="0"/>
            <w:vAlign w:val="center"/>
          </w:tcPr>
          <w:p w14:paraId="0952AA29">
            <w:pPr>
              <w:spacing w:line="36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39.5</w:t>
            </w:r>
          </w:p>
        </w:tc>
      </w:tr>
      <w:tr w14:paraId="22DCD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9969" w:type="dxa"/>
            <w:gridSpan w:val="7"/>
            <w:noWrap/>
            <w:vAlign w:val="center"/>
          </w:tcPr>
          <w:p w14:paraId="1FAF3451">
            <w:pPr>
              <w:rPr>
                <w:rFonts w:hint="eastAsia" w:ascii="宋体" w:hAnsi="宋体" w:cs="宋体"/>
              </w:rPr>
            </w:pPr>
            <w:r>
              <w:rPr>
                <w:rFonts w:hint="eastAsia" w:ascii="宋体" w:hAnsi="宋体" w:cs="宋体"/>
              </w:rPr>
              <w:t>一、</w:t>
            </w:r>
            <w:r>
              <w:rPr>
                <w:rFonts w:hint="eastAsia" w:ascii="宋体" w:hAnsi="宋体" w:cs="宋体"/>
                <w:b/>
              </w:rPr>
              <w:t>商务要求</w:t>
            </w:r>
          </w:p>
        </w:tc>
      </w:tr>
      <w:tr w14:paraId="3D57C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1342" w:type="dxa"/>
            <w:gridSpan w:val="2"/>
            <w:noWrap/>
            <w:vAlign w:val="center"/>
          </w:tcPr>
          <w:p w14:paraId="5223C3DA">
            <w:pPr>
              <w:tabs>
                <w:tab w:val="left" w:pos="540"/>
              </w:tabs>
              <w:spacing w:line="360" w:lineRule="auto"/>
              <w:jc w:val="center"/>
              <w:rPr>
                <w:rFonts w:hint="eastAsia" w:ascii="宋体" w:hAnsi="宋体" w:cs="宋体"/>
              </w:rPr>
            </w:pPr>
            <w:r>
              <w:rPr>
                <w:rFonts w:hint="eastAsia" w:ascii="宋体" w:hAnsi="宋体" w:cs="宋体"/>
                <w:bCs/>
                <w:color w:val="000000"/>
                <w:szCs w:val="21"/>
              </w:rPr>
              <w:t>质量标准：</w:t>
            </w:r>
          </w:p>
        </w:tc>
        <w:tc>
          <w:tcPr>
            <w:tcW w:w="8627" w:type="dxa"/>
            <w:gridSpan w:val="5"/>
            <w:noWrap/>
            <w:vAlign w:val="top"/>
          </w:tcPr>
          <w:p w14:paraId="367200BC">
            <w:pPr>
              <w:spacing w:line="360" w:lineRule="auto"/>
              <w:jc w:val="left"/>
              <w:rPr>
                <w:rFonts w:hint="eastAsia" w:ascii="宋体" w:hAnsi="宋体" w:cs="宋体"/>
                <w:color w:val="000000"/>
                <w:szCs w:val="21"/>
              </w:rPr>
            </w:pPr>
            <w:r>
              <w:rPr>
                <w:rFonts w:hint="eastAsia" w:ascii="宋体" w:hAnsi="宋体" w:cs="宋体"/>
                <w:color w:val="000000"/>
                <w:szCs w:val="21"/>
              </w:rPr>
              <w:t>1、竞标产品需符合采购文件规定的质量、规格和性能的要求，采购文件未提及的部分，按照国家有关标准执行，没有国家标准的，</w:t>
            </w:r>
            <w:r>
              <w:rPr>
                <w:rFonts w:hint="eastAsia" w:ascii="宋体" w:hAnsi="宋体" w:cs="宋体"/>
                <w:color w:val="000000"/>
                <w:szCs w:val="21"/>
                <w:lang w:eastAsia="zh-CN"/>
              </w:rPr>
              <w:t>按照</w:t>
            </w:r>
            <w:r>
              <w:rPr>
                <w:rFonts w:hint="eastAsia" w:ascii="宋体" w:hAnsi="宋体" w:cs="宋体"/>
                <w:color w:val="000000"/>
                <w:szCs w:val="21"/>
              </w:rPr>
              <w:t>行业标准和厂家标准；</w:t>
            </w:r>
          </w:p>
          <w:p w14:paraId="0DB9523F">
            <w:pPr>
              <w:spacing w:line="360" w:lineRule="auto"/>
              <w:jc w:val="left"/>
              <w:rPr>
                <w:rFonts w:hint="eastAsia" w:ascii="宋体" w:hAnsi="宋体" w:cs="宋体"/>
              </w:rPr>
            </w:pPr>
            <w:r>
              <w:rPr>
                <w:rFonts w:hint="eastAsia" w:ascii="宋体" w:hAnsi="宋体" w:cs="宋体"/>
                <w:color w:val="000000"/>
                <w:szCs w:val="21"/>
              </w:rPr>
              <w:t>2、竞标人应保证所提供的货物是最近生产的、全新、未经使用过的出厂原装合格产品。</w:t>
            </w:r>
          </w:p>
        </w:tc>
      </w:tr>
      <w:tr w14:paraId="71588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1342" w:type="dxa"/>
            <w:gridSpan w:val="2"/>
            <w:noWrap/>
            <w:vAlign w:val="center"/>
          </w:tcPr>
          <w:p w14:paraId="29FCFA40">
            <w:pPr>
              <w:spacing w:line="360" w:lineRule="auto"/>
              <w:jc w:val="center"/>
              <w:rPr>
                <w:rFonts w:hint="eastAsia" w:ascii="宋体" w:hAnsi="宋体" w:cs="宋体"/>
              </w:rPr>
            </w:pPr>
            <w:r>
              <w:rPr>
                <w:rFonts w:hint="eastAsia" w:ascii="宋体" w:hAnsi="宋体" w:cs="宋体"/>
              </w:rPr>
              <w:t>交货期：</w:t>
            </w:r>
          </w:p>
        </w:tc>
        <w:tc>
          <w:tcPr>
            <w:tcW w:w="8627" w:type="dxa"/>
            <w:gridSpan w:val="5"/>
            <w:noWrap/>
            <w:vAlign w:val="center"/>
          </w:tcPr>
          <w:p w14:paraId="5F0D8879">
            <w:pPr>
              <w:spacing w:line="360" w:lineRule="auto"/>
              <w:rPr>
                <w:rFonts w:hint="eastAsia" w:ascii="宋体" w:hAnsi="宋体" w:cs="宋体"/>
                <w:color w:val="auto"/>
              </w:rPr>
            </w:pPr>
            <w:r>
              <w:rPr>
                <w:rFonts w:hint="eastAsia" w:ascii="宋体" w:hAnsi="宋体" w:cs="宋体"/>
                <w:color w:val="auto"/>
              </w:rPr>
              <w:t>自签订合同之日起</w:t>
            </w:r>
            <w:r>
              <w:rPr>
                <w:rFonts w:hint="eastAsia" w:ascii="宋体" w:hAnsi="宋体" w:cs="宋体"/>
                <w:color w:val="auto"/>
                <w:highlight w:val="none"/>
                <w:lang w:val="en-US" w:eastAsia="zh-CN"/>
              </w:rPr>
              <w:t>60</w:t>
            </w:r>
            <w:r>
              <w:rPr>
                <w:rFonts w:hint="eastAsia" w:ascii="宋体" w:hAnsi="宋体" w:cs="宋体"/>
                <w:color w:val="auto"/>
                <w:highlight w:val="none"/>
              </w:rPr>
              <w:t>个</w:t>
            </w:r>
            <w:r>
              <w:rPr>
                <w:rFonts w:hint="eastAsia" w:ascii="宋体" w:hAnsi="宋体" w:cs="宋体"/>
                <w:color w:val="auto"/>
              </w:rPr>
              <w:t>日历日内交付使用。</w:t>
            </w:r>
          </w:p>
        </w:tc>
      </w:tr>
      <w:tr w14:paraId="0FBAA6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1342" w:type="dxa"/>
            <w:gridSpan w:val="2"/>
            <w:noWrap/>
            <w:vAlign w:val="center"/>
          </w:tcPr>
          <w:p w14:paraId="332A9C6F">
            <w:pPr>
              <w:spacing w:line="360" w:lineRule="auto"/>
              <w:jc w:val="center"/>
              <w:rPr>
                <w:rFonts w:hint="eastAsia" w:ascii="宋体" w:hAnsi="宋体" w:cs="宋体"/>
              </w:rPr>
            </w:pPr>
            <w:r>
              <w:rPr>
                <w:rFonts w:hint="eastAsia" w:ascii="宋体" w:hAnsi="宋体" w:cs="宋体"/>
              </w:rPr>
              <w:t>交货地点：</w:t>
            </w:r>
          </w:p>
        </w:tc>
        <w:tc>
          <w:tcPr>
            <w:tcW w:w="8627" w:type="dxa"/>
            <w:gridSpan w:val="5"/>
            <w:noWrap/>
            <w:vAlign w:val="center"/>
          </w:tcPr>
          <w:p w14:paraId="749FB9BC">
            <w:pPr>
              <w:spacing w:line="360" w:lineRule="auto"/>
              <w:rPr>
                <w:rFonts w:hint="eastAsia" w:ascii="宋体" w:hAnsi="宋体" w:cs="宋体"/>
                <w:color w:val="auto"/>
              </w:rPr>
            </w:pPr>
            <w:r>
              <w:rPr>
                <w:rFonts w:hint="eastAsia" w:ascii="宋体" w:hAnsi="宋体" w:cs="宋体"/>
                <w:color w:val="auto"/>
              </w:rPr>
              <w:t>钦州市第一人民医院内指定位置。</w:t>
            </w:r>
          </w:p>
        </w:tc>
      </w:tr>
      <w:tr w14:paraId="4C3C4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trPr>
        <w:tc>
          <w:tcPr>
            <w:tcW w:w="1342" w:type="dxa"/>
            <w:gridSpan w:val="2"/>
            <w:noWrap/>
            <w:vAlign w:val="center"/>
          </w:tcPr>
          <w:p w14:paraId="0ABD9E8C">
            <w:pPr>
              <w:spacing w:line="360" w:lineRule="auto"/>
              <w:jc w:val="center"/>
              <w:rPr>
                <w:rFonts w:hint="eastAsia" w:ascii="宋体" w:hAnsi="宋体" w:cs="宋体"/>
                <w:spacing w:val="7"/>
              </w:rPr>
            </w:pPr>
            <w:r>
              <w:rPr>
                <w:rFonts w:hint="eastAsia" w:ascii="宋体" w:hAnsi="宋体" w:cs="宋体"/>
                <w:spacing w:val="7"/>
              </w:rPr>
              <w:t>合同签订时间：</w:t>
            </w:r>
          </w:p>
        </w:tc>
        <w:tc>
          <w:tcPr>
            <w:tcW w:w="8627" w:type="dxa"/>
            <w:gridSpan w:val="5"/>
            <w:noWrap/>
            <w:vAlign w:val="center"/>
          </w:tcPr>
          <w:p w14:paraId="1EA1BDCB">
            <w:pPr>
              <w:spacing w:line="360" w:lineRule="auto"/>
              <w:rPr>
                <w:rFonts w:hint="eastAsia" w:ascii="宋体" w:hAnsi="宋体" w:cs="宋体"/>
                <w:color w:val="auto"/>
                <w:highlight w:val="none"/>
              </w:rPr>
            </w:pPr>
            <w:r>
              <w:rPr>
                <w:rFonts w:hint="eastAsia" w:ascii="宋体" w:hAnsi="宋体" w:cs="宋体"/>
                <w:color w:val="auto"/>
                <w:highlight w:val="none"/>
              </w:rPr>
              <w:t xml:space="preserve">成交通知书发出之日起 </w:t>
            </w:r>
            <w:r>
              <w:rPr>
                <w:rFonts w:ascii="宋体" w:hAnsi="宋体" w:cs="宋体"/>
                <w:color w:val="auto"/>
                <w:highlight w:val="none"/>
              </w:rPr>
              <w:t>2</w:t>
            </w:r>
            <w:r>
              <w:rPr>
                <w:rFonts w:hint="eastAsia" w:ascii="宋体" w:hAnsi="宋体" w:cs="宋体"/>
                <w:color w:val="auto"/>
                <w:highlight w:val="none"/>
              </w:rPr>
              <w:t>5 日历天内签订合同。</w:t>
            </w:r>
          </w:p>
        </w:tc>
      </w:tr>
      <w:tr w14:paraId="5FC66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342" w:type="dxa"/>
            <w:gridSpan w:val="2"/>
            <w:noWrap/>
            <w:vAlign w:val="center"/>
          </w:tcPr>
          <w:p w14:paraId="228077C5">
            <w:pPr>
              <w:spacing w:line="360" w:lineRule="auto"/>
              <w:jc w:val="center"/>
              <w:rPr>
                <w:rFonts w:hint="eastAsia" w:ascii="宋体" w:hAnsi="宋体" w:cs="宋体"/>
                <w:spacing w:val="9"/>
              </w:rPr>
            </w:pPr>
            <w:r>
              <w:rPr>
                <w:rFonts w:hint="eastAsia" w:ascii="宋体" w:hAnsi="宋体" w:cs="宋体"/>
                <w:spacing w:val="6"/>
              </w:rPr>
              <w:t>付款方式：</w:t>
            </w:r>
          </w:p>
        </w:tc>
        <w:tc>
          <w:tcPr>
            <w:tcW w:w="8627" w:type="dxa"/>
            <w:gridSpan w:val="5"/>
            <w:noWrap/>
            <w:vAlign w:val="center"/>
          </w:tcPr>
          <w:p w14:paraId="09D055C0">
            <w:pPr>
              <w:spacing w:line="360" w:lineRule="auto"/>
              <w:rPr>
                <w:rFonts w:hint="eastAsia" w:ascii="宋体" w:hAnsi="宋体" w:cs="宋体"/>
                <w:color w:val="auto"/>
                <w:highlight w:val="none"/>
              </w:rPr>
            </w:pPr>
            <w:r>
              <w:rPr>
                <w:rFonts w:hint="eastAsia" w:ascii="宋体" w:hAnsi="宋体" w:cs="宋体"/>
                <w:b w:val="0"/>
                <w:bCs w:val="0"/>
                <w:color w:val="auto"/>
                <w:highlight w:val="none"/>
              </w:rPr>
              <w:t>采购人、</w:t>
            </w:r>
            <w:r>
              <w:rPr>
                <w:rFonts w:hint="eastAsia" w:ascii="宋体" w:hAnsi="宋体" w:cs="宋体"/>
                <w:b w:val="0"/>
                <w:bCs w:val="0"/>
                <w:color w:val="auto"/>
                <w:highlight w:val="none"/>
                <w:lang w:val="en-US" w:eastAsia="zh-CN"/>
              </w:rPr>
              <w:t>成交</w:t>
            </w:r>
            <w:r>
              <w:rPr>
                <w:rFonts w:hint="eastAsia" w:ascii="宋体" w:hAnsi="宋体" w:cs="宋体"/>
                <w:b w:val="0"/>
                <w:bCs w:val="0"/>
                <w:color w:val="auto"/>
                <w:highlight w:val="none"/>
              </w:rPr>
              <w:t>供应商双方签订合同后，送货到采购人指定地点安装调试验收合格后</w:t>
            </w:r>
            <w:r>
              <w:rPr>
                <w:rFonts w:hint="eastAsia" w:ascii="宋体" w:hAnsi="宋体" w:cs="宋体"/>
                <w:b w:val="0"/>
                <w:bCs w:val="0"/>
                <w:color w:val="auto"/>
                <w:highlight w:val="none"/>
                <w:lang w:val="en-US" w:eastAsia="zh-CN"/>
              </w:rPr>
              <w:t>成交</w:t>
            </w:r>
            <w:r>
              <w:rPr>
                <w:rFonts w:hint="eastAsia" w:ascii="宋体" w:hAnsi="宋体" w:cs="宋体"/>
                <w:b w:val="0"/>
                <w:bCs w:val="0"/>
                <w:color w:val="auto"/>
                <w:highlight w:val="none"/>
              </w:rPr>
              <w:t>供应商开具全额发票，采购人即付合同金额的30%给</w:t>
            </w:r>
            <w:r>
              <w:rPr>
                <w:rFonts w:hint="eastAsia" w:ascii="宋体" w:hAnsi="宋体" w:cs="宋体"/>
                <w:b w:val="0"/>
                <w:bCs w:val="0"/>
                <w:color w:val="auto"/>
                <w:highlight w:val="none"/>
                <w:lang w:val="en-US" w:eastAsia="zh-CN"/>
              </w:rPr>
              <w:t>成交</w:t>
            </w:r>
            <w:r>
              <w:rPr>
                <w:rFonts w:hint="eastAsia" w:ascii="宋体" w:hAnsi="宋体" w:cs="宋体"/>
                <w:b w:val="0"/>
                <w:bCs w:val="0"/>
                <w:color w:val="auto"/>
                <w:highlight w:val="none"/>
              </w:rPr>
              <w:t>供应商，第二笔款在验收后6个月支付35%给</w:t>
            </w:r>
            <w:r>
              <w:rPr>
                <w:rFonts w:hint="eastAsia" w:ascii="宋体" w:hAnsi="宋体" w:cs="宋体"/>
                <w:b w:val="0"/>
                <w:bCs w:val="0"/>
                <w:color w:val="auto"/>
                <w:highlight w:val="none"/>
                <w:lang w:val="en-US" w:eastAsia="zh-CN"/>
              </w:rPr>
              <w:t>成交</w:t>
            </w:r>
            <w:r>
              <w:rPr>
                <w:rFonts w:hint="eastAsia" w:ascii="宋体" w:hAnsi="宋体" w:cs="宋体"/>
                <w:b w:val="0"/>
                <w:bCs w:val="0"/>
                <w:color w:val="auto"/>
                <w:highlight w:val="none"/>
              </w:rPr>
              <w:t>供应商，第三笔款在验收后9个月支付30%给</w:t>
            </w:r>
            <w:r>
              <w:rPr>
                <w:rFonts w:hint="eastAsia" w:ascii="宋体" w:hAnsi="宋体" w:cs="宋体"/>
                <w:b w:val="0"/>
                <w:bCs w:val="0"/>
                <w:color w:val="auto"/>
                <w:highlight w:val="none"/>
                <w:lang w:val="en-US" w:eastAsia="zh-CN"/>
              </w:rPr>
              <w:t>成交</w:t>
            </w:r>
            <w:r>
              <w:rPr>
                <w:rFonts w:hint="eastAsia" w:ascii="宋体" w:hAnsi="宋体" w:cs="宋体"/>
                <w:b w:val="0"/>
                <w:bCs w:val="0"/>
                <w:color w:val="auto"/>
                <w:highlight w:val="none"/>
              </w:rPr>
              <w:t>供应商，第四笔由采购人在质保期满即向</w:t>
            </w:r>
            <w:r>
              <w:rPr>
                <w:rFonts w:hint="eastAsia" w:ascii="宋体" w:hAnsi="宋体" w:cs="宋体"/>
                <w:b w:val="0"/>
                <w:bCs w:val="0"/>
                <w:color w:val="auto"/>
                <w:highlight w:val="none"/>
                <w:lang w:val="en-US" w:eastAsia="zh-CN"/>
              </w:rPr>
              <w:t>成交</w:t>
            </w:r>
            <w:r>
              <w:rPr>
                <w:rFonts w:hint="eastAsia" w:ascii="宋体" w:hAnsi="宋体" w:cs="宋体"/>
                <w:b w:val="0"/>
                <w:bCs w:val="0"/>
                <w:color w:val="auto"/>
                <w:highlight w:val="none"/>
              </w:rPr>
              <w:t>供应商支付合同总金额的5%尾款。（包括银行转账和其他融资方式支付；特殊设备除外，具体以双方协商为准）</w:t>
            </w:r>
          </w:p>
        </w:tc>
      </w:tr>
      <w:tr w14:paraId="696D8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5" w:hRule="atLeast"/>
        </w:trPr>
        <w:tc>
          <w:tcPr>
            <w:tcW w:w="1342" w:type="dxa"/>
            <w:gridSpan w:val="2"/>
            <w:tcBorders>
              <w:bottom w:val="single" w:color="auto" w:sz="4" w:space="0"/>
            </w:tcBorders>
            <w:noWrap/>
            <w:vAlign w:val="center"/>
          </w:tcPr>
          <w:p w14:paraId="593971D1">
            <w:pPr>
              <w:spacing w:line="360" w:lineRule="auto"/>
              <w:jc w:val="center"/>
              <w:rPr>
                <w:rFonts w:hint="eastAsia" w:ascii="宋体" w:hAnsi="宋体" w:cs="宋体"/>
                <w:spacing w:val="9"/>
              </w:rPr>
            </w:pPr>
            <w:r>
              <w:rPr>
                <w:rFonts w:hint="eastAsia" w:ascii="宋体" w:hAnsi="宋体" w:cs="宋体"/>
                <w:spacing w:val="9"/>
              </w:rPr>
              <w:t>基本服务要求：</w:t>
            </w:r>
          </w:p>
        </w:tc>
        <w:tc>
          <w:tcPr>
            <w:tcW w:w="8627" w:type="dxa"/>
            <w:gridSpan w:val="5"/>
            <w:tcBorders>
              <w:bottom w:val="single" w:color="auto" w:sz="4" w:space="0"/>
            </w:tcBorders>
            <w:noWrap/>
            <w:vAlign w:val="center"/>
          </w:tcPr>
          <w:p w14:paraId="4B0ECDEA">
            <w:pPr>
              <w:spacing w:line="360" w:lineRule="auto"/>
              <w:rPr>
                <w:rFonts w:hint="eastAsia" w:ascii="宋体" w:hAnsi="宋体" w:cs="宋体"/>
                <w:color w:val="0C0C0C"/>
              </w:rPr>
            </w:pPr>
            <w:r>
              <w:rPr>
                <w:rFonts w:hint="eastAsia" w:ascii="宋体" w:hAnsi="宋体" w:cs="宋体"/>
                <w:color w:val="0C0C0C"/>
              </w:rPr>
              <w:t>1、售后技术服务要求：</w:t>
            </w:r>
          </w:p>
          <w:p w14:paraId="61FAC95C">
            <w:pPr>
              <w:spacing w:line="360" w:lineRule="auto"/>
              <w:rPr>
                <w:rFonts w:hint="eastAsia" w:ascii="宋体" w:hAnsi="宋体" w:cs="宋体"/>
                <w:color w:val="0C0C0C"/>
              </w:rPr>
            </w:pPr>
            <w:r>
              <w:rPr>
                <w:rFonts w:hint="eastAsia" w:ascii="宋体" w:hAnsi="宋体" w:cs="宋体"/>
                <w:color w:val="0C0C0C"/>
              </w:rPr>
              <w:t>1</w:t>
            </w:r>
            <w:r>
              <w:rPr>
                <w:rFonts w:hint="eastAsia" w:ascii="宋体" w:hAnsi="宋体" w:cs="宋体"/>
                <w:color w:val="0C0C0C"/>
                <w:lang w:eastAsia="zh-CN"/>
              </w:rPr>
              <w:t>）</w:t>
            </w:r>
            <w:r>
              <w:rPr>
                <w:rFonts w:hint="eastAsia" w:ascii="宋体" w:hAnsi="宋体" w:cs="宋体"/>
                <w:color w:val="0C0C0C"/>
              </w:rPr>
              <w:t>产品按国家有关规定或厂家承诺实行“三包”，产品质保期除特别注明外，最短不少于1年（自货物验收合格之日起计算），设备保修期内</w:t>
            </w:r>
            <w:r>
              <w:rPr>
                <w:rFonts w:hint="eastAsia" w:ascii="宋体" w:hAnsi="宋体" w:cs="宋体"/>
                <w:color w:val="0C0C0C"/>
                <w:lang w:val="en-US" w:eastAsia="zh-CN"/>
              </w:rPr>
              <w:t>累计出现15日及以上的</w:t>
            </w:r>
            <w:r>
              <w:rPr>
                <w:rFonts w:hint="eastAsia" w:ascii="宋体" w:hAnsi="宋体" w:cs="宋体"/>
                <w:color w:val="0C0C0C"/>
              </w:rPr>
              <w:t>停机或设备故障的，采购单位有权要求成交供应商退货或更换新机器，所产</w:t>
            </w:r>
            <w:r>
              <w:rPr>
                <w:rFonts w:hint="eastAsia" w:ascii="宋体" w:hAnsi="宋体" w:cs="宋体"/>
                <w:color w:val="0C0C0C"/>
                <w:lang w:eastAsia="zh-CN"/>
              </w:rPr>
              <w:t>生的</w:t>
            </w:r>
            <w:r>
              <w:rPr>
                <w:rFonts w:hint="eastAsia" w:ascii="宋体" w:hAnsi="宋体" w:cs="宋体"/>
                <w:color w:val="0C0C0C"/>
              </w:rPr>
              <w:t>所有费用由成交供应商承担。质保期内全免费上门维修、免费更换零部件；质保期过后提供终身维护。厂家售后服务承诺函承诺更长质保期的，以承诺函为准。竞标人所提供的货物使用年限原则上不得少于</w:t>
            </w:r>
            <w:r>
              <w:rPr>
                <w:rFonts w:hint="eastAsia" w:ascii="宋体" w:hAnsi="宋体" w:cs="宋体"/>
                <w:color w:val="0C0C0C"/>
                <w:lang w:val="en-US" w:eastAsia="zh-CN"/>
              </w:rPr>
              <w:t>5</w:t>
            </w:r>
            <w:r>
              <w:rPr>
                <w:rFonts w:hint="eastAsia" w:ascii="宋体" w:hAnsi="宋体" w:cs="宋体"/>
                <w:color w:val="0C0C0C"/>
              </w:rPr>
              <w:t>年，竞标人应保证所提供的货物生产日期应为签订合同前8个月内生产的、是全新、未经使用过的出厂原装合格产品，如货物无法达到以上要求的，经与采购人协商同意后，此项不影响正常的货物验收。</w:t>
            </w:r>
          </w:p>
          <w:p w14:paraId="760DF5B6">
            <w:pPr>
              <w:spacing w:line="360" w:lineRule="auto"/>
              <w:rPr>
                <w:rFonts w:hint="eastAsia" w:ascii="宋体" w:hAnsi="宋体" w:cs="宋体"/>
                <w:color w:val="0C0C0C"/>
              </w:rPr>
            </w:pPr>
            <w:r>
              <w:rPr>
                <w:rFonts w:hint="eastAsia" w:ascii="宋体" w:hAnsi="宋体" w:cs="宋体"/>
                <w:color w:val="0C0C0C"/>
              </w:rPr>
              <w:t>2</w:t>
            </w:r>
            <w:r>
              <w:rPr>
                <w:rFonts w:hint="eastAsia" w:ascii="宋体" w:hAnsi="宋体" w:cs="宋体"/>
                <w:color w:val="0C0C0C"/>
                <w:lang w:eastAsia="zh-CN"/>
              </w:rPr>
              <w:t>）</w:t>
            </w:r>
            <w:r>
              <w:rPr>
                <w:rFonts w:hint="eastAsia" w:ascii="宋体" w:hAnsi="宋体" w:cs="宋体"/>
                <w:color w:val="0C0C0C"/>
              </w:rPr>
              <w:t>随时优惠提供备品备件，优惠提供产品更新、改造服务。</w:t>
            </w:r>
          </w:p>
          <w:p w14:paraId="69233190">
            <w:pPr>
              <w:spacing w:line="360" w:lineRule="auto"/>
              <w:rPr>
                <w:rFonts w:hint="eastAsia" w:ascii="宋体" w:hAnsi="宋体" w:cs="宋体"/>
                <w:color w:val="0C0C0C"/>
              </w:rPr>
            </w:pPr>
            <w:r>
              <w:rPr>
                <w:rFonts w:hint="eastAsia" w:ascii="宋体" w:hAnsi="宋体" w:cs="宋体"/>
                <w:color w:val="0C0C0C"/>
              </w:rPr>
              <w:t>3</w:t>
            </w:r>
            <w:r>
              <w:rPr>
                <w:rFonts w:hint="eastAsia" w:ascii="宋体" w:hAnsi="宋体" w:cs="宋体"/>
                <w:color w:val="0C0C0C"/>
                <w:lang w:eastAsia="zh-CN"/>
              </w:rPr>
              <w:t>）</w:t>
            </w:r>
            <w:r>
              <w:rPr>
                <w:rFonts w:hint="eastAsia" w:ascii="宋体" w:hAnsi="宋体" w:cs="宋体"/>
                <w:color w:val="0C0C0C"/>
              </w:rPr>
              <w:t>故障处理：接到故障信息后应立即作出详细的故障处理方案并在48小时内到达用户现场，按国家及行业标准对故障进行及时处理。</w:t>
            </w:r>
          </w:p>
          <w:p w14:paraId="08F49DF3">
            <w:pPr>
              <w:spacing w:line="360" w:lineRule="auto"/>
              <w:rPr>
                <w:rFonts w:hint="eastAsia" w:ascii="宋体" w:hAnsi="宋体" w:cs="宋体"/>
                <w:color w:val="0C0C0C"/>
              </w:rPr>
            </w:pPr>
            <w:r>
              <w:rPr>
                <w:rFonts w:hint="eastAsia" w:ascii="宋体" w:hAnsi="宋体" w:cs="宋体"/>
                <w:color w:val="0C0C0C"/>
              </w:rPr>
              <w:t>4）设备如需接入医院HIS、LIS、PACS系统或互联互通平台，相关费用由成交人负责。</w:t>
            </w:r>
          </w:p>
          <w:p w14:paraId="5C723490">
            <w:pPr>
              <w:spacing w:line="360" w:lineRule="auto"/>
              <w:rPr>
                <w:rFonts w:hint="eastAsia" w:ascii="宋体" w:hAnsi="宋体" w:cs="宋体"/>
                <w:color w:val="0C0C0C"/>
              </w:rPr>
            </w:pPr>
            <w:r>
              <w:rPr>
                <w:rFonts w:hint="eastAsia" w:ascii="宋体" w:hAnsi="宋体" w:cs="宋体"/>
                <w:color w:val="0C0C0C"/>
              </w:rPr>
              <w:t>2、竞标报价为采购人指定地点的现场交货价，包括：</w:t>
            </w:r>
          </w:p>
          <w:p w14:paraId="64996A72">
            <w:pPr>
              <w:spacing w:line="360" w:lineRule="auto"/>
              <w:rPr>
                <w:rFonts w:hint="eastAsia" w:ascii="宋体" w:hAnsi="宋体" w:cs="宋体"/>
                <w:color w:val="0C0C0C"/>
              </w:rPr>
            </w:pPr>
            <w:r>
              <w:rPr>
                <w:rFonts w:hint="eastAsia" w:ascii="宋体" w:hAnsi="宋体" w:cs="宋体"/>
                <w:color w:val="0C0C0C"/>
              </w:rPr>
              <w:t>1</w:t>
            </w:r>
            <w:r>
              <w:rPr>
                <w:rFonts w:hint="eastAsia" w:ascii="宋体" w:hAnsi="宋体" w:cs="宋体"/>
                <w:color w:val="0C0C0C"/>
                <w:lang w:eastAsia="zh-CN"/>
              </w:rPr>
              <w:t>）</w:t>
            </w:r>
            <w:r>
              <w:rPr>
                <w:rFonts w:hint="eastAsia" w:ascii="宋体" w:hAnsi="宋体" w:cs="宋体"/>
                <w:color w:val="0C0C0C"/>
              </w:rPr>
              <w:t>货物的价格；</w:t>
            </w:r>
          </w:p>
          <w:p w14:paraId="390CDA50">
            <w:pPr>
              <w:spacing w:line="360" w:lineRule="auto"/>
              <w:rPr>
                <w:rFonts w:hint="eastAsia" w:ascii="宋体" w:hAnsi="宋体" w:cs="宋体"/>
                <w:color w:val="0C0C0C"/>
              </w:rPr>
            </w:pPr>
            <w:r>
              <w:rPr>
                <w:rFonts w:hint="eastAsia" w:ascii="宋体" w:hAnsi="宋体" w:cs="宋体"/>
                <w:color w:val="0C0C0C"/>
              </w:rPr>
              <w:t>2)货物的标准附件的价格；</w:t>
            </w:r>
          </w:p>
          <w:p w14:paraId="545A8D16">
            <w:pPr>
              <w:spacing w:line="360" w:lineRule="auto"/>
              <w:rPr>
                <w:rFonts w:hint="eastAsia" w:ascii="宋体" w:hAnsi="宋体" w:cs="宋体"/>
                <w:color w:val="0C0C0C"/>
              </w:rPr>
            </w:pPr>
            <w:r>
              <w:rPr>
                <w:rFonts w:hint="eastAsia" w:ascii="宋体" w:hAnsi="宋体" w:cs="宋体"/>
                <w:color w:val="0C0C0C"/>
              </w:rPr>
              <w:t>3</w:t>
            </w:r>
            <w:r>
              <w:rPr>
                <w:rFonts w:hint="eastAsia" w:ascii="宋体" w:hAnsi="宋体" w:cs="宋体"/>
                <w:color w:val="0C0C0C"/>
                <w:lang w:eastAsia="zh-CN"/>
              </w:rPr>
              <w:t>）</w:t>
            </w:r>
            <w:r>
              <w:rPr>
                <w:rFonts w:hint="eastAsia" w:ascii="宋体" w:hAnsi="宋体" w:cs="宋体"/>
                <w:color w:val="0C0C0C"/>
              </w:rPr>
              <w:t>竞标报价包括设备费、安装附加费</w:t>
            </w:r>
            <w:r>
              <w:rPr>
                <w:rFonts w:hint="eastAsia" w:ascii="宋体" w:hAnsi="宋体" w:cs="宋体"/>
                <w:color w:val="0C0C0C"/>
                <w:lang w:eastAsia="zh-CN"/>
              </w:rPr>
              <w:t>（</w:t>
            </w:r>
            <w:r>
              <w:rPr>
                <w:rFonts w:hint="eastAsia" w:ascii="宋体" w:hAnsi="宋体" w:cs="宋体"/>
                <w:color w:val="0C0C0C"/>
              </w:rPr>
              <w:t>设备吊运</w:t>
            </w:r>
            <w:r>
              <w:rPr>
                <w:rFonts w:hint="eastAsia" w:ascii="宋体" w:hAnsi="宋体" w:cs="宋体"/>
                <w:color w:val="0C0C0C"/>
                <w:lang w:eastAsia="zh-CN"/>
              </w:rPr>
              <w:t>）</w:t>
            </w:r>
            <w:r>
              <w:rPr>
                <w:rFonts w:hint="eastAsia" w:ascii="宋体" w:hAnsi="宋体" w:cs="宋体"/>
                <w:color w:val="0C0C0C"/>
              </w:rPr>
              <w:t>、安装图纸、安装调试费和随配附件、运抵指定交货地点的各种费用</w:t>
            </w:r>
            <w:r>
              <w:rPr>
                <w:rFonts w:hint="eastAsia" w:ascii="宋体" w:hAnsi="宋体" w:cs="宋体"/>
                <w:color w:val="0C0C0C"/>
                <w:lang w:eastAsia="zh-CN"/>
              </w:rPr>
              <w:t>（</w:t>
            </w:r>
            <w:r>
              <w:rPr>
                <w:rFonts w:hint="eastAsia" w:ascii="宋体" w:hAnsi="宋体" w:cs="宋体"/>
                <w:color w:val="0C0C0C"/>
              </w:rPr>
              <w:t>运输费、包装费、装卸费等</w:t>
            </w:r>
            <w:r>
              <w:rPr>
                <w:rFonts w:hint="eastAsia" w:ascii="宋体" w:hAnsi="宋体" w:cs="宋体"/>
                <w:color w:val="0C0C0C"/>
                <w:lang w:eastAsia="zh-CN"/>
              </w:rPr>
              <w:t>）</w:t>
            </w:r>
            <w:r>
              <w:rPr>
                <w:rFonts w:hint="eastAsia" w:ascii="宋体" w:hAnsi="宋体" w:cs="宋体"/>
                <w:color w:val="0C0C0C"/>
              </w:rPr>
              <w:t>，装卸、调试、技术支持、售后服务、验收、税金、保险费、培训费、验收检测费、合理利润及采购文件所要求的相关服务等费用。设备价格应包括外购、外协、配套件、原材料、随机备件、易损件及生产制造、检验、包装、保险、利税、管理、维保等全部费用。</w:t>
            </w:r>
          </w:p>
        </w:tc>
      </w:tr>
      <w:tr w14:paraId="0F1FD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trPr>
        <w:tc>
          <w:tcPr>
            <w:tcW w:w="1342" w:type="dxa"/>
            <w:gridSpan w:val="2"/>
            <w:tcBorders>
              <w:top w:val="single" w:color="auto" w:sz="4" w:space="0"/>
              <w:bottom w:val="single" w:color="auto" w:sz="4" w:space="0"/>
            </w:tcBorders>
            <w:noWrap/>
            <w:vAlign w:val="center"/>
          </w:tcPr>
          <w:p w14:paraId="49BEA946">
            <w:pPr>
              <w:spacing w:line="360" w:lineRule="auto"/>
              <w:jc w:val="center"/>
              <w:rPr>
                <w:rFonts w:hint="eastAsia" w:ascii="宋体" w:hAnsi="宋体" w:cs="宋体"/>
              </w:rPr>
            </w:pPr>
          </w:p>
          <w:p w14:paraId="21511BD8">
            <w:pPr>
              <w:spacing w:line="360" w:lineRule="auto"/>
              <w:jc w:val="center"/>
              <w:rPr>
                <w:rFonts w:hint="eastAsia" w:ascii="宋体" w:hAnsi="宋体" w:cs="宋体"/>
              </w:rPr>
            </w:pPr>
          </w:p>
          <w:p w14:paraId="771E96C2">
            <w:pPr>
              <w:spacing w:line="360" w:lineRule="auto"/>
              <w:jc w:val="center"/>
              <w:rPr>
                <w:rFonts w:hint="eastAsia" w:ascii="宋体" w:hAnsi="宋体" w:cs="宋体"/>
              </w:rPr>
            </w:pPr>
          </w:p>
          <w:p w14:paraId="540289C6">
            <w:pPr>
              <w:spacing w:line="360" w:lineRule="auto"/>
              <w:jc w:val="center"/>
              <w:rPr>
                <w:rFonts w:hint="eastAsia" w:ascii="宋体" w:hAnsi="宋体" w:cs="宋体"/>
              </w:rPr>
            </w:pPr>
          </w:p>
          <w:p w14:paraId="7F57E73F">
            <w:pPr>
              <w:spacing w:line="360" w:lineRule="auto"/>
              <w:jc w:val="center"/>
              <w:rPr>
                <w:rFonts w:hint="eastAsia" w:ascii="宋体" w:hAnsi="宋体" w:cs="宋体"/>
              </w:rPr>
            </w:pPr>
            <w:r>
              <w:rPr>
                <w:rFonts w:hint="eastAsia" w:ascii="宋体" w:hAnsi="宋体" w:cs="宋体"/>
              </w:rPr>
              <w:t>验收</w:t>
            </w:r>
            <w:r>
              <w:rPr>
                <w:rFonts w:hint="eastAsia" w:ascii="宋体" w:hAnsi="宋体" w:cs="宋体"/>
                <w:lang w:val="en-US" w:eastAsia="zh-CN"/>
              </w:rPr>
              <w:t>条件及</w:t>
            </w:r>
            <w:r>
              <w:rPr>
                <w:rFonts w:hint="eastAsia" w:ascii="宋体" w:hAnsi="宋体" w:cs="宋体"/>
              </w:rPr>
              <w:t>标准：</w:t>
            </w:r>
          </w:p>
        </w:tc>
        <w:tc>
          <w:tcPr>
            <w:tcW w:w="8627" w:type="dxa"/>
            <w:gridSpan w:val="5"/>
            <w:tcBorders>
              <w:top w:val="single" w:color="auto" w:sz="4" w:space="0"/>
              <w:bottom w:val="single" w:color="auto" w:sz="4" w:space="0"/>
            </w:tcBorders>
            <w:noWrap/>
            <w:vAlign w:val="center"/>
          </w:tcPr>
          <w:p w14:paraId="07DF85AF">
            <w:pPr>
              <w:spacing w:line="360" w:lineRule="auto"/>
              <w:rPr>
                <w:rFonts w:hint="eastAsia" w:ascii="宋体" w:hAnsi="宋体" w:cs="宋体"/>
              </w:rPr>
            </w:pPr>
            <w:r>
              <w:rPr>
                <w:rFonts w:hint="eastAsia" w:ascii="宋体" w:hAnsi="宋体" w:cs="宋体"/>
              </w:rPr>
              <w:t>一</w:t>
            </w:r>
            <w:r>
              <w:rPr>
                <w:rFonts w:hint="eastAsia" w:ascii="宋体" w:hAnsi="宋体" w:cs="宋体"/>
                <w:lang w:eastAsia="zh-CN"/>
              </w:rPr>
              <w:t>、</w:t>
            </w:r>
            <w:r>
              <w:rPr>
                <w:rFonts w:hint="eastAsia" w:ascii="宋体" w:hAnsi="宋体" w:cs="宋体"/>
              </w:rPr>
              <w:t>设备验收合格后方可交付投入使用。</w:t>
            </w:r>
          </w:p>
          <w:p w14:paraId="61F8CB59">
            <w:pPr>
              <w:spacing w:line="360" w:lineRule="auto"/>
              <w:rPr>
                <w:rFonts w:hint="eastAsia" w:ascii="宋体" w:hAnsi="宋体" w:cs="宋体"/>
              </w:rPr>
            </w:pPr>
            <w:r>
              <w:rPr>
                <w:rFonts w:hint="eastAsia" w:ascii="宋体" w:hAnsi="宋体" w:cs="宋体"/>
              </w:rPr>
              <w:t>二</w:t>
            </w:r>
            <w:r>
              <w:rPr>
                <w:rFonts w:hint="eastAsia" w:ascii="宋体" w:hAnsi="宋体" w:cs="宋体"/>
                <w:lang w:eastAsia="zh-CN"/>
              </w:rPr>
              <w:t>、</w:t>
            </w:r>
            <w:r>
              <w:rPr>
                <w:rFonts w:hint="eastAsia" w:ascii="宋体" w:hAnsi="宋体" w:cs="宋体"/>
              </w:rPr>
              <w:t>验收工作由设备科技术人员、设备使用科室负责人、档案室工作人员组成的小组（院方小组长为设备使用科室的验收人员）与供应商负责安装的技术人员按照钦州市第一人民医院医疗验收安装验收合格证标明的内容及技术参数表逐条进行验收。</w:t>
            </w:r>
          </w:p>
          <w:p w14:paraId="797E973F">
            <w:pPr>
              <w:spacing w:line="360" w:lineRule="auto"/>
              <w:rPr>
                <w:rFonts w:hint="eastAsia" w:ascii="宋体" w:hAnsi="宋体" w:cs="宋体"/>
              </w:rPr>
            </w:pPr>
            <w:r>
              <w:rPr>
                <w:rFonts w:hint="eastAsia" w:ascii="宋体" w:hAnsi="宋体" w:cs="宋体"/>
              </w:rPr>
              <w:t>三</w:t>
            </w:r>
            <w:r>
              <w:rPr>
                <w:rFonts w:hint="eastAsia" w:ascii="宋体" w:hAnsi="宋体" w:cs="宋体"/>
                <w:lang w:eastAsia="zh-CN"/>
              </w:rPr>
              <w:t>、</w:t>
            </w:r>
            <w:r>
              <w:rPr>
                <w:rFonts w:hint="eastAsia" w:ascii="宋体" w:hAnsi="宋体" w:cs="宋体"/>
              </w:rPr>
              <w:t>验收应符合国家相关法规及合同的技术要求，同时也应符合厂家或医疗器械厂家提供的技术资料中各项技术指标和参数要求，参数要求必须符合采购参数规定，不能以“标准配置</w:t>
            </w:r>
            <w:r>
              <w:rPr>
                <w:rFonts w:hint="eastAsia" w:ascii="宋体" w:hAnsi="宋体" w:cs="宋体"/>
                <w:lang w:eastAsia="zh-CN"/>
              </w:rPr>
              <w:t>”“</w:t>
            </w:r>
            <w:r>
              <w:rPr>
                <w:rFonts w:hint="eastAsia" w:ascii="宋体" w:hAnsi="宋体" w:cs="宋体"/>
              </w:rPr>
              <w:t>选购配置”为由与采购参数不符。</w:t>
            </w:r>
          </w:p>
          <w:p w14:paraId="072358DA">
            <w:pPr>
              <w:spacing w:line="360" w:lineRule="auto"/>
              <w:rPr>
                <w:rFonts w:hint="eastAsia" w:ascii="宋体" w:hAnsi="宋体" w:cs="宋体"/>
              </w:rPr>
            </w:pPr>
            <w:r>
              <w:rPr>
                <w:rFonts w:hint="eastAsia" w:ascii="宋体" w:hAnsi="宋体" w:cs="宋体"/>
              </w:rPr>
              <w:t>四</w:t>
            </w:r>
            <w:r>
              <w:rPr>
                <w:rFonts w:hint="eastAsia" w:ascii="宋体" w:hAnsi="宋体" w:cs="宋体"/>
                <w:lang w:eastAsia="zh-CN"/>
              </w:rPr>
              <w:t>、</w:t>
            </w:r>
            <w:r>
              <w:rPr>
                <w:rFonts w:hint="eastAsia" w:ascii="宋体" w:hAnsi="宋体" w:cs="宋体"/>
              </w:rPr>
              <w:t>验收发现的问题，必须做好记录（文字或影像记录，文字记录必须医院与供应商双方验收人员签字）。</w:t>
            </w:r>
          </w:p>
          <w:p w14:paraId="31AEA9C9">
            <w:pPr>
              <w:spacing w:line="360" w:lineRule="auto"/>
              <w:rPr>
                <w:rFonts w:hint="eastAsia" w:ascii="宋体" w:hAnsi="宋体" w:cs="宋体"/>
              </w:rPr>
            </w:pPr>
            <w:r>
              <w:rPr>
                <w:rFonts w:hint="eastAsia" w:ascii="宋体" w:hAnsi="宋体" w:cs="宋体"/>
              </w:rPr>
              <w:t>五</w:t>
            </w:r>
            <w:r>
              <w:rPr>
                <w:rFonts w:hint="eastAsia" w:ascii="宋体" w:hAnsi="宋体" w:cs="宋体"/>
                <w:lang w:eastAsia="zh-CN"/>
              </w:rPr>
              <w:t>、</w:t>
            </w:r>
            <w:r>
              <w:rPr>
                <w:rFonts w:hint="eastAsia" w:ascii="宋体" w:hAnsi="宋体" w:cs="宋体"/>
              </w:rPr>
              <w:t>设备相关资料由医院档案室接收，并建立设备档案。</w:t>
            </w:r>
          </w:p>
          <w:p w14:paraId="0EA863FB">
            <w:pPr>
              <w:spacing w:line="360" w:lineRule="auto"/>
              <w:rPr>
                <w:rFonts w:hint="eastAsia" w:ascii="宋体" w:hAnsi="宋体" w:cs="宋体"/>
              </w:rPr>
            </w:pPr>
            <w:r>
              <w:rPr>
                <w:rFonts w:hint="eastAsia" w:ascii="宋体" w:hAnsi="宋体" w:cs="宋体"/>
              </w:rPr>
              <w:t>开箱：</w:t>
            </w:r>
          </w:p>
          <w:p w14:paraId="5AD30FFD">
            <w:pPr>
              <w:spacing w:line="360" w:lineRule="auto"/>
              <w:rPr>
                <w:rFonts w:hint="eastAsia" w:ascii="宋体" w:hAnsi="宋体" w:cs="宋体"/>
              </w:rPr>
            </w:pPr>
            <w:r>
              <w:rPr>
                <w:rFonts w:hint="eastAsia" w:ascii="宋体" w:hAnsi="宋体" w:cs="宋体"/>
                <w:lang w:eastAsia="zh-CN"/>
              </w:rPr>
              <w:t>（</w:t>
            </w:r>
            <w:r>
              <w:rPr>
                <w:rFonts w:hint="eastAsia" w:ascii="宋体" w:hAnsi="宋体" w:cs="宋体"/>
              </w:rPr>
              <w:t>一）开箱验收：在设备科技术员、供应商人员、使用科室负责人在场的情况下，才允许开箱。</w:t>
            </w:r>
          </w:p>
          <w:p w14:paraId="7E784011">
            <w:pPr>
              <w:spacing w:line="360" w:lineRule="auto"/>
              <w:rPr>
                <w:rFonts w:hint="eastAsia" w:ascii="宋体" w:hAnsi="宋体" w:cs="宋体"/>
              </w:rPr>
            </w:pPr>
            <w:r>
              <w:rPr>
                <w:rFonts w:hint="eastAsia" w:ascii="宋体" w:hAnsi="宋体" w:cs="宋体"/>
              </w:rPr>
              <w:t>1.开箱前首先查看包装是否破损，如有破损，应拍照留存或双方签字的文字记录。</w:t>
            </w:r>
          </w:p>
          <w:p w14:paraId="03066329">
            <w:pPr>
              <w:spacing w:line="360" w:lineRule="auto"/>
              <w:rPr>
                <w:rFonts w:hint="eastAsia" w:ascii="宋体" w:hAnsi="宋体" w:cs="宋体"/>
              </w:rPr>
            </w:pPr>
            <w:r>
              <w:rPr>
                <w:rFonts w:hint="eastAsia" w:ascii="宋体" w:hAnsi="宋体" w:cs="宋体"/>
              </w:rPr>
              <w:t>2.开箱后，检查设备部件有否损伤，如有损伤，拍照留存，并作无条件更换处理。</w:t>
            </w:r>
          </w:p>
          <w:p w14:paraId="6719F468">
            <w:pPr>
              <w:spacing w:line="360" w:lineRule="auto"/>
              <w:rPr>
                <w:rFonts w:hint="eastAsia" w:ascii="宋体" w:hAnsi="宋体" w:cs="宋体"/>
              </w:rPr>
            </w:pPr>
            <w:r>
              <w:rPr>
                <w:rFonts w:hint="eastAsia" w:ascii="宋体" w:hAnsi="宋体" w:cs="宋体"/>
                <w:lang w:eastAsia="zh-CN"/>
              </w:rPr>
              <w:t>（</w:t>
            </w:r>
            <w:r>
              <w:rPr>
                <w:rFonts w:hint="eastAsia" w:ascii="宋体" w:hAnsi="宋体" w:cs="宋体"/>
              </w:rPr>
              <w:t>二）资料接收：以下资料在验收时由供应商提交档案室查验合格后接收存档：</w:t>
            </w:r>
          </w:p>
          <w:p w14:paraId="1DFCC763">
            <w:pPr>
              <w:spacing w:line="360" w:lineRule="auto"/>
              <w:rPr>
                <w:rFonts w:hint="eastAsia" w:ascii="宋体" w:hAnsi="宋体" w:cs="宋体"/>
              </w:rPr>
            </w:pPr>
            <w:r>
              <w:rPr>
                <w:rFonts w:hint="eastAsia" w:ascii="宋体" w:hAnsi="宋体" w:cs="宋体"/>
              </w:rPr>
              <w:t>验收时设备科验收人员应携带纸质合同现场核验以下材料是否与合同一致</w:t>
            </w:r>
          </w:p>
          <w:p w14:paraId="6E4BD480">
            <w:pPr>
              <w:spacing w:line="360" w:lineRule="auto"/>
              <w:rPr>
                <w:rFonts w:hint="eastAsia" w:ascii="宋体" w:hAnsi="宋体" w:cs="宋体"/>
              </w:rPr>
            </w:pPr>
            <w:r>
              <w:rPr>
                <w:rFonts w:hint="eastAsia" w:ascii="宋体" w:hAnsi="宋体" w:cs="宋体"/>
              </w:rPr>
              <w:t>供应商需提前提供合同PDF文档1份给设备科技术人员存档，如PDF文档与纸质合同不符的，视为虚假应标，</w:t>
            </w:r>
            <w:r>
              <w:rPr>
                <w:rFonts w:hint="eastAsia" w:ascii="宋体" w:hAnsi="宋体" w:cs="宋体"/>
                <w:lang w:eastAsia="zh-CN"/>
              </w:rPr>
              <w:t>不予</w:t>
            </w:r>
            <w:r>
              <w:rPr>
                <w:rFonts w:hint="eastAsia" w:ascii="宋体" w:hAnsi="宋体" w:cs="宋体"/>
              </w:rPr>
              <w:t>验收。</w:t>
            </w:r>
          </w:p>
          <w:p w14:paraId="31876735">
            <w:pPr>
              <w:spacing w:line="360" w:lineRule="auto"/>
              <w:rPr>
                <w:rFonts w:hint="eastAsia" w:ascii="宋体" w:hAnsi="宋体" w:cs="宋体"/>
              </w:rPr>
            </w:pPr>
            <w:r>
              <w:rPr>
                <w:rFonts w:hint="eastAsia" w:ascii="宋体" w:hAnsi="宋体" w:cs="宋体"/>
              </w:rPr>
              <w:t>1.设备的合法性证明材料：</w:t>
            </w:r>
          </w:p>
          <w:p w14:paraId="7F7013AE">
            <w:pPr>
              <w:spacing w:line="360" w:lineRule="auto"/>
              <w:rPr>
                <w:rFonts w:hint="eastAsia" w:ascii="宋体" w:hAnsi="宋体" w:cs="宋体"/>
              </w:rPr>
            </w:pPr>
            <w:r>
              <w:rPr>
                <w:rFonts w:hint="eastAsia" w:ascii="宋体" w:hAnsi="宋体" w:cs="宋体"/>
              </w:rPr>
              <w:t>（1）提供设备的生产许可证明材料（适用于国产品牌））：</w:t>
            </w:r>
          </w:p>
          <w:p w14:paraId="3C77A752">
            <w:pPr>
              <w:spacing w:line="360" w:lineRule="auto"/>
              <w:rPr>
                <w:rFonts w:hint="eastAsia" w:ascii="宋体" w:hAnsi="宋体" w:cs="宋体"/>
              </w:rPr>
            </w:pPr>
            <w:r>
              <w:rPr>
                <w:rFonts w:hint="eastAsia" w:ascii="宋体" w:hAnsi="宋体" w:cs="宋体"/>
              </w:rPr>
              <w:t>①具有医疗器械属性的设备：医疗器械生产企业许可证复印件1份及PDF文档1份。</w:t>
            </w:r>
          </w:p>
          <w:p w14:paraId="446F460F">
            <w:pPr>
              <w:spacing w:line="360" w:lineRule="auto"/>
              <w:rPr>
                <w:rFonts w:hint="eastAsia" w:ascii="宋体" w:hAnsi="宋体" w:cs="宋体"/>
              </w:rPr>
            </w:pPr>
            <w:r>
              <w:rPr>
                <w:rFonts w:hint="eastAsia" w:ascii="宋体" w:hAnsi="宋体" w:cs="宋体"/>
              </w:rPr>
              <w:t>②具有特种设备属性的设备：特种设备生产许可复印件1份及PDF文档1份。</w:t>
            </w:r>
          </w:p>
          <w:p w14:paraId="4D4E5411">
            <w:pPr>
              <w:spacing w:line="360" w:lineRule="auto"/>
              <w:rPr>
                <w:rFonts w:hint="eastAsia" w:ascii="宋体" w:hAnsi="宋体" w:cs="宋体"/>
              </w:rPr>
            </w:pPr>
            <w:r>
              <w:rPr>
                <w:rFonts w:hint="eastAsia" w:ascii="宋体" w:hAnsi="宋体" w:cs="宋体"/>
              </w:rPr>
              <w:t>③具有计量仪器属性的设备：制造计量器具许可证复印件1份及PDF文档1份。</w:t>
            </w:r>
          </w:p>
          <w:p w14:paraId="59AFDDA2">
            <w:pPr>
              <w:spacing w:line="360" w:lineRule="auto"/>
              <w:rPr>
                <w:rFonts w:hint="eastAsia" w:ascii="宋体" w:hAnsi="宋体" w:cs="宋体"/>
              </w:rPr>
            </w:pPr>
            <w:r>
              <w:rPr>
                <w:rFonts w:hint="eastAsia" w:ascii="宋体" w:hAnsi="宋体" w:cs="宋体"/>
              </w:rPr>
              <w:fldChar w:fldCharType="begin"/>
            </w:r>
            <w:r>
              <w:rPr>
                <w:rFonts w:hint="eastAsia" w:ascii="宋体" w:hAnsi="宋体" w:cs="宋体"/>
              </w:rPr>
              <w:instrText xml:space="preserve"> = 4 \* GB3 </w:instrText>
            </w:r>
            <w:r>
              <w:rPr>
                <w:rFonts w:hint="eastAsia" w:ascii="宋体" w:hAnsi="宋体" w:cs="宋体"/>
              </w:rPr>
              <w:fldChar w:fldCharType="separate"/>
            </w:r>
            <w:r>
              <w:rPr>
                <w:rFonts w:hint="eastAsia" w:ascii="宋体" w:hAnsi="宋体" w:cs="宋体"/>
              </w:rPr>
              <w:t>④</w:t>
            </w:r>
            <w:r>
              <w:rPr>
                <w:rFonts w:hint="eastAsia" w:ascii="宋体" w:hAnsi="宋体" w:cs="宋体"/>
              </w:rPr>
              <w:fldChar w:fldCharType="end"/>
            </w:r>
            <w:r>
              <w:rPr>
                <w:rFonts w:hint="eastAsia" w:ascii="宋体" w:hAnsi="宋体" w:cs="宋体"/>
              </w:rPr>
              <w:t>具有消毒产品属性的设备：消毒产品生产企业卫生许可证1份。</w:t>
            </w:r>
          </w:p>
          <w:p w14:paraId="2CFB3DB4">
            <w:pPr>
              <w:spacing w:line="360" w:lineRule="auto"/>
              <w:rPr>
                <w:rFonts w:hint="eastAsia" w:ascii="宋体" w:hAnsi="宋体" w:cs="宋体"/>
              </w:rPr>
            </w:pPr>
            <w:r>
              <w:rPr>
                <w:rFonts w:hint="eastAsia" w:ascii="宋体" w:hAnsi="宋体" w:cs="宋体"/>
              </w:rPr>
              <w:t>（2）提供设备生产合格证明</w:t>
            </w:r>
          </w:p>
          <w:p w14:paraId="19F3BBC5">
            <w:pPr>
              <w:spacing w:line="360" w:lineRule="auto"/>
              <w:rPr>
                <w:rFonts w:hint="eastAsia" w:ascii="宋体" w:hAnsi="宋体" w:cs="宋体"/>
              </w:rPr>
            </w:pPr>
            <w:r>
              <w:rPr>
                <w:rFonts w:hint="eastAsia" w:ascii="宋体" w:hAnsi="宋体" w:cs="宋体"/>
              </w:rPr>
              <w:t>①出厂合格证明：原件及PDF文档各1份</w:t>
            </w:r>
          </w:p>
          <w:p w14:paraId="040C6B90">
            <w:pPr>
              <w:spacing w:line="360" w:lineRule="auto"/>
              <w:rPr>
                <w:rFonts w:hint="eastAsia" w:ascii="宋体" w:hAnsi="宋体" w:cs="宋体"/>
              </w:rPr>
            </w:pPr>
            <w:r>
              <w:rPr>
                <w:rFonts w:hint="eastAsia" w:ascii="宋体" w:hAnsi="宋体" w:cs="宋体"/>
              </w:rPr>
              <w:t>②特种设备检验合格证：原件及PDF文档各1份（指特种设备整机）</w:t>
            </w:r>
          </w:p>
          <w:p w14:paraId="0EC9D3D3">
            <w:pPr>
              <w:spacing w:line="360" w:lineRule="auto"/>
              <w:rPr>
                <w:rFonts w:hint="eastAsia" w:ascii="宋体" w:hAnsi="宋体" w:cs="宋体"/>
              </w:rPr>
            </w:pPr>
            <w:r>
              <w:rPr>
                <w:rFonts w:hint="eastAsia" w:ascii="宋体" w:hAnsi="宋体" w:cs="宋体"/>
              </w:rPr>
              <w:t>③特种设备所用材料合格证明：复印件及PDF文档各1份（指特种设备所用的配件）</w:t>
            </w:r>
          </w:p>
          <w:p w14:paraId="3E95082E">
            <w:pPr>
              <w:spacing w:line="360" w:lineRule="auto"/>
              <w:rPr>
                <w:rFonts w:hint="eastAsia" w:ascii="宋体" w:hAnsi="宋体" w:cs="宋体"/>
              </w:rPr>
            </w:pPr>
            <w:r>
              <w:rPr>
                <w:rFonts w:hint="eastAsia" w:ascii="宋体" w:hAnsi="宋体" w:cs="宋体"/>
              </w:rPr>
              <w:fldChar w:fldCharType="begin"/>
            </w:r>
            <w:r>
              <w:rPr>
                <w:rFonts w:hint="eastAsia" w:ascii="宋体" w:hAnsi="宋体" w:cs="宋体"/>
              </w:rPr>
              <w:instrText xml:space="preserve"> = 4 \* GB3 </w:instrText>
            </w:r>
            <w:r>
              <w:rPr>
                <w:rFonts w:hint="eastAsia" w:ascii="宋体" w:hAnsi="宋体" w:cs="宋体"/>
              </w:rPr>
              <w:fldChar w:fldCharType="separate"/>
            </w:r>
            <w:r>
              <w:rPr>
                <w:rFonts w:hint="eastAsia" w:ascii="宋体" w:hAnsi="宋体" w:cs="宋体"/>
              </w:rPr>
              <w:t>④</w:t>
            </w:r>
            <w:r>
              <w:rPr>
                <w:rFonts w:hint="eastAsia" w:ascii="宋体" w:hAnsi="宋体" w:cs="宋体"/>
              </w:rPr>
              <w:fldChar w:fldCharType="end"/>
            </w:r>
            <w:r>
              <w:rPr>
                <w:rFonts w:hint="eastAsia" w:ascii="宋体" w:hAnsi="宋体" w:cs="宋体"/>
              </w:rPr>
              <w:t>消毒产品出厂检验证明：1份</w:t>
            </w:r>
          </w:p>
          <w:p w14:paraId="4A276263">
            <w:pPr>
              <w:spacing w:line="360" w:lineRule="auto"/>
              <w:rPr>
                <w:rFonts w:hint="eastAsia" w:ascii="宋体" w:hAnsi="宋体" w:cs="宋体"/>
              </w:rPr>
            </w:pPr>
            <w:r>
              <w:rPr>
                <w:rFonts w:hint="eastAsia" w:ascii="宋体" w:hAnsi="宋体" w:cs="宋体"/>
              </w:rPr>
              <w:t>（3）医疗器械市场监管合法证明材料</w:t>
            </w:r>
          </w:p>
          <w:p w14:paraId="28BFF3C0">
            <w:pPr>
              <w:spacing w:line="360" w:lineRule="auto"/>
              <w:rPr>
                <w:rFonts w:hint="eastAsia" w:ascii="宋体" w:hAnsi="宋体" w:cs="宋体"/>
              </w:rPr>
            </w:pPr>
            <w:r>
              <w:rPr>
                <w:rFonts w:hint="eastAsia" w:ascii="宋体" w:hAnsi="宋体" w:cs="宋体"/>
              </w:rPr>
              <w:t>①医疗器械注册证（含注册登记表）（如涉及2类、3类医疗器械时必须提供，1类如有请提供）复印件1件及PDF文档1份。</w:t>
            </w:r>
          </w:p>
          <w:p w14:paraId="62884B0C">
            <w:pPr>
              <w:spacing w:line="360" w:lineRule="auto"/>
              <w:rPr>
                <w:rFonts w:hint="eastAsia" w:ascii="宋体" w:hAnsi="宋体" w:cs="宋体"/>
              </w:rPr>
            </w:pPr>
            <w:r>
              <w:rPr>
                <w:rFonts w:hint="eastAsia" w:ascii="宋体" w:hAnsi="宋体" w:cs="宋体"/>
              </w:rPr>
              <w:t>②进口产品（竞标产品为进口产品时提供，国产不须提供）：海关进货单复印件1份及PDF文档1份。</w:t>
            </w:r>
          </w:p>
          <w:p w14:paraId="2A670055">
            <w:pPr>
              <w:spacing w:line="360" w:lineRule="auto"/>
              <w:rPr>
                <w:rFonts w:hint="eastAsia" w:ascii="宋体" w:hAnsi="宋体" w:cs="宋体"/>
              </w:rPr>
            </w:pPr>
            <w:r>
              <w:rPr>
                <w:rFonts w:hint="eastAsia" w:ascii="宋体" w:hAnsi="宋体" w:cs="宋体"/>
              </w:rPr>
              <w:t>2.经销商的合法性证明材料：</w:t>
            </w:r>
          </w:p>
          <w:p w14:paraId="795CED16">
            <w:pPr>
              <w:spacing w:line="360" w:lineRule="auto"/>
              <w:rPr>
                <w:rFonts w:hint="eastAsia" w:ascii="宋体" w:hAnsi="宋体" w:cs="宋体"/>
              </w:rPr>
            </w:pPr>
            <w:r>
              <w:rPr>
                <w:rFonts w:hint="eastAsia" w:ascii="宋体" w:hAnsi="宋体" w:cs="宋体"/>
              </w:rPr>
              <w:t>①营业执照复印件及PDF文档各1份，经营范围必须与所经营的类别相符，并在有效期内。</w:t>
            </w:r>
          </w:p>
          <w:p w14:paraId="52830BFC">
            <w:pPr>
              <w:spacing w:line="360" w:lineRule="auto"/>
              <w:rPr>
                <w:rFonts w:hint="eastAsia" w:ascii="宋体" w:hAnsi="宋体" w:cs="宋体"/>
              </w:rPr>
            </w:pPr>
            <w:r>
              <w:rPr>
                <w:rFonts w:hint="eastAsia" w:ascii="宋体" w:hAnsi="宋体" w:cs="宋体"/>
              </w:rPr>
              <w:t>②医疗器械经营企业许可证或属于二类的备案凭证复印件1份及PDF文档1份，经营医疗器械级别及经营类别必须与设备的医疗器械注册证相符（如涉及2类、3类医疗器械时必须提供，1类如有请提供）。</w:t>
            </w:r>
          </w:p>
          <w:p w14:paraId="62F46DA8">
            <w:pPr>
              <w:spacing w:line="360" w:lineRule="auto"/>
              <w:rPr>
                <w:rFonts w:hint="eastAsia" w:ascii="宋体" w:hAnsi="宋体" w:cs="宋体"/>
                <w:color w:val="auto"/>
              </w:rPr>
            </w:pPr>
            <w:r>
              <w:rPr>
                <w:rFonts w:hint="eastAsia" w:ascii="宋体" w:hAnsi="宋体" w:cs="宋体"/>
                <w:color w:val="auto"/>
              </w:rPr>
              <w:t>③生产厂</w:t>
            </w:r>
            <w:r>
              <w:rPr>
                <w:rFonts w:hint="eastAsia" w:ascii="宋体" w:hAnsi="宋体" w:cs="宋体"/>
                <w:color w:val="auto"/>
                <w:lang w:val="en-US" w:eastAsia="zh-CN"/>
              </w:rPr>
              <w:t>家</w:t>
            </w:r>
            <w:r>
              <w:rPr>
                <w:rFonts w:hint="eastAsia" w:ascii="宋体" w:hAnsi="宋体" w:cs="宋体"/>
                <w:color w:val="auto"/>
              </w:rPr>
              <w:t>给经销商的授权书复印件1份及PDF文档1份（注：竞标时响应文件正本中请放置原件，竞标产品为进口产品时，响应文件中必须提供；国产产品的供货时必须提供或如有竞标时响应文件中提供）。</w:t>
            </w:r>
          </w:p>
          <w:p w14:paraId="3E5012DB">
            <w:pPr>
              <w:spacing w:line="360" w:lineRule="auto"/>
              <w:rPr>
                <w:rFonts w:hint="eastAsia" w:ascii="宋体" w:hAnsi="宋体" w:cs="宋体"/>
              </w:rPr>
            </w:pPr>
            <w:r>
              <w:rPr>
                <w:rFonts w:hint="eastAsia" w:ascii="宋体" w:hAnsi="宋体" w:cs="宋体"/>
              </w:rPr>
              <w:t>3.设备随机资料：</w:t>
            </w:r>
          </w:p>
          <w:p w14:paraId="1A6349A4">
            <w:pPr>
              <w:spacing w:line="360" w:lineRule="auto"/>
              <w:rPr>
                <w:rFonts w:hint="eastAsia" w:ascii="宋体" w:hAnsi="宋体" w:cs="宋体"/>
              </w:rPr>
            </w:pPr>
            <w:r>
              <w:rPr>
                <w:rFonts w:hint="eastAsia" w:ascii="宋体" w:hAnsi="宋体" w:cs="宋体"/>
              </w:rPr>
              <w:t>①纸质《使用说明书》一式两份，一份留使用科室，一份存档案室，不能提供两份原版的，可提供一份原版。</w:t>
            </w:r>
          </w:p>
          <w:p w14:paraId="3C7F89E4">
            <w:pPr>
              <w:spacing w:line="360" w:lineRule="auto"/>
              <w:rPr>
                <w:rFonts w:hint="eastAsia" w:ascii="宋体" w:hAnsi="宋体" w:cs="宋体"/>
              </w:rPr>
            </w:pPr>
            <w:r>
              <w:rPr>
                <w:rFonts w:hint="eastAsia" w:ascii="宋体" w:hAnsi="宋体" w:cs="宋体"/>
              </w:rPr>
              <w:t>②电路图、其它技术文件、软件光盘、系统光盘、视频光盘及其它电子版原件资料，设备安装调试结束后必须存放医院档案室。</w:t>
            </w:r>
          </w:p>
          <w:p w14:paraId="5C1709F5">
            <w:pPr>
              <w:spacing w:line="360" w:lineRule="auto"/>
              <w:rPr>
                <w:rFonts w:hint="eastAsia" w:ascii="宋体" w:hAnsi="宋体" w:cs="宋体"/>
              </w:rPr>
            </w:pPr>
            <w:r>
              <w:rPr>
                <w:rFonts w:hint="eastAsia" w:ascii="宋体" w:hAnsi="宋体" w:cs="宋体"/>
              </w:rPr>
              <w:t>③计量仪器必须提供相关计量仪器检定合格证明材料原件及PDF文档各1份。</w:t>
            </w:r>
          </w:p>
          <w:p w14:paraId="41C95A1E">
            <w:pPr>
              <w:spacing w:line="360" w:lineRule="auto"/>
              <w:rPr>
                <w:rFonts w:hint="eastAsia" w:ascii="宋体" w:hAnsi="宋体" w:cs="宋体"/>
              </w:rPr>
            </w:pPr>
            <w:r>
              <w:rPr>
                <w:rFonts w:hint="eastAsia" w:ascii="宋体" w:hAnsi="宋体" w:cs="宋体"/>
              </w:rPr>
              <w:t>④设备装箱单、配置清单。</w:t>
            </w:r>
          </w:p>
          <w:p w14:paraId="63F71277">
            <w:pPr>
              <w:spacing w:line="360" w:lineRule="auto"/>
              <w:rPr>
                <w:rFonts w:hint="eastAsia" w:ascii="宋体" w:hAnsi="宋体" w:cs="宋体"/>
              </w:rPr>
            </w:pPr>
            <w:r>
              <w:rPr>
                <w:rFonts w:hint="eastAsia" w:ascii="宋体" w:hAnsi="宋体" w:cs="宋体"/>
              </w:rPr>
              <w:t>⑤每台设备1份操作规定程序（操作规程）卡片，由厂方制作的质量好耐用纸质版 。</w:t>
            </w:r>
          </w:p>
          <w:p w14:paraId="0DD8BACD">
            <w:pPr>
              <w:spacing w:line="360" w:lineRule="auto"/>
              <w:rPr>
                <w:rFonts w:hint="eastAsia" w:ascii="宋体" w:hAnsi="宋体" w:cs="宋体"/>
              </w:rPr>
            </w:pPr>
            <w:r>
              <w:rPr>
                <w:rFonts w:hint="eastAsia" w:ascii="宋体" w:hAnsi="宋体" w:cs="宋体"/>
              </w:rPr>
              <w:t>⑥送货清单，清单包括设备名称、型号、单价，总金额，送货公司与合同公司一致。</w:t>
            </w:r>
          </w:p>
          <w:p w14:paraId="6CCF8016">
            <w:pPr>
              <w:spacing w:line="360" w:lineRule="auto"/>
              <w:rPr>
                <w:rFonts w:hint="eastAsia" w:ascii="宋体" w:hAnsi="宋体" w:cs="宋体"/>
              </w:rPr>
            </w:pPr>
            <w:r>
              <w:rPr>
                <w:rFonts w:hint="eastAsia" w:ascii="宋体" w:hAnsi="宋体" w:cs="宋体"/>
                <w:lang w:val="en-US" w:eastAsia="zh-CN"/>
              </w:rPr>
              <w:t>六、</w:t>
            </w:r>
            <w:r>
              <w:rPr>
                <w:rFonts w:hint="eastAsia" w:ascii="宋体" w:hAnsi="宋体" w:cs="宋体"/>
              </w:rPr>
              <w:t>技术性能验收：</w:t>
            </w:r>
          </w:p>
          <w:p w14:paraId="2E891FBC">
            <w:pPr>
              <w:spacing w:line="360" w:lineRule="auto"/>
              <w:rPr>
                <w:rFonts w:hint="eastAsia" w:ascii="宋体" w:hAnsi="宋体" w:cs="宋体"/>
              </w:rPr>
            </w:pPr>
            <w:r>
              <w:rPr>
                <w:rFonts w:hint="eastAsia" w:ascii="宋体" w:hAnsi="宋体" w:cs="宋体"/>
                <w:lang w:val="en-US" w:eastAsia="zh-CN"/>
              </w:rPr>
              <w:t>（一）</w:t>
            </w:r>
            <w:r>
              <w:rPr>
                <w:rFonts w:hint="eastAsia" w:ascii="宋体" w:hAnsi="宋体" w:cs="宋体"/>
              </w:rPr>
              <w:t>以采购参数为依据，以满足使用要求为原则，验收由设备使用科室人员负责</w:t>
            </w:r>
            <w:r>
              <w:rPr>
                <w:rFonts w:hint="eastAsia" w:ascii="宋体" w:hAnsi="宋体" w:cs="宋体"/>
                <w:lang w:eastAsia="zh-CN"/>
              </w:rPr>
              <w:t>，</w:t>
            </w:r>
            <w:r>
              <w:rPr>
                <w:rFonts w:hint="eastAsia" w:ascii="宋体" w:hAnsi="宋体" w:cs="宋体"/>
              </w:rPr>
              <w:t>竞标参数是否符合采购参数要求以验收实际结果为准。</w:t>
            </w:r>
          </w:p>
          <w:p w14:paraId="4A0C604F">
            <w:pPr>
              <w:spacing w:line="360" w:lineRule="auto"/>
              <w:rPr>
                <w:rFonts w:hint="eastAsia" w:ascii="宋体" w:hAnsi="宋体" w:cs="宋体"/>
              </w:rPr>
            </w:pPr>
            <w:r>
              <w:rPr>
                <w:rFonts w:hint="eastAsia" w:ascii="宋体" w:hAnsi="宋体" w:cs="宋体"/>
                <w:lang w:eastAsia="zh-CN"/>
              </w:rPr>
              <w:t>（</w:t>
            </w:r>
            <w:r>
              <w:rPr>
                <w:rFonts w:hint="eastAsia" w:ascii="宋体" w:hAnsi="宋体" w:cs="宋体"/>
                <w:lang w:val="en-US" w:eastAsia="zh-CN"/>
              </w:rPr>
              <w:t>二）</w:t>
            </w:r>
            <w:r>
              <w:rPr>
                <w:rFonts w:hint="eastAsia" w:ascii="宋体" w:hAnsi="宋体" w:cs="宋体"/>
              </w:rPr>
              <w:t>设备清单必须与采购参数相符合</w:t>
            </w:r>
            <w:r>
              <w:rPr>
                <w:rFonts w:hint="eastAsia" w:ascii="宋体" w:hAnsi="宋体" w:cs="宋体"/>
                <w:lang w:eastAsia="zh-CN"/>
              </w:rPr>
              <w:t>，</w:t>
            </w:r>
            <w:r>
              <w:rPr>
                <w:rFonts w:hint="eastAsia" w:ascii="宋体" w:hAnsi="宋体" w:cs="宋体"/>
              </w:rPr>
              <w:t>如有出入，以采购文件参数为准。</w:t>
            </w:r>
          </w:p>
          <w:p w14:paraId="1858249B">
            <w:pPr>
              <w:spacing w:line="360" w:lineRule="auto"/>
              <w:rPr>
                <w:rFonts w:hint="eastAsia" w:ascii="宋体" w:hAnsi="宋体" w:cs="宋体"/>
              </w:rPr>
            </w:pPr>
            <w:r>
              <w:rPr>
                <w:rFonts w:hint="eastAsia" w:ascii="宋体" w:hAnsi="宋体" w:cs="宋体"/>
                <w:lang w:eastAsia="zh-CN"/>
              </w:rPr>
              <w:t>（</w:t>
            </w:r>
            <w:r>
              <w:rPr>
                <w:rFonts w:hint="eastAsia" w:ascii="宋体" w:hAnsi="宋体" w:cs="宋体"/>
                <w:lang w:val="en-US" w:eastAsia="zh-CN"/>
              </w:rPr>
              <w:t>三）</w:t>
            </w:r>
            <w:r>
              <w:rPr>
                <w:rFonts w:hint="eastAsia" w:ascii="宋体" w:hAnsi="宋体" w:cs="宋体"/>
              </w:rPr>
              <w:t>验收必须以采购参数为基准，对竞标技术响应表逐条进行验收，对于技术响应表与采购技术参数不符的，作如下处理：</w:t>
            </w:r>
          </w:p>
          <w:p w14:paraId="6B9F8B82">
            <w:pPr>
              <w:spacing w:line="360" w:lineRule="auto"/>
              <w:rPr>
                <w:rFonts w:hint="eastAsia" w:ascii="宋体" w:hAnsi="宋体" w:cs="宋体"/>
              </w:rPr>
            </w:pPr>
            <w:r>
              <w:rPr>
                <w:rFonts w:hint="eastAsia" w:hAnsi="宋体"/>
                <w:b/>
                <w:bCs/>
                <w:color w:val="000000"/>
                <w:highlight w:val="none"/>
              </w:rPr>
              <w:t>▲</w:t>
            </w:r>
            <w:r>
              <w:rPr>
                <w:rFonts w:hint="eastAsia" w:ascii="Calibri" w:hAnsi="Calibri" w:cs="Calibri"/>
                <w:b w:val="0"/>
                <w:bCs w:val="0"/>
                <w:color w:val="000000"/>
                <w:highlight w:val="none"/>
                <w:lang w:val="en-US" w:eastAsia="zh-CN"/>
              </w:rPr>
              <w:t>1、</w:t>
            </w:r>
            <w:r>
              <w:rPr>
                <w:rFonts w:hint="eastAsia" w:ascii="宋体" w:hAnsi="宋体" w:cs="宋体"/>
              </w:rPr>
              <w:t>技术响应表与采购参数比较有漏项的，以不实质响应采购要求论处。</w:t>
            </w:r>
          </w:p>
          <w:p w14:paraId="1437E1D3">
            <w:pPr>
              <w:spacing w:line="360" w:lineRule="auto"/>
              <w:rPr>
                <w:rFonts w:hint="eastAsia" w:ascii="宋体" w:hAnsi="宋体" w:cs="宋体"/>
              </w:rPr>
            </w:pPr>
            <w:r>
              <w:rPr>
                <w:rFonts w:hint="eastAsia" w:hAnsi="宋体"/>
                <w:b/>
                <w:bCs/>
                <w:color w:val="000000"/>
                <w:highlight w:val="none"/>
              </w:rPr>
              <w:t>▲</w:t>
            </w:r>
            <w:r>
              <w:rPr>
                <w:rFonts w:hint="eastAsia" w:ascii="Calibri" w:hAnsi="Calibri" w:cs="Calibri"/>
                <w:b w:val="0"/>
                <w:bCs w:val="0"/>
                <w:color w:val="000000"/>
                <w:highlight w:val="none"/>
                <w:lang w:val="en-US" w:eastAsia="zh-CN"/>
              </w:rPr>
              <w:t>2、</w:t>
            </w:r>
            <w:r>
              <w:rPr>
                <w:rFonts w:hint="eastAsia" w:ascii="宋体" w:hAnsi="宋体" w:cs="宋体"/>
              </w:rPr>
              <w:t>实际是负偏离的参数，响应表</w:t>
            </w:r>
            <w:r>
              <w:rPr>
                <w:rFonts w:hint="eastAsia" w:ascii="宋体" w:hAnsi="宋体" w:cs="宋体"/>
                <w:lang w:val="en-US" w:eastAsia="zh-CN"/>
              </w:rPr>
              <w:t>标</w:t>
            </w:r>
            <w:r>
              <w:rPr>
                <w:rFonts w:hint="eastAsia" w:ascii="宋体" w:hAnsi="宋体" w:cs="宋体"/>
              </w:rPr>
              <w:t>明负偏离，经评标仍然成交的，说明不影响设</w:t>
            </w:r>
          </w:p>
          <w:p w14:paraId="325B012F">
            <w:pPr>
              <w:spacing w:line="360" w:lineRule="auto"/>
              <w:rPr>
                <w:rFonts w:hint="eastAsia" w:ascii="宋体" w:hAnsi="宋体" w:cs="宋体"/>
              </w:rPr>
            </w:pPr>
            <w:r>
              <w:rPr>
                <w:rFonts w:hint="eastAsia" w:ascii="宋体" w:hAnsi="宋体" w:cs="宋体"/>
              </w:rPr>
              <w:t>备质量、使用与档次，验收时以负偏离验收，设备视为接受。如果对质量、使用与</w:t>
            </w:r>
          </w:p>
          <w:p w14:paraId="6BA421F8">
            <w:pPr>
              <w:spacing w:line="360" w:lineRule="auto"/>
              <w:rPr>
                <w:rFonts w:hint="eastAsia" w:ascii="宋体" w:hAnsi="宋体" w:cs="宋体"/>
              </w:rPr>
            </w:pPr>
            <w:r>
              <w:rPr>
                <w:rFonts w:hint="eastAsia" w:ascii="宋体" w:hAnsi="宋体" w:cs="宋体"/>
              </w:rPr>
              <w:t>档次有影响的，以不实质响应采购要求论处。</w:t>
            </w:r>
          </w:p>
          <w:p w14:paraId="47BEE978">
            <w:pPr>
              <w:spacing w:line="360" w:lineRule="auto"/>
              <w:rPr>
                <w:rFonts w:hint="eastAsia" w:ascii="宋体" w:hAnsi="宋体" w:cs="宋体"/>
              </w:rPr>
            </w:pPr>
            <w:r>
              <w:rPr>
                <w:rFonts w:hint="eastAsia" w:hAnsi="宋体"/>
                <w:b/>
                <w:bCs/>
                <w:color w:val="000000"/>
                <w:highlight w:val="none"/>
              </w:rPr>
              <w:t>▲</w:t>
            </w:r>
            <w:r>
              <w:rPr>
                <w:rFonts w:hint="eastAsia" w:ascii="Calibri" w:hAnsi="Calibri" w:cs="Calibri"/>
                <w:lang w:val="en-US" w:eastAsia="zh-CN"/>
              </w:rPr>
              <w:t>3、</w:t>
            </w:r>
            <w:r>
              <w:rPr>
                <w:rFonts w:hint="eastAsia" w:ascii="宋体" w:hAnsi="宋体" w:cs="宋体"/>
              </w:rPr>
              <w:t>实际是负偏离的参数，在响应文件</w:t>
            </w:r>
            <w:r>
              <w:rPr>
                <w:rFonts w:hint="eastAsia" w:ascii="宋体" w:hAnsi="宋体" w:cs="宋体"/>
                <w:lang w:val="en-US" w:eastAsia="zh-CN"/>
              </w:rPr>
              <w:t>标</w:t>
            </w:r>
            <w:r>
              <w:rPr>
                <w:rFonts w:hint="eastAsia" w:ascii="宋体" w:hAnsi="宋体" w:cs="宋体"/>
              </w:rPr>
              <w:t>明是无偏离或正偏离，以虚假应标论处。</w:t>
            </w:r>
          </w:p>
          <w:p w14:paraId="6632FF83">
            <w:pPr>
              <w:spacing w:line="360" w:lineRule="auto"/>
              <w:rPr>
                <w:rFonts w:hint="eastAsia" w:ascii="宋体" w:hAnsi="宋体" w:cs="宋体"/>
              </w:rPr>
            </w:pPr>
            <w:r>
              <w:rPr>
                <w:rFonts w:hint="eastAsia" w:hAnsi="宋体"/>
                <w:b/>
                <w:bCs/>
                <w:color w:val="000000"/>
                <w:highlight w:val="none"/>
              </w:rPr>
              <w:t>▲</w:t>
            </w:r>
            <w:r>
              <w:rPr>
                <w:rFonts w:hint="eastAsia" w:eastAsia="宋体" w:cs="宋体" w:asciiTheme="minorAscii" w:hAnsiTheme="minorAscii"/>
                <w:lang w:eastAsia="zh-CN"/>
              </w:rPr>
              <w:t>4、</w:t>
            </w:r>
            <w:r>
              <w:rPr>
                <w:rFonts w:hint="eastAsia" w:ascii="宋体" w:hAnsi="宋体" w:cs="宋体"/>
              </w:rPr>
              <w:t>实际是无偏离参数，响应表</w:t>
            </w:r>
            <w:r>
              <w:rPr>
                <w:rFonts w:hint="eastAsia" w:ascii="宋体" w:hAnsi="宋体" w:cs="宋体"/>
                <w:lang w:val="en-US" w:eastAsia="zh-CN"/>
              </w:rPr>
              <w:t>标</w:t>
            </w:r>
            <w:r>
              <w:rPr>
                <w:rFonts w:hint="eastAsia" w:ascii="宋体" w:hAnsi="宋体" w:cs="宋体"/>
              </w:rPr>
              <w:t>明是正偏离，以虚假应标论处。</w:t>
            </w:r>
          </w:p>
          <w:p w14:paraId="13DAD3C1">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5、</w:t>
            </w:r>
            <w:r>
              <w:rPr>
                <w:rFonts w:hint="eastAsia" w:ascii="宋体" w:hAnsi="宋体" w:cs="宋体"/>
              </w:rPr>
              <w:t>实际是正偏离参数，但验收时并没有达到响应表</w:t>
            </w:r>
            <w:r>
              <w:rPr>
                <w:rFonts w:hint="eastAsia" w:ascii="宋体" w:hAnsi="宋体" w:cs="宋体"/>
                <w:lang w:val="en-US" w:eastAsia="zh-CN"/>
              </w:rPr>
              <w:t>标</w:t>
            </w:r>
            <w:r>
              <w:rPr>
                <w:rFonts w:hint="eastAsia" w:ascii="宋体" w:hAnsi="宋体" w:cs="宋体"/>
              </w:rPr>
              <w:t>明的正偏离幅度，以虚假应标论处。</w:t>
            </w:r>
          </w:p>
          <w:p w14:paraId="614053EA">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6、</w:t>
            </w:r>
            <w:r>
              <w:rPr>
                <w:rFonts w:hint="eastAsia" w:ascii="宋体" w:hAnsi="宋体" w:cs="宋体"/>
              </w:rPr>
              <w:t>备用功能。是指设备主机具备相应的功能，但需要增加相应的软件硬件配件才能实现，除非需要在使用期限内升级，本次竞标中不设“备用功能”参数，需要这种功能时，采购文件必须有明确注明“备用功能”字样。验收时供应商必须携带相关部件进行验收，以证明设备确实具备相关功能，验收完成后相关部件供应商带回，如果拒绝携带相关部件验收，以虚假应标论处。</w:t>
            </w:r>
          </w:p>
          <w:p w14:paraId="3C85ECC5">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7、</w:t>
            </w:r>
            <w:r>
              <w:rPr>
                <w:rFonts w:hint="eastAsia" w:ascii="宋体" w:hAnsi="宋体" w:cs="宋体"/>
              </w:rPr>
              <w:t>对于采购文件只要求具备的功能或性能，但采购文件没有详细标明硬件配置参数，同时采购文件也没有注明“ 备用功能”字样，供应商必须无条件配齐相关软件硬件后，予以接受，凡出现“可配”等不明确意义字样，以虚假应标论处。</w:t>
            </w:r>
          </w:p>
          <w:p w14:paraId="68658A4E">
            <w:pPr>
              <w:spacing w:line="360" w:lineRule="auto"/>
              <w:rPr>
                <w:rFonts w:hint="eastAsia" w:ascii="宋体" w:hAnsi="宋体" w:cs="宋体"/>
              </w:rPr>
            </w:pPr>
            <w:r>
              <w:rPr>
                <w:rFonts w:hint="eastAsia" w:ascii="宋体" w:hAnsi="宋体" w:cs="宋体"/>
              </w:rPr>
              <w:t>如是“可配可不配的必须配”，不得以“必须增购相关软硬件才能具备”或者以此为“选配，必须加钱另买”为由要求医院方额外开支才能达到相应功能项。如果供应商不愿意提供相关软硬件配置，以虚假应标论处。</w:t>
            </w:r>
          </w:p>
          <w:p w14:paraId="7E72EA8F">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8、</w:t>
            </w:r>
            <w:r>
              <w:rPr>
                <w:rFonts w:hint="eastAsia" w:ascii="宋体" w:hAnsi="宋体" w:cs="宋体"/>
              </w:rPr>
              <w:t>对于以采购参数不同的参数概念，应标时出现张冠李戴现象，如以“速度”参数响应“长度”参数等，按虚假应标论处。</w:t>
            </w:r>
          </w:p>
          <w:p w14:paraId="56A6FD58">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9、</w:t>
            </w:r>
            <w:r>
              <w:rPr>
                <w:rFonts w:hint="eastAsia" w:ascii="宋体" w:hAnsi="宋体" w:cs="宋体"/>
              </w:rPr>
              <w:t>替代技术或同类技术，指用另一种与采购参数完全不一样的技术应标，验收时必须提供技术白皮书，说明与采购参数原理不同但目的与效果相同，验收时实际使用效果与采购参数一样，并得到使用科室验收专家的认可，才能判定无偏离，否则判定为负偏离，如果达不到相应使用效果，响应文件却以无偏离甚至以正偏离响应，以虚假应标论处。</w:t>
            </w:r>
          </w:p>
          <w:p w14:paraId="1A286857">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1</w:t>
            </w:r>
            <w:r>
              <w:rPr>
                <w:rFonts w:hint="eastAsia" w:eastAsia="微软雅黑" w:cs="微软雅黑" w:asciiTheme="minorAscii" w:hAnsiTheme="minorAscii"/>
                <w:lang w:val="en-US" w:eastAsia="zh-CN"/>
              </w:rPr>
              <w:t>0、</w:t>
            </w:r>
            <w:r>
              <w:rPr>
                <w:rFonts w:hint="eastAsia" w:ascii="宋体" w:hAnsi="宋体" w:cs="宋体"/>
              </w:rPr>
              <w:t>对于以含义相同而名字不同的参数名称响应，供应商必须提供</w:t>
            </w:r>
            <w:r>
              <w:rPr>
                <w:rFonts w:hint="eastAsia" w:ascii="宋体" w:hAnsi="宋体" w:cs="宋体"/>
                <w:lang w:val="en-US" w:eastAsia="zh-CN"/>
              </w:rPr>
              <w:t>相关</w:t>
            </w:r>
            <w:r>
              <w:rPr>
                <w:rFonts w:hint="eastAsia" w:ascii="宋体" w:hAnsi="宋体" w:cs="宋体"/>
              </w:rPr>
              <w:t>有效证明材料，并得到医院有关专业人员的认可，以无偏离论处，否则判定为负偏离，负偏离情况下，如果响应文件标明为无偏离或正偏离响应，以虚假应标论处。</w:t>
            </w:r>
          </w:p>
          <w:p w14:paraId="3C2E1033">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1</w:t>
            </w:r>
            <w:r>
              <w:rPr>
                <w:rFonts w:hint="eastAsia" w:eastAsia="微软雅黑" w:cs="微软雅黑" w:asciiTheme="minorAscii" w:hAnsiTheme="minorAscii"/>
                <w:lang w:val="en-US" w:eastAsia="zh-CN"/>
              </w:rPr>
              <w:t>1、</w:t>
            </w:r>
            <w:r>
              <w:rPr>
                <w:rFonts w:hint="eastAsia" w:ascii="宋体" w:hAnsi="宋体" w:cs="宋体"/>
              </w:rPr>
              <w:t>复合参数，一个参数有多个技术指标，必须全部响应。如果只响应其中一部份指标，以负偏离论处，如果响应文件标明为无偏离或正偏离，以虚假应标论处。</w:t>
            </w:r>
          </w:p>
          <w:p w14:paraId="7FDEC0DE">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1</w:t>
            </w:r>
            <w:r>
              <w:rPr>
                <w:rFonts w:hint="eastAsia" w:eastAsia="微软雅黑" w:cs="微软雅黑" w:asciiTheme="minorAscii" w:hAnsiTheme="minorAscii"/>
                <w:lang w:val="en-US" w:eastAsia="zh-CN"/>
              </w:rPr>
              <w:t>2、</w:t>
            </w:r>
            <w:r>
              <w:rPr>
                <w:rFonts w:hint="eastAsia" w:ascii="宋体" w:hAnsi="宋体" w:cs="宋体"/>
              </w:rPr>
              <w:t>对于区间涵盖值参数，如“频率范围为x-y，”等，其下界值更低，上界值更高，才能判定正偏离；其中一端负偏离，不管另一端实际情况如何，均判定负偏离，如果响应文件还标明正偏离，以虚假应标论处。</w:t>
            </w:r>
          </w:p>
          <w:p w14:paraId="4FAAE9DA">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1</w:t>
            </w:r>
            <w:r>
              <w:rPr>
                <w:rFonts w:hint="eastAsia" w:eastAsia="微软雅黑" w:cs="微软雅黑" w:asciiTheme="minorAscii" w:hAnsiTheme="minorAscii"/>
                <w:lang w:val="en-US" w:eastAsia="zh-CN"/>
              </w:rPr>
              <w:t>3、</w:t>
            </w:r>
            <w:r>
              <w:rPr>
                <w:rFonts w:hint="eastAsia" w:ascii="宋体" w:hAnsi="宋体" w:cs="宋体"/>
              </w:rPr>
              <w:t>对于区间任意值参数，如“a≤××尺寸≤b”，“××尺寸”在区间a-b内任意一个数值均为无偏离，超出约定区间范围为负偏离，此类参数没有正偏离，如果为负偏离者，如果响应文件仍标明为无偏离以虚假应标论处，此类参数出现正偏离，也以虚假应标论处。</w:t>
            </w:r>
          </w:p>
          <w:p w14:paraId="3697B5E7">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1</w:t>
            </w:r>
            <w:r>
              <w:rPr>
                <w:rFonts w:hint="eastAsia" w:eastAsia="微软雅黑" w:cs="微软雅黑" w:asciiTheme="minorAscii" w:hAnsiTheme="minorAscii"/>
                <w:lang w:val="en-US" w:eastAsia="zh-CN"/>
              </w:rPr>
              <w:t>4、</w:t>
            </w:r>
            <w:r>
              <w:rPr>
                <w:rFonts w:hint="eastAsia" w:ascii="宋体" w:hAnsi="宋体" w:cs="宋体"/>
              </w:rPr>
              <w:t>对于指定值参数：不是大于值也不是小于值，更不是区间值，只有应标数据一致，才能定为无偏离，应标参数不一致，为负偏离，此参数没有正偏离。如果与应标参数不一致，而响应为“无偏离”，以虚假应标论处。</w:t>
            </w:r>
          </w:p>
          <w:p w14:paraId="4E5B376D">
            <w:pPr>
              <w:spacing w:line="360" w:lineRule="auto"/>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1</w:t>
            </w:r>
            <w:r>
              <w:rPr>
                <w:rFonts w:hint="eastAsia" w:eastAsia="微软雅黑" w:cs="微软雅黑" w:asciiTheme="minorAscii" w:hAnsiTheme="minorAscii"/>
                <w:lang w:val="en-US" w:eastAsia="zh-CN"/>
              </w:rPr>
              <w:t>5、</w:t>
            </w:r>
            <w:r>
              <w:rPr>
                <w:rFonts w:hint="eastAsia" w:ascii="宋体" w:hAnsi="宋体" w:cs="宋体"/>
              </w:rPr>
              <w:t>按常识，设备特殊的工作环境工作条件必须配置的软硬件才能发挥设备效用的，即使采购技术参数表没有表明，供应商也必须提供，不能以采购参数没有要求而拒绝提供。（如：除颤器有可能在远离电源的情况下使用，必须配置电池，即使采购文件没有明确标明电池，供应商也不能以此为由拒绝提供电池）。</w:t>
            </w:r>
          </w:p>
          <w:p w14:paraId="712F32CD">
            <w:pPr>
              <w:spacing w:line="380" w:lineRule="exact"/>
              <w:rPr>
                <w:rFonts w:hint="eastAsia" w:ascii="宋体" w:hAnsi="宋体" w:cs="宋体"/>
              </w:rPr>
            </w:pPr>
            <w:r>
              <w:rPr>
                <w:rFonts w:hint="eastAsia" w:hAnsi="宋体"/>
                <w:b/>
                <w:bCs/>
                <w:color w:val="000000"/>
                <w:highlight w:val="none"/>
              </w:rPr>
              <w:t>▲</w:t>
            </w:r>
            <w:r>
              <w:rPr>
                <w:rFonts w:hint="eastAsia" w:eastAsia="微软雅黑" w:cs="微软雅黑" w:asciiTheme="minorAscii" w:hAnsiTheme="minorAscii"/>
                <w:lang w:eastAsia="zh-CN"/>
              </w:rPr>
              <w:t>1</w:t>
            </w:r>
            <w:r>
              <w:rPr>
                <w:rFonts w:hint="eastAsia" w:eastAsia="微软雅黑" w:cs="微软雅黑" w:asciiTheme="minorAscii" w:hAnsiTheme="minorAscii"/>
                <w:lang w:val="en-US" w:eastAsia="zh-CN"/>
              </w:rPr>
              <w:t>6、</w:t>
            </w:r>
            <w:r>
              <w:rPr>
                <w:rFonts w:hint="eastAsia" w:ascii="宋体" w:hAnsi="宋体" w:cs="宋体"/>
              </w:rPr>
              <w:t>为防止虚假应标，如有必要，</w:t>
            </w:r>
            <w:r>
              <w:rPr>
                <w:rFonts w:hint="eastAsia" w:ascii="宋体" w:hAnsi="宋体" w:cs="宋体"/>
                <w:lang w:val="en-US" w:eastAsia="zh-CN"/>
              </w:rPr>
              <w:t>成交</w:t>
            </w:r>
            <w:r>
              <w:rPr>
                <w:rFonts w:hint="eastAsia" w:ascii="宋体" w:hAnsi="宋体" w:cs="宋体"/>
              </w:rPr>
              <w:t>供应商需配合院方联合院方指定的第三方或该项目其他</w:t>
            </w:r>
            <w:r>
              <w:rPr>
                <w:rFonts w:hint="eastAsia" w:ascii="宋体" w:hAnsi="宋体" w:cs="宋体"/>
                <w:lang w:val="en-US" w:eastAsia="zh-CN"/>
              </w:rPr>
              <w:t>竞</w:t>
            </w:r>
            <w:r>
              <w:rPr>
                <w:rFonts w:hint="eastAsia" w:ascii="宋体" w:hAnsi="宋体" w:cs="宋体"/>
              </w:rPr>
              <w:t>标供应商对</w:t>
            </w:r>
            <w:r>
              <w:rPr>
                <w:rFonts w:hint="eastAsia" w:ascii="宋体" w:hAnsi="宋体" w:cs="宋体"/>
                <w:lang w:val="en-US" w:eastAsia="zh-CN"/>
              </w:rPr>
              <w:t>成交</w:t>
            </w:r>
            <w:r>
              <w:rPr>
                <w:rFonts w:hint="eastAsia" w:ascii="宋体" w:hAnsi="宋体" w:cs="宋体"/>
              </w:rPr>
              <w:t>供应商提供产品的技术参数逐一验收，如发现提供产品的实际技术参数与</w:t>
            </w:r>
            <w:r>
              <w:rPr>
                <w:rFonts w:hint="eastAsia" w:ascii="宋体" w:hAnsi="宋体" w:cs="宋体"/>
                <w:lang w:val="en-US" w:eastAsia="zh-CN"/>
              </w:rPr>
              <w:t>竞</w:t>
            </w:r>
            <w:r>
              <w:rPr>
                <w:rFonts w:hint="eastAsia" w:ascii="宋体" w:hAnsi="宋体" w:cs="宋体"/>
              </w:rPr>
              <w:t>标参数不符，则视为虚假应标，取消其</w:t>
            </w:r>
            <w:r>
              <w:rPr>
                <w:rFonts w:hint="eastAsia" w:ascii="宋体" w:hAnsi="宋体" w:cs="宋体"/>
                <w:lang w:val="en-US" w:eastAsia="zh-CN"/>
              </w:rPr>
              <w:t>成交</w:t>
            </w:r>
            <w:r>
              <w:rPr>
                <w:rFonts w:hint="eastAsia" w:ascii="宋体" w:hAnsi="宋体" w:cs="宋体"/>
              </w:rPr>
              <w:t>资格。</w:t>
            </w:r>
          </w:p>
          <w:p w14:paraId="2EA37439">
            <w:pPr>
              <w:spacing w:line="380" w:lineRule="exact"/>
              <w:rPr>
                <w:rFonts w:hint="eastAsia" w:ascii="宋体" w:hAnsi="宋体" w:cs="宋体"/>
              </w:rPr>
            </w:pPr>
            <w:r>
              <w:rPr>
                <w:rFonts w:hint="eastAsia" w:ascii="宋体" w:hAnsi="宋体" w:cs="宋体"/>
                <w:lang w:eastAsia="zh-CN"/>
              </w:rPr>
              <w:t>（</w:t>
            </w:r>
            <w:r>
              <w:rPr>
                <w:rFonts w:hint="eastAsia" w:ascii="宋体" w:hAnsi="宋体" w:cs="宋体"/>
              </w:rPr>
              <w:t>四）试运行：设备使用科室验收人员按设备说明书要求在供应商指导下，常规负荷试运行七个工作日，没有出现异常者，为合格。</w:t>
            </w:r>
          </w:p>
          <w:p w14:paraId="5F57E67D">
            <w:pPr>
              <w:spacing w:line="380" w:lineRule="exact"/>
              <w:rPr>
                <w:rFonts w:hint="eastAsia" w:ascii="宋体" w:hAnsi="宋体" w:cs="宋体"/>
              </w:rPr>
            </w:pPr>
            <w:r>
              <w:rPr>
                <w:rFonts w:hint="eastAsia" w:ascii="宋体" w:hAnsi="宋体" w:cs="宋体"/>
                <w:lang w:val="en-US" w:eastAsia="zh-CN"/>
              </w:rPr>
              <w:t>七、</w:t>
            </w:r>
            <w:r>
              <w:rPr>
                <w:rFonts w:hint="eastAsia" w:ascii="宋体" w:hAnsi="宋体" w:cs="宋体"/>
              </w:rPr>
              <w:t>对于《验收条件及标准》第六条《技术性能验收》第（</w:t>
            </w:r>
            <w:r>
              <w:rPr>
                <w:rFonts w:hint="eastAsia" w:ascii="宋体" w:hAnsi="宋体" w:cs="宋体"/>
                <w:lang w:val="en-US" w:eastAsia="zh-CN"/>
              </w:rPr>
              <w:t>三</w:t>
            </w:r>
            <w:r>
              <w:rPr>
                <w:rFonts w:hint="eastAsia" w:ascii="宋体" w:hAnsi="宋体" w:cs="宋体"/>
              </w:rPr>
              <w:t>）点“验收必须以采购参数为基准，对竞标技术响应表逐条进行验收，对于技术响应表与采购技术参数不符的，作如下处理”第3、4、5、8、9、10、11、12款的情形，业主方在评标结束后公告前，有权对响应文件进行形式复核，如果发现属于负偏离，偏离说明仍写无偏离或正偏离，属于无偏离，偏离说明仍写正偏离，作无效竞标论处。</w:t>
            </w:r>
          </w:p>
          <w:p w14:paraId="41C22299">
            <w:pPr>
              <w:spacing w:line="380" w:lineRule="exact"/>
              <w:rPr>
                <w:rFonts w:hint="eastAsia" w:ascii="宋体" w:hAnsi="宋体" w:cs="宋体"/>
              </w:rPr>
            </w:pPr>
            <w:r>
              <w:rPr>
                <w:rFonts w:hint="eastAsia" w:ascii="宋体" w:hAnsi="宋体" w:cs="宋体"/>
                <w:lang w:val="en-US" w:eastAsia="zh-CN"/>
              </w:rPr>
              <w:t>八、</w:t>
            </w:r>
            <w:r>
              <w:rPr>
                <w:rFonts w:hint="eastAsia" w:ascii="宋体" w:hAnsi="宋体" w:cs="宋体"/>
              </w:rPr>
              <w:t>设备符合下列情形的，不予接收。</w:t>
            </w:r>
          </w:p>
          <w:p w14:paraId="1C2AC1C9">
            <w:pPr>
              <w:spacing w:line="380" w:lineRule="exact"/>
              <w:rPr>
                <w:rFonts w:hint="eastAsia" w:ascii="宋体" w:hAnsi="宋体" w:cs="宋体"/>
              </w:rPr>
            </w:pPr>
            <w:r>
              <w:rPr>
                <w:rFonts w:hint="eastAsia" w:ascii="宋体" w:hAnsi="宋体" w:cs="宋体"/>
              </w:rPr>
              <w:t>1.设备部件损伤，影响整机外观或性能，供应商又不愿意更换的不予接收。</w:t>
            </w:r>
          </w:p>
          <w:p w14:paraId="2B469BF9">
            <w:pPr>
              <w:spacing w:line="380" w:lineRule="exact"/>
              <w:rPr>
                <w:rFonts w:hint="eastAsia" w:ascii="宋体" w:hAnsi="宋体" w:cs="宋体"/>
              </w:rPr>
            </w:pPr>
            <w:r>
              <w:rPr>
                <w:rFonts w:hint="eastAsia" w:ascii="宋体" w:hAnsi="宋体" w:cs="宋体"/>
              </w:rPr>
              <w:t>2.带</w:t>
            </w:r>
            <w:r>
              <w:rPr>
                <w:rFonts w:hint="eastAsia" w:hAnsi="宋体"/>
                <w:b/>
                <w:bCs/>
                <w:color w:val="000000"/>
                <w:highlight w:val="none"/>
              </w:rPr>
              <w:t>▲</w:t>
            </w:r>
            <w:r>
              <w:rPr>
                <w:rFonts w:hint="eastAsia" w:ascii="宋体" w:hAnsi="宋体" w:cs="宋体"/>
              </w:rPr>
              <w:t>号的参数，必须百分之百满足，验收发现是负偏离，不予接收。</w:t>
            </w:r>
          </w:p>
          <w:p w14:paraId="4089C1B4">
            <w:pPr>
              <w:spacing w:line="380" w:lineRule="exact"/>
              <w:rPr>
                <w:rFonts w:hint="eastAsia" w:ascii="宋体" w:hAnsi="宋体" w:cs="宋体"/>
              </w:rPr>
            </w:pPr>
            <w:r>
              <w:rPr>
                <w:rFonts w:hint="eastAsia" w:ascii="宋体" w:hAnsi="宋体" w:cs="宋体"/>
              </w:rPr>
              <w:t>3.对于标准功能或者常规操作所必须的软硬件配置，设备安全必须的软硬件配置，国家相关标准规定配置，行业内认可的配置，如果不配置，即使采购参数没有标明详细配置，供应商必须无条件提供，如不提供，设备不予接收。</w:t>
            </w:r>
          </w:p>
          <w:p w14:paraId="45CB0399">
            <w:pPr>
              <w:spacing w:line="380" w:lineRule="exact"/>
              <w:rPr>
                <w:rFonts w:hint="eastAsia" w:ascii="宋体" w:hAnsi="宋体" w:cs="宋体"/>
              </w:rPr>
            </w:pPr>
            <w:r>
              <w:rPr>
                <w:rFonts w:hint="eastAsia" w:ascii="宋体" w:hAnsi="宋体" w:cs="宋体"/>
              </w:rPr>
              <w:t>4.验收时出现一项不实质性响应采购要求或一项验收条款规定的虚假应标情形者，设备不予接收。</w:t>
            </w:r>
          </w:p>
          <w:p w14:paraId="1E4AF0B6">
            <w:pPr>
              <w:spacing w:line="380" w:lineRule="exact"/>
              <w:rPr>
                <w:rFonts w:hint="eastAsia" w:ascii="宋体" w:hAnsi="宋体" w:cs="宋体"/>
              </w:rPr>
            </w:pPr>
            <w:r>
              <w:rPr>
                <w:rFonts w:hint="eastAsia" w:ascii="宋体" w:hAnsi="宋体" w:cs="宋体"/>
              </w:rPr>
              <w:t>5.设备使用没有完成，使用人员还未能独立使用，供应商必须按合同要求提供培训，否则不予接收。</w:t>
            </w:r>
          </w:p>
          <w:p w14:paraId="1DF0AB53">
            <w:pPr>
              <w:spacing w:line="360" w:lineRule="auto"/>
              <w:rPr>
                <w:rFonts w:hint="eastAsia" w:ascii="宋体" w:hAnsi="宋体" w:cs="宋体"/>
              </w:rPr>
            </w:pPr>
            <w:r>
              <w:rPr>
                <w:rFonts w:hint="eastAsia" w:ascii="宋体" w:hAnsi="宋体" w:cs="宋体"/>
              </w:rPr>
              <w:t>6.带</w:t>
            </w:r>
            <w:r>
              <w:rPr>
                <w:rFonts w:hint="eastAsia" w:hAnsi="宋体"/>
                <w:b/>
                <w:bCs/>
                <w:color w:val="000000"/>
                <w:highlight w:val="none"/>
              </w:rPr>
              <w:t>▲</w:t>
            </w:r>
            <w:r>
              <w:rPr>
                <w:rFonts w:hint="eastAsia" w:ascii="宋体" w:hAnsi="宋体" w:cs="宋体"/>
              </w:rPr>
              <w:t>号的参数，验收中发现不实质响应采购要求，设备不予接收。</w:t>
            </w:r>
          </w:p>
          <w:p w14:paraId="2644A2A2">
            <w:pPr>
              <w:spacing w:line="360" w:lineRule="auto"/>
              <w:rPr>
                <w:rFonts w:hint="eastAsia" w:ascii="宋体" w:hAnsi="宋体" w:cs="宋体"/>
              </w:rPr>
            </w:pPr>
            <w:r>
              <w:rPr>
                <w:rFonts w:hint="eastAsia" w:hAnsi="宋体"/>
                <w:b/>
                <w:bCs/>
                <w:color w:val="000000"/>
                <w:highlight w:val="none"/>
              </w:rPr>
              <w:t>▲</w:t>
            </w:r>
            <w:r>
              <w:rPr>
                <w:rFonts w:hint="eastAsia" w:ascii="宋体" w:hAnsi="宋体" w:cs="宋体"/>
                <w:lang w:val="en-US" w:eastAsia="zh-CN"/>
              </w:rPr>
              <w:t>九、</w:t>
            </w:r>
            <w:r>
              <w:rPr>
                <w:rFonts w:hint="eastAsia" w:ascii="宋体" w:hAnsi="宋体" w:cs="宋体"/>
              </w:rPr>
              <w:t>设备属于不予接收的情形，视为设备没有交接，供应商不得将设备放在医院任何场地，无条件搬走。</w:t>
            </w:r>
          </w:p>
          <w:p w14:paraId="7AC649EE">
            <w:pPr>
              <w:spacing w:line="360" w:lineRule="auto"/>
              <w:rPr>
                <w:rFonts w:hint="eastAsia" w:ascii="宋体" w:hAnsi="宋体" w:cs="宋体"/>
              </w:rPr>
            </w:pPr>
            <w:r>
              <w:rPr>
                <w:rFonts w:hint="eastAsia" w:ascii="宋体" w:hAnsi="宋体" w:cs="宋体"/>
                <w:lang w:val="en-US" w:eastAsia="zh-CN"/>
              </w:rPr>
              <w:t>十、</w:t>
            </w:r>
            <w:r>
              <w:rPr>
                <w:rFonts w:hint="eastAsia" w:ascii="宋体" w:hAnsi="宋体" w:cs="宋体"/>
              </w:rPr>
              <w:t>培训条款验收：按商务要求第4条执行。设备安装结束后，供应商必须培训使用科室的操作人员，直到熟悉掌握机器性能及操作。</w:t>
            </w:r>
          </w:p>
          <w:p w14:paraId="2F5996AB">
            <w:pPr>
              <w:spacing w:line="360" w:lineRule="auto"/>
              <w:rPr>
                <w:rFonts w:hint="eastAsia" w:ascii="宋体" w:hAnsi="宋体" w:cs="宋体"/>
              </w:rPr>
            </w:pPr>
            <w:r>
              <w:rPr>
                <w:rFonts w:hint="eastAsia" w:ascii="宋体" w:hAnsi="宋体" w:cs="宋体"/>
                <w:lang w:val="en-US" w:eastAsia="zh-CN"/>
              </w:rPr>
              <w:t>十一、</w:t>
            </w:r>
            <w:r>
              <w:rPr>
                <w:rFonts w:hint="eastAsia" w:ascii="宋体" w:hAnsi="宋体" w:cs="宋体"/>
              </w:rPr>
              <w:t>验收合格证签署：设备经供应商安装人员、设备科工程技术人员、使用科室负责人、验收人员均认为合格并全部签署验收合格证后，验收合格证生效。</w:t>
            </w:r>
          </w:p>
          <w:p w14:paraId="50473F8C">
            <w:pPr>
              <w:spacing w:line="360" w:lineRule="auto"/>
              <w:rPr>
                <w:rFonts w:hint="eastAsia" w:ascii="宋体" w:hAnsi="宋体" w:cs="宋体"/>
              </w:rPr>
            </w:pPr>
            <w:r>
              <w:rPr>
                <w:rFonts w:hint="eastAsia" w:ascii="宋体" w:hAnsi="宋体" w:cs="宋体"/>
                <w:lang w:val="en-US" w:eastAsia="zh-CN"/>
              </w:rPr>
              <w:t>十二、</w:t>
            </w:r>
            <w:r>
              <w:rPr>
                <w:rFonts w:hint="eastAsia" w:ascii="宋体" w:hAnsi="宋体" w:cs="宋体"/>
              </w:rPr>
              <w:t>验收合格生效：验收合格日期以最后验收完成项目为准，设备验收时间计算在供货期内，按合同相关规定执行，由于供应商原因造成不按时完成验收造成逾期供货事实，由供应商承担相关合同责任。</w:t>
            </w:r>
          </w:p>
          <w:p w14:paraId="1B48F701">
            <w:pPr>
              <w:spacing w:line="360" w:lineRule="auto"/>
              <w:rPr>
                <w:rFonts w:hint="eastAsia" w:ascii="宋体" w:hAnsi="宋体" w:cs="宋体"/>
              </w:rPr>
            </w:pPr>
            <w:r>
              <w:rPr>
                <w:rFonts w:hint="eastAsia" w:ascii="宋体" w:hAnsi="宋体" w:cs="宋体"/>
                <w:lang w:val="en-US" w:eastAsia="zh-CN"/>
              </w:rPr>
              <w:t>十三、</w:t>
            </w:r>
            <w:r>
              <w:rPr>
                <w:rFonts w:hint="eastAsia" w:ascii="宋体" w:hAnsi="宋体" w:cs="宋体"/>
              </w:rPr>
              <w:t>设备交接：验收合格后视为设备交接，在验收合格前设备属于供应商，所有运输、仓储、装卸、保管、搬运等其相关责任由供应商负责。</w:t>
            </w:r>
          </w:p>
        </w:tc>
      </w:tr>
      <w:tr w14:paraId="505C0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trPr>
        <w:tc>
          <w:tcPr>
            <w:tcW w:w="1342" w:type="dxa"/>
            <w:gridSpan w:val="2"/>
            <w:tcBorders>
              <w:top w:val="single" w:color="auto" w:sz="4" w:space="0"/>
            </w:tcBorders>
            <w:noWrap/>
            <w:vAlign w:val="center"/>
          </w:tcPr>
          <w:p w14:paraId="241C7813">
            <w:pPr>
              <w:spacing w:line="360" w:lineRule="auto"/>
              <w:jc w:val="center"/>
              <w:rPr>
                <w:rFonts w:hint="eastAsia" w:ascii="宋体" w:hAnsi="宋体" w:cs="宋体"/>
              </w:rPr>
            </w:pPr>
            <w:r>
              <w:rPr>
                <w:rFonts w:hint="eastAsia" w:ascii="宋体" w:hAnsi="宋体" w:cs="宋体"/>
                <w:color w:val="0C0C0C"/>
              </w:rPr>
              <w:t>其他：</w:t>
            </w:r>
          </w:p>
        </w:tc>
        <w:tc>
          <w:tcPr>
            <w:tcW w:w="8627" w:type="dxa"/>
            <w:gridSpan w:val="5"/>
            <w:tcBorders>
              <w:top w:val="single" w:color="auto" w:sz="4" w:space="0"/>
            </w:tcBorders>
            <w:noWrap/>
            <w:vAlign w:val="center"/>
          </w:tcPr>
          <w:p w14:paraId="4CB9EEEC">
            <w:pPr>
              <w:pStyle w:val="7"/>
              <w:keepNext w:val="0"/>
              <w:keepLines w:val="0"/>
              <w:pageBreakBefore w:val="0"/>
              <w:widowControl w:val="0"/>
              <w:kinsoku/>
              <w:wordWrap/>
              <w:overflowPunct/>
              <w:topLinePunct w:val="0"/>
              <w:autoSpaceDE/>
              <w:autoSpaceDN/>
              <w:bidi w:val="0"/>
              <w:adjustRightInd/>
              <w:snapToGrid/>
              <w:spacing w:line="420" w:lineRule="exact"/>
              <w:ind w:firstLineChars="200"/>
              <w:textAlignment w:val="auto"/>
              <w:rPr>
                <w:rFonts w:hint="eastAsia" w:ascii="宋体" w:hAnsi="宋体" w:cs="宋体"/>
                <w:bCs/>
              </w:rPr>
            </w:pPr>
            <w:r>
              <w:rPr>
                <w:rFonts w:hint="eastAsia" w:ascii="宋体" w:hAnsi="宋体" w:cs="宋体"/>
                <w:bCs/>
              </w:rPr>
              <w:t>1、本项目的竞标包含全部设备的采购、运输、保管、劳务、管理、利润、税金、安装、调试直至整个项目验收合格、协调、培训、售后服务以及所有的不确定因素的风险等。</w:t>
            </w:r>
          </w:p>
          <w:p w14:paraId="5A1AD31F">
            <w:pPr>
              <w:pStyle w:val="7"/>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bCs/>
                <w:color w:val="0C0C0C"/>
              </w:rPr>
            </w:pPr>
            <w:r>
              <w:rPr>
                <w:rFonts w:hint="eastAsia" w:ascii="宋体" w:hAnsi="宋体" w:cs="宋体"/>
                <w:bCs/>
              </w:rPr>
              <w:t>2、竞标产品</w:t>
            </w:r>
            <w:r>
              <w:rPr>
                <w:rFonts w:hint="eastAsia" w:ascii="宋体" w:hAnsi="宋体" w:cs="宋体"/>
                <w:bCs/>
                <w:color w:val="0C0C0C"/>
              </w:rPr>
              <w:t>属于医疗设备的须提供“中华人民共和国医疗器械注册证”复印件并加盖竞标单位公章，否则竞标无效。</w:t>
            </w:r>
          </w:p>
          <w:p w14:paraId="6D1A24F5">
            <w:pPr>
              <w:pStyle w:val="7"/>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bCs/>
                <w:color w:val="0C0C0C"/>
              </w:rPr>
            </w:pPr>
            <w:r>
              <w:rPr>
                <w:rFonts w:hint="eastAsia" w:ascii="宋体" w:hAnsi="宋体" w:cs="宋体"/>
                <w:bCs/>
                <w:color w:val="0C0C0C"/>
              </w:rPr>
              <w:t>3、货物一览表中带“</w:t>
            </w:r>
            <w:r>
              <w:rPr>
                <w:rFonts w:hint="eastAsia" w:hAnsi="宋体"/>
                <w:b/>
                <w:bCs/>
                <w:color w:val="000000"/>
                <w:highlight w:val="none"/>
              </w:rPr>
              <w:t>▲</w:t>
            </w:r>
            <w:r>
              <w:rPr>
                <w:rFonts w:hint="eastAsia" w:ascii="宋体" w:hAnsi="宋体" w:cs="宋体"/>
                <w:bCs/>
                <w:color w:val="0C0C0C"/>
              </w:rPr>
              <w:t>”的参数为关键指标实质性技术、性能指标，竞标产品必须满足或优于竞争性谈判文件的要求，否则竞标无效。</w:t>
            </w:r>
            <w:r>
              <w:rPr>
                <w:rFonts w:hint="eastAsia" w:ascii="宋体" w:hAnsi="宋体" w:cs="宋体"/>
                <w:bCs/>
                <w:color w:val="0C0C0C"/>
                <w:highlight w:val="none"/>
                <w:lang w:val="en-US" w:eastAsia="zh-CN"/>
              </w:rPr>
              <w:t>每项产品</w:t>
            </w:r>
            <w:r>
              <w:rPr>
                <w:rFonts w:hint="eastAsia" w:ascii="宋体" w:hAnsi="宋体" w:cs="宋体"/>
                <w:bCs/>
                <w:color w:val="0C0C0C"/>
              </w:rPr>
              <w:t>不带“</w:t>
            </w:r>
            <w:r>
              <w:rPr>
                <w:rFonts w:hint="eastAsia" w:hAnsi="宋体"/>
                <w:b/>
                <w:bCs/>
                <w:color w:val="000000"/>
                <w:highlight w:val="none"/>
              </w:rPr>
              <w:t>▲</w:t>
            </w:r>
            <w:r>
              <w:rPr>
                <w:rFonts w:hint="eastAsia" w:ascii="宋体" w:hAnsi="宋体" w:cs="宋体"/>
                <w:bCs/>
                <w:color w:val="0C0C0C"/>
              </w:rPr>
              <w:t>”的参数发生负偏离达3项数以上的，视为不实质性响应采购文件要求，评审时响应文件将被作为无效文件处理。</w:t>
            </w:r>
          </w:p>
          <w:p w14:paraId="5660F56B">
            <w:pPr>
              <w:pStyle w:val="7"/>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rPr>
            </w:pPr>
            <w:r>
              <w:rPr>
                <w:rFonts w:hint="eastAsia" w:ascii="宋体" w:hAnsi="宋体" w:cs="宋体"/>
                <w:color w:val="0C0C0C"/>
              </w:rPr>
              <w:t>4.签订合同前，如采购方需要，</w:t>
            </w:r>
            <w:r>
              <w:rPr>
                <w:rFonts w:hint="eastAsia" w:ascii="宋体" w:hAnsi="宋体" w:cs="宋体"/>
                <w:color w:val="0C0C0C"/>
                <w:lang w:val="en-US" w:eastAsia="zh-CN"/>
              </w:rPr>
              <w:t>成交</w:t>
            </w:r>
            <w:r>
              <w:rPr>
                <w:rFonts w:hint="eastAsia" w:ascii="宋体" w:hAnsi="宋体" w:cs="宋体"/>
                <w:color w:val="0C0C0C"/>
              </w:rPr>
              <w:t>方须配合采购方及采购方邀请的第三方人员对</w:t>
            </w:r>
            <w:r>
              <w:rPr>
                <w:rFonts w:hint="eastAsia" w:ascii="宋体" w:hAnsi="宋体" w:cs="宋体"/>
                <w:color w:val="0C0C0C"/>
                <w:lang w:val="en-US" w:eastAsia="zh-CN"/>
              </w:rPr>
              <w:t>成交</w:t>
            </w:r>
            <w:r>
              <w:rPr>
                <w:rFonts w:hint="eastAsia" w:ascii="宋体" w:hAnsi="宋体" w:cs="宋体"/>
                <w:color w:val="0C0C0C"/>
              </w:rPr>
              <w:t>人所提供的产品参数的真实性、实际效果按竞争性谈判文件要求逐条测试，如发现</w:t>
            </w:r>
            <w:r>
              <w:rPr>
                <w:rFonts w:hint="eastAsia" w:ascii="宋体" w:hAnsi="宋体" w:cs="宋体"/>
                <w:color w:val="0C0C0C"/>
                <w:lang w:val="en-US" w:eastAsia="zh-CN"/>
              </w:rPr>
              <w:t>竞</w:t>
            </w:r>
            <w:r>
              <w:rPr>
                <w:rFonts w:hint="eastAsia" w:ascii="宋体" w:hAnsi="宋体" w:cs="宋体"/>
                <w:color w:val="0C0C0C"/>
              </w:rPr>
              <w:t>标产品及产品资质、性能指标不满足竞争性谈判文件要求或不满足</w:t>
            </w:r>
            <w:r>
              <w:rPr>
                <w:rFonts w:hint="eastAsia" w:ascii="宋体" w:hAnsi="宋体" w:cs="宋体"/>
                <w:color w:val="0C0C0C"/>
                <w:lang w:val="en-US" w:eastAsia="zh-CN"/>
              </w:rPr>
              <w:t>竞</w:t>
            </w:r>
            <w:r>
              <w:rPr>
                <w:rFonts w:hint="eastAsia" w:ascii="宋体" w:hAnsi="宋体" w:cs="宋体"/>
                <w:color w:val="0C0C0C"/>
              </w:rPr>
              <w:t>标承诺的、</w:t>
            </w:r>
            <w:r>
              <w:rPr>
                <w:rFonts w:hint="eastAsia" w:ascii="宋体" w:hAnsi="宋体" w:cs="宋体"/>
                <w:color w:val="0C0C0C"/>
                <w:lang w:val="en-US" w:eastAsia="zh-CN"/>
              </w:rPr>
              <w:t>竞</w:t>
            </w:r>
            <w:r>
              <w:rPr>
                <w:rFonts w:hint="eastAsia" w:ascii="宋体" w:hAnsi="宋体" w:cs="宋体"/>
                <w:color w:val="0C0C0C"/>
              </w:rPr>
              <w:t>标人在</w:t>
            </w:r>
            <w:r>
              <w:rPr>
                <w:rFonts w:hint="eastAsia" w:ascii="宋体" w:hAnsi="宋体" w:cs="宋体"/>
                <w:color w:val="0C0C0C"/>
                <w:lang w:val="en-US" w:eastAsia="zh-CN"/>
              </w:rPr>
              <w:t>竞</w:t>
            </w:r>
            <w:r>
              <w:rPr>
                <w:rFonts w:hint="eastAsia" w:ascii="宋体" w:hAnsi="宋体" w:cs="宋体"/>
                <w:color w:val="0C0C0C"/>
              </w:rPr>
              <w:t>标活动中提供任何虚假材料，以及</w:t>
            </w:r>
            <w:r>
              <w:rPr>
                <w:rFonts w:hint="eastAsia" w:ascii="宋体" w:hAnsi="宋体" w:cs="宋体"/>
                <w:color w:val="0C0C0C"/>
                <w:lang w:val="en-US" w:eastAsia="zh-CN"/>
              </w:rPr>
              <w:t>竞</w:t>
            </w:r>
            <w:r>
              <w:rPr>
                <w:rFonts w:hint="eastAsia" w:ascii="宋体" w:hAnsi="宋体" w:cs="宋体"/>
                <w:color w:val="0C0C0C"/>
              </w:rPr>
              <w:t>标产品的技术参数不如实说明，其</w:t>
            </w:r>
            <w:r>
              <w:rPr>
                <w:rFonts w:hint="eastAsia" w:ascii="宋体" w:hAnsi="宋体" w:cs="宋体"/>
                <w:color w:val="0C0C0C"/>
                <w:lang w:val="en-US" w:eastAsia="zh-CN"/>
              </w:rPr>
              <w:t>竞</w:t>
            </w:r>
            <w:r>
              <w:rPr>
                <w:rFonts w:hint="eastAsia" w:ascii="宋体" w:hAnsi="宋体" w:cs="宋体"/>
                <w:color w:val="0C0C0C"/>
              </w:rPr>
              <w:t>标无效，</w:t>
            </w:r>
            <w:r>
              <w:rPr>
                <w:rFonts w:hint="eastAsia" w:ascii="宋体" w:hAnsi="宋体" w:cs="宋体"/>
              </w:rPr>
              <w:t>取消</w:t>
            </w:r>
            <w:r>
              <w:rPr>
                <w:rFonts w:hint="eastAsia" w:ascii="宋体" w:hAnsi="宋体" w:cs="宋体"/>
                <w:lang w:val="en-US" w:eastAsia="zh-CN"/>
              </w:rPr>
              <w:t>成交</w:t>
            </w:r>
            <w:r>
              <w:rPr>
                <w:rFonts w:hint="eastAsia" w:ascii="宋体" w:hAnsi="宋体" w:cs="宋体"/>
              </w:rPr>
              <w:t>资格，</w:t>
            </w:r>
            <w:r>
              <w:rPr>
                <w:rFonts w:hint="eastAsia" w:ascii="宋体" w:hAnsi="宋体" w:cs="宋体"/>
                <w:lang w:eastAsia="zh-CN"/>
              </w:rPr>
              <w:t>不予</w:t>
            </w:r>
            <w:r>
              <w:rPr>
                <w:rFonts w:hint="eastAsia" w:ascii="宋体" w:hAnsi="宋体" w:cs="宋体"/>
              </w:rPr>
              <w:t>签订合同，并报监管部门查处，三年内不能</w:t>
            </w:r>
            <w:r>
              <w:rPr>
                <w:rFonts w:hint="eastAsia" w:ascii="宋体" w:hAnsi="宋体" w:cs="宋体"/>
                <w:lang w:eastAsia="zh-CN"/>
              </w:rPr>
              <w:t>参与</w:t>
            </w:r>
            <w:r>
              <w:rPr>
                <w:rFonts w:hint="eastAsia" w:ascii="宋体" w:hAnsi="宋体" w:cs="宋体"/>
              </w:rPr>
              <w:t>政府项目采购。</w:t>
            </w:r>
          </w:p>
          <w:p w14:paraId="50325FD2">
            <w:pPr>
              <w:pStyle w:val="7"/>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bCs/>
              </w:rPr>
            </w:pPr>
            <w:r>
              <w:rPr>
                <w:rFonts w:hint="eastAsia" w:ascii="宋体" w:hAnsi="宋体" w:cs="宋体"/>
              </w:rPr>
              <w:t>5.</w:t>
            </w:r>
            <w:r>
              <w:rPr>
                <w:rFonts w:hint="eastAsia" w:ascii="宋体" w:hAnsi="宋体" w:cs="宋体"/>
                <w:bCs/>
              </w:rPr>
              <w:t>技术及商务条款需逐条响应，商务条款不接受负偏离，否则</w:t>
            </w:r>
            <w:r>
              <w:rPr>
                <w:rFonts w:hint="eastAsia" w:ascii="宋体" w:hAnsi="宋体" w:cs="宋体"/>
                <w:bCs/>
                <w:lang w:val="en-US" w:eastAsia="zh-CN"/>
              </w:rPr>
              <w:t>竞</w:t>
            </w:r>
            <w:r>
              <w:rPr>
                <w:rFonts w:hint="eastAsia" w:ascii="宋体" w:hAnsi="宋体" w:cs="宋体"/>
                <w:bCs/>
              </w:rPr>
              <w:t>标无效。</w:t>
            </w:r>
          </w:p>
          <w:p w14:paraId="13FC7FB0">
            <w:pPr>
              <w:pStyle w:val="7"/>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b/>
                <w:bCs/>
              </w:rPr>
            </w:pPr>
            <w:r>
              <w:rPr>
                <w:rFonts w:hint="eastAsia" w:ascii="宋体" w:hAnsi="宋体" w:cs="宋体"/>
                <w:b/>
                <w:bCs/>
              </w:rPr>
              <w:t>6.属于国家规定必须取得医疗器械注册证的产品，供应商在响应文件中必须提供该产品有效的医疗器械注册证复印件；属于国家规定必须备案的医疗器械，供应商在响应文件中必须提供该产品有效的医疗器械备案信息表复印件；否则响应无效。</w:t>
            </w:r>
          </w:p>
          <w:p w14:paraId="5C62A505">
            <w:pPr>
              <w:pStyle w:val="7"/>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b/>
                <w:bCs/>
              </w:rPr>
            </w:pPr>
            <w:r>
              <w:rPr>
                <w:rFonts w:hint="eastAsia" w:ascii="宋体" w:hAnsi="宋体" w:cs="宋体"/>
                <w:b/>
                <w:bCs/>
              </w:rPr>
              <w:t>7.本政府采购项目现执行的有关政策、法律及法规，如有与国家最新发布的政策、法律及法规相抵触时，供应商必须无条件按照最新规定执行，且造成的损失均由供应商自行承担。</w:t>
            </w:r>
          </w:p>
          <w:p w14:paraId="10BDC423">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rPr>
                <w:rFonts w:hint="eastAsia" w:ascii="宋体" w:hAnsi="宋体" w:cs="宋体"/>
                <w:b/>
                <w:bCs/>
              </w:rPr>
            </w:pPr>
            <w:r>
              <w:rPr>
                <w:rFonts w:hint="eastAsia" w:ascii="宋体" w:hAnsi="宋体" w:cs="宋体"/>
                <w:b/>
                <w:bCs/>
              </w:rPr>
              <w:t>8.进口产品说明</w:t>
            </w:r>
          </w:p>
          <w:p w14:paraId="0773087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lang w:val="en-US" w:eastAsia="zh-CN"/>
              </w:rPr>
            </w:pPr>
            <w:r>
              <w:rPr>
                <w:rFonts w:hint="eastAsia" w:ascii="宋体" w:hAnsi="宋体" w:eastAsia="宋体" w:cs="宋体"/>
                <w:strike w:val="0"/>
                <w:dstrike w:val="0"/>
                <w:color w:val="auto"/>
                <w:szCs w:val="21"/>
                <w:highlight w:val="none"/>
                <w:lang w:val="en-US" w:eastAsia="zh-CN"/>
              </w:rPr>
              <w:t>采购标的电子鼻咽喉镜内窥镜</w:t>
            </w:r>
            <w:r>
              <w:rPr>
                <w:rFonts w:hint="eastAsia" w:ascii="宋体" w:hAnsi="宋体" w:cs="宋体"/>
                <w:highlight w:val="none"/>
                <w:lang w:val="en-US" w:eastAsia="zh-CN"/>
              </w:rPr>
              <w:t>和</w:t>
            </w:r>
            <w:r>
              <w:rPr>
                <w:rFonts w:hint="eastAsia" w:ascii="宋体" w:hAnsi="宋体" w:eastAsia="宋体" w:cs="宋体"/>
                <w:color w:val="000000"/>
                <w:szCs w:val="21"/>
                <w:highlight w:val="none"/>
                <w:lang w:val="en-US" w:eastAsia="zh-CN"/>
              </w:rPr>
              <w:t>电子支气管内窥镜</w:t>
            </w:r>
            <w:r>
              <w:rPr>
                <w:rFonts w:hint="eastAsia" w:ascii="宋体" w:hAnsi="宋体" w:cs="宋体"/>
                <w:highlight w:val="none"/>
              </w:rPr>
              <w:t>已按规定办妥进口产品采购审核手续，</w:t>
            </w:r>
            <w:r>
              <w:rPr>
                <w:rFonts w:hint="eastAsia" w:ascii="宋体" w:hAnsi="宋体" w:cs="宋体"/>
                <w:highlight w:val="none"/>
                <w:lang w:val="en-US" w:eastAsia="zh-CN"/>
              </w:rPr>
              <w:t>竞</w:t>
            </w:r>
            <w:r>
              <w:rPr>
                <w:rFonts w:hint="eastAsia" w:ascii="宋体" w:hAnsi="宋体" w:cs="宋体"/>
                <w:highlight w:val="none"/>
              </w:rPr>
              <w:t>标产品可选用进口产品；但如选用进口产品时必须为全套原装进口产品（即通过中国海关报关验放进入中国境内且产自关境外的产品），同时</w:t>
            </w:r>
            <w:r>
              <w:rPr>
                <w:rFonts w:hint="eastAsia" w:ascii="宋体" w:hAnsi="宋体" w:cs="宋体"/>
                <w:highlight w:val="none"/>
                <w:lang w:val="en-US" w:eastAsia="zh-CN"/>
              </w:rPr>
              <w:t>竞</w:t>
            </w:r>
            <w:r>
              <w:rPr>
                <w:rFonts w:hint="eastAsia" w:ascii="宋体" w:hAnsi="宋体" w:cs="宋体"/>
                <w:highlight w:val="none"/>
              </w:rPr>
              <w:t>标人必须负责办理进口产品所有相关手续并承担所有费用。</w:t>
            </w:r>
            <w:r>
              <w:rPr>
                <w:rFonts w:hint="eastAsia" w:ascii="宋体" w:hAnsi="宋体" w:cs="宋体"/>
                <w:b/>
                <w:bCs/>
                <w:highlight w:val="none"/>
              </w:rPr>
              <w:t>其他货物不接受进口产品参与</w:t>
            </w:r>
            <w:r>
              <w:rPr>
                <w:rFonts w:hint="eastAsia" w:ascii="宋体" w:hAnsi="宋体" w:cs="宋体"/>
                <w:b/>
                <w:bCs/>
                <w:highlight w:val="none"/>
                <w:lang w:val="en-US" w:eastAsia="zh-CN"/>
              </w:rPr>
              <w:t>竞</w:t>
            </w:r>
            <w:r>
              <w:rPr>
                <w:rFonts w:hint="eastAsia" w:ascii="宋体" w:hAnsi="宋体" w:cs="宋体"/>
                <w:b/>
                <w:bCs/>
                <w:highlight w:val="none"/>
              </w:rPr>
              <w:t>标</w:t>
            </w:r>
            <w:r>
              <w:rPr>
                <w:rFonts w:hint="eastAsia" w:ascii="宋体" w:hAnsi="宋体" w:cs="宋体"/>
                <w:highlight w:val="none"/>
              </w:rPr>
              <w:t>，</w:t>
            </w:r>
            <w:r>
              <w:rPr>
                <w:rFonts w:hint="eastAsia" w:ascii="宋体" w:hAnsi="宋体" w:cs="宋体"/>
                <w:b/>
                <w:highlight w:val="none"/>
              </w:rPr>
              <w:t>否则作无</w:t>
            </w:r>
            <w:r>
              <w:rPr>
                <w:rFonts w:hint="eastAsia" w:ascii="宋体" w:hAnsi="宋体" w:cs="宋体"/>
                <w:b/>
                <w:highlight w:val="none"/>
                <w:lang w:eastAsia="zh-CN"/>
              </w:rPr>
              <w:t>效</w:t>
            </w:r>
            <w:r>
              <w:rPr>
                <w:rFonts w:hint="eastAsia" w:ascii="宋体" w:hAnsi="宋体" w:cs="宋体"/>
                <w:b/>
                <w:highlight w:val="none"/>
                <w:lang w:val="en-US" w:eastAsia="zh-CN"/>
              </w:rPr>
              <w:t>竞</w:t>
            </w:r>
            <w:r>
              <w:rPr>
                <w:rFonts w:hint="eastAsia" w:ascii="宋体" w:hAnsi="宋体" w:cs="宋体"/>
                <w:b/>
                <w:highlight w:val="none"/>
              </w:rPr>
              <w:t>标处理。</w:t>
            </w:r>
          </w:p>
        </w:tc>
      </w:tr>
    </w:tbl>
    <w:p w14:paraId="3E049116">
      <w:pPr>
        <w:jc w:val="both"/>
        <w:rPr>
          <w:rFonts w:hint="eastAsia" w:ascii="宋体" w:hAnsi="宋体" w:cs="宋体"/>
          <w:b/>
          <w:bCs/>
          <w:sz w:val="32"/>
          <w:szCs w:val="32"/>
        </w:rPr>
      </w:pPr>
      <w:r>
        <w:rPr>
          <w:rStyle w:val="47"/>
          <w:rFonts w:hint="eastAsia" w:ascii="宋体" w:hAnsi="宋体" w:cs="宋体"/>
        </w:rPr>
        <w:br w:type="page"/>
      </w:r>
      <w:r>
        <w:rPr>
          <w:rStyle w:val="47"/>
          <w:rFonts w:hint="eastAsia" w:ascii="宋体" w:hAnsi="宋体" w:cs="宋体"/>
        </w:rPr>
        <mc:AlternateContent>
          <mc:Choice Requires="wps">
            <w:drawing>
              <wp:anchor distT="0" distB="0" distL="114300" distR="114300" simplePos="0" relativeHeight="251659264" behindDoc="0" locked="0" layoutInCell="1" allowOverlap="1">
                <wp:simplePos x="0" y="0"/>
                <wp:positionH relativeFrom="page">
                  <wp:posOffset>847090</wp:posOffset>
                </wp:positionH>
                <wp:positionV relativeFrom="paragraph">
                  <wp:posOffset>-53975</wp:posOffset>
                </wp:positionV>
                <wp:extent cx="76200" cy="76200"/>
                <wp:effectExtent l="0" t="0" r="0" b="0"/>
                <wp:wrapNone/>
                <wp:docPr id="1" name="文本框 3"/>
                <wp:cNvGraphicFramePr/>
                <a:graphic xmlns:a="http://schemas.openxmlformats.org/drawingml/2006/main">
                  <a:graphicData uri="http://schemas.microsoft.com/office/word/2010/wordprocessingShape">
                    <wps:wsp>
                      <wps:cNvSpPr txBox="1"/>
                      <wps:spPr>
                        <a:xfrm flipH="1" flipV="1">
                          <a:off x="0" y="0"/>
                          <a:ext cx="76200" cy="76200"/>
                        </a:xfrm>
                        <a:prstGeom prst="rect">
                          <a:avLst/>
                        </a:prstGeom>
                        <a:noFill/>
                        <a:ln>
                          <a:noFill/>
                        </a:ln>
                      </wps:spPr>
                      <wps:txbx>
                        <w:txbxContent>
                          <w:p w14:paraId="0344824A">
                            <w:pPr>
                              <w:rPr>
                                <w:rFonts w:ascii="Calibri" w:hAnsi="Calibri"/>
                                <w:sz w:val="22"/>
                                <w:szCs w:val="22"/>
                              </w:rPr>
                            </w:pPr>
                          </w:p>
                        </w:txbxContent>
                      </wps:txbx>
                      <wps:bodyPr wrap="square" lIns="0" tIns="0" rIns="0" bIns="0" upright="1"/>
                    </wps:wsp>
                  </a:graphicData>
                </a:graphic>
              </wp:anchor>
            </w:drawing>
          </mc:Choice>
          <mc:Fallback>
            <w:pict>
              <v:shape id="文本框 3" o:spid="_x0000_s1026" o:spt="202" type="#_x0000_t202" style="position:absolute;left:0pt;flip:x y;margin-left:66.7pt;margin-top:-4.25pt;height:6pt;width:6pt;mso-position-horizontal-relative:page;z-index:251659264;mso-width-relative:page;mso-height-relative:page;" filled="f" stroked="f" coordsize="21600,21600" o:gfxdata="UEsDBAoAAAAAAIdO4kAAAAAAAAAAAAAAAAAEAAAAZHJzL1BLAwQUAAAACACHTuJASX2CeNYAAAAI&#10;AQAADwAAAGRycy9kb3ducmV2LnhtbE2PwU7DMAyG70i8Q2QkLmhLtq5oKk0nDcSuiHUHjllj0mqN&#10;UzXZOt4e7wTH3/70+3O5ufpeXHCMXSANi7kCgdQE25HTcKjfZ2sQMRmypg+EGn4wwqa6vytNYcNE&#10;n3jZJye4hGJhNLQpDYWUsWnRmzgPAxLvvsPoTeI4OmlHM3G57+VSqWfpTUd8oTUDvrbYnPZnr2HI&#10;3j62db19Ojn3FUhNu7Scdlo/PizUC4iE1/QHw02f1aFip2M4k42i55xlK0Y1zNY5iBuwynlw1JDl&#10;IKtS/n+g+gVQSwMEFAAAAAgAh07iQNgME3bIAQAAkQMAAA4AAABkcnMvZTJvRG9jLnhtbK1TS44T&#10;MRDdI80dLO8nnRmkAbXSGQlFA0gIkAZm77jttCX/qHLSnQvADVixYc+5cg7K7k6Yz2YWbKznqvJz&#10;vefy4npwlu0UoAm+4RezOWfKy9Aav2n41y835685wyR8K2zwquF7hfx6efZi0cdaXYYu2FYBIxKP&#10;dR8b3qUU66pC2SkncBai8pTUAZxItIVN1YLoid3Z6nI+v6r6AG2EIBUiRVdjkk+M8BzCoLWRahXk&#10;1imfRlZQViSShJ2JyJelW62VTJ+0RpWYbTgpTWWlSwiv81otF6LegIidkVML4jktPNLkhPF06Ylq&#10;JZJgWzBPqJyREDDoNJPBVaOQ4gipuJg/8ua2E1EVLWQ1xpPp+P9o5cfdZ2CmpUngzAtHD374+ePw&#10;68/h93f2MtvTR6yp6jZSXRrehCGXTnGkYFY9aHBMWxPfFZ6M7jLKOdLI6AwZvj8ZrobEJAVfXdFE&#10;cCYpM0LirUa6fDQCprcqOJZBw4Fes1CK3QdMY+mxJJf7cGOspbiorX8QIM4cqbKWseeM0rAeJiHr&#10;0O5JX0+D0HD8thWgOLPvPTmdp+YI4AjWR7CNYDYdNVc8KRfQSxUV01TlUbi/L238+0nL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l9gnjWAAAACAEAAA8AAAAAAAAAAQAgAAAAIgAAAGRycy9kb3du&#10;cmV2LnhtbFBLAQIUABQAAAAIAIdO4kDYDBN2yAEAAJEDAAAOAAAAAAAAAAEAIAAAACUBAABkcnMv&#10;ZTJvRG9jLnhtbFBLBQYAAAAABgAGAFkBAABfBQAAAAA=&#10;">
                <v:fill on="f" focussize="0,0"/>
                <v:stroke on="f"/>
                <v:imagedata o:title=""/>
                <o:lock v:ext="edit" aspectratio="f"/>
                <v:textbox inset="0mm,0mm,0mm,0mm">
                  <w:txbxContent>
                    <w:p w14:paraId="0344824A">
                      <w:pPr>
                        <w:rPr>
                          <w:rFonts w:ascii="Calibri" w:hAnsi="Calibri"/>
                          <w:sz w:val="22"/>
                          <w:szCs w:val="22"/>
                        </w:rPr>
                      </w:pPr>
                    </w:p>
                  </w:txbxContent>
                </v:textbox>
              </v:shape>
            </w:pict>
          </mc:Fallback>
        </mc:AlternateContent>
      </w:r>
      <w:r>
        <w:rPr>
          <w:rStyle w:val="47"/>
          <w:rFonts w:hint="eastAsia" w:ascii="宋体" w:hAnsi="宋体" w:cs="宋体"/>
        </w:rPr>
        <mc:AlternateContent>
          <mc:Choice Requires="wps">
            <w:drawing>
              <wp:anchor distT="0" distB="0" distL="114300" distR="114300" simplePos="0" relativeHeight="251660288" behindDoc="0" locked="0" layoutInCell="1" allowOverlap="1">
                <wp:simplePos x="0" y="0"/>
                <wp:positionH relativeFrom="page">
                  <wp:posOffset>827405</wp:posOffset>
                </wp:positionH>
                <wp:positionV relativeFrom="paragraph">
                  <wp:posOffset>-2854960</wp:posOffset>
                </wp:positionV>
                <wp:extent cx="146685" cy="2900680"/>
                <wp:effectExtent l="0" t="0" r="0" b="0"/>
                <wp:wrapNone/>
                <wp:docPr id="2" name="文本框 5"/>
                <wp:cNvGraphicFramePr/>
                <a:graphic xmlns:a="http://schemas.openxmlformats.org/drawingml/2006/main">
                  <a:graphicData uri="http://schemas.microsoft.com/office/word/2010/wordprocessingShape">
                    <wps:wsp>
                      <wps:cNvSpPr txBox="1"/>
                      <wps:spPr>
                        <a:xfrm flipV="1">
                          <a:off x="0" y="0"/>
                          <a:ext cx="146685" cy="2900680"/>
                        </a:xfrm>
                        <a:prstGeom prst="rect">
                          <a:avLst/>
                        </a:prstGeom>
                        <a:noFill/>
                        <a:ln>
                          <a:noFill/>
                        </a:ln>
                      </wps:spPr>
                      <wps:txbx>
                        <w:txbxContent>
                          <w:p w14:paraId="13B68DE4">
                            <w:pPr>
                              <w:rPr>
                                <w:rFonts w:ascii="Calibri" w:hAnsi="Calibri"/>
                                <w:sz w:val="22"/>
                                <w:szCs w:val="22"/>
                              </w:rPr>
                            </w:pPr>
                          </w:p>
                        </w:txbxContent>
                      </wps:txbx>
                      <wps:bodyPr wrap="square" lIns="0" tIns="0" rIns="0" bIns="0" upright="1"/>
                    </wps:wsp>
                  </a:graphicData>
                </a:graphic>
              </wp:anchor>
            </w:drawing>
          </mc:Choice>
          <mc:Fallback>
            <w:pict>
              <v:shape id="文本框 5" o:spid="_x0000_s1026" o:spt="202" type="#_x0000_t202" style="position:absolute;left:0pt;flip:y;margin-left:65.15pt;margin-top:-224.8pt;height:228.4pt;width:11.55pt;mso-position-horizontal-relative:page;z-index:251660288;mso-width-relative:page;mso-height-relative:page;" filled="f" stroked="f" coordsize="21600,21600" o:gfxdata="UEsDBAoAAAAAAIdO4kAAAAAAAAAAAAAAAAAEAAAAZHJzL1BLAwQUAAAACACHTuJAnrmQC9kAAAAK&#10;AQAADwAAAGRycy9kb3ducmV2LnhtbE2Py07DMBBF90j8gzVI7Fo7D1oa4lQIhASLLij9gGkyxIF4&#10;HMVuG/r1uCtYXs3RvWfK9WR7caTRd441JHMFgrh2Tcetht3Hy+wehA/IDfaOScMPeVhX11clFo07&#10;8Tsdt6EVsYR9gRpMCEMhpa8NWfRzNxDH26cbLYYYx1Y2I55iue1lqtRCWuw4Lhgc6MlQ/b09WA1q&#10;St7MxqSvu8flMyZfK3s+t1br25tEPYAINIU/GC76UR2q6LR3B2686GPOVBZRDbM8Xy1AXJC7LAex&#10;17BMQVal/P9C9QtQSwMEFAAAAAgAh07iQLpJDrvLAQAAigMAAA4AAABkcnMvZTJvRG9jLnhtbK1T&#10;S44TMRDdI3EHy3vSmYiJQiudkVA0CAkB0gB7x22nLflHlZPuXABuwIoNe86Vc1B2J4GZ2cyCjVWu&#10;qn5+71X18mZwlu0VoAm+4VeTKWfKy9Aav23450+3LxacYRK+FTZ41fCDQn6zev5s2cdazUIXbKuA&#10;EYjHuo8N71KKdVWh7JQTOAlReSrqAE4kusK2akH0hO5sNZtO51UfoI0QpEKk7Hos8hMiPAUwaG2k&#10;Wge5c8qnERWUFYkkYWci8lVhq7WS6YPWqBKzDSelqZz0CMWbfFarpai3IGJn5ImCeAqFB5qcMJ4e&#10;vUCtRRJsB+YRlDMSAgadJjK4ahRSHCEVV9MH3tx1IqqihazGeDEd/x+sfL//CMy0DZ9x5oWjgR9/&#10;fD/+/H389Y1dZ3v6iDV13UXqS8PrMNDSnPNIyax60OCYtiZ+ycWcIWWMOsnmw8VmNSQm8+cv5/PF&#10;NWeSSrNXtBKLModqxMlfR8D0RgXHctBwoDEWVLF/h4k4Ueu5Jbf7cGusLaO0/l6CGnOmyiJGsjlK&#10;w2Y4KduE9kDCetqAhuPXnQDFmX3ryeK8LucAzsHmHOwimG1H5IoZ5QEaUaF2Wqe8A//eC42/v9Dq&#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J65kAvZAAAACgEAAA8AAAAAAAAAAQAgAAAAIgAAAGRy&#10;cy9kb3ducmV2LnhtbFBLAQIUABQAAAAIAIdO4kC6SQ67ywEAAIoDAAAOAAAAAAAAAAEAIAAAACgB&#10;AABkcnMvZTJvRG9jLnhtbFBLBQYAAAAABgAGAFkBAABlBQAAAAA=&#10;">
                <v:fill on="f" focussize="0,0"/>
                <v:stroke on="f"/>
                <v:imagedata o:title=""/>
                <o:lock v:ext="edit" aspectratio="f"/>
                <v:textbox inset="0mm,0mm,0mm,0mm">
                  <w:txbxContent>
                    <w:p w14:paraId="13B68DE4">
                      <w:pPr>
                        <w:rPr>
                          <w:rFonts w:ascii="Calibri" w:hAnsi="Calibri"/>
                          <w:sz w:val="22"/>
                          <w:szCs w:val="22"/>
                        </w:rPr>
                      </w:pPr>
                    </w:p>
                  </w:txbxContent>
                </v:textbox>
              </v:shape>
            </w:pict>
          </mc:Fallback>
        </mc:AlternateContent>
      </w:r>
      <w:bookmarkStart w:id="64" w:name="_Toc21830"/>
      <w:r>
        <w:rPr>
          <w:rStyle w:val="47"/>
          <w:rFonts w:hint="eastAsia" w:ascii="宋体" w:hAnsi="宋体" w:cs="宋体"/>
        </w:rPr>
        <w:t xml:space="preserve">第四章  </w:t>
      </w:r>
      <w:bookmarkStart w:id="65" w:name="_Hlk68601507"/>
      <w:r>
        <w:rPr>
          <w:rStyle w:val="47"/>
          <w:rFonts w:hint="eastAsia" w:ascii="宋体" w:hAnsi="宋体" w:cs="宋体"/>
        </w:rPr>
        <w:t>评审程序和评定成交的标准</w:t>
      </w:r>
      <w:bookmarkEnd w:id="64"/>
      <w:bookmarkEnd w:id="65"/>
    </w:p>
    <w:p w14:paraId="0D517850">
      <w:pPr>
        <w:spacing w:line="360" w:lineRule="auto"/>
        <w:rPr>
          <w:rFonts w:hint="eastAsia" w:ascii="宋体" w:hAnsi="宋体" w:cs="宋体"/>
          <w:b/>
          <w:bCs/>
          <w:sz w:val="32"/>
          <w:szCs w:val="32"/>
        </w:rPr>
      </w:pPr>
      <w:r>
        <w:rPr>
          <w:rFonts w:hint="eastAsia" w:ascii="宋体" w:hAnsi="宋体" w:cs="宋体"/>
          <w:b/>
          <w:bCs/>
          <w:sz w:val="32"/>
          <w:szCs w:val="32"/>
        </w:rPr>
        <w:t>一、评标程序</w:t>
      </w:r>
    </w:p>
    <w:p w14:paraId="3964D269">
      <w:pPr>
        <w:spacing w:line="360" w:lineRule="auto"/>
        <w:ind w:firstLine="482" w:firstLineChars="200"/>
        <w:rPr>
          <w:rFonts w:hint="eastAsia" w:ascii="宋体" w:hAnsi="宋体" w:cs="宋体"/>
          <w:b/>
          <w:bCs/>
          <w:sz w:val="24"/>
        </w:rPr>
      </w:pPr>
      <w:r>
        <w:rPr>
          <w:rFonts w:hint="eastAsia" w:ascii="宋体" w:hAnsi="宋体" w:cs="宋体"/>
          <w:b/>
          <w:bCs/>
          <w:sz w:val="24"/>
        </w:rPr>
        <w:t>1.确认谈判文件</w:t>
      </w:r>
    </w:p>
    <w:p w14:paraId="1A54D419">
      <w:pPr>
        <w:spacing w:line="360" w:lineRule="auto"/>
        <w:ind w:firstLine="420" w:firstLineChars="200"/>
        <w:rPr>
          <w:rFonts w:hint="eastAsia" w:ascii="宋体" w:hAnsi="宋体" w:cs="宋体"/>
          <w:szCs w:val="21"/>
        </w:rPr>
      </w:pPr>
      <w:r>
        <w:rPr>
          <w:rFonts w:hint="eastAsia" w:ascii="宋体" w:hAnsi="宋体" w:cs="宋体"/>
          <w:szCs w:val="21"/>
        </w:rPr>
        <w:t>由谈判小组确认谈判文件。</w:t>
      </w:r>
    </w:p>
    <w:p w14:paraId="554F82DB">
      <w:pPr>
        <w:spacing w:line="360" w:lineRule="auto"/>
        <w:ind w:firstLine="482" w:firstLineChars="200"/>
        <w:rPr>
          <w:rFonts w:hint="eastAsia" w:ascii="宋体" w:hAnsi="宋体" w:cs="宋体"/>
          <w:b/>
          <w:bCs/>
          <w:sz w:val="24"/>
        </w:rPr>
      </w:pPr>
      <w:r>
        <w:rPr>
          <w:rFonts w:hint="eastAsia" w:ascii="宋体" w:hAnsi="宋体" w:cs="宋体"/>
          <w:b/>
          <w:bCs/>
          <w:sz w:val="24"/>
        </w:rPr>
        <w:t>2.资格审查</w:t>
      </w:r>
    </w:p>
    <w:p w14:paraId="5E7A4C9E">
      <w:pPr>
        <w:spacing w:line="360" w:lineRule="auto"/>
        <w:ind w:firstLine="420" w:firstLineChars="200"/>
        <w:rPr>
          <w:rFonts w:hint="eastAsia" w:ascii="宋体" w:hAnsi="宋体" w:cs="宋体"/>
          <w:szCs w:val="21"/>
        </w:rPr>
      </w:pPr>
      <w:r>
        <w:rPr>
          <w:rFonts w:hint="eastAsia" w:ascii="宋体" w:hAnsi="宋体" w:cs="宋体"/>
          <w:szCs w:val="21"/>
        </w:rPr>
        <w:t>2.1响应文件开启后，谈判小组依法对供应商的资格证明文件进行审查。</w:t>
      </w:r>
    </w:p>
    <w:p w14:paraId="05DC6029">
      <w:pPr>
        <w:snapToGrid w:val="0"/>
        <w:spacing w:line="360" w:lineRule="auto"/>
        <w:ind w:firstLine="420" w:firstLineChars="200"/>
        <w:rPr>
          <w:rFonts w:hint="eastAsia" w:ascii="宋体" w:hAnsi="宋体" w:cs="宋体"/>
          <w:szCs w:val="21"/>
        </w:rPr>
      </w:pPr>
      <w:r>
        <w:rPr>
          <w:rFonts w:hint="eastAsia" w:ascii="宋体" w:hAnsi="宋体" w:cs="宋体"/>
          <w:szCs w:val="21"/>
        </w:rPr>
        <w:t>注：采购人代表或者采购代理机构在资格审查结束前，对供应商进行信用查询。</w:t>
      </w:r>
    </w:p>
    <w:p w14:paraId="7EF78AAB">
      <w:pPr>
        <w:snapToGrid w:val="0"/>
        <w:spacing w:line="360" w:lineRule="auto"/>
        <w:ind w:firstLine="420" w:firstLineChars="200"/>
        <w:rPr>
          <w:rFonts w:hint="eastAsia" w:ascii="宋体" w:hAnsi="宋体" w:cs="宋体"/>
          <w:szCs w:val="21"/>
        </w:rPr>
      </w:pPr>
      <w:r>
        <w:rPr>
          <w:rFonts w:hint="eastAsia" w:ascii="宋体" w:hAnsi="宋体" w:cs="宋体"/>
          <w:szCs w:val="21"/>
        </w:rPr>
        <w:t>查询渠道：“信用中国”网站（www.creditchina.gov.cn）、中国政府采购网（www.ccgp.gov.cn）。</w:t>
      </w:r>
    </w:p>
    <w:p w14:paraId="31029CC7">
      <w:pPr>
        <w:snapToGrid w:val="0"/>
        <w:spacing w:line="360" w:lineRule="auto"/>
        <w:ind w:firstLine="420" w:firstLineChars="200"/>
        <w:rPr>
          <w:rFonts w:hint="eastAsia" w:ascii="宋体" w:hAnsi="宋体" w:cs="宋体"/>
          <w:szCs w:val="21"/>
        </w:rPr>
      </w:pPr>
      <w:r>
        <w:rPr>
          <w:rFonts w:hint="eastAsia" w:ascii="宋体" w:hAnsi="宋体" w:cs="宋体"/>
          <w:szCs w:val="21"/>
        </w:rPr>
        <w:t>信用查询截止时点：提交响应文件截止时间前一天至资格审查结束前</w:t>
      </w:r>
    </w:p>
    <w:p w14:paraId="7FC2ABDD">
      <w:pPr>
        <w:snapToGrid w:val="0"/>
        <w:spacing w:line="360" w:lineRule="auto"/>
        <w:ind w:firstLine="420" w:firstLineChars="200"/>
        <w:rPr>
          <w:rFonts w:hint="eastAsia" w:ascii="宋体" w:hAnsi="宋体" w:cs="宋体"/>
          <w:szCs w:val="21"/>
        </w:rPr>
      </w:pPr>
      <w:r>
        <w:rPr>
          <w:rFonts w:hint="eastAsia" w:ascii="宋体" w:hAnsi="宋体" w:cs="宋体"/>
          <w:szCs w:val="21"/>
        </w:rPr>
        <w:t>查询记录和证据留存方式：在查询网站中直接打印查询记录，打印材料作为评审资料保存。</w:t>
      </w:r>
    </w:p>
    <w:p w14:paraId="237C38D2">
      <w:pPr>
        <w:spacing w:line="360" w:lineRule="auto"/>
        <w:ind w:firstLine="420" w:firstLineChars="200"/>
        <w:rPr>
          <w:rFonts w:hint="eastAsia" w:ascii="宋体" w:hAnsi="宋体" w:cs="宋体"/>
          <w:szCs w:val="21"/>
        </w:rPr>
      </w:pPr>
      <w:r>
        <w:rPr>
          <w:rFonts w:hint="eastAsia" w:ascii="宋体" w:hAnsi="宋体" w:cs="宋体"/>
          <w:szCs w:val="21"/>
        </w:rPr>
        <w:t>信用信息使用规则：对在“信用中国”网站（www.creditchina.gov.cn）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资格审查不通过，不得参与政府采购活动。</w:t>
      </w:r>
    </w:p>
    <w:p w14:paraId="0DE5FBBB">
      <w:pPr>
        <w:spacing w:line="360" w:lineRule="auto"/>
        <w:ind w:firstLine="420" w:firstLineChars="200"/>
        <w:rPr>
          <w:rFonts w:hint="eastAsia" w:ascii="宋体" w:hAnsi="宋体" w:cs="宋体"/>
          <w:szCs w:val="21"/>
        </w:rPr>
      </w:pPr>
      <w:r>
        <w:rPr>
          <w:rFonts w:hint="eastAsia" w:ascii="宋体" w:hAnsi="宋体" w:cs="宋体"/>
          <w:szCs w:val="21"/>
        </w:rPr>
        <w:t>2.2资格审查标准为本谈判文件中载明对供应商资格要求的条件。本项目资格审查采用合格制，凡符合谈判文件规定的供应商资格要求的供应商均通过资格审查。</w:t>
      </w:r>
    </w:p>
    <w:p w14:paraId="3A92B91D">
      <w:pPr>
        <w:spacing w:line="360" w:lineRule="auto"/>
        <w:ind w:firstLine="420" w:firstLineChars="200"/>
        <w:rPr>
          <w:rFonts w:hint="eastAsia" w:ascii="宋体" w:hAnsi="宋体" w:cs="宋体"/>
          <w:szCs w:val="21"/>
        </w:rPr>
      </w:pPr>
      <w:r>
        <w:rPr>
          <w:rFonts w:hint="eastAsia" w:ascii="宋体" w:hAnsi="宋体" w:cs="宋体"/>
          <w:szCs w:val="21"/>
        </w:rPr>
        <w:t>2.3供应商有下列情形之一的，资格审查不通过，其响应文件按无效处理：</w:t>
      </w:r>
    </w:p>
    <w:p w14:paraId="10ACD559">
      <w:pPr>
        <w:snapToGrid w:val="0"/>
        <w:spacing w:line="360" w:lineRule="auto"/>
        <w:ind w:firstLine="420" w:firstLineChars="200"/>
        <w:rPr>
          <w:rFonts w:hint="eastAsia" w:ascii="宋体" w:hAnsi="宋体" w:cs="宋体"/>
          <w:szCs w:val="21"/>
        </w:rPr>
      </w:pPr>
      <w:r>
        <w:rPr>
          <w:rFonts w:hint="eastAsia" w:ascii="宋体" w:hAnsi="宋体" w:cs="宋体"/>
          <w:szCs w:val="21"/>
        </w:rPr>
        <w:t>（1）不具备谈判文件中规定的资格要求的；</w:t>
      </w:r>
    </w:p>
    <w:p w14:paraId="1585A402">
      <w:pPr>
        <w:spacing w:line="360" w:lineRule="auto"/>
        <w:ind w:firstLine="420" w:firstLineChars="200"/>
        <w:rPr>
          <w:rFonts w:hint="eastAsia" w:ascii="宋体" w:hAnsi="宋体" w:cs="宋体"/>
          <w:szCs w:val="21"/>
        </w:rPr>
      </w:pPr>
      <w:r>
        <w:rPr>
          <w:rFonts w:hint="eastAsia" w:ascii="宋体" w:hAnsi="宋体" w:cs="宋体"/>
          <w:szCs w:val="21"/>
        </w:rPr>
        <w:t>（2）未按谈判文件规定的方式获取本谈判文件的供应商；</w:t>
      </w:r>
    </w:p>
    <w:p w14:paraId="00BB597F">
      <w:pPr>
        <w:spacing w:line="360" w:lineRule="auto"/>
        <w:ind w:firstLine="420" w:firstLineChars="200"/>
        <w:contextualSpacing/>
        <w:rPr>
          <w:rFonts w:hint="eastAsia" w:ascii="宋体" w:hAnsi="宋体" w:cs="宋体"/>
          <w:szCs w:val="21"/>
        </w:rPr>
      </w:pPr>
      <w:r>
        <w:rPr>
          <w:rFonts w:hint="eastAsia" w:ascii="宋体" w:hAnsi="宋体" w:cs="宋体"/>
          <w:szCs w:val="21"/>
        </w:rPr>
        <w:t>（3）响应文件中的资格证明文件缺少任一项“供应商须知前附表”资格证明文件规定的“必须提供”的文件资料的；</w:t>
      </w:r>
    </w:p>
    <w:p w14:paraId="59E047FA">
      <w:pPr>
        <w:spacing w:line="360" w:lineRule="auto"/>
        <w:ind w:firstLine="420" w:firstLineChars="200"/>
        <w:contextualSpacing/>
        <w:rPr>
          <w:rFonts w:hint="eastAsia" w:ascii="宋体" w:hAnsi="宋体" w:cs="宋体"/>
          <w:szCs w:val="21"/>
        </w:rPr>
      </w:pPr>
      <w:r>
        <w:rPr>
          <w:rFonts w:hint="eastAsia" w:ascii="宋体" w:hAnsi="宋体" w:cs="宋体"/>
          <w:szCs w:val="21"/>
        </w:rPr>
        <w:t>（4）响应文件中的资格证明文件出现任一项不符合“供应商须知前附表”资格证明文件规定的“必须提供”的文件资料要求或者无效的；</w:t>
      </w:r>
    </w:p>
    <w:p w14:paraId="7FA5FC26">
      <w:pPr>
        <w:spacing w:line="360" w:lineRule="auto"/>
        <w:ind w:firstLine="420" w:firstLineChars="200"/>
        <w:rPr>
          <w:rFonts w:hint="eastAsia" w:ascii="宋体" w:hAnsi="宋体" w:cs="宋体"/>
          <w:szCs w:val="21"/>
        </w:rPr>
      </w:pPr>
      <w:r>
        <w:rPr>
          <w:rFonts w:hint="eastAsia" w:ascii="宋体" w:hAnsi="宋体" w:cs="宋体"/>
          <w:szCs w:val="21"/>
        </w:rPr>
        <w:t>（5）同一合同项下的不同供应商，单位负责人为同一人或者存在直接控股、管理关系的；为本项目提供过整体设计、规范编制或者项目管理、监理、检测等服务的供应商，再参加该采购项目的其他采购活动的。</w:t>
      </w:r>
    </w:p>
    <w:p w14:paraId="01BFFE3D">
      <w:pPr>
        <w:spacing w:line="360" w:lineRule="auto"/>
        <w:ind w:firstLine="420" w:firstLineChars="200"/>
        <w:rPr>
          <w:rFonts w:hint="eastAsia" w:ascii="宋体" w:hAnsi="宋体" w:cs="宋体"/>
          <w:szCs w:val="21"/>
        </w:rPr>
      </w:pPr>
      <w:r>
        <w:rPr>
          <w:rFonts w:hint="eastAsia" w:ascii="宋体" w:hAnsi="宋体" w:cs="宋体"/>
          <w:szCs w:val="21"/>
        </w:rPr>
        <w:t>2.4通过资格审查的合格供应商不足3家（本章3.7条规定除外）的，不得进入符合性审查环节，应当重新开展采购活动。</w:t>
      </w:r>
    </w:p>
    <w:p w14:paraId="772BBA26">
      <w:pPr>
        <w:spacing w:line="360" w:lineRule="auto"/>
        <w:ind w:firstLine="482" w:firstLineChars="200"/>
        <w:rPr>
          <w:rFonts w:hint="eastAsia" w:ascii="宋体" w:hAnsi="宋体" w:cs="宋体"/>
          <w:b/>
          <w:bCs/>
          <w:sz w:val="24"/>
        </w:rPr>
      </w:pPr>
      <w:r>
        <w:rPr>
          <w:rFonts w:hint="eastAsia" w:ascii="宋体" w:hAnsi="宋体" w:cs="宋体"/>
          <w:b/>
          <w:bCs/>
          <w:sz w:val="24"/>
        </w:rPr>
        <w:t>3.符合性审查</w:t>
      </w:r>
    </w:p>
    <w:p w14:paraId="7980C380">
      <w:pPr>
        <w:spacing w:line="360" w:lineRule="auto"/>
        <w:ind w:firstLine="420" w:firstLineChars="200"/>
        <w:rPr>
          <w:rFonts w:hint="eastAsia" w:ascii="宋体" w:hAnsi="宋体" w:cs="宋体"/>
          <w:szCs w:val="21"/>
        </w:rPr>
      </w:pPr>
      <w:r>
        <w:rPr>
          <w:rFonts w:hint="eastAsia" w:ascii="宋体" w:hAnsi="宋体" w:cs="宋体"/>
          <w:szCs w:val="21"/>
        </w:rPr>
        <w:t>3.1谈判小组应当对符合资格的供应商的响应文件进行竞标报价、商务、技术等实质性要求符合性审查，以确定其是否满足谈判文件的实质性要求。</w:t>
      </w:r>
    </w:p>
    <w:p w14:paraId="33669B58">
      <w:pPr>
        <w:spacing w:line="360" w:lineRule="auto"/>
        <w:ind w:firstLine="420" w:firstLineChars="200"/>
        <w:rPr>
          <w:rFonts w:hint="eastAsia" w:ascii="宋体" w:hAnsi="宋体" w:cs="宋体"/>
          <w:szCs w:val="21"/>
        </w:rPr>
      </w:pPr>
      <w:r>
        <w:rPr>
          <w:rFonts w:hint="eastAsia" w:ascii="宋体" w:hAnsi="宋体" w:cs="宋体"/>
          <w:szCs w:val="21"/>
        </w:rPr>
        <w:t>3.2谈判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13318AE">
      <w:pPr>
        <w:spacing w:line="360" w:lineRule="auto"/>
        <w:ind w:firstLine="420" w:firstLineChars="200"/>
        <w:rPr>
          <w:rFonts w:hint="eastAsia" w:ascii="宋体" w:hAnsi="宋体" w:cs="宋体"/>
          <w:spacing w:val="-6"/>
          <w:szCs w:val="21"/>
        </w:rPr>
      </w:pPr>
      <w:r>
        <w:rPr>
          <w:rFonts w:hint="eastAsia" w:ascii="宋体" w:hAnsi="宋体" w:cs="宋体"/>
          <w:szCs w:val="21"/>
        </w:rPr>
        <w:t>3.3谈判小组要求供应商澄清、说明或者更正响应文件应当以书面形式作出。供应商的澄清、说明或者更正必须以书面形式按照谈判小组的要求作出明确的澄清、说明或者更正，未按谈判小组的要求作出明确澄清、说明或者更正的供应商的响应文件将按照</w:t>
      </w:r>
      <w:r>
        <w:rPr>
          <w:rFonts w:hint="eastAsia" w:ascii="宋体" w:hAnsi="宋体" w:cs="宋体"/>
        </w:rPr>
        <w:t>有利于采购人</w:t>
      </w:r>
      <w:r>
        <w:rPr>
          <w:rFonts w:hint="eastAsia" w:ascii="宋体" w:hAnsi="宋体" w:cs="宋体"/>
          <w:szCs w:val="21"/>
        </w:rPr>
        <w:t>的原则由谈判小组进行判定。供应商的澄清、说明或者更正必须由法定代表人或者其委托代理人签字或者加盖公章。由委托代理人签字的，</w:t>
      </w:r>
      <w:r>
        <w:rPr>
          <w:rFonts w:hint="eastAsia" w:ascii="宋体" w:hAnsi="宋体" w:cs="宋体"/>
          <w:bCs/>
          <w:szCs w:val="21"/>
        </w:rPr>
        <w:t>若委托代理人不是响应文件中授权的委托代理人时，必须同时出示有效的授权委托书原件</w:t>
      </w:r>
      <w:r>
        <w:rPr>
          <w:rFonts w:hint="eastAsia" w:ascii="宋体" w:hAnsi="宋体" w:cs="宋体"/>
          <w:spacing w:val="-6"/>
          <w:szCs w:val="21"/>
        </w:rPr>
        <w:t>。供应商为自然人的，必须由本人签字并附身份证明。</w:t>
      </w:r>
    </w:p>
    <w:p w14:paraId="5984344D">
      <w:pPr>
        <w:spacing w:line="360" w:lineRule="auto"/>
        <w:ind w:firstLine="396" w:firstLineChars="200"/>
        <w:rPr>
          <w:rFonts w:hint="eastAsia" w:ascii="宋体" w:hAnsi="宋体" w:cs="宋体"/>
          <w:szCs w:val="21"/>
        </w:rPr>
      </w:pPr>
      <w:r>
        <w:rPr>
          <w:rFonts w:hint="eastAsia" w:ascii="宋体" w:hAnsi="宋体" w:cs="宋体"/>
          <w:spacing w:val="-6"/>
          <w:szCs w:val="21"/>
        </w:rPr>
        <w:t>3.4</w:t>
      </w:r>
      <w:r>
        <w:rPr>
          <w:rFonts w:hint="eastAsia" w:ascii="宋体" w:hAnsi="宋体" w:cs="宋体"/>
          <w:szCs w:val="21"/>
        </w:rPr>
        <w:t xml:space="preserve">首次响应文件报价出现前后不一致的，按照下列规定修正： </w:t>
      </w:r>
    </w:p>
    <w:p w14:paraId="60A33E08">
      <w:pPr>
        <w:spacing w:line="360" w:lineRule="auto"/>
        <w:ind w:firstLine="420" w:firstLineChars="200"/>
        <w:rPr>
          <w:rFonts w:hint="eastAsia" w:ascii="宋体" w:hAnsi="宋体" w:cs="宋体"/>
          <w:szCs w:val="21"/>
        </w:rPr>
      </w:pPr>
      <w:r>
        <w:rPr>
          <w:rFonts w:hint="eastAsia" w:ascii="宋体" w:hAnsi="宋体" w:cs="宋体"/>
          <w:szCs w:val="21"/>
        </w:rPr>
        <w:t>（1）响应文件中报价表内容与响应文件中相应内容不一致的，以报价表为准；</w:t>
      </w:r>
    </w:p>
    <w:p w14:paraId="727B954E">
      <w:pPr>
        <w:spacing w:line="360" w:lineRule="auto"/>
        <w:ind w:firstLine="420" w:firstLineChars="200"/>
        <w:rPr>
          <w:rFonts w:hint="eastAsia" w:ascii="宋体" w:hAnsi="宋体" w:cs="宋体"/>
          <w:szCs w:val="21"/>
        </w:rPr>
      </w:pPr>
      <w:r>
        <w:rPr>
          <w:rFonts w:hint="eastAsia" w:ascii="宋体" w:hAnsi="宋体" w:cs="宋体"/>
          <w:szCs w:val="21"/>
        </w:rPr>
        <w:t>（2）大写金额和小写金额不一致的，以大写金额为准；</w:t>
      </w:r>
    </w:p>
    <w:p w14:paraId="0398CB88">
      <w:pPr>
        <w:spacing w:line="360" w:lineRule="auto"/>
        <w:ind w:firstLine="420" w:firstLineChars="200"/>
        <w:rPr>
          <w:rFonts w:hint="eastAsia" w:ascii="宋体" w:hAnsi="宋体" w:cs="宋体"/>
          <w:szCs w:val="21"/>
        </w:rPr>
      </w:pPr>
      <w:r>
        <w:rPr>
          <w:rFonts w:hint="eastAsia" w:ascii="宋体" w:hAnsi="宋体" w:cs="宋体"/>
          <w:szCs w:val="21"/>
        </w:rPr>
        <w:t>（3）单价金额小数点或者百分比有明显错位的，以报价表的总价为准，并修改单价；</w:t>
      </w:r>
    </w:p>
    <w:p w14:paraId="2C1615AD">
      <w:pPr>
        <w:spacing w:line="360" w:lineRule="auto"/>
        <w:ind w:firstLine="420" w:firstLineChars="200"/>
        <w:rPr>
          <w:rFonts w:hint="eastAsia" w:ascii="宋体" w:hAnsi="宋体" w:cs="宋体"/>
          <w:szCs w:val="21"/>
        </w:rPr>
      </w:pPr>
      <w:r>
        <w:rPr>
          <w:rFonts w:hint="eastAsia" w:ascii="宋体" w:hAnsi="宋体" w:cs="宋体"/>
          <w:szCs w:val="21"/>
        </w:rPr>
        <w:t>（4）总价金额与按单价汇总金额不一致的，以单价金额计算结果为准。</w:t>
      </w:r>
    </w:p>
    <w:p w14:paraId="5C995084">
      <w:pPr>
        <w:spacing w:line="360" w:lineRule="auto"/>
        <w:ind w:firstLine="420" w:firstLineChars="200"/>
        <w:rPr>
          <w:rFonts w:hint="eastAsia" w:ascii="宋体" w:hAnsi="宋体" w:cs="宋体"/>
          <w:szCs w:val="21"/>
        </w:rPr>
      </w:pPr>
      <w:r>
        <w:rPr>
          <w:rFonts w:hint="eastAsia" w:ascii="宋体" w:hAnsi="宋体" w:cs="宋体"/>
          <w:szCs w:val="21"/>
        </w:rPr>
        <w:t>同时出现两种以上不一致的，按照以上（1）-（4）规定的顺序逐条进行修正。修正后的报价经供应商确认后产生约束力，供应商不确认的，其响应文件按无效响应处理。</w:t>
      </w:r>
    </w:p>
    <w:p w14:paraId="0431689B">
      <w:pPr>
        <w:spacing w:line="360" w:lineRule="auto"/>
        <w:ind w:firstLine="420" w:firstLineChars="200"/>
        <w:rPr>
          <w:rFonts w:hint="eastAsia" w:ascii="宋体" w:hAnsi="宋体" w:cs="宋体"/>
          <w:szCs w:val="21"/>
        </w:rPr>
      </w:pPr>
      <w:r>
        <w:rPr>
          <w:rFonts w:hint="eastAsia" w:ascii="宋体" w:hAnsi="宋体" w:cs="宋体"/>
          <w:szCs w:val="21"/>
        </w:rPr>
        <w:t>3.5商务技术报价评审</w:t>
      </w:r>
    </w:p>
    <w:p w14:paraId="20D6CF3F">
      <w:pPr>
        <w:spacing w:line="360" w:lineRule="auto"/>
        <w:ind w:firstLine="420" w:firstLineChars="200"/>
        <w:rPr>
          <w:rFonts w:hint="eastAsia" w:ascii="宋体" w:hAnsi="宋体" w:cs="宋体"/>
          <w:szCs w:val="21"/>
        </w:rPr>
      </w:pPr>
      <w:r>
        <w:rPr>
          <w:rFonts w:hint="eastAsia" w:ascii="宋体" w:hAnsi="宋体" w:cs="宋体"/>
          <w:szCs w:val="21"/>
        </w:rPr>
        <w:t>在评审时，如发现下列情形之一的，将被视为响应文件无效处理：</w:t>
      </w:r>
    </w:p>
    <w:p w14:paraId="0560778F">
      <w:pPr>
        <w:spacing w:line="360" w:lineRule="auto"/>
        <w:ind w:firstLine="420" w:firstLineChars="200"/>
        <w:rPr>
          <w:rFonts w:hint="eastAsia" w:ascii="宋体" w:hAnsi="宋体" w:cs="宋体"/>
          <w:szCs w:val="21"/>
        </w:rPr>
      </w:pPr>
      <w:r>
        <w:rPr>
          <w:rFonts w:hint="eastAsia" w:ascii="宋体" w:hAnsi="宋体" w:cs="宋体"/>
          <w:szCs w:val="21"/>
        </w:rPr>
        <w:t>（1）商务技术评审</w:t>
      </w:r>
    </w:p>
    <w:p w14:paraId="22F3D8D3">
      <w:pPr>
        <w:spacing w:line="360" w:lineRule="auto"/>
        <w:ind w:firstLine="420" w:firstLineChars="200"/>
        <w:rPr>
          <w:rFonts w:hint="eastAsia" w:ascii="宋体" w:hAnsi="宋体" w:cs="宋体"/>
          <w:szCs w:val="21"/>
        </w:rPr>
      </w:pPr>
      <w:r>
        <w:rPr>
          <w:rFonts w:hint="eastAsia" w:ascii="宋体" w:hAnsi="宋体" w:cs="宋体"/>
          <w:szCs w:val="21"/>
        </w:rPr>
        <w:t>1）提供响应文件正、副本数量不足；</w:t>
      </w:r>
    </w:p>
    <w:p w14:paraId="5C60F196">
      <w:pPr>
        <w:spacing w:line="360" w:lineRule="auto"/>
        <w:ind w:firstLine="420" w:firstLineChars="200"/>
        <w:rPr>
          <w:rFonts w:hint="eastAsia" w:ascii="宋体" w:hAnsi="宋体" w:cs="宋体"/>
          <w:szCs w:val="21"/>
        </w:rPr>
      </w:pPr>
      <w:r>
        <w:rPr>
          <w:rFonts w:hint="eastAsia" w:ascii="宋体" w:hAnsi="宋体" w:cs="宋体"/>
          <w:szCs w:val="21"/>
        </w:rPr>
        <w:t>2）响应文件未按谈判文件要求签署、盖章的；</w:t>
      </w:r>
    </w:p>
    <w:p w14:paraId="2001F75C">
      <w:pPr>
        <w:spacing w:line="360" w:lineRule="auto"/>
        <w:ind w:firstLine="420" w:firstLineChars="200"/>
        <w:rPr>
          <w:rFonts w:hint="eastAsia" w:ascii="宋体" w:hAnsi="宋体" w:cs="宋体"/>
          <w:szCs w:val="21"/>
        </w:rPr>
      </w:pPr>
      <w:r>
        <w:rPr>
          <w:rFonts w:hint="eastAsia" w:ascii="宋体" w:hAnsi="宋体" w:cs="宋体"/>
          <w:szCs w:val="21"/>
        </w:rPr>
        <w:t xml:space="preserve">3）委托代理人未能出具有效身份证或者出具的身份证与授权委托书中的信息不符的； </w:t>
      </w:r>
    </w:p>
    <w:p w14:paraId="27FC9310">
      <w:pPr>
        <w:spacing w:line="360" w:lineRule="auto"/>
        <w:ind w:firstLine="420" w:firstLineChars="200"/>
        <w:rPr>
          <w:rFonts w:hint="eastAsia" w:ascii="宋体" w:hAnsi="宋体" w:cs="宋体"/>
          <w:szCs w:val="21"/>
        </w:rPr>
      </w:pPr>
      <w:r>
        <w:rPr>
          <w:rFonts w:hint="eastAsia" w:ascii="宋体" w:hAnsi="宋体" w:cs="宋体"/>
          <w:szCs w:val="21"/>
        </w:rPr>
        <w:t>4）提交的竞标保证金无效的或者未按照谈判文件的规定提交竞标保证金；</w:t>
      </w:r>
    </w:p>
    <w:p w14:paraId="336CF132">
      <w:pPr>
        <w:spacing w:line="360" w:lineRule="auto"/>
        <w:ind w:firstLine="420" w:firstLineChars="200"/>
        <w:rPr>
          <w:rFonts w:hint="eastAsia" w:ascii="宋体" w:hAnsi="宋体" w:cs="宋体"/>
          <w:szCs w:val="21"/>
        </w:rPr>
      </w:pPr>
      <w:r>
        <w:rPr>
          <w:rFonts w:hint="eastAsia" w:ascii="宋体" w:hAnsi="宋体" w:cs="宋体"/>
          <w:szCs w:val="21"/>
        </w:rPr>
        <w:t>5）响应文件未提供任一项“供应商须知前附表” 报价商务技术文件中 “必须提供”或者“委托时必须提供”的文件资料；响应文件提供的报价商务技术文件出现任一项不符合“供应商须知前附表” 报价商务技术文件中 “必须提供”或者“委托时必须提供”文件资料要求的规定或者提供的报价商务技术文件无效；</w:t>
      </w:r>
    </w:p>
    <w:p w14:paraId="2417E7FC">
      <w:pPr>
        <w:spacing w:line="360" w:lineRule="auto"/>
        <w:ind w:firstLine="420" w:firstLineChars="200"/>
        <w:rPr>
          <w:rFonts w:hint="eastAsia" w:ascii="宋体" w:hAnsi="宋体" w:cs="宋体"/>
          <w:szCs w:val="21"/>
        </w:rPr>
      </w:pPr>
      <w:r>
        <w:rPr>
          <w:rFonts w:hint="eastAsia" w:ascii="宋体" w:hAnsi="宋体" w:cs="宋体"/>
          <w:szCs w:val="21"/>
        </w:rPr>
        <w:t>6）商务要求允许负偏离的条款数超过“供应商须知前附表”规定项数的；</w:t>
      </w:r>
    </w:p>
    <w:p w14:paraId="20657603">
      <w:pPr>
        <w:spacing w:line="360" w:lineRule="auto"/>
        <w:ind w:firstLine="420" w:firstLineChars="200"/>
        <w:rPr>
          <w:rFonts w:hint="eastAsia" w:ascii="宋体" w:hAnsi="宋体" w:cs="宋体"/>
          <w:szCs w:val="21"/>
        </w:rPr>
      </w:pPr>
      <w:r>
        <w:rPr>
          <w:rFonts w:hint="eastAsia" w:ascii="宋体" w:hAnsi="宋体" w:cs="宋体"/>
          <w:szCs w:val="21"/>
        </w:rPr>
        <w:t>7）未对竞标有效期作出响应或者响应文件承诺的竞标有效期不满足谈判文件要求；</w:t>
      </w:r>
    </w:p>
    <w:p w14:paraId="5DA0B502">
      <w:pPr>
        <w:spacing w:line="360" w:lineRule="auto"/>
        <w:ind w:firstLine="420" w:firstLineChars="200"/>
        <w:rPr>
          <w:rFonts w:hint="eastAsia" w:ascii="宋体" w:hAnsi="宋体" w:cs="宋体"/>
          <w:szCs w:val="21"/>
        </w:rPr>
      </w:pPr>
      <w:r>
        <w:rPr>
          <w:rFonts w:hint="eastAsia" w:ascii="宋体" w:hAnsi="宋体" w:cs="宋体"/>
          <w:szCs w:val="21"/>
        </w:rPr>
        <w:t>8）响应文件的实质性内容未使用中文表述、使用计量单位不符合谈判文件要求的；</w:t>
      </w:r>
    </w:p>
    <w:p w14:paraId="06543DED">
      <w:pPr>
        <w:spacing w:line="360" w:lineRule="auto"/>
        <w:ind w:firstLine="420" w:firstLineChars="200"/>
        <w:rPr>
          <w:rFonts w:hint="eastAsia" w:ascii="宋体" w:hAnsi="宋体" w:cs="宋体"/>
          <w:szCs w:val="21"/>
        </w:rPr>
      </w:pPr>
      <w:r>
        <w:rPr>
          <w:rFonts w:hint="eastAsia" w:ascii="宋体" w:hAnsi="宋体" w:cs="宋体"/>
          <w:szCs w:val="21"/>
        </w:rPr>
        <w:t>9）响应文件中的文件资料因填写不齐全或者内容虚假或者出现其他情形而导致被谈判小组认定无效的；</w:t>
      </w:r>
    </w:p>
    <w:p w14:paraId="2DDABB27">
      <w:pPr>
        <w:spacing w:line="360" w:lineRule="auto"/>
        <w:ind w:firstLine="420" w:firstLineChars="200"/>
        <w:rPr>
          <w:rFonts w:hint="eastAsia" w:ascii="宋体" w:hAnsi="宋体" w:cs="宋体"/>
          <w:szCs w:val="21"/>
        </w:rPr>
      </w:pPr>
      <w:r>
        <w:rPr>
          <w:rFonts w:hint="eastAsia" w:ascii="宋体" w:hAnsi="宋体" w:cs="宋体"/>
          <w:szCs w:val="21"/>
        </w:rPr>
        <w:t>10）响应文件含有采购人不能接受的附加条件的；</w:t>
      </w:r>
    </w:p>
    <w:p w14:paraId="04C71B9A">
      <w:pPr>
        <w:spacing w:line="360" w:lineRule="auto"/>
        <w:ind w:firstLine="420" w:firstLineChars="200"/>
        <w:rPr>
          <w:rFonts w:hint="eastAsia" w:ascii="宋体" w:hAnsi="宋体" w:cs="宋体"/>
          <w:szCs w:val="21"/>
        </w:rPr>
      </w:pPr>
      <w:r>
        <w:rPr>
          <w:rFonts w:hint="eastAsia" w:ascii="宋体" w:hAnsi="宋体" w:cs="宋体"/>
          <w:szCs w:val="21"/>
        </w:rPr>
        <w:t>11）属于“供应商须知正文”第7.5条的情形的；</w:t>
      </w:r>
    </w:p>
    <w:p w14:paraId="2D83209B">
      <w:pPr>
        <w:spacing w:line="360" w:lineRule="auto"/>
        <w:ind w:firstLine="420" w:firstLineChars="200"/>
        <w:rPr>
          <w:rFonts w:hint="eastAsia" w:ascii="宋体" w:hAnsi="宋体" w:cs="宋体"/>
          <w:szCs w:val="21"/>
        </w:rPr>
      </w:pPr>
      <w:r>
        <w:rPr>
          <w:rFonts w:hint="eastAsia" w:ascii="宋体" w:hAnsi="宋体" w:cs="宋体"/>
          <w:szCs w:val="21"/>
        </w:rPr>
        <w:t>12）技术评审允许负偏离的条款数超过“供应商须知前附表”规定项数的；</w:t>
      </w:r>
    </w:p>
    <w:p w14:paraId="33D6A76A">
      <w:pPr>
        <w:spacing w:line="360" w:lineRule="auto"/>
        <w:ind w:firstLine="420" w:firstLineChars="200"/>
        <w:rPr>
          <w:rFonts w:hint="eastAsia" w:ascii="宋体" w:hAnsi="宋体" w:cs="宋体"/>
          <w:szCs w:val="21"/>
        </w:rPr>
      </w:pPr>
      <w:r>
        <w:rPr>
          <w:rFonts w:hint="eastAsia" w:ascii="宋体" w:hAnsi="宋体" w:cs="宋体"/>
          <w:szCs w:val="21"/>
        </w:rPr>
        <w:t>13）虚假竞标，或者出现其他情形而导致被谈判小组认定无效的；</w:t>
      </w:r>
    </w:p>
    <w:p w14:paraId="0A408C88">
      <w:pPr>
        <w:spacing w:line="360" w:lineRule="auto"/>
        <w:ind w:firstLine="420" w:firstLineChars="200"/>
        <w:rPr>
          <w:rFonts w:hint="eastAsia" w:ascii="宋体" w:hAnsi="宋体" w:cs="宋体"/>
          <w:szCs w:val="21"/>
        </w:rPr>
      </w:pPr>
      <w:r>
        <w:rPr>
          <w:rFonts w:hint="eastAsia" w:ascii="宋体" w:hAnsi="宋体" w:cs="宋体"/>
          <w:szCs w:val="21"/>
        </w:rPr>
        <w:t>14）</w:t>
      </w:r>
      <w:bookmarkStart w:id="66" w:name="_Hlk71704147"/>
      <w:r>
        <w:rPr>
          <w:rFonts w:hint="eastAsia" w:ascii="宋体" w:hAnsi="宋体" w:cs="宋体"/>
          <w:szCs w:val="21"/>
        </w:rPr>
        <w:t>谈判文件未载明允许提供备选（替代）竞标方案或明确不允许提供备选（替代）竞标方案时，供应商提供了备选（替代）竞标方案的；</w:t>
      </w:r>
      <w:bookmarkEnd w:id="66"/>
    </w:p>
    <w:p w14:paraId="4B81FF7D">
      <w:pPr>
        <w:spacing w:line="360" w:lineRule="auto"/>
        <w:ind w:firstLine="420" w:firstLineChars="200"/>
        <w:rPr>
          <w:rFonts w:hint="eastAsia" w:ascii="宋体" w:hAnsi="宋体" w:cs="宋体"/>
          <w:szCs w:val="21"/>
        </w:rPr>
      </w:pPr>
      <w:r>
        <w:rPr>
          <w:rFonts w:hint="eastAsia" w:ascii="宋体" w:hAnsi="宋体" w:cs="宋体"/>
          <w:szCs w:val="21"/>
        </w:rPr>
        <w:t>15）响应文件标注的项目名称或者项目编号与谈判文件标注的项目名称或者项目编号不一致的；</w:t>
      </w:r>
    </w:p>
    <w:p w14:paraId="61070C61">
      <w:pPr>
        <w:spacing w:line="360" w:lineRule="auto"/>
        <w:ind w:firstLine="420" w:firstLineChars="200"/>
        <w:rPr>
          <w:rFonts w:hint="eastAsia" w:ascii="宋体" w:hAnsi="宋体" w:cs="宋体"/>
          <w:szCs w:val="21"/>
        </w:rPr>
      </w:pPr>
      <w:r>
        <w:rPr>
          <w:rFonts w:hint="eastAsia" w:ascii="宋体" w:hAnsi="宋体" w:cs="宋体"/>
          <w:szCs w:val="21"/>
        </w:rPr>
        <w:t>16）</w:t>
      </w:r>
      <w:r>
        <w:rPr>
          <w:rFonts w:hint="eastAsia" w:ascii="宋体" w:hAnsi="宋体" w:cs="宋体"/>
          <w:b/>
          <w:szCs w:val="21"/>
        </w:rPr>
        <w:t>谈判文件明确不允许分包，响应文件拟分包的；</w:t>
      </w:r>
    </w:p>
    <w:p w14:paraId="4A927B80">
      <w:pPr>
        <w:spacing w:line="360" w:lineRule="auto"/>
        <w:ind w:firstLine="420" w:firstLineChars="200"/>
        <w:rPr>
          <w:rFonts w:hint="eastAsia" w:ascii="宋体" w:hAnsi="宋体" w:cs="宋体"/>
          <w:szCs w:val="21"/>
        </w:rPr>
      </w:pPr>
      <w:r>
        <w:rPr>
          <w:rFonts w:hint="eastAsia" w:ascii="宋体" w:hAnsi="宋体" w:cs="宋体"/>
          <w:szCs w:val="21"/>
        </w:rPr>
        <w:t>17）未响应谈判文件实质性要求；</w:t>
      </w:r>
    </w:p>
    <w:p w14:paraId="1578330B">
      <w:pPr>
        <w:spacing w:line="360" w:lineRule="auto"/>
        <w:ind w:firstLine="420" w:firstLineChars="200"/>
        <w:rPr>
          <w:rFonts w:hint="eastAsia" w:ascii="宋体" w:hAnsi="宋体" w:cs="宋体"/>
          <w:szCs w:val="21"/>
        </w:rPr>
      </w:pPr>
      <w:r>
        <w:rPr>
          <w:rFonts w:hint="eastAsia" w:ascii="宋体" w:hAnsi="宋体" w:cs="宋体"/>
          <w:szCs w:val="21"/>
        </w:rPr>
        <w:t>18）</w:t>
      </w:r>
      <w:r>
        <w:rPr>
          <w:rFonts w:hint="eastAsia" w:ascii="宋体" w:hAnsi="宋体" w:cs="宋体"/>
          <w:szCs w:val="21"/>
          <w:lang w:eastAsia="zh-CN"/>
        </w:rPr>
        <w:t>法律法规</w:t>
      </w:r>
      <w:r>
        <w:rPr>
          <w:rFonts w:hint="eastAsia" w:ascii="宋体" w:hAnsi="宋体" w:cs="宋体"/>
          <w:szCs w:val="21"/>
        </w:rPr>
        <w:t>和谈判文件规定的其他无效情形。</w:t>
      </w:r>
    </w:p>
    <w:p w14:paraId="18C775A3">
      <w:pPr>
        <w:spacing w:line="360" w:lineRule="auto"/>
        <w:ind w:firstLine="420" w:firstLineChars="200"/>
        <w:rPr>
          <w:rFonts w:hint="eastAsia" w:ascii="宋体" w:hAnsi="宋体" w:cs="宋体"/>
          <w:szCs w:val="21"/>
        </w:rPr>
      </w:pPr>
      <w:r>
        <w:rPr>
          <w:rFonts w:hint="eastAsia" w:ascii="宋体" w:hAnsi="宋体" w:cs="宋体"/>
          <w:szCs w:val="21"/>
        </w:rPr>
        <w:t>（2）报价评审</w:t>
      </w:r>
    </w:p>
    <w:p w14:paraId="79556104">
      <w:pPr>
        <w:spacing w:line="360" w:lineRule="auto"/>
        <w:ind w:firstLine="420" w:firstLineChars="200"/>
        <w:rPr>
          <w:rFonts w:hint="eastAsia" w:ascii="宋体" w:hAnsi="宋体" w:cs="宋体"/>
          <w:szCs w:val="21"/>
        </w:rPr>
      </w:pPr>
      <w:r>
        <w:rPr>
          <w:rFonts w:hint="eastAsia" w:ascii="宋体" w:hAnsi="宋体" w:cs="宋体"/>
          <w:szCs w:val="21"/>
        </w:rPr>
        <w:t>1）响应文件未提供“供应商须知前附表” 报价商务技术文件中规定的“竞标报价表”的；</w:t>
      </w:r>
    </w:p>
    <w:p w14:paraId="5B6F4240">
      <w:pPr>
        <w:spacing w:line="360" w:lineRule="auto"/>
        <w:ind w:firstLine="420" w:firstLineChars="200"/>
        <w:rPr>
          <w:rFonts w:hint="eastAsia" w:ascii="宋体" w:hAnsi="宋体" w:cs="宋体"/>
          <w:szCs w:val="21"/>
        </w:rPr>
      </w:pPr>
      <w:r>
        <w:rPr>
          <w:rFonts w:hint="eastAsia" w:ascii="宋体" w:hAnsi="宋体" w:cs="宋体"/>
          <w:szCs w:val="21"/>
        </w:rPr>
        <w:t>2）未采用人民币报价或者未按照谈判文件标明的币种报价的；</w:t>
      </w:r>
    </w:p>
    <w:p w14:paraId="3DD39960">
      <w:pPr>
        <w:spacing w:line="360" w:lineRule="auto"/>
        <w:ind w:firstLine="420" w:firstLineChars="200"/>
        <w:rPr>
          <w:rFonts w:hint="eastAsia" w:ascii="宋体" w:hAnsi="宋体" w:cs="宋体"/>
          <w:szCs w:val="21"/>
        </w:rPr>
      </w:pPr>
      <w:r>
        <w:rPr>
          <w:rFonts w:hint="eastAsia" w:ascii="宋体" w:hAnsi="宋体" w:cs="宋体"/>
          <w:szCs w:val="21"/>
        </w:rPr>
        <w:t>3）供应商未就所竞标分标进行报价或者存在漏项报价；供应商未就所竞标分标的单项内容作唯一报价；供应商未就所竞标分标的全部内容作完整唯一总价报价；供应商响应文件中存在有选择、有条件报价的（谈判文件允许有备选方案或者其他约定的除外）；</w:t>
      </w:r>
    </w:p>
    <w:p w14:paraId="5E0717C1">
      <w:pPr>
        <w:spacing w:line="360" w:lineRule="auto"/>
        <w:ind w:firstLine="420" w:firstLineChars="200"/>
        <w:rPr>
          <w:rFonts w:hint="eastAsia" w:ascii="宋体" w:hAnsi="宋体" w:cs="宋体"/>
          <w:szCs w:val="21"/>
        </w:rPr>
      </w:pPr>
      <w:r>
        <w:rPr>
          <w:rFonts w:hint="eastAsia" w:ascii="宋体" w:hAnsi="宋体" w:cs="宋体"/>
          <w:szCs w:val="21"/>
        </w:rPr>
        <w:t>4）竞标报价（包含首次报价、最后报价）超过所竞标分标规定的采购预算金额或者最高限价的（如本项目公布了最高限价）；竞标报价（包含首次报价、最后报价）超过谈判文件分项采购预算金额或者最高限价的（如本项目公布了最高限价）；</w:t>
      </w:r>
    </w:p>
    <w:p w14:paraId="6C76AE7C">
      <w:pPr>
        <w:spacing w:line="360" w:lineRule="auto"/>
        <w:ind w:firstLine="420" w:firstLineChars="200"/>
        <w:rPr>
          <w:rFonts w:hint="eastAsia" w:ascii="宋体" w:hAnsi="宋体" w:cs="宋体"/>
          <w:szCs w:val="21"/>
        </w:rPr>
      </w:pPr>
      <w:r>
        <w:rPr>
          <w:rFonts w:hint="eastAsia" w:ascii="宋体" w:hAnsi="宋体" w:cs="宋体"/>
          <w:szCs w:val="21"/>
        </w:rPr>
        <w:t>5）修正后的报价，供应商不确认的；或者经供应商确认修正后的竞标报价（包含首次报价、最后报价）超过所竞标分标规定的采购预算金额或者最高限价（如本项目公布了最高限价）；或者经供应商确认修正后竞标报价（包含首次报价、最后报价）超过谈判文件分项采购预算金额或者最高限价的（如本项目公布了最高限价）。</w:t>
      </w:r>
    </w:p>
    <w:p w14:paraId="189FDC36">
      <w:pPr>
        <w:spacing w:line="360" w:lineRule="auto"/>
        <w:ind w:firstLine="420" w:firstLineChars="200"/>
        <w:rPr>
          <w:rFonts w:hint="eastAsia" w:ascii="宋体" w:hAnsi="宋体" w:cs="宋体"/>
          <w:szCs w:val="21"/>
        </w:rPr>
      </w:pPr>
      <w:r>
        <w:rPr>
          <w:rFonts w:hint="eastAsia" w:ascii="宋体" w:hAnsi="宋体" w:cs="宋体"/>
          <w:szCs w:val="21"/>
        </w:rPr>
        <w:t>6）响应文件响应的标的数量及单位与竞争性谈判采购文件要求实质性不一致的。</w:t>
      </w:r>
    </w:p>
    <w:p w14:paraId="56108165">
      <w:pPr>
        <w:numPr>
          <w:ilvl w:val="0"/>
          <w:numId w:val="0"/>
        </w:numPr>
        <w:spacing w:line="360" w:lineRule="auto"/>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7) 谈判小组认为竞标人的报价明显低于其他通过符合性审查竞标人的报价，有能影响产品质量或者不能诚信履约的，应当要求其在评标现场合理的时间内提供书面说明，必要时提交相关证明材料;竞标人不能证明其报价合理性的，谈判小组应当将其作为无效竞标处理。</w:t>
      </w:r>
    </w:p>
    <w:p w14:paraId="3CB98B62">
      <w:pPr>
        <w:numPr>
          <w:ilvl w:val="0"/>
          <w:numId w:val="0"/>
        </w:numPr>
        <w:spacing w:line="360" w:lineRule="auto"/>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8)根据《关于推动解决政府采购异常低价问题的通知》（财库〔2026〕2号）的规定，评审中出现下列情形之一的，磋商小组应当启动异常低价投标（响应）审查程序：</w:t>
      </w:r>
    </w:p>
    <w:p w14:paraId="2FF7548C">
      <w:pPr>
        <w:numPr>
          <w:ilvl w:val="0"/>
          <w:numId w:val="0"/>
        </w:numPr>
        <w:spacing w:line="360" w:lineRule="auto"/>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fldChar w:fldCharType="begin"/>
      </w:r>
      <w:r>
        <w:rPr>
          <w:rFonts w:hint="eastAsia" w:ascii="宋体" w:hAnsi="宋体" w:cs="宋体"/>
          <w:color w:val="auto"/>
          <w:szCs w:val="21"/>
          <w:highlight w:val="none"/>
          <w:lang w:val="en-US" w:eastAsia="zh-CN"/>
        </w:rPr>
        <w:instrText xml:space="preserve"> = 1 \* GB3 </w:instrText>
      </w:r>
      <w:r>
        <w:rPr>
          <w:rFonts w:hint="eastAsia" w:ascii="宋体" w:hAnsi="宋体" w:cs="宋体"/>
          <w:color w:val="auto"/>
          <w:szCs w:val="21"/>
          <w:highlight w:val="none"/>
          <w:lang w:val="en-US" w:eastAsia="zh-CN"/>
        </w:rPr>
        <w:fldChar w:fldCharType="separate"/>
      </w:r>
      <w:r>
        <w:rPr>
          <w:rFonts w:hint="eastAsia" w:ascii="宋体" w:hAnsi="宋体" w:cs="宋体"/>
          <w:color w:val="auto"/>
          <w:szCs w:val="21"/>
          <w:highlight w:val="none"/>
          <w:lang w:val="en-US" w:eastAsia="zh-CN"/>
        </w:rPr>
        <w:t>①</w:t>
      </w:r>
      <w:r>
        <w:rPr>
          <w:rFonts w:hint="eastAsia" w:ascii="宋体" w:hAnsi="宋体" w:cs="宋体"/>
          <w:color w:val="auto"/>
          <w:szCs w:val="21"/>
          <w:highlight w:val="none"/>
          <w:lang w:val="en-US" w:eastAsia="zh-CN"/>
        </w:rPr>
        <w:fldChar w:fldCharType="end"/>
      </w:r>
      <w:r>
        <w:rPr>
          <w:rFonts w:hint="eastAsia" w:ascii="宋体" w:hAnsi="宋体" w:cs="宋体"/>
          <w:color w:val="auto"/>
          <w:szCs w:val="21"/>
          <w:highlight w:val="none"/>
          <w:lang w:val="en-US" w:eastAsia="zh-CN"/>
        </w:rPr>
        <w:t xml:space="preserve"> 投标（响应）报价低于全部通过符合性审查供应商投标（响应）报价平均值50%的，即投标（响应）报价＜全部通过符合性审查供应商投标（响应）报价平均值×50%；</w:t>
      </w:r>
    </w:p>
    <w:p w14:paraId="60B754B3">
      <w:pPr>
        <w:numPr>
          <w:ilvl w:val="0"/>
          <w:numId w:val="0"/>
        </w:numPr>
        <w:spacing w:line="360" w:lineRule="auto"/>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fldChar w:fldCharType="begin"/>
      </w:r>
      <w:r>
        <w:rPr>
          <w:rFonts w:hint="eastAsia" w:ascii="宋体" w:hAnsi="宋体" w:cs="宋体"/>
          <w:color w:val="auto"/>
          <w:szCs w:val="21"/>
          <w:highlight w:val="none"/>
          <w:lang w:val="en-US" w:eastAsia="zh-CN"/>
        </w:rPr>
        <w:instrText xml:space="preserve"> = 2 \* GB3 </w:instrText>
      </w:r>
      <w:r>
        <w:rPr>
          <w:rFonts w:hint="eastAsia" w:ascii="宋体" w:hAnsi="宋体" w:cs="宋体"/>
          <w:color w:val="auto"/>
          <w:szCs w:val="21"/>
          <w:highlight w:val="none"/>
          <w:lang w:val="en-US" w:eastAsia="zh-CN"/>
        </w:rPr>
        <w:fldChar w:fldCharType="separate"/>
      </w:r>
      <w:r>
        <w:rPr>
          <w:rFonts w:hint="eastAsia" w:ascii="宋体" w:hAnsi="宋体" w:cs="宋体"/>
          <w:color w:val="auto"/>
          <w:szCs w:val="21"/>
          <w:highlight w:val="none"/>
          <w:lang w:val="en-US" w:eastAsia="zh-CN"/>
        </w:rPr>
        <w:t>②</w:t>
      </w:r>
      <w:r>
        <w:rPr>
          <w:rFonts w:hint="eastAsia" w:ascii="宋体" w:hAnsi="宋体" w:cs="宋体"/>
          <w:color w:val="auto"/>
          <w:szCs w:val="21"/>
          <w:highlight w:val="none"/>
          <w:lang w:val="en-US" w:eastAsia="zh-CN"/>
        </w:rPr>
        <w:fldChar w:fldCharType="end"/>
      </w:r>
      <w:r>
        <w:rPr>
          <w:rFonts w:hint="eastAsia" w:ascii="宋体" w:hAnsi="宋体" w:cs="宋体"/>
          <w:color w:val="auto"/>
          <w:szCs w:val="21"/>
          <w:highlight w:val="none"/>
          <w:lang w:val="en-US" w:eastAsia="zh-CN"/>
        </w:rPr>
        <w:t>投标（响应）报价低于通过符合性审查的次低报价供应商投标（响应）报价50%的，即投标（响应）报价＜通过符合性审查的次低报价供应商投标（响应）报价×50%；</w:t>
      </w:r>
    </w:p>
    <w:p w14:paraId="733F3051">
      <w:pPr>
        <w:numPr>
          <w:ilvl w:val="0"/>
          <w:numId w:val="0"/>
        </w:numPr>
        <w:spacing w:line="360" w:lineRule="auto"/>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fldChar w:fldCharType="begin"/>
      </w:r>
      <w:r>
        <w:rPr>
          <w:rFonts w:hint="eastAsia" w:ascii="宋体" w:hAnsi="宋体" w:cs="宋体"/>
          <w:color w:val="auto"/>
          <w:szCs w:val="21"/>
          <w:highlight w:val="none"/>
          <w:lang w:val="en-US" w:eastAsia="zh-CN"/>
        </w:rPr>
        <w:instrText xml:space="preserve"> = 3 \* GB3 </w:instrText>
      </w:r>
      <w:r>
        <w:rPr>
          <w:rFonts w:hint="eastAsia" w:ascii="宋体" w:hAnsi="宋体" w:cs="宋体"/>
          <w:color w:val="auto"/>
          <w:szCs w:val="21"/>
          <w:highlight w:val="none"/>
          <w:lang w:val="en-US" w:eastAsia="zh-CN"/>
        </w:rPr>
        <w:fldChar w:fldCharType="separate"/>
      </w:r>
      <w:r>
        <w:rPr>
          <w:rFonts w:hint="eastAsia" w:ascii="宋体" w:hAnsi="宋体" w:cs="宋体"/>
          <w:color w:val="auto"/>
          <w:szCs w:val="21"/>
          <w:highlight w:val="none"/>
          <w:lang w:val="en-US" w:eastAsia="zh-CN"/>
        </w:rPr>
        <w:t>③</w:t>
      </w:r>
      <w:r>
        <w:rPr>
          <w:rFonts w:hint="eastAsia" w:ascii="宋体" w:hAnsi="宋体" w:cs="宋体"/>
          <w:color w:val="auto"/>
          <w:szCs w:val="21"/>
          <w:highlight w:val="none"/>
          <w:lang w:val="en-US" w:eastAsia="zh-CN"/>
        </w:rPr>
        <w:fldChar w:fldCharType="end"/>
      </w:r>
      <w:r>
        <w:rPr>
          <w:rFonts w:hint="eastAsia" w:ascii="宋体" w:hAnsi="宋体" w:cs="宋体"/>
          <w:color w:val="auto"/>
          <w:szCs w:val="21"/>
          <w:highlight w:val="none"/>
          <w:lang w:val="en-US" w:eastAsia="zh-CN"/>
        </w:rPr>
        <w:t>投标（响应）报价低于采购项目最高限价45%的，即投标（响应）报价＜采购项目最高限价×45%；</w:t>
      </w:r>
    </w:p>
    <w:p w14:paraId="14F87E5F">
      <w:pPr>
        <w:numPr>
          <w:ilvl w:val="0"/>
          <w:numId w:val="0"/>
        </w:numPr>
        <w:spacing w:line="360" w:lineRule="auto"/>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fldChar w:fldCharType="begin"/>
      </w:r>
      <w:r>
        <w:rPr>
          <w:rFonts w:hint="eastAsia" w:ascii="宋体" w:hAnsi="宋体" w:cs="宋体"/>
          <w:color w:val="auto"/>
          <w:szCs w:val="21"/>
          <w:highlight w:val="none"/>
          <w:lang w:val="en-US" w:eastAsia="zh-CN"/>
        </w:rPr>
        <w:instrText xml:space="preserve"> = 4 \* GB3 </w:instrText>
      </w:r>
      <w:r>
        <w:rPr>
          <w:rFonts w:hint="eastAsia" w:ascii="宋体" w:hAnsi="宋体" w:cs="宋体"/>
          <w:color w:val="auto"/>
          <w:szCs w:val="21"/>
          <w:highlight w:val="none"/>
          <w:lang w:val="en-US" w:eastAsia="zh-CN"/>
        </w:rPr>
        <w:fldChar w:fldCharType="separate"/>
      </w:r>
      <w:r>
        <w:rPr>
          <w:rFonts w:hint="eastAsia" w:ascii="宋体" w:hAnsi="宋体" w:cs="宋体"/>
          <w:color w:val="auto"/>
          <w:szCs w:val="21"/>
          <w:highlight w:val="none"/>
          <w:lang w:val="en-US" w:eastAsia="zh-CN"/>
        </w:rPr>
        <w:t>④</w:t>
      </w:r>
      <w:r>
        <w:rPr>
          <w:rFonts w:hint="eastAsia" w:ascii="宋体" w:hAnsi="宋体" w:cs="宋体"/>
          <w:color w:val="auto"/>
          <w:szCs w:val="21"/>
          <w:highlight w:val="none"/>
          <w:lang w:val="en-US" w:eastAsia="zh-CN"/>
        </w:rPr>
        <w:fldChar w:fldCharType="end"/>
      </w:r>
      <w:r>
        <w:rPr>
          <w:rFonts w:hint="eastAsia" w:ascii="宋体" w:hAnsi="宋体" w:cs="宋体"/>
          <w:color w:val="auto"/>
          <w:szCs w:val="21"/>
          <w:highlight w:val="none"/>
          <w:lang w:val="en-US" w:eastAsia="zh-CN"/>
        </w:rPr>
        <w:t>磋商小组基于专业判断，认为供应商报价过低，有可能影响产品质量或者不能诚信履约的其他情形。</w:t>
      </w:r>
    </w:p>
    <w:p w14:paraId="3CA27639">
      <w:pPr>
        <w:numPr>
          <w:ilvl w:val="0"/>
          <w:numId w:val="0"/>
        </w:numPr>
        <w:spacing w:line="360" w:lineRule="auto"/>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谈判小组启动异常低价投标（响应）审查后，属于前述第1项至第4项情形的，应当要求相关供应商在评审现场30分钟内对投标（响应）价格作出解释，提供项目具体成本测算等与报价合理性相关的书面说明及必要的证明材料，包括但不限于原材料成本、人工成本、制造费用等。其中，属于第3项情形，供应商已随投标（响应）文件一并提交相关书面说明及必要的证明材料的，在评审现场可不再重复提交。</w:t>
      </w:r>
    </w:p>
    <w:p w14:paraId="1BF8A752">
      <w:pPr>
        <w:spacing w:line="360" w:lineRule="auto"/>
        <w:ind w:firstLine="0" w:firstLineChars="0"/>
        <w:rPr>
          <w:rFonts w:hint="eastAsia" w:ascii="宋体" w:hAnsi="宋体" w:cs="宋体"/>
          <w:szCs w:val="21"/>
        </w:rPr>
      </w:pPr>
      <w:r>
        <w:rPr>
          <w:rFonts w:hint="eastAsia" w:ascii="宋体" w:hAnsi="宋体" w:cs="宋体"/>
          <w:color w:val="auto"/>
          <w:szCs w:val="21"/>
          <w:highlight w:val="none"/>
          <w:lang w:val="en-US" w:eastAsia="zh-CN"/>
        </w:rPr>
        <w:t xml:space="preserve">    谈判小组依据专业经验，参考同类项目中标（成交）价格、类似产品市场价格水平、行业人工费用标准、国家有关部门指导行业协会发布的行业平均成本等情况，对报价合理性进行判断。供应商在规定时间内不能提供书面说明、证明材料，或者提供的书面说明、证明材料不能证明其报价合理性的，谈判小组应当将其作为无效响应处理。</w:t>
      </w:r>
    </w:p>
    <w:p w14:paraId="12AF5AE1">
      <w:pPr>
        <w:spacing w:line="360" w:lineRule="auto"/>
        <w:ind w:firstLine="420" w:firstLineChars="200"/>
        <w:rPr>
          <w:rFonts w:hint="eastAsia" w:ascii="宋体" w:hAnsi="宋体" w:cs="宋体"/>
          <w:szCs w:val="21"/>
        </w:rPr>
      </w:pPr>
      <w:r>
        <w:rPr>
          <w:rFonts w:hint="eastAsia" w:ascii="宋体" w:hAnsi="宋体" w:cs="宋体"/>
          <w:szCs w:val="21"/>
        </w:rPr>
        <w:t>3.6谈判小组对响应文件进行评审，未实质性响应谈判文件的响应文件按无效处理。谈判小组应当将资格和符合性不通过的情况告知有关供应商。谈判小组从符合谈判文件规定的相应资格条件的供应商名单中确定不少于3家的供应商参加谈判。</w:t>
      </w:r>
    </w:p>
    <w:p w14:paraId="3A29758A">
      <w:pPr>
        <w:spacing w:line="360" w:lineRule="auto"/>
        <w:ind w:firstLine="420" w:firstLineChars="200"/>
        <w:rPr>
          <w:rFonts w:hint="eastAsia" w:ascii="宋体" w:hAnsi="宋体" w:cs="宋体"/>
          <w:szCs w:val="21"/>
        </w:rPr>
      </w:pPr>
      <w:r>
        <w:rPr>
          <w:rFonts w:hint="eastAsia" w:ascii="宋体" w:hAnsi="宋体" w:cs="宋体"/>
          <w:szCs w:val="21"/>
        </w:rPr>
        <w:t>3.7公开招标的货物、服务采购项目，招标过程中提交响应文件或者经评审实质性响应谈判文件要求的供应商只有两家时，采购人、采购代理机构按照《政府采购非招标采购</w:t>
      </w:r>
      <w:r>
        <w:rPr>
          <w:rFonts w:hint="eastAsia" w:ascii="宋体" w:hAnsi="宋体" w:cs="宋体"/>
          <w:szCs w:val="21"/>
          <w:lang w:eastAsia="zh-CN"/>
        </w:rPr>
        <w:t>方</w:t>
      </w:r>
      <w:r>
        <w:rPr>
          <w:rFonts w:hint="eastAsia" w:ascii="宋体" w:hAnsi="宋体" w:cs="宋体"/>
          <w:szCs w:val="21"/>
        </w:rPr>
        <w:t>式管理办法》（财政部74号令）第四条经本级财政部门批准后可以与该两家供应商进行竞争性谈判采购。</w:t>
      </w:r>
    </w:p>
    <w:p w14:paraId="314EBB86">
      <w:pPr>
        <w:spacing w:line="360" w:lineRule="auto"/>
        <w:ind w:firstLine="420" w:firstLineChars="200"/>
        <w:rPr>
          <w:rFonts w:hint="eastAsia" w:ascii="宋体" w:hAnsi="宋体" w:cs="宋体"/>
          <w:szCs w:val="21"/>
        </w:rPr>
      </w:pPr>
      <w:r>
        <w:rPr>
          <w:rFonts w:hint="eastAsia" w:ascii="宋体" w:hAnsi="宋体" w:cs="宋体"/>
          <w:szCs w:val="21"/>
        </w:rPr>
        <w:t>3.8通过符合性审查的合格供应商不足3家的，不得进入谈判环节，应当重新开展采购活动。</w:t>
      </w:r>
    </w:p>
    <w:p w14:paraId="3CF2C5A9">
      <w:pPr>
        <w:spacing w:line="360" w:lineRule="auto"/>
        <w:ind w:firstLine="482" w:firstLineChars="200"/>
        <w:rPr>
          <w:rFonts w:hint="eastAsia" w:ascii="宋体" w:hAnsi="宋体" w:cs="宋体"/>
          <w:b/>
          <w:bCs/>
          <w:sz w:val="24"/>
        </w:rPr>
      </w:pPr>
      <w:r>
        <w:rPr>
          <w:rFonts w:hint="eastAsia" w:ascii="宋体" w:hAnsi="宋体" w:cs="宋体"/>
          <w:b/>
          <w:bCs/>
          <w:sz w:val="24"/>
        </w:rPr>
        <w:t>4.谈判程序</w:t>
      </w:r>
    </w:p>
    <w:p w14:paraId="7A4CEA2F">
      <w:pPr>
        <w:spacing w:line="360" w:lineRule="auto"/>
        <w:ind w:firstLine="420" w:firstLineChars="200"/>
        <w:rPr>
          <w:rFonts w:hint="eastAsia" w:ascii="宋体" w:hAnsi="宋体" w:cs="宋体"/>
          <w:kern w:val="0"/>
          <w:szCs w:val="21"/>
        </w:rPr>
      </w:pPr>
      <w:r>
        <w:rPr>
          <w:rFonts w:hint="eastAsia" w:ascii="宋体" w:hAnsi="宋体" w:cs="宋体"/>
          <w:kern w:val="0"/>
          <w:szCs w:val="21"/>
        </w:rPr>
        <w:t>4.1谈判小组按照“供应商须知前附表”第26条确定的</w:t>
      </w:r>
      <w:r>
        <w:rPr>
          <w:rFonts w:hint="eastAsia" w:ascii="宋体" w:hAnsi="宋体" w:cs="宋体"/>
          <w:szCs w:val="21"/>
        </w:rPr>
        <w:t>顺序，集中与单一供应商分别进行谈判，并给予所有参加谈判的供应商平等的谈判机会。符合谈判资格的供应商必须在接到通知后规定时间内到达谈判地点参加现场谈判，未在规定时间内参加谈判的，视同放弃参加谈判权利，其响应文件按无效处理。</w:t>
      </w:r>
    </w:p>
    <w:p w14:paraId="6E8D7CF3">
      <w:pPr>
        <w:spacing w:line="360" w:lineRule="auto"/>
        <w:ind w:firstLine="420" w:firstLineChars="200"/>
        <w:rPr>
          <w:rFonts w:hint="eastAsia" w:ascii="宋体" w:hAnsi="宋体" w:cs="宋体"/>
          <w:szCs w:val="21"/>
        </w:rPr>
      </w:pPr>
      <w:r>
        <w:rPr>
          <w:rFonts w:hint="eastAsia" w:ascii="宋体" w:hAnsi="宋体" w:cs="宋体"/>
          <w:szCs w:val="21"/>
        </w:rPr>
        <w:t>4.2在谈判过程中，谈判小组可以根据谈判文件和谈判情况实质性变动采购需求中的技术、服务要求以及合同草案条款，但不得变动谈判文件中的其他内容，实质性变动的内容须经采购人代表确认。可能实质性变动的内容为采购需求中的技术、服务要求以及合同草案条款。</w:t>
      </w:r>
    </w:p>
    <w:p w14:paraId="3926A3A4">
      <w:pPr>
        <w:spacing w:line="360" w:lineRule="auto"/>
        <w:ind w:firstLine="420" w:firstLineChars="200"/>
        <w:rPr>
          <w:rFonts w:hint="eastAsia" w:ascii="宋体" w:hAnsi="宋体" w:cs="宋体"/>
          <w:szCs w:val="21"/>
        </w:rPr>
      </w:pPr>
      <w:r>
        <w:rPr>
          <w:rFonts w:hint="eastAsia" w:ascii="宋体" w:hAnsi="宋体" w:cs="宋体"/>
          <w:szCs w:val="21"/>
        </w:rPr>
        <w:t>4.3对谈判文件作出的实质性变动是谈判文件的有效组成部分，谈判小组应当及时以书面形式同时通知所有参加谈判的供应商。</w:t>
      </w:r>
    </w:p>
    <w:p w14:paraId="19ECAE77">
      <w:pPr>
        <w:spacing w:line="360" w:lineRule="auto"/>
        <w:ind w:firstLine="420" w:firstLineChars="200"/>
        <w:rPr>
          <w:rFonts w:hint="eastAsia" w:ascii="宋体" w:hAnsi="宋体" w:cs="宋体"/>
          <w:szCs w:val="21"/>
        </w:rPr>
      </w:pPr>
      <w:r>
        <w:rPr>
          <w:rFonts w:hint="eastAsia" w:ascii="宋体" w:hAnsi="宋体" w:cs="宋体"/>
          <w:szCs w:val="21"/>
        </w:rPr>
        <w:t>4.4供应商必须按照谈判文件的变动情况和谈判小组的要求重新提交响应文件，并由其法定代表人或者委托代理人签字或者加盖公章。由委托代理人签字的，</w:t>
      </w:r>
      <w:r>
        <w:rPr>
          <w:rFonts w:hint="eastAsia" w:ascii="宋体" w:hAnsi="宋体" w:cs="宋体"/>
          <w:bCs/>
          <w:szCs w:val="21"/>
        </w:rPr>
        <w:t>若委托代理人不是响应文件中授权的委托代理人时，必须同时出示有效的授权委托书原件</w:t>
      </w:r>
      <w:r>
        <w:rPr>
          <w:rFonts w:hint="eastAsia" w:ascii="宋体" w:hAnsi="宋体" w:cs="宋体"/>
          <w:szCs w:val="21"/>
        </w:rPr>
        <w:t>。参加谈判的供应商未在规定时间内重新提交响应文件的，视同退出谈判，其响应文件按无效处理。</w:t>
      </w:r>
    </w:p>
    <w:p w14:paraId="48DC93BE">
      <w:pPr>
        <w:spacing w:line="360" w:lineRule="auto"/>
        <w:ind w:firstLine="420" w:firstLineChars="200"/>
        <w:rPr>
          <w:rFonts w:hint="eastAsia" w:ascii="宋体" w:hAnsi="宋体" w:cs="宋体"/>
          <w:szCs w:val="21"/>
        </w:rPr>
      </w:pPr>
      <w:r>
        <w:rPr>
          <w:rFonts w:hint="eastAsia" w:ascii="宋体" w:hAnsi="宋体" w:cs="宋体"/>
          <w:szCs w:val="21"/>
        </w:rPr>
        <w:t>4.5谈判中，谈判的任何一方不得透露与谈判有关的其他供应商的技术资料、价格和其他信息。</w:t>
      </w:r>
    </w:p>
    <w:p w14:paraId="149666B7">
      <w:pPr>
        <w:widowControl/>
        <w:tabs>
          <w:tab w:val="left" w:pos="540"/>
        </w:tabs>
        <w:spacing w:line="360" w:lineRule="auto"/>
        <w:ind w:firstLine="420" w:firstLineChars="200"/>
        <w:jc w:val="left"/>
        <w:rPr>
          <w:rFonts w:hint="eastAsia" w:ascii="宋体" w:hAnsi="宋体" w:cs="宋体"/>
          <w:szCs w:val="21"/>
        </w:rPr>
      </w:pPr>
      <w:r>
        <w:rPr>
          <w:rFonts w:hint="eastAsia" w:ascii="宋体" w:hAnsi="宋体" w:cs="宋体"/>
          <w:szCs w:val="21"/>
        </w:rPr>
        <w:t>4.6采购代理机构对谈判过程和重要谈判内容进行记录，谈判双方在记录上签字确认。</w:t>
      </w:r>
    </w:p>
    <w:p w14:paraId="7930BCC4">
      <w:pPr>
        <w:widowControl/>
        <w:tabs>
          <w:tab w:val="left" w:pos="540"/>
        </w:tabs>
        <w:spacing w:line="360" w:lineRule="auto"/>
        <w:ind w:firstLine="420" w:firstLineChars="200"/>
        <w:jc w:val="left"/>
        <w:rPr>
          <w:rFonts w:hint="eastAsia" w:ascii="宋体" w:hAnsi="宋体" w:cs="宋体"/>
          <w:szCs w:val="21"/>
        </w:rPr>
      </w:pPr>
      <w:r>
        <w:rPr>
          <w:rFonts w:hint="eastAsia" w:ascii="宋体" w:hAnsi="宋体" w:cs="宋体"/>
          <w:szCs w:val="21"/>
        </w:rPr>
        <w:t>4.7</w:t>
      </w:r>
      <w:r>
        <w:rPr>
          <w:rFonts w:hint="eastAsia" w:ascii="宋体" w:hAnsi="宋体" w:cs="宋体"/>
        </w:rPr>
        <w:t>谈判过程中重新提交的响应文件，供应商可以在</w:t>
      </w:r>
      <w:r>
        <w:rPr>
          <w:rFonts w:hint="eastAsia" w:ascii="宋体" w:hAnsi="宋体" w:cs="宋体"/>
          <w:szCs w:val="21"/>
        </w:rPr>
        <w:t>开启前补充、修改。</w:t>
      </w:r>
    </w:p>
    <w:p w14:paraId="60120A8E">
      <w:pPr>
        <w:tabs>
          <w:tab w:val="left" w:pos="2835"/>
        </w:tabs>
        <w:spacing w:line="440" w:lineRule="exact"/>
        <w:ind w:firstLine="420" w:firstLineChars="200"/>
        <w:rPr>
          <w:rFonts w:hint="eastAsia" w:ascii="宋体" w:hAnsi="宋体" w:cs="宋体"/>
          <w:szCs w:val="21"/>
        </w:rPr>
      </w:pPr>
      <w:r>
        <w:rPr>
          <w:rFonts w:hint="eastAsia" w:ascii="宋体" w:hAnsi="宋体" w:cs="宋体"/>
          <w:szCs w:val="21"/>
        </w:rPr>
        <w:t>4.8最后谈判结束后，谈判小组不得再与供应商进行任何形式的商谈。</w:t>
      </w:r>
    </w:p>
    <w:p w14:paraId="45B07BF4">
      <w:pPr>
        <w:spacing w:line="440" w:lineRule="exact"/>
        <w:ind w:firstLine="482" w:firstLineChars="200"/>
        <w:rPr>
          <w:rFonts w:hint="eastAsia" w:ascii="宋体" w:hAnsi="宋体" w:cs="宋体"/>
          <w:b/>
          <w:bCs/>
          <w:sz w:val="24"/>
        </w:rPr>
      </w:pPr>
      <w:r>
        <w:rPr>
          <w:rFonts w:hint="eastAsia" w:ascii="宋体" w:hAnsi="宋体" w:cs="宋体"/>
          <w:b/>
          <w:bCs/>
          <w:sz w:val="24"/>
        </w:rPr>
        <w:t>5.最后报价</w:t>
      </w:r>
    </w:p>
    <w:p w14:paraId="402DDB60">
      <w:pPr>
        <w:spacing w:line="440" w:lineRule="exact"/>
        <w:ind w:firstLine="420" w:firstLineChars="200"/>
        <w:rPr>
          <w:rFonts w:hint="eastAsia" w:ascii="宋体" w:hAnsi="宋体" w:cs="宋体"/>
          <w:szCs w:val="21"/>
        </w:rPr>
      </w:pPr>
      <w:r>
        <w:rPr>
          <w:rFonts w:hint="eastAsia" w:ascii="宋体" w:hAnsi="宋体" w:cs="宋体"/>
          <w:szCs w:val="21"/>
        </w:rPr>
        <w:t>5.1谈判文件能够详细列明采购标的的技术、服务要求的，谈判结束后，谈判小组应当要求所有继续参加谈判的供应商在规定时间内密封提交最后报价，提交最后报价的供应商不得少于3家，除本章第3.7条外，否则必须重新采购。</w:t>
      </w:r>
    </w:p>
    <w:p w14:paraId="60AC3C24">
      <w:pPr>
        <w:spacing w:line="440" w:lineRule="exact"/>
        <w:ind w:firstLine="420" w:firstLineChars="200"/>
        <w:rPr>
          <w:rFonts w:hint="eastAsia" w:ascii="宋体" w:hAnsi="宋体" w:cs="宋体"/>
          <w:szCs w:val="21"/>
        </w:rPr>
      </w:pPr>
      <w:r>
        <w:rPr>
          <w:rFonts w:hint="eastAsia" w:ascii="宋体" w:hAnsi="宋体" w:cs="宋体"/>
          <w:szCs w:val="21"/>
        </w:rPr>
        <w:t>5.2谈判文件不能详细列明采购标的的技术、服务要求，需经谈判由供应商提供最后设计方案或者解决方案的，谈判结束后，谈判小组应当按照少数服从多数的原则投票推荐3家以上供应商的设计方案或者解决方案，并要求其在规定时间内密封提交最后报价。</w:t>
      </w:r>
    </w:p>
    <w:p w14:paraId="75843D0A">
      <w:pPr>
        <w:spacing w:line="440" w:lineRule="exact"/>
        <w:ind w:firstLine="420" w:firstLineChars="200"/>
        <w:rPr>
          <w:rFonts w:hint="eastAsia" w:ascii="宋体" w:hAnsi="宋体" w:cs="宋体"/>
          <w:szCs w:val="21"/>
        </w:rPr>
      </w:pPr>
      <w:r>
        <w:rPr>
          <w:rFonts w:hint="eastAsia" w:ascii="宋体" w:hAnsi="宋体" w:cs="宋体"/>
          <w:szCs w:val="21"/>
        </w:rPr>
        <w:t>5.3最后报价是供应商响应文件的有效组成部分。</w:t>
      </w:r>
    </w:p>
    <w:p w14:paraId="585E5FBD">
      <w:pPr>
        <w:spacing w:line="440" w:lineRule="exact"/>
        <w:ind w:firstLine="420" w:firstLineChars="200"/>
        <w:rPr>
          <w:rFonts w:hint="eastAsia" w:ascii="宋体" w:hAnsi="宋体" w:cs="宋体"/>
          <w:szCs w:val="21"/>
        </w:rPr>
      </w:pPr>
      <w:r>
        <w:rPr>
          <w:rFonts w:hint="eastAsia" w:ascii="宋体" w:hAnsi="宋体" w:cs="宋体"/>
          <w:szCs w:val="21"/>
        </w:rPr>
        <w:t>5.4已经提交响应文件的供应商，在提交最后报价之前，可以根据谈判情况退出谈判。采购人、采购代理机构将退还退出谈判的供应商的保证金。</w:t>
      </w:r>
    </w:p>
    <w:p w14:paraId="11CF7F19">
      <w:pPr>
        <w:spacing w:line="440" w:lineRule="exact"/>
        <w:ind w:firstLine="420" w:firstLineChars="200"/>
        <w:rPr>
          <w:rFonts w:hint="eastAsia" w:ascii="宋体" w:hAnsi="宋体" w:cs="宋体"/>
          <w:szCs w:val="21"/>
        </w:rPr>
      </w:pPr>
      <w:r>
        <w:rPr>
          <w:rFonts w:hint="eastAsia" w:ascii="宋体" w:hAnsi="宋体" w:cs="宋体"/>
          <w:szCs w:val="21"/>
        </w:rPr>
        <w:t>5.5供应商未在规定时间内提交最后报价的，视为退出谈判，其响应文件按无效处理。</w:t>
      </w:r>
    </w:p>
    <w:p w14:paraId="4BD79765">
      <w:pPr>
        <w:spacing w:line="440" w:lineRule="exact"/>
        <w:ind w:firstLine="420" w:firstLineChars="200"/>
        <w:rPr>
          <w:rFonts w:hint="eastAsia" w:ascii="宋体" w:hAnsi="宋体" w:cs="宋体"/>
          <w:szCs w:val="21"/>
        </w:rPr>
      </w:pPr>
      <w:r>
        <w:rPr>
          <w:rFonts w:hint="eastAsia" w:ascii="宋体" w:hAnsi="宋体" w:cs="宋体"/>
          <w:szCs w:val="21"/>
        </w:rPr>
        <w:t>5.6谈判小组收齐某一分标最后报价后统一开启，谈判小组对最后报价进行有效性、完整性和响应程度的审查。</w:t>
      </w:r>
    </w:p>
    <w:p w14:paraId="773D893F">
      <w:pPr>
        <w:spacing w:line="440" w:lineRule="exact"/>
        <w:ind w:firstLine="420" w:firstLineChars="200"/>
        <w:rPr>
          <w:rFonts w:hint="eastAsia" w:ascii="宋体" w:hAnsi="宋体" w:cs="宋体"/>
          <w:szCs w:val="21"/>
        </w:rPr>
      </w:pPr>
      <w:r>
        <w:rPr>
          <w:rFonts w:hint="eastAsia" w:ascii="宋体" w:hAnsi="宋体" w:cs="宋体"/>
          <w:szCs w:val="21"/>
        </w:rPr>
        <w:t xml:space="preserve">5.7响应文件首次及最后报价出现前后不一致的，按照本章第3.4条的规定修正。 </w:t>
      </w:r>
    </w:p>
    <w:p w14:paraId="0CAE0E6D">
      <w:pPr>
        <w:spacing w:line="440" w:lineRule="exact"/>
        <w:ind w:firstLine="420" w:firstLineChars="200"/>
        <w:rPr>
          <w:rFonts w:hint="eastAsia" w:ascii="宋体" w:hAnsi="宋体" w:cs="宋体"/>
          <w:szCs w:val="21"/>
        </w:rPr>
      </w:pPr>
      <w:r>
        <w:rPr>
          <w:rFonts w:hint="eastAsia" w:ascii="宋体" w:hAnsi="宋体" w:cs="宋体"/>
          <w:szCs w:val="21"/>
        </w:rPr>
        <w:t>5.8修正后的报价出现下列情形的，按无效响应处理：</w:t>
      </w:r>
    </w:p>
    <w:p w14:paraId="15EA161C">
      <w:pPr>
        <w:spacing w:line="440" w:lineRule="exact"/>
        <w:ind w:firstLine="420" w:firstLineChars="200"/>
        <w:rPr>
          <w:rFonts w:hint="eastAsia" w:ascii="宋体" w:hAnsi="宋体" w:cs="宋体"/>
          <w:szCs w:val="21"/>
        </w:rPr>
      </w:pPr>
      <w:r>
        <w:rPr>
          <w:rFonts w:hint="eastAsia" w:ascii="宋体" w:hAnsi="宋体" w:cs="宋体"/>
          <w:szCs w:val="21"/>
        </w:rPr>
        <w:t>（1）供应商不确认的；</w:t>
      </w:r>
    </w:p>
    <w:p w14:paraId="5355ABD6">
      <w:pPr>
        <w:spacing w:line="440" w:lineRule="exact"/>
        <w:ind w:firstLine="420" w:firstLineChars="200"/>
        <w:rPr>
          <w:rFonts w:hint="eastAsia" w:ascii="宋体" w:hAnsi="宋体" w:cs="宋体"/>
          <w:szCs w:val="21"/>
        </w:rPr>
      </w:pPr>
      <w:r>
        <w:rPr>
          <w:rFonts w:hint="eastAsia" w:ascii="宋体" w:hAnsi="宋体" w:cs="宋体"/>
          <w:szCs w:val="21"/>
        </w:rPr>
        <w:t>（2）经供应商确认修正后的竞标报价（包含首次报价、最后报价）超过所竞标分标规定的采购预算金额或者最高限价的（如本项目公布了最高限价）；</w:t>
      </w:r>
    </w:p>
    <w:p w14:paraId="196AA069">
      <w:pPr>
        <w:spacing w:line="440" w:lineRule="exact"/>
        <w:ind w:firstLine="420" w:firstLineChars="200"/>
        <w:rPr>
          <w:rFonts w:hint="eastAsia" w:ascii="宋体" w:hAnsi="宋体" w:cs="宋体"/>
          <w:szCs w:val="21"/>
        </w:rPr>
      </w:pPr>
      <w:r>
        <w:rPr>
          <w:rFonts w:hint="eastAsia" w:ascii="宋体" w:hAnsi="宋体" w:cs="宋体"/>
          <w:szCs w:val="21"/>
        </w:rPr>
        <w:t>（3）经供应商确认修正后的竞标报价（包含首次报价、最后报价）超过分项采购预算金额或者最高限价的（如本项目公布了最高限价）。</w:t>
      </w:r>
    </w:p>
    <w:p w14:paraId="367454ED">
      <w:pPr>
        <w:spacing w:line="440" w:lineRule="exact"/>
        <w:ind w:firstLine="420" w:firstLineChars="200"/>
        <w:rPr>
          <w:rFonts w:hint="eastAsia" w:ascii="宋体" w:hAnsi="宋体" w:cs="宋体"/>
          <w:szCs w:val="21"/>
        </w:rPr>
      </w:pPr>
      <w:r>
        <w:rPr>
          <w:rFonts w:hint="eastAsia" w:ascii="宋体" w:hAnsi="宋体" w:cs="宋体"/>
          <w:szCs w:val="21"/>
        </w:rPr>
        <w:t>5.9经供应商确认修正后的最后报价作为评审及签订合同的依据。</w:t>
      </w:r>
    </w:p>
    <w:p w14:paraId="2A30000C">
      <w:pPr>
        <w:spacing w:line="440" w:lineRule="exact"/>
        <w:ind w:firstLine="420" w:firstLineChars="200"/>
        <w:rPr>
          <w:rFonts w:hint="eastAsia" w:ascii="宋体" w:hAnsi="宋体" w:cs="宋体"/>
          <w:szCs w:val="21"/>
        </w:rPr>
      </w:pPr>
      <w:r>
        <w:rPr>
          <w:rFonts w:hint="eastAsia" w:ascii="宋体" w:hAnsi="宋体" w:cs="宋体"/>
          <w:szCs w:val="21"/>
        </w:rPr>
        <w:t>5.10为了确保采购服务质量和维护公平的竞争，根据《中华人民共和国政府采购法》第七十七条和中华人民共和国反不正当竞争法第十一条，经营者不得以排挤对手为目的，以低于成本的价格销售货物。谈判小组认为供应商的</w:t>
      </w:r>
      <w:r>
        <w:rPr>
          <w:rFonts w:hint="eastAsia" w:ascii="宋体" w:hAnsi="宋体" w:cs="宋体"/>
          <w:szCs w:val="21"/>
          <w:lang w:val="en-US" w:eastAsia="zh-CN"/>
        </w:rPr>
        <w:t>竞</w:t>
      </w:r>
      <w:r>
        <w:rPr>
          <w:rFonts w:hint="eastAsia" w:ascii="宋体" w:hAnsi="宋体" w:cs="宋体"/>
          <w:szCs w:val="21"/>
        </w:rPr>
        <w:t>标报价明显低于其他通过符合性审查供应商的</w:t>
      </w:r>
      <w:r>
        <w:rPr>
          <w:rFonts w:hint="eastAsia" w:ascii="宋体" w:hAnsi="宋体" w:cs="宋体"/>
          <w:szCs w:val="21"/>
          <w:lang w:val="en-US" w:eastAsia="zh-CN"/>
        </w:rPr>
        <w:t>竞</w:t>
      </w:r>
      <w:r>
        <w:rPr>
          <w:rFonts w:hint="eastAsia" w:ascii="宋体" w:hAnsi="宋体" w:cs="宋体"/>
          <w:szCs w:val="21"/>
        </w:rPr>
        <w:t>标报价，有可能影响产品质量或者不能诚信履约的，应当要求其在评标现场合理的时间内提供书面说明，必要时提交相关证明材料；供应商不能证明其报价合理性的，谈判小组应当将其作为无效</w:t>
      </w:r>
      <w:r>
        <w:rPr>
          <w:rFonts w:hint="eastAsia" w:ascii="宋体" w:hAnsi="宋体" w:cs="宋体"/>
          <w:szCs w:val="21"/>
          <w:lang w:val="en-US" w:eastAsia="zh-CN"/>
        </w:rPr>
        <w:t>竞</w:t>
      </w:r>
      <w:r>
        <w:rPr>
          <w:rFonts w:hint="eastAsia" w:ascii="宋体" w:hAnsi="宋体" w:cs="宋体"/>
          <w:szCs w:val="21"/>
        </w:rPr>
        <w:t>标处理。</w:t>
      </w:r>
    </w:p>
    <w:p w14:paraId="5FEDB3EF">
      <w:pPr>
        <w:spacing w:line="440" w:lineRule="exact"/>
        <w:ind w:firstLine="420" w:firstLineChars="200"/>
        <w:rPr>
          <w:rFonts w:hint="eastAsia" w:ascii="宋体" w:hAnsi="宋体" w:cs="宋体"/>
          <w:b/>
          <w:bCs/>
          <w:sz w:val="24"/>
        </w:rPr>
      </w:pPr>
      <w:r>
        <w:rPr>
          <w:rFonts w:hint="eastAsia" w:ascii="宋体" w:hAnsi="宋体" w:cs="宋体"/>
          <w:szCs w:val="21"/>
        </w:rPr>
        <w:t>5.11最后报价结束后，谈判小组不得再与供应商进行任何形式的商谈。</w:t>
      </w:r>
    </w:p>
    <w:p w14:paraId="7AE928F1">
      <w:pPr>
        <w:spacing w:line="360" w:lineRule="auto"/>
        <w:ind w:firstLine="472" w:firstLineChars="196"/>
        <w:rPr>
          <w:rFonts w:hint="eastAsia" w:ascii="宋体" w:hAnsi="宋体" w:cs="宋体"/>
          <w:b/>
          <w:bCs/>
        </w:rPr>
      </w:pPr>
      <w:r>
        <w:rPr>
          <w:rFonts w:hint="eastAsia" w:ascii="宋体" w:hAnsi="宋体" w:cs="宋体"/>
          <w:b/>
          <w:bCs/>
          <w:sz w:val="24"/>
        </w:rPr>
        <w:t>6. 最后报价政府采购政策性扣除</w:t>
      </w:r>
    </w:p>
    <w:p w14:paraId="3B7A46B5">
      <w:pPr>
        <w:widowControl/>
        <w:kinsoku w:val="0"/>
        <w:autoSpaceDE w:val="0"/>
        <w:autoSpaceDN w:val="0"/>
        <w:adjustRightInd w:val="0"/>
        <w:snapToGrid w:val="0"/>
        <w:spacing w:line="440" w:lineRule="exact"/>
        <w:ind w:right="91" w:firstLine="459"/>
        <w:textAlignment w:val="baseline"/>
        <w:rPr>
          <w:rFonts w:hint="eastAsia" w:ascii="宋体" w:hAnsi="宋体" w:cs="宋体"/>
        </w:rPr>
      </w:pPr>
      <w:r>
        <w:rPr>
          <w:rFonts w:hint="eastAsia" w:ascii="宋体" w:hAnsi="宋体" w:cs="宋体"/>
        </w:rPr>
        <w:t>6.1</w:t>
      </w:r>
      <w:r>
        <w:rPr>
          <w:rFonts w:hint="eastAsia" w:ascii="宋体" w:hAnsi="宋体" w:cs="宋体"/>
          <w:spacing w:val="8"/>
        </w:rPr>
        <w:t>根据《</w:t>
      </w:r>
      <w:r>
        <w:rPr>
          <w:rFonts w:hint="eastAsia" w:ascii="宋体" w:hAnsi="宋体" w:cs="宋体"/>
          <w:spacing w:val="5"/>
        </w:rPr>
        <w:t>政</w:t>
      </w:r>
      <w:r>
        <w:rPr>
          <w:rFonts w:hint="eastAsia" w:ascii="宋体" w:hAnsi="宋体" w:cs="宋体"/>
          <w:spacing w:val="4"/>
        </w:rPr>
        <w:t>府采购促进中小企业发展管理办法》(财库〔2020〕46号)</w:t>
      </w:r>
      <w:r>
        <w:rPr>
          <w:rFonts w:hint="eastAsia" w:ascii="宋体" w:hAnsi="宋体" w:cs="宋体"/>
          <w:spacing w:val="4"/>
          <w:lang w:eastAsia="zh-CN"/>
        </w:rPr>
        <w:t>、</w:t>
      </w:r>
      <w:r>
        <w:rPr>
          <w:rFonts w:hint="eastAsia" w:ascii="宋体" w:hAnsi="宋体" w:eastAsia="宋体" w:cs="宋体"/>
          <w:bCs/>
          <w:color w:val="auto"/>
          <w:kern w:val="0"/>
          <w:sz w:val="20"/>
          <w:szCs w:val="21"/>
        </w:rPr>
        <w:t>财政部《关于进一步加大政府采购支持中小企业力度的通知》（财库〔2022〕19号）、《广西壮族自治区财政厅关于持续优化政府采购营商环境推动高质量发展的通知》（桂财采〔2024〕55号）</w:t>
      </w:r>
      <w:r>
        <w:rPr>
          <w:rFonts w:hint="eastAsia" w:ascii="宋体" w:hAnsi="宋体" w:cs="宋体"/>
          <w:spacing w:val="4"/>
        </w:rPr>
        <w:t>的规定，供应商在其竞标</w:t>
      </w:r>
      <w:r>
        <w:rPr>
          <w:rFonts w:hint="eastAsia" w:ascii="宋体" w:hAnsi="宋体" w:cs="宋体"/>
          <w:spacing w:val="20"/>
        </w:rPr>
        <w:t>文</w:t>
      </w:r>
      <w:r>
        <w:rPr>
          <w:rFonts w:hint="eastAsia" w:ascii="宋体" w:hAnsi="宋体" w:cs="宋体"/>
          <w:spacing w:val="18"/>
        </w:rPr>
        <w:t>件</w:t>
      </w:r>
      <w:r>
        <w:rPr>
          <w:rFonts w:hint="eastAsia" w:ascii="宋体" w:hAnsi="宋体" w:cs="宋体"/>
          <w:spacing w:val="10"/>
        </w:rPr>
        <w:t>中提供《中小企业声明函》，且其竞标全部货物由小微企业提供的，对供应商的</w:t>
      </w:r>
      <w:r>
        <w:rPr>
          <w:rFonts w:hint="eastAsia" w:ascii="宋体" w:hAnsi="宋体" w:cs="宋体"/>
          <w:spacing w:val="10"/>
          <w:lang w:val="en-US" w:eastAsia="zh-CN"/>
        </w:rPr>
        <w:t>最终</w:t>
      </w:r>
      <w:r>
        <w:rPr>
          <w:rFonts w:hint="eastAsia" w:ascii="宋体" w:hAnsi="宋体" w:cs="宋体"/>
          <w:spacing w:val="10"/>
        </w:rPr>
        <w:t>报价给予</w:t>
      </w:r>
      <w:r>
        <w:rPr>
          <w:rFonts w:hint="eastAsia" w:ascii="宋体" w:hAnsi="宋体" w:cs="宋体"/>
          <w:spacing w:val="10"/>
          <w:lang w:val="en-US" w:eastAsia="zh-CN"/>
        </w:rPr>
        <w:t>1</w:t>
      </w:r>
      <w:r>
        <w:rPr>
          <w:rFonts w:hint="eastAsia" w:ascii="宋体" w:hAnsi="宋体" w:cs="宋体"/>
          <w:spacing w:val="10"/>
        </w:rPr>
        <w:t>0%的扣</w:t>
      </w:r>
      <w:r>
        <w:rPr>
          <w:rFonts w:hint="eastAsia" w:ascii="宋体" w:hAnsi="宋体" w:cs="宋体"/>
          <w:spacing w:val="18"/>
        </w:rPr>
        <w:t>除，扣</w:t>
      </w:r>
      <w:r>
        <w:rPr>
          <w:rFonts w:hint="eastAsia" w:ascii="宋体" w:hAnsi="宋体" w:cs="宋体"/>
          <w:spacing w:val="15"/>
        </w:rPr>
        <w:t>除</w:t>
      </w:r>
      <w:r>
        <w:rPr>
          <w:rFonts w:hint="eastAsia" w:ascii="宋体" w:hAnsi="宋体" w:cs="宋体"/>
          <w:spacing w:val="9"/>
        </w:rPr>
        <w:t>后的价格为评审价，大中型企业与小微企业组成联合体或者大中型企业向一家或者多家小微企业分包，且联合协议或者分包意向协议约定小微企业的合同份额占到合同总金额 30%以上的，对联合体或者大中型企业的报价给予</w:t>
      </w:r>
      <w:r>
        <w:rPr>
          <w:rFonts w:hint="eastAsia" w:ascii="宋体" w:hAnsi="宋体" w:cs="宋体"/>
          <w:spacing w:val="9"/>
          <w:lang w:val="en-US" w:eastAsia="zh-CN"/>
        </w:rPr>
        <w:t>4</w:t>
      </w:r>
      <w:r>
        <w:rPr>
          <w:rFonts w:hint="eastAsia" w:ascii="宋体" w:hAnsi="宋体" w:cs="宋体"/>
          <w:spacing w:val="9"/>
        </w:rPr>
        <w:t>%的扣除，</w:t>
      </w:r>
      <w:r>
        <w:rPr>
          <w:rFonts w:hint="eastAsia" w:ascii="宋体" w:hAnsi="宋体" w:cs="宋体"/>
          <w:spacing w:val="18"/>
        </w:rPr>
        <w:t>扣</w:t>
      </w:r>
      <w:r>
        <w:rPr>
          <w:rFonts w:hint="eastAsia" w:ascii="宋体" w:hAnsi="宋体" w:cs="宋体"/>
          <w:spacing w:val="15"/>
        </w:rPr>
        <w:t>除</w:t>
      </w:r>
      <w:r>
        <w:rPr>
          <w:rFonts w:hint="eastAsia" w:ascii="宋体" w:hAnsi="宋体" w:cs="宋体"/>
          <w:spacing w:val="9"/>
        </w:rPr>
        <w:t>后的价格为评审价</w:t>
      </w:r>
      <w:r>
        <w:rPr>
          <w:rFonts w:hint="eastAsia" w:ascii="宋体" w:hAnsi="宋体" w:cs="宋体"/>
          <w:spacing w:val="9"/>
          <w:lang w:val="en-US" w:eastAsia="zh-CN"/>
        </w:rPr>
        <w:t>，</w:t>
      </w:r>
      <w:r>
        <w:rPr>
          <w:rFonts w:hint="eastAsia" w:ascii="宋体" w:hAnsi="宋体" w:cs="宋体"/>
          <w:spacing w:val="9"/>
        </w:rPr>
        <w:t>即评审价=</w:t>
      </w:r>
      <w:r>
        <w:rPr>
          <w:rFonts w:hint="eastAsia" w:ascii="宋体" w:hAnsi="宋体" w:cs="宋体"/>
          <w:spacing w:val="9"/>
          <w:lang w:val="en-US" w:eastAsia="zh-CN"/>
        </w:rPr>
        <w:t>最终</w:t>
      </w:r>
      <w:r>
        <w:rPr>
          <w:rFonts w:hint="eastAsia" w:ascii="宋体" w:hAnsi="宋体" w:cs="宋体"/>
          <w:spacing w:val="9"/>
        </w:rPr>
        <w:t>报价×(1-扣除比例)。</w:t>
      </w:r>
    </w:p>
    <w:p w14:paraId="1858265A">
      <w:pPr>
        <w:spacing w:line="440" w:lineRule="exact"/>
        <w:ind w:firstLine="420" w:firstLineChars="200"/>
        <w:rPr>
          <w:rFonts w:hint="eastAsia" w:ascii="宋体" w:hAnsi="宋体" w:cs="宋体"/>
        </w:rPr>
      </w:pPr>
      <w:r>
        <w:rPr>
          <w:rFonts w:hint="eastAsia" w:ascii="宋体" w:hAnsi="宋体" w:cs="宋体"/>
        </w:rPr>
        <w:t>6.2按照《财政部、司法部关于政府采购支持监狱企业发展有关问题的通知》（财库〔</w:t>
      </w:r>
    </w:p>
    <w:p w14:paraId="105532B1">
      <w:pPr>
        <w:spacing w:line="440" w:lineRule="exact"/>
        <w:rPr>
          <w:rFonts w:hint="eastAsia" w:ascii="宋体" w:hAnsi="宋体" w:cs="宋体"/>
        </w:rPr>
      </w:pPr>
      <w:r>
        <w:rPr>
          <w:rFonts w:hint="eastAsia" w:ascii="宋体" w:hAnsi="宋体" w:cs="宋体"/>
        </w:rPr>
        <w:t>2014〕68 号）的规定，监狱企业视同小型、微型企业，享受预留份额、评审中价格扣除等促进中小企业发展的政府采购政策。监狱企业参加政府采购活动时，应当提供由省级以上监狱管理局、戒毒管理局</w:t>
      </w:r>
      <w:r>
        <w:rPr>
          <w:rFonts w:hint="eastAsia" w:ascii="宋体" w:hAnsi="宋体" w:cs="宋体"/>
          <w:lang w:eastAsia="zh-CN"/>
        </w:rPr>
        <w:t>（</w:t>
      </w:r>
      <w:r>
        <w:rPr>
          <w:rFonts w:hint="eastAsia" w:ascii="宋体" w:hAnsi="宋体" w:cs="宋体"/>
        </w:rPr>
        <w:t>含新疆生产建设兵团</w:t>
      </w:r>
      <w:r>
        <w:rPr>
          <w:rFonts w:hint="eastAsia" w:ascii="宋体" w:hAnsi="宋体" w:cs="宋体"/>
          <w:lang w:eastAsia="zh-CN"/>
        </w:rPr>
        <w:t>）</w:t>
      </w:r>
      <w:r>
        <w:rPr>
          <w:rFonts w:hint="eastAsia" w:ascii="宋体" w:hAnsi="宋体" w:cs="宋体"/>
        </w:rPr>
        <w:t>出具的属于监狱企业的证明文件。不重复享受政策。</w:t>
      </w:r>
    </w:p>
    <w:p w14:paraId="08C5BF79">
      <w:pPr>
        <w:spacing w:line="440" w:lineRule="exact"/>
        <w:ind w:firstLine="420" w:firstLineChars="200"/>
        <w:rPr>
          <w:rFonts w:hint="eastAsia" w:ascii="宋体" w:hAnsi="宋体" w:cs="宋体"/>
          <w:b/>
          <w:sz w:val="32"/>
          <w:szCs w:val="32"/>
        </w:rPr>
      </w:pPr>
      <w:r>
        <w:rPr>
          <w:rFonts w:hint="eastAsia" w:ascii="宋体" w:hAnsi="宋体" w:cs="宋体"/>
        </w:rPr>
        <w:t xml:space="preserve">6.3按照《关于促进残疾人就业政府采购政策的通知》（财库〔2017〕141 号）的规定，残疾人福利性单位视同小型、微型企业，享受预留份额、评审中价格扣除等促进中小企业发展的政府采购政策。残疾人福利性单位参加政府采购活动时，应当提供该通知规定的《残疾人福利性单位声明函》，并对声明的真实性负责。残疾人福利性单位属于小型、微型企业的，不重复享受政策。 </w:t>
      </w:r>
    </w:p>
    <w:p w14:paraId="6454A43B">
      <w:pPr>
        <w:pStyle w:val="17"/>
        <w:spacing w:line="360" w:lineRule="auto"/>
        <w:rPr>
          <w:rFonts w:hint="eastAsia" w:hAnsi="宋体"/>
        </w:rPr>
      </w:pPr>
      <w:r>
        <w:rPr>
          <w:rFonts w:hint="eastAsia"/>
          <w:lang w:val="en-US" w:eastAsia="zh-CN"/>
        </w:rPr>
        <w:t>6.4</w:t>
      </w:r>
      <w:r>
        <w:rPr>
          <w:rFonts w:hint="eastAsia" w:hAnsi="宋体"/>
        </w:rPr>
        <w:t>本国产品政策性扣除计算方法</w:t>
      </w:r>
    </w:p>
    <w:p w14:paraId="69BE6FAF">
      <w:pPr>
        <w:pStyle w:val="17"/>
        <w:spacing w:line="360" w:lineRule="auto"/>
        <w:ind w:firstLine="400" w:firstLineChars="200"/>
        <w:rPr>
          <w:rFonts w:hAnsi="宋体"/>
        </w:rPr>
      </w:pPr>
      <w:r>
        <w:rPr>
          <w:rFonts w:hint="eastAsia" w:hAnsi="宋体"/>
        </w:rPr>
        <w:t>根据《国务院办公厅关于在政府采购中实施本国产品标准及相关政策的通知》（国办发〔2025〕34号）的规定，政府采购活动中既有本国产品又有非本国产品参与竞争的，依法对本国产品给予价格评审优惠，对本国产品的报价给予20%的价格扣除，用扣除后的价格参与评审。</w:t>
      </w:r>
    </w:p>
    <w:p w14:paraId="6C6B0D1A">
      <w:pPr>
        <w:pStyle w:val="17"/>
        <w:spacing w:line="360" w:lineRule="auto"/>
        <w:ind w:firstLine="400" w:firstLineChars="200"/>
        <w:rPr>
          <w:rFonts w:hAnsi="宋体"/>
        </w:rPr>
      </w:pPr>
      <w:r>
        <w:rPr>
          <w:rFonts w:hint="eastAsia" w:hAnsi="宋体"/>
        </w:rPr>
        <w:t>当采购项目或者采购包中含有多种产品，供应商为该采购项目或者采购包提供的符合本国产品标准的产品成本之和占该供应商提供的全部产品成本之和的比例达到80%以上时，依法对该供应商提供的全部产品给予价格评审优惠，即对该供应商提供的全部产品的总报价给予20%的价格扣除，用扣除后的价格参与评审。未达到80%，不享受价格评审优惠。</w:t>
      </w:r>
    </w:p>
    <w:p w14:paraId="3DF40FC9">
      <w:pPr>
        <w:pStyle w:val="17"/>
        <w:spacing w:line="360" w:lineRule="auto"/>
        <w:ind w:firstLine="400" w:firstLineChars="200"/>
        <w:rPr>
          <w:rFonts w:hAnsi="宋体"/>
        </w:rPr>
      </w:pPr>
      <w:r>
        <w:rPr>
          <w:rFonts w:hint="eastAsia" w:hAnsi="宋体"/>
        </w:rPr>
        <w:t>供应商在其</w:t>
      </w:r>
      <w:r>
        <w:rPr>
          <w:rFonts w:hint="eastAsia" w:hAnsi="宋体"/>
          <w:lang w:val="en-US" w:eastAsia="zh-CN"/>
        </w:rPr>
        <w:t>响应</w:t>
      </w:r>
      <w:r>
        <w:rPr>
          <w:rFonts w:hint="eastAsia" w:hAnsi="宋体"/>
        </w:rPr>
        <w:t>文件中提供《关于符合本国产品标准的声明函》或财政部会同有关部门规定的有关证明文件，出具符合要求的《声明函》或有关证明文件的，该产品视为本国产品。</w:t>
      </w:r>
    </w:p>
    <w:p w14:paraId="7CC42F4C">
      <w:pPr>
        <w:pStyle w:val="17"/>
        <w:spacing w:line="360" w:lineRule="auto"/>
        <w:rPr>
          <w:rFonts w:hint="eastAsia" w:hAnsi="宋体"/>
        </w:rPr>
      </w:pPr>
      <w:r>
        <w:rPr>
          <w:rFonts w:hint="eastAsia" w:hAnsi="宋体"/>
          <w:lang w:val="en-US" w:eastAsia="zh-CN"/>
        </w:rPr>
        <w:t>6.5</w:t>
      </w:r>
      <w:r>
        <w:rPr>
          <w:rFonts w:hint="eastAsia" w:hAnsi="宋体"/>
        </w:rPr>
        <w:t>中小企业折扣与本国产品折扣进行叠加计算，用扣除后的价格参加评审。</w:t>
      </w:r>
    </w:p>
    <w:p w14:paraId="767035F7">
      <w:pPr>
        <w:pStyle w:val="17"/>
        <w:spacing w:line="360" w:lineRule="auto"/>
        <w:rPr>
          <w:rFonts w:hAnsi="宋体"/>
        </w:rPr>
      </w:pPr>
      <w:r>
        <w:rPr>
          <w:rFonts w:hint="eastAsia" w:hAnsi="宋体"/>
        </w:rPr>
        <w:t>即</w:t>
      </w:r>
      <w:r>
        <w:rPr>
          <w:rFonts w:hint="eastAsia" w:hAnsi="宋体"/>
          <w:lang w:val="en-US" w:eastAsia="zh-CN"/>
        </w:rPr>
        <w:t>评审价</w:t>
      </w:r>
      <w:r>
        <w:rPr>
          <w:rFonts w:hint="eastAsia" w:hAnsi="宋体"/>
        </w:rPr>
        <w:t>=</w:t>
      </w:r>
      <w:r>
        <w:rPr>
          <w:rFonts w:hint="eastAsia" w:hAnsi="宋体"/>
          <w:lang w:val="en-US" w:eastAsia="zh-CN"/>
        </w:rPr>
        <w:t>最终</w:t>
      </w:r>
      <w:r>
        <w:rPr>
          <w:rFonts w:hint="eastAsia" w:hAnsi="宋体"/>
        </w:rPr>
        <w:t>报价-中小企业折扣-本国产品折扣，除上述情况外，</w:t>
      </w:r>
      <w:r>
        <w:rPr>
          <w:rFonts w:hint="eastAsia" w:hAnsi="宋体"/>
          <w:bCs/>
          <w:lang w:val="en-US" w:eastAsia="zh-CN"/>
        </w:rPr>
        <w:t>评审价</w:t>
      </w:r>
      <w:r>
        <w:rPr>
          <w:rFonts w:hint="eastAsia" w:hAnsi="宋体"/>
        </w:rPr>
        <w:t>=</w:t>
      </w:r>
      <w:r>
        <w:rPr>
          <w:rFonts w:hint="eastAsia" w:hAnsi="宋体"/>
          <w:lang w:val="en-US" w:eastAsia="zh-CN"/>
        </w:rPr>
        <w:t>最终</w:t>
      </w:r>
      <w:r>
        <w:rPr>
          <w:rFonts w:hint="eastAsia" w:hAnsi="宋体"/>
        </w:rPr>
        <w:t>报价。</w:t>
      </w:r>
    </w:p>
    <w:p w14:paraId="33DB2646">
      <w:pPr>
        <w:pStyle w:val="7"/>
        <w:spacing w:line="360" w:lineRule="auto"/>
      </w:pPr>
    </w:p>
    <w:p w14:paraId="10A99CED">
      <w:pPr>
        <w:spacing w:line="360" w:lineRule="auto"/>
        <w:jc w:val="center"/>
        <w:rPr>
          <w:rFonts w:hint="eastAsia" w:ascii="宋体" w:hAnsi="宋体" w:cs="宋体"/>
          <w:b/>
          <w:sz w:val="32"/>
          <w:szCs w:val="32"/>
        </w:rPr>
      </w:pPr>
    </w:p>
    <w:p w14:paraId="27E58902">
      <w:pPr>
        <w:spacing w:line="360" w:lineRule="auto"/>
        <w:jc w:val="center"/>
        <w:rPr>
          <w:rFonts w:hint="eastAsia" w:ascii="宋体" w:hAnsi="宋体" w:cs="宋体"/>
          <w:b/>
          <w:sz w:val="32"/>
          <w:szCs w:val="32"/>
        </w:rPr>
      </w:pPr>
    </w:p>
    <w:p w14:paraId="739FA18F">
      <w:pPr>
        <w:spacing w:line="360" w:lineRule="auto"/>
        <w:jc w:val="center"/>
        <w:rPr>
          <w:rFonts w:hint="eastAsia" w:ascii="宋体" w:hAnsi="宋体" w:cs="宋体"/>
          <w:b/>
          <w:sz w:val="32"/>
          <w:szCs w:val="32"/>
        </w:rPr>
      </w:pPr>
      <w:r>
        <w:rPr>
          <w:rFonts w:hint="eastAsia" w:ascii="宋体" w:hAnsi="宋体" w:cs="宋体"/>
          <w:b/>
          <w:sz w:val="32"/>
          <w:szCs w:val="32"/>
        </w:rPr>
        <w:t>二、评定成交的标准</w:t>
      </w:r>
    </w:p>
    <w:p w14:paraId="4FCC0325">
      <w:pPr>
        <w:spacing w:line="360" w:lineRule="auto"/>
        <w:ind w:firstLine="482" w:firstLineChars="200"/>
        <w:rPr>
          <w:rFonts w:hint="eastAsia" w:ascii="宋体" w:hAnsi="宋体" w:cs="宋体"/>
          <w:b/>
          <w:bCs/>
          <w:sz w:val="24"/>
        </w:rPr>
      </w:pPr>
      <w:r>
        <w:rPr>
          <w:rFonts w:hint="eastAsia" w:ascii="宋体" w:hAnsi="宋体" w:cs="宋体"/>
          <w:b/>
          <w:bCs/>
          <w:sz w:val="24"/>
        </w:rPr>
        <w:t>7.成交候选人推荐原则</w:t>
      </w:r>
    </w:p>
    <w:p w14:paraId="7051EDED">
      <w:pPr>
        <w:spacing w:line="480" w:lineRule="auto"/>
        <w:ind w:firstLine="420" w:firstLineChars="200"/>
        <w:rPr>
          <w:rFonts w:hint="eastAsia" w:ascii="宋体" w:hAnsi="宋体" w:cs="宋体"/>
        </w:rPr>
      </w:pPr>
      <w:r>
        <w:rPr>
          <w:rFonts w:hint="eastAsia" w:ascii="宋体" w:hAnsi="宋体" w:cs="宋体"/>
        </w:rPr>
        <w:t>谈判小组应当从质量和服务均能满足谈判文件实质性响应要求的供应商中，按照评审价由低到高的顺序提出3名以上成交候选人（评审价相同时，按照最后报价由低到高顺序依次推荐；最后报价相同时，由谈判小组按“供应商须知前附表”第26条规定的顺序推荐）</w:t>
      </w:r>
      <w:r>
        <w:rPr>
          <w:rFonts w:hint="eastAsia" w:ascii="宋体" w:hAnsi="宋体" w:cs="宋体"/>
          <w:lang w:eastAsia="zh-CN"/>
        </w:rPr>
        <w:t>，</w:t>
      </w:r>
      <w:r>
        <w:rPr>
          <w:rFonts w:hint="eastAsia" w:ascii="宋体" w:hAnsi="宋体" w:cs="宋体"/>
        </w:rPr>
        <w:t>并编写评审报告。</w:t>
      </w:r>
    </w:p>
    <w:p w14:paraId="5D78A75F">
      <w:pPr>
        <w:rPr>
          <w:rFonts w:hint="eastAsia" w:ascii="宋体" w:hAnsi="宋体" w:cs="宋体"/>
        </w:rPr>
      </w:pPr>
    </w:p>
    <w:p w14:paraId="68DB7EE8">
      <w:pPr>
        <w:pStyle w:val="29"/>
        <w:ind w:firstLine="640"/>
        <w:rPr>
          <w:rFonts w:hint="eastAsia" w:ascii="宋体" w:hAnsi="宋体" w:eastAsia="宋体" w:cs="宋体"/>
        </w:rPr>
      </w:pPr>
    </w:p>
    <w:p w14:paraId="2101A5DE">
      <w:pPr>
        <w:rPr>
          <w:rFonts w:hint="eastAsia" w:ascii="宋体" w:hAnsi="宋体" w:cs="宋体"/>
        </w:rPr>
      </w:pPr>
    </w:p>
    <w:p w14:paraId="2FF42488">
      <w:pPr>
        <w:pStyle w:val="29"/>
        <w:ind w:firstLine="640"/>
        <w:rPr>
          <w:rFonts w:hint="eastAsia" w:ascii="宋体" w:hAnsi="宋体" w:eastAsia="宋体" w:cs="宋体"/>
        </w:rPr>
      </w:pPr>
    </w:p>
    <w:p w14:paraId="7C10C0C7">
      <w:pPr>
        <w:rPr>
          <w:rFonts w:hint="eastAsia" w:ascii="宋体" w:hAnsi="宋体" w:cs="宋体"/>
        </w:rPr>
      </w:pPr>
    </w:p>
    <w:p w14:paraId="05A4EB7A">
      <w:pPr>
        <w:pStyle w:val="29"/>
        <w:ind w:firstLine="640"/>
        <w:rPr>
          <w:rFonts w:hint="eastAsia" w:ascii="宋体" w:hAnsi="宋体" w:eastAsia="宋体" w:cs="宋体"/>
        </w:rPr>
      </w:pPr>
    </w:p>
    <w:p w14:paraId="0ED63BE4">
      <w:pPr>
        <w:rPr>
          <w:rFonts w:hint="eastAsia" w:ascii="宋体" w:hAnsi="宋体" w:cs="宋体"/>
        </w:rPr>
      </w:pPr>
    </w:p>
    <w:p w14:paraId="6F03C754">
      <w:pPr>
        <w:pStyle w:val="29"/>
        <w:ind w:firstLine="640"/>
        <w:rPr>
          <w:rFonts w:hint="eastAsia" w:ascii="宋体" w:hAnsi="宋体" w:eastAsia="宋体" w:cs="宋体"/>
        </w:rPr>
      </w:pPr>
    </w:p>
    <w:p w14:paraId="3BB25401">
      <w:pPr>
        <w:rPr>
          <w:rFonts w:hint="eastAsia" w:ascii="宋体" w:hAnsi="宋体" w:cs="宋体"/>
        </w:rPr>
      </w:pPr>
    </w:p>
    <w:p w14:paraId="4A5023E2">
      <w:pPr>
        <w:pStyle w:val="29"/>
        <w:ind w:firstLine="640"/>
        <w:rPr>
          <w:rFonts w:hint="eastAsia" w:ascii="宋体" w:hAnsi="宋体" w:eastAsia="宋体" w:cs="宋体"/>
        </w:rPr>
      </w:pPr>
    </w:p>
    <w:p w14:paraId="157448BB">
      <w:pPr>
        <w:rPr>
          <w:rFonts w:hint="eastAsia" w:ascii="宋体" w:hAnsi="宋体" w:cs="宋体"/>
        </w:rPr>
      </w:pPr>
    </w:p>
    <w:p w14:paraId="7AC9B8AD">
      <w:pPr>
        <w:pStyle w:val="29"/>
        <w:ind w:firstLine="640"/>
        <w:rPr>
          <w:rFonts w:hint="eastAsia" w:ascii="宋体" w:hAnsi="宋体" w:eastAsia="宋体" w:cs="宋体"/>
        </w:rPr>
      </w:pPr>
    </w:p>
    <w:p w14:paraId="33A71DE6">
      <w:pPr>
        <w:pStyle w:val="2"/>
        <w:jc w:val="center"/>
        <w:rPr>
          <w:rFonts w:hint="eastAsia" w:ascii="宋体" w:hAnsi="宋体" w:cs="宋体"/>
        </w:rPr>
      </w:pPr>
      <w:r>
        <w:rPr>
          <w:rFonts w:hint="eastAsia" w:ascii="宋体" w:hAnsi="宋体" w:cs="宋体"/>
        </w:rPr>
        <w:br w:type="page"/>
      </w:r>
      <w:bookmarkStart w:id="67" w:name="_Toc26514"/>
      <w:r>
        <w:rPr>
          <w:rFonts w:hint="eastAsia" w:ascii="宋体" w:hAnsi="宋体" w:cs="宋体"/>
        </w:rPr>
        <w:t>第五章 响应文件格式</w:t>
      </w:r>
      <w:bookmarkEnd w:id="67"/>
    </w:p>
    <w:p w14:paraId="703622C0">
      <w:pPr>
        <w:spacing w:line="240" w:lineRule="atLeast"/>
        <w:rPr>
          <w:rFonts w:hint="eastAsia" w:ascii="宋体" w:hAnsi="宋体" w:cs="宋体"/>
          <w:b/>
          <w:sz w:val="32"/>
          <w:szCs w:val="32"/>
        </w:rPr>
      </w:pPr>
    </w:p>
    <w:p w14:paraId="1A646A6F">
      <w:pPr>
        <w:spacing w:line="240" w:lineRule="atLeast"/>
        <w:rPr>
          <w:rFonts w:hint="eastAsia" w:ascii="宋体" w:hAnsi="宋体" w:cs="宋体"/>
          <w:b/>
          <w:sz w:val="32"/>
          <w:szCs w:val="32"/>
        </w:rPr>
      </w:pPr>
    </w:p>
    <w:p w14:paraId="697B1A85">
      <w:pPr>
        <w:spacing w:line="240" w:lineRule="atLeast"/>
        <w:rPr>
          <w:rFonts w:hint="eastAsia" w:ascii="宋体" w:hAnsi="宋体" w:cs="宋体"/>
          <w:b/>
          <w:sz w:val="32"/>
          <w:szCs w:val="32"/>
        </w:rPr>
      </w:pPr>
    </w:p>
    <w:p w14:paraId="3D4C79E4">
      <w:pPr>
        <w:spacing w:line="240" w:lineRule="atLeast"/>
        <w:rPr>
          <w:rFonts w:hint="eastAsia" w:ascii="宋体" w:hAnsi="宋体" w:cs="宋体"/>
          <w:b/>
          <w:sz w:val="32"/>
          <w:szCs w:val="32"/>
        </w:rPr>
      </w:pPr>
    </w:p>
    <w:p w14:paraId="08100B73">
      <w:pPr>
        <w:spacing w:line="240" w:lineRule="atLeast"/>
        <w:rPr>
          <w:rFonts w:hint="eastAsia" w:ascii="宋体" w:hAnsi="宋体" w:cs="宋体"/>
          <w:b/>
          <w:sz w:val="32"/>
          <w:szCs w:val="32"/>
        </w:rPr>
      </w:pPr>
    </w:p>
    <w:p w14:paraId="6CF91DB5">
      <w:pPr>
        <w:spacing w:line="240" w:lineRule="atLeast"/>
        <w:rPr>
          <w:rFonts w:hint="eastAsia" w:ascii="宋体" w:hAnsi="宋体" w:cs="宋体"/>
          <w:b/>
          <w:sz w:val="32"/>
          <w:szCs w:val="32"/>
        </w:rPr>
      </w:pPr>
    </w:p>
    <w:p w14:paraId="6C1827EB">
      <w:pPr>
        <w:spacing w:line="240" w:lineRule="atLeast"/>
        <w:rPr>
          <w:rFonts w:hint="eastAsia" w:ascii="宋体" w:hAnsi="宋体" w:cs="宋体"/>
          <w:b/>
          <w:sz w:val="32"/>
          <w:szCs w:val="32"/>
        </w:rPr>
      </w:pPr>
    </w:p>
    <w:p w14:paraId="51E6310B">
      <w:pPr>
        <w:spacing w:line="240" w:lineRule="atLeast"/>
        <w:rPr>
          <w:rFonts w:hint="eastAsia" w:ascii="宋体" w:hAnsi="宋体" w:cs="宋体"/>
          <w:b/>
          <w:sz w:val="32"/>
          <w:szCs w:val="32"/>
        </w:rPr>
      </w:pPr>
    </w:p>
    <w:p w14:paraId="22E43165">
      <w:pPr>
        <w:spacing w:line="240" w:lineRule="atLeast"/>
        <w:rPr>
          <w:rFonts w:hint="eastAsia" w:ascii="宋体" w:hAnsi="宋体" w:cs="宋体"/>
          <w:b/>
          <w:sz w:val="32"/>
          <w:szCs w:val="32"/>
        </w:rPr>
      </w:pPr>
    </w:p>
    <w:p w14:paraId="4967792B">
      <w:pPr>
        <w:spacing w:line="240" w:lineRule="atLeast"/>
        <w:rPr>
          <w:rFonts w:hint="eastAsia" w:ascii="宋体" w:hAnsi="宋体" w:cs="宋体"/>
          <w:b/>
          <w:sz w:val="32"/>
          <w:szCs w:val="32"/>
        </w:rPr>
      </w:pPr>
    </w:p>
    <w:p w14:paraId="71761461">
      <w:pPr>
        <w:pStyle w:val="79"/>
        <w:rPr>
          <w:rFonts w:hint="eastAsia" w:ascii="宋体" w:hAnsi="宋体" w:cs="宋体"/>
          <w:b/>
          <w:color w:val="auto"/>
          <w:sz w:val="32"/>
          <w:szCs w:val="32"/>
        </w:rPr>
      </w:pPr>
    </w:p>
    <w:p w14:paraId="5A28A2E1">
      <w:pPr>
        <w:pStyle w:val="79"/>
        <w:rPr>
          <w:rFonts w:hint="eastAsia" w:ascii="宋体" w:hAnsi="宋体" w:cs="宋体"/>
          <w:b/>
          <w:color w:val="auto"/>
          <w:sz w:val="32"/>
          <w:szCs w:val="32"/>
        </w:rPr>
      </w:pPr>
    </w:p>
    <w:p w14:paraId="6596474C">
      <w:pPr>
        <w:pStyle w:val="79"/>
        <w:rPr>
          <w:rFonts w:hint="eastAsia" w:ascii="宋体" w:hAnsi="宋体" w:cs="宋体"/>
          <w:b/>
          <w:color w:val="auto"/>
          <w:sz w:val="32"/>
          <w:szCs w:val="32"/>
        </w:rPr>
      </w:pPr>
    </w:p>
    <w:p w14:paraId="6E037119">
      <w:pPr>
        <w:pStyle w:val="79"/>
        <w:rPr>
          <w:rFonts w:hint="eastAsia" w:ascii="宋体" w:hAnsi="宋体" w:cs="宋体"/>
          <w:b/>
          <w:color w:val="auto"/>
          <w:sz w:val="32"/>
          <w:szCs w:val="32"/>
        </w:rPr>
      </w:pPr>
    </w:p>
    <w:p w14:paraId="4A7D7F99">
      <w:pPr>
        <w:pStyle w:val="79"/>
        <w:rPr>
          <w:rFonts w:hint="eastAsia" w:ascii="宋体" w:hAnsi="宋体" w:cs="宋体"/>
          <w:b/>
          <w:color w:val="auto"/>
          <w:sz w:val="32"/>
          <w:szCs w:val="32"/>
        </w:rPr>
      </w:pPr>
    </w:p>
    <w:p w14:paraId="24C5C894">
      <w:pPr>
        <w:pStyle w:val="79"/>
        <w:rPr>
          <w:rFonts w:hint="eastAsia" w:ascii="宋体" w:hAnsi="宋体" w:cs="宋体"/>
          <w:b/>
          <w:color w:val="auto"/>
          <w:sz w:val="32"/>
          <w:szCs w:val="32"/>
        </w:rPr>
      </w:pPr>
    </w:p>
    <w:p w14:paraId="529D2377">
      <w:pPr>
        <w:pStyle w:val="79"/>
        <w:rPr>
          <w:rFonts w:hint="eastAsia" w:ascii="宋体" w:hAnsi="宋体" w:cs="宋体"/>
          <w:b/>
          <w:color w:val="auto"/>
          <w:sz w:val="32"/>
          <w:szCs w:val="32"/>
        </w:rPr>
      </w:pPr>
    </w:p>
    <w:p w14:paraId="41D29835">
      <w:pPr>
        <w:pStyle w:val="79"/>
        <w:rPr>
          <w:rFonts w:hint="eastAsia" w:ascii="宋体" w:hAnsi="宋体" w:cs="宋体"/>
          <w:b/>
          <w:color w:val="auto"/>
          <w:sz w:val="32"/>
          <w:szCs w:val="32"/>
        </w:rPr>
      </w:pPr>
    </w:p>
    <w:p w14:paraId="3396465A">
      <w:pPr>
        <w:pStyle w:val="79"/>
        <w:rPr>
          <w:rFonts w:hint="eastAsia" w:ascii="宋体" w:hAnsi="宋体" w:cs="宋体"/>
          <w:b/>
          <w:color w:val="auto"/>
          <w:sz w:val="32"/>
          <w:szCs w:val="32"/>
        </w:rPr>
      </w:pPr>
    </w:p>
    <w:p w14:paraId="3D0CCF8D">
      <w:pPr>
        <w:pStyle w:val="79"/>
        <w:rPr>
          <w:rFonts w:hint="eastAsia" w:ascii="宋体" w:hAnsi="宋体" w:cs="宋体"/>
          <w:b/>
          <w:color w:val="auto"/>
          <w:sz w:val="32"/>
          <w:szCs w:val="32"/>
        </w:rPr>
      </w:pPr>
    </w:p>
    <w:p w14:paraId="4558FAD7">
      <w:pPr>
        <w:snapToGrid w:val="0"/>
        <w:spacing w:before="50" w:after="50"/>
        <w:outlineLvl w:val="1"/>
        <w:rPr>
          <w:rFonts w:hint="eastAsia" w:ascii="宋体" w:hAnsi="宋体" w:cs="宋体"/>
          <w:b/>
          <w:bCs/>
          <w:sz w:val="24"/>
        </w:rPr>
      </w:pPr>
    </w:p>
    <w:p w14:paraId="7AFB9C7D">
      <w:pPr>
        <w:rPr>
          <w:rFonts w:hint="eastAsia" w:ascii="宋体" w:hAnsi="宋体" w:cs="宋体"/>
          <w:b/>
          <w:sz w:val="32"/>
          <w:szCs w:val="32"/>
        </w:rPr>
      </w:pPr>
      <w:bookmarkStart w:id="68" w:name="_Toc71366059"/>
      <w:bookmarkStart w:id="69" w:name="_Toc71365381"/>
      <w:r>
        <w:rPr>
          <w:rFonts w:hint="eastAsia" w:ascii="宋体" w:hAnsi="宋体" w:cs="宋体"/>
          <w:b/>
          <w:sz w:val="32"/>
          <w:szCs w:val="32"/>
        </w:rPr>
        <w:t>（响应文件外层包装封面格式 ）</w:t>
      </w:r>
      <w:bookmarkEnd w:id="68"/>
      <w:bookmarkEnd w:id="69"/>
    </w:p>
    <w:p w14:paraId="5D068A89">
      <w:pPr>
        <w:snapToGrid w:val="0"/>
        <w:spacing w:before="156" w:beforeLines="50" w:after="50"/>
        <w:rPr>
          <w:rFonts w:hint="eastAsia" w:ascii="宋体" w:hAnsi="宋体" w:cs="宋体"/>
          <w:sz w:val="24"/>
          <w:szCs w:val="20"/>
        </w:rPr>
      </w:pPr>
    </w:p>
    <w:p w14:paraId="578EF7FE">
      <w:pPr>
        <w:snapToGrid w:val="0"/>
        <w:spacing w:before="156" w:beforeLines="50" w:after="50"/>
        <w:jc w:val="center"/>
        <w:rPr>
          <w:rFonts w:hint="eastAsia" w:ascii="宋体" w:hAnsi="宋体" w:cs="宋体"/>
          <w:bCs/>
          <w:sz w:val="24"/>
          <w:szCs w:val="20"/>
        </w:rPr>
      </w:pPr>
    </w:p>
    <w:p w14:paraId="1D6C6913">
      <w:pPr>
        <w:snapToGrid w:val="0"/>
        <w:spacing w:before="156" w:beforeLines="50" w:after="50"/>
        <w:jc w:val="center"/>
        <w:rPr>
          <w:rFonts w:hint="eastAsia" w:ascii="宋体" w:hAnsi="宋体" w:cs="宋体"/>
          <w:bCs/>
          <w:sz w:val="44"/>
          <w:szCs w:val="44"/>
        </w:rPr>
      </w:pPr>
      <w:r>
        <w:rPr>
          <w:rFonts w:hint="eastAsia" w:ascii="宋体" w:hAnsi="宋体" w:cs="宋体"/>
          <w:bCs/>
          <w:sz w:val="44"/>
          <w:szCs w:val="44"/>
        </w:rPr>
        <w:t>响  应  文  件</w:t>
      </w:r>
    </w:p>
    <w:p w14:paraId="412A0F64">
      <w:pPr>
        <w:snapToGrid w:val="0"/>
        <w:spacing w:before="156" w:beforeLines="50" w:after="50"/>
        <w:rPr>
          <w:rFonts w:hint="eastAsia" w:ascii="宋体" w:hAnsi="宋体" w:cs="宋体"/>
          <w:bCs/>
          <w:sz w:val="24"/>
          <w:szCs w:val="20"/>
        </w:rPr>
      </w:pPr>
    </w:p>
    <w:p w14:paraId="28B5CACE">
      <w:pPr>
        <w:snapToGrid w:val="0"/>
        <w:spacing w:before="156" w:beforeLines="50" w:after="50"/>
        <w:rPr>
          <w:rFonts w:hint="eastAsia" w:ascii="宋体" w:hAnsi="宋体" w:cs="宋体"/>
          <w:bCs/>
          <w:sz w:val="24"/>
          <w:szCs w:val="20"/>
        </w:rPr>
      </w:pPr>
    </w:p>
    <w:p w14:paraId="359AF075">
      <w:pPr>
        <w:snapToGrid w:val="0"/>
        <w:spacing w:before="156" w:beforeLines="50" w:after="50"/>
        <w:rPr>
          <w:rFonts w:hint="eastAsia" w:ascii="宋体" w:hAnsi="宋体" w:cs="宋体"/>
          <w:bCs/>
          <w:sz w:val="32"/>
          <w:szCs w:val="32"/>
        </w:rPr>
      </w:pPr>
    </w:p>
    <w:p w14:paraId="3DCD6DC6">
      <w:pPr>
        <w:snapToGrid w:val="0"/>
        <w:spacing w:before="156" w:beforeLines="50" w:after="50"/>
        <w:ind w:firstLine="640" w:firstLineChars="200"/>
        <w:rPr>
          <w:rFonts w:hint="eastAsia" w:ascii="宋体" w:hAnsi="宋体" w:cs="宋体"/>
          <w:bCs/>
          <w:sz w:val="32"/>
          <w:szCs w:val="32"/>
        </w:rPr>
      </w:pPr>
      <w:r>
        <w:rPr>
          <w:rFonts w:hint="eastAsia" w:ascii="宋体" w:hAnsi="宋体" w:cs="宋体"/>
          <w:bCs/>
          <w:sz w:val="32"/>
          <w:szCs w:val="32"/>
        </w:rPr>
        <w:t>项目名称：</w:t>
      </w:r>
    </w:p>
    <w:p w14:paraId="582AED4A">
      <w:pPr>
        <w:snapToGrid w:val="0"/>
        <w:spacing w:before="156" w:beforeLines="50" w:after="50"/>
        <w:ind w:firstLine="480" w:firstLineChars="150"/>
        <w:rPr>
          <w:rFonts w:hint="eastAsia" w:ascii="宋体" w:hAnsi="宋体" w:cs="宋体"/>
          <w:bCs/>
          <w:sz w:val="32"/>
          <w:szCs w:val="32"/>
        </w:rPr>
      </w:pPr>
    </w:p>
    <w:p w14:paraId="7C0D6C82">
      <w:pPr>
        <w:snapToGrid w:val="0"/>
        <w:spacing w:before="156" w:beforeLines="50" w:after="50"/>
        <w:ind w:firstLine="640" w:firstLineChars="200"/>
        <w:rPr>
          <w:rFonts w:hint="eastAsia" w:ascii="宋体" w:hAnsi="宋体" w:cs="宋体"/>
          <w:bCs/>
          <w:sz w:val="32"/>
          <w:szCs w:val="32"/>
        </w:rPr>
      </w:pPr>
    </w:p>
    <w:p w14:paraId="58AD599F">
      <w:pPr>
        <w:snapToGrid w:val="0"/>
        <w:spacing w:before="156" w:beforeLines="50" w:after="50"/>
        <w:ind w:firstLine="640" w:firstLineChars="200"/>
        <w:rPr>
          <w:rFonts w:hint="eastAsia" w:ascii="宋体" w:hAnsi="宋体" w:cs="宋体"/>
          <w:bCs/>
          <w:sz w:val="32"/>
          <w:szCs w:val="32"/>
        </w:rPr>
      </w:pPr>
      <w:r>
        <w:rPr>
          <w:rFonts w:hint="eastAsia" w:ascii="宋体" w:hAnsi="宋体" w:cs="宋体"/>
          <w:bCs/>
          <w:sz w:val="32"/>
          <w:szCs w:val="32"/>
        </w:rPr>
        <w:t>项目编号：</w:t>
      </w:r>
    </w:p>
    <w:p w14:paraId="1EB17AFC">
      <w:pPr>
        <w:snapToGrid w:val="0"/>
        <w:spacing w:before="156" w:beforeLines="50" w:after="50"/>
        <w:ind w:firstLine="480" w:firstLineChars="150"/>
        <w:rPr>
          <w:rFonts w:hint="eastAsia" w:ascii="宋体" w:hAnsi="宋体" w:cs="宋体"/>
          <w:bCs/>
          <w:sz w:val="32"/>
          <w:szCs w:val="32"/>
        </w:rPr>
      </w:pPr>
    </w:p>
    <w:p w14:paraId="5AF312F4">
      <w:pPr>
        <w:snapToGrid w:val="0"/>
        <w:spacing w:before="156" w:beforeLines="50" w:after="50"/>
        <w:rPr>
          <w:rFonts w:hint="eastAsia" w:ascii="宋体" w:hAnsi="宋体" w:cs="宋体"/>
          <w:bCs/>
          <w:sz w:val="32"/>
          <w:szCs w:val="32"/>
        </w:rPr>
      </w:pPr>
    </w:p>
    <w:p w14:paraId="3036BFF2">
      <w:pPr>
        <w:snapToGrid w:val="0"/>
        <w:spacing w:before="156" w:beforeLines="50" w:after="50"/>
        <w:ind w:firstLine="640" w:firstLineChars="200"/>
        <w:rPr>
          <w:rFonts w:hint="eastAsia" w:ascii="宋体" w:hAnsi="宋体" w:cs="宋体"/>
          <w:bCs/>
          <w:sz w:val="32"/>
          <w:szCs w:val="32"/>
        </w:rPr>
      </w:pPr>
      <w:r>
        <w:rPr>
          <w:rFonts w:hint="eastAsia" w:ascii="宋体" w:hAnsi="宋体" w:cs="宋体"/>
          <w:bCs/>
          <w:sz w:val="32"/>
          <w:szCs w:val="32"/>
        </w:rPr>
        <w:t>供应商名称：</w:t>
      </w:r>
    </w:p>
    <w:p w14:paraId="06D0C750">
      <w:pPr>
        <w:snapToGrid w:val="0"/>
        <w:spacing w:before="156" w:beforeLines="50" w:after="50"/>
        <w:ind w:firstLine="640" w:firstLineChars="200"/>
        <w:rPr>
          <w:rFonts w:hint="eastAsia" w:ascii="宋体" w:hAnsi="宋体" w:cs="宋体"/>
          <w:bCs/>
          <w:sz w:val="32"/>
          <w:szCs w:val="32"/>
        </w:rPr>
      </w:pPr>
    </w:p>
    <w:p w14:paraId="439B446C">
      <w:pPr>
        <w:snapToGrid w:val="0"/>
        <w:spacing w:before="156" w:beforeLines="50" w:after="50"/>
        <w:ind w:firstLine="640" w:firstLineChars="200"/>
        <w:rPr>
          <w:rFonts w:hint="eastAsia" w:ascii="宋体" w:hAnsi="宋体" w:cs="宋体"/>
          <w:bCs/>
          <w:sz w:val="32"/>
          <w:szCs w:val="32"/>
        </w:rPr>
      </w:pPr>
    </w:p>
    <w:p w14:paraId="2772E929">
      <w:pPr>
        <w:snapToGrid w:val="0"/>
        <w:spacing w:before="156" w:beforeLines="50" w:after="50"/>
        <w:rPr>
          <w:rFonts w:hint="eastAsia" w:ascii="宋体" w:hAnsi="宋体" w:cs="宋体"/>
          <w:bCs/>
          <w:sz w:val="32"/>
          <w:szCs w:val="32"/>
        </w:rPr>
      </w:pPr>
    </w:p>
    <w:p w14:paraId="42D5F2C3">
      <w:pPr>
        <w:snapToGrid w:val="0"/>
        <w:spacing w:before="156" w:beforeLines="50" w:after="50"/>
        <w:ind w:firstLine="480" w:firstLineChars="150"/>
        <w:jc w:val="center"/>
        <w:rPr>
          <w:rFonts w:hint="eastAsia" w:ascii="宋体" w:hAnsi="宋体" w:cs="宋体"/>
          <w:bCs/>
          <w:sz w:val="32"/>
          <w:szCs w:val="32"/>
        </w:rPr>
      </w:pPr>
      <w:r>
        <w:rPr>
          <w:rFonts w:hint="eastAsia" w:ascii="宋体" w:hAnsi="宋体" w:cs="宋体"/>
          <w:bCs/>
          <w:sz w:val="32"/>
          <w:szCs w:val="32"/>
        </w:rPr>
        <w:t>响应文件提交截止时间前不得启封</w:t>
      </w:r>
    </w:p>
    <w:p w14:paraId="30AC24C5">
      <w:pPr>
        <w:snapToGrid w:val="0"/>
        <w:spacing w:before="156" w:beforeLines="50" w:after="50"/>
        <w:ind w:firstLine="5440" w:firstLineChars="1700"/>
        <w:jc w:val="center"/>
        <w:rPr>
          <w:rFonts w:hint="eastAsia" w:ascii="宋体" w:hAnsi="宋体" w:cs="宋体"/>
          <w:bCs/>
          <w:sz w:val="32"/>
          <w:szCs w:val="32"/>
        </w:rPr>
      </w:pPr>
    </w:p>
    <w:p w14:paraId="39B5E3F7">
      <w:pPr>
        <w:snapToGrid w:val="0"/>
        <w:spacing w:before="156" w:beforeLines="50" w:after="50"/>
        <w:ind w:firstLine="645"/>
        <w:jc w:val="center"/>
        <w:rPr>
          <w:rFonts w:hint="eastAsia" w:ascii="宋体" w:hAnsi="宋体" w:cs="宋体"/>
          <w:bCs/>
          <w:sz w:val="32"/>
          <w:szCs w:val="32"/>
        </w:rPr>
      </w:pPr>
      <w:r>
        <w:rPr>
          <w:rFonts w:hint="eastAsia" w:ascii="宋体" w:hAnsi="宋体" w:cs="宋体"/>
          <w:bCs/>
          <w:sz w:val="32"/>
          <w:szCs w:val="32"/>
        </w:rPr>
        <w:t>年    月    日</w:t>
      </w:r>
    </w:p>
    <w:p w14:paraId="1AF46D5B">
      <w:pPr>
        <w:spacing w:line="240" w:lineRule="atLeast"/>
        <w:rPr>
          <w:rFonts w:hint="eastAsia" w:ascii="宋体" w:hAnsi="宋体" w:cs="宋体"/>
          <w:bCs/>
          <w:sz w:val="32"/>
          <w:szCs w:val="32"/>
        </w:rPr>
      </w:pPr>
      <w:r>
        <w:rPr>
          <w:rFonts w:hint="eastAsia" w:ascii="宋体" w:hAnsi="宋体" w:cs="宋体"/>
          <w:bCs/>
          <w:sz w:val="24"/>
        </w:rPr>
        <w:br w:type="page"/>
      </w:r>
      <w:r>
        <w:rPr>
          <w:rFonts w:hint="eastAsia" w:ascii="宋体" w:hAnsi="宋体" w:cs="宋体"/>
          <w:b/>
          <w:bCs/>
          <w:sz w:val="32"/>
          <w:szCs w:val="32"/>
        </w:rPr>
        <w:t>（响应文件封面格式）</w:t>
      </w:r>
    </w:p>
    <w:p w14:paraId="47AB3D6B">
      <w:pPr>
        <w:spacing w:line="240" w:lineRule="atLeast"/>
        <w:jc w:val="center"/>
        <w:rPr>
          <w:rFonts w:hint="eastAsia" w:ascii="宋体" w:hAnsi="宋体" w:cs="宋体"/>
          <w:bCs/>
          <w:sz w:val="24"/>
        </w:rPr>
      </w:pPr>
    </w:p>
    <w:p w14:paraId="5F90B791">
      <w:pPr>
        <w:spacing w:line="240" w:lineRule="atLeast"/>
        <w:jc w:val="center"/>
        <w:rPr>
          <w:rFonts w:hint="eastAsia" w:ascii="宋体" w:hAnsi="宋体" w:cs="宋体"/>
          <w:bCs/>
          <w:sz w:val="24"/>
        </w:rPr>
      </w:pPr>
    </w:p>
    <w:p w14:paraId="20870283">
      <w:pPr>
        <w:spacing w:line="240" w:lineRule="atLeast"/>
        <w:jc w:val="right"/>
        <w:rPr>
          <w:rFonts w:hint="eastAsia" w:ascii="宋体" w:hAnsi="宋体" w:cs="宋体"/>
          <w:bCs/>
          <w:sz w:val="24"/>
        </w:rPr>
      </w:pPr>
      <w:r>
        <w:rPr>
          <w:rFonts w:hint="eastAsia" w:ascii="宋体" w:hAnsi="宋体" w:cs="宋体"/>
          <w:bCs/>
        </w:rPr>
        <w:t>正本/副本</w:t>
      </w:r>
    </w:p>
    <w:p w14:paraId="02092EE3">
      <w:pPr>
        <w:spacing w:line="240" w:lineRule="atLeast"/>
        <w:jc w:val="center"/>
        <w:rPr>
          <w:rFonts w:hint="eastAsia" w:ascii="宋体" w:hAnsi="宋体" w:cs="宋体"/>
          <w:bCs/>
          <w:sz w:val="44"/>
          <w:szCs w:val="44"/>
        </w:rPr>
      </w:pPr>
    </w:p>
    <w:p w14:paraId="5D954466">
      <w:pPr>
        <w:spacing w:line="240" w:lineRule="atLeast"/>
        <w:jc w:val="center"/>
        <w:rPr>
          <w:rFonts w:hint="eastAsia" w:ascii="宋体" w:hAnsi="宋体" w:cs="宋体"/>
          <w:bCs/>
          <w:sz w:val="44"/>
          <w:szCs w:val="44"/>
        </w:rPr>
      </w:pPr>
    </w:p>
    <w:p w14:paraId="09981112">
      <w:pPr>
        <w:spacing w:line="240" w:lineRule="atLeast"/>
        <w:jc w:val="center"/>
        <w:rPr>
          <w:rFonts w:hint="eastAsia" w:ascii="宋体" w:hAnsi="宋体" w:cs="宋体"/>
          <w:b/>
          <w:sz w:val="32"/>
          <w:szCs w:val="32"/>
        </w:rPr>
      </w:pPr>
      <w:r>
        <w:rPr>
          <w:rFonts w:hint="eastAsia" w:ascii="宋体" w:hAnsi="宋体" w:cs="宋体"/>
          <w:bCs/>
          <w:sz w:val="44"/>
          <w:szCs w:val="44"/>
        </w:rPr>
        <w:t>响  应  文  件</w:t>
      </w:r>
      <w:r>
        <w:rPr>
          <w:rFonts w:hint="eastAsia" w:ascii="宋体" w:hAnsi="宋体" w:cs="宋体"/>
          <w:b/>
          <w:sz w:val="32"/>
          <w:szCs w:val="32"/>
        </w:rPr>
        <w:t xml:space="preserve"> </w:t>
      </w:r>
      <w:r>
        <w:rPr>
          <w:rFonts w:hint="eastAsia" w:ascii="宋体" w:hAnsi="宋体" w:cs="宋体"/>
          <w:szCs w:val="21"/>
        </w:rPr>
        <w:t>（封面）</w:t>
      </w:r>
    </w:p>
    <w:p w14:paraId="669E61C3">
      <w:pPr>
        <w:spacing w:line="360" w:lineRule="auto"/>
        <w:jc w:val="center"/>
        <w:rPr>
          <w:rFonts w:hint="eastAsia" w:ascii="宋体" w:hAnsi="宋体" w:cs="宋体"/>
          <w:szCs w:val="21"/>
        </w:rPr>
      </w:pPr>
    </w:p>
    <w:p w14:paraId="037BF7FA">
      <w:pPr>
        <w:spacing w:line="360" w:lineRule="auto"/>
        <w:jc w:val="center"/>
        <w:rPr>
          <w:rFonts w:hint="eastAsia" w:ascii="宋体" w:hAnsi="宋体" w:cs="宋体"/>
          <w:szCs w:val="21"/>
        </w:rPr>
      </w:pPr>
    </w:p>
    <w:p w14:paraId="537B3D11">
      <w:pPr>
        <w:spacing w:line="360" w:lineRule="auto"/>
        <w:jc w:val="center"/>
        <w:rPr>
          <w:rFonts w:hint="eastAsia" w:ascii="宋体" w:hAnsi="宋体" w:cs="宋体"/>
          <w:szCs w:val="21"/>
        </w:rPr>
      </w:pPr>
    </w:p>
    <w:p w14:paraId="5F0440BA">
      <w:pPr>
        <w:spacing w:line="360" w:lineRule="auto"/>
        <w:ind w:firstLine="640" w:firstLineChars="200"/>
        <w:jc w:val="left"/>
        <w:rPr>
          <w:rFonts w:hint="eastAsia" w:ascii="宋体" w:hAnsi="宋体" w:cs="宋体"/>
          <w:sz w:val="32"/>
          <w:szCs w:val="32"/>
        </w:rPr>
      </w:pPr>
      <w:r>
        <w:rPr>
          <w:rFonts w:hint="eastAsia" w:ascii="宋体" w:hAnsi="宋体" w:cs="宋体"/>
          <w:sz w:val="32"/>
          <w:szCs w:val="32"/>
        </w:rPr>
        <w:t>项目编号：</w:t>
      </w:r>
    </w:p>
    <w:p w14:paraId="1971EE53">
      <w:pPr>
        <w:spacing w:line="360" w:lineRule="auto"/>
        <w:ind w:firstLine="640" w:firstLineChars="200"/>
        <w:jc w:val="left"/>
        <w:rPr>
          <w:rFonts w:hint="eastAsia" w:ascii="宋体" w:hAnsi="宋体" w:cs="宋体"/>
          <w:sz w:val="32"/>
          <w:szCs w:val="32"/>
          <w:u w:val="single"/>
        </w:rPr>
      </w:pPr>
    </w:p>
    <w:p w14:paraId="7FF566A1">
      <w:pPr>
        <w:tabs>
          <w:tab w:val="left" w:pos="3240"/>
        </w:tabs>
        <w:spacing w:line="360" w:lineRule="auto"/>
        <w:ind w:firstLine="640" w:firstLineChars="200"/>
        <w:jc w:val="left"/>
        <w:rPr>
          <w:rFonts w:hint="eastAsia" w:ascii="宋体" w:hAnsi="宋体" w:cs="宋体"/>
          <w:sz w:val="32"/>
          <w:szCs w:val="32"/>
        </w:rPr>
      </w:pPr>
      <w:r>
        <w:rPr>
          <w:rFonts w:hint="eastAsia" w:ascii="宋体" w:hAnsi="宋体" w:cs="宋体"/>
          <w:sz w:val="32"/>
          <w:szCs w:val="32"/>
        </w:rPr>
        <w:t>项目名称：</w:t>
      </w:r>
    </w:p>
    <w:p w14:paraId="5865A077">
      <w:pPr>
        <w:tabs>
          <w:tab w:val="left" w:pos="3240"/>
        </w:tabs>
        <w:spacing w:line="360" w:lineRule="auto"/>
        <w:ind w:firstLine="640" w:firstLineChars="200"/>
        <w:jc w:val="left"/>
        <w:rPr>
          <w:rFonts w:hint="eastAsia" w:ascii="宋体" w:hAnsi="宋体" w:cs="宋体"/>
          <w:sz w:val="32"/>
          <w:szCs w:val="32"/>
          <w:u w:val="single"/>
        </w:rPr>
      </w:pPr>
    </w:p>
    <w:p w14:paraId="3D29DA1F">
      <w:pPr>
        <w:spacing w:line="360" w:lineRule="auto"/>
        <w:ind w:firstLine="640" w:firstLineChars="200"/>
        <w:jc w:val="left"/>
        <w:rPr>
          <w:rFonts w:hint="eastAsia" w:ascii="宋体" w:hAnsi="宋体" w:cs="宋体"/>
          <w:sz w:val="32"/>
          <w:szCs w:val="32"/>
          <w:u w:val="single"/>
        </w:rPr>
      </w:pPr>
    </w:p>
    <w:p w14:paraId="5A4CDF39">
      <w:pPr>
        <w:spacing w:line="360" w:lineRule="auto"/>
        <w:ind w:firstLine="640" w:firstLineChars="200"/>
        <w:jc w:val="left"/>
        <w:rPr>
          <w:rFonts w:hint="eastAsia" w:ascii="宋体" w:hAnsi="宋体" w:cs="宋体"/>
          <w:sz w:val="32"/>
          <w:szCs w:val="32"/>
        </w:rPr>
      </w:pPr>
      <w:r>
        <w:rPr>
          <w:rFonts w:hint="eastAsia" w:ascii="宋体" w:hAnsi="宋体" w:cs="宋体"/>
          <w:sz w:val="32"/>
          <w:szCs w:val="32"/>
        </w:rPr>
        <w:t>供应商名称：</w:t>
      </w:r>
    </w:p>
    <w:p w14:paraId="7A50E4D6">
      <w:pPr>
        <w:spacing w:line="360" w:lineRule="auto"/>
        <w:ind w:firstLine="640" w:firstLineChars="200"/>
        <w:jc w:val="left"/>
        <w:rPr>
          <w:rFonts w:hint="eastAsia" w:ascii="宋体" w:hAnsi="宋体" w:cs="宋体"/>
          <w:sz w:val="32"/>
          <w:szCs w:val="32"/>
        </w:rPr>
      </w:pPr>
    </w:p>
    <w:p w14:paraId="57952E5E">
      <w:pPr>
        <w:spacing w:line="360" w:lineRule="auto"/>
        <w:ind w:firstLine="640" w:firstLineChars="200"/>
        <w:jc w:val="left"/>
        <w:rPr>
          <w:rFonts w:hint="eastAsia" w:ascii="宋体" w:hAnsi="宋体" w:cs="宋体"/>
          <w:sz w:val="32"/>
          <w:szCs w:val="32"/>
        </w:rPr>
      </w:pPr>
    </w:p>
    <w:p w14:paraId="25F4F857">
      <w:pPr>
        <w:snapToGrid w:val="0"/>
        <w:spacing w:before="156" w:beforeLines="50" w:after="50"/>
        <w:rPr>
          <w:rFonts w:hint="eastAsia" w:ascii="宋体" w:hAnsi="宋体" w:cs="宋体"/>
          <w:sz w:val="32"/>
          <w:szCs w:val="32"/>
        </w:rPr>
      </w:pPr>
    </w:p>
    <w:p w14:paraId="27DCB1B0">
      <w:pPr>
        <w:snapToGrid w:val="0"/>
        <w:spacing w:before="156" w:beforeLines="50" w:after="50"/>
        <w:rPr>
          <w:rFonts w:hint="eastAsia" w:ascii="宋体" w:hAnsi="宋体" w:cs="宋体"/>
          <w:sz w:val="32"/>
          <w:szCs w:val="32"/>
        </w:rPr>
      </w:pPr>
    </w:p>
    <w:p w14:paraId="6F16D0CF">
      <w:pPr>
        <w:snapToGrid w:val="0"/>
        <w:spacing w:before="156" w:beforeLines="50" w:after="50"/>
        <w:jc w:val="center"/>
        <w:rPr>
          <w:rFonts w:hint="eastAsia" w:ascii="宋体" w:hAnsi="宋体" w:cs="宋体"/>
          <w:bCs/>
          <w:sz w:val="32"/>
          <w:szCs w:val="32"/>
        </w:rPr>
      </w:pPr>
      <w:r>
        <w:rPr>
          <w:rFonts w:hint="eastAsia" w:ascii="宋体" w:hAnsi="宋体" w:cs="宋体"/>
          <w:sz w:val="32"/>
          <w:szCs w:val="32"/>
        </w:rPr>
        <w:t>年    月    日</w:t>
      </w:r>
    </w:p>
    <w:p w14:paraId="694F0475">
      <w:pPr>
        <w:spacing w:line="300" w:lineRule="auto"/>
        <w:rPr>
          <w:rFonts w:hint="eastAsia" w:ascii="宋体" w:hAnsi="宋体" w:cs="宋体"/>
          <w:szCs w:val="21"/>
        </w:rPr>
      </w:pPr>
    </w:p>
    <w:p w14:paraId="56F4A9DD">
      <w:pPr>
        <w:rPr>
          <w:rFonts w:hint="eastAsia" w:ascii="宋体" w:hAnsi="宋体" w:cs="宋体"/>
          <w:b/>
          <w:sz w:val="32"/>
          <w:szCs w:val="32"/>
        </w:rPr>
      </w:pPr>
      <w:r>
        <w:rPr>
          <w:rFonts w:hint="eastAsia" w:ascii="宋体" w:hAnsi="宋体" w:cs="宋体"/>
        </w:rPr>
        <w:br w:type="page"/>
      </w:r>
      <w:bookmarkStart w:id="70" w:name="_Toc71365382"/>
      <w:bookmarkStart w:id="71" w:name="_Toc71366060"/>
      <w:r>
        <w:rPr>
          <w:rFonts w:hint="eastAsia" w:ascii="宋体" w:hAnsi="宋体" w:cs="宋体"/>
          <w:b/>
          <w:sz w:val="32"/>
          <w:szCs w:val="32"/>
        </w:rPr>
        <w:t>一、资格证明文件格式</w:t>
      </w:r>
      <w:bookmarkEnd w:id="70"/>
      <w:bookmarkEnd w:id="71"/>
    </w:p>
    <w:p w14:paraId="03678808">
      <w:pPr>
        <w:snapToGrid w:val="0"/>
        <w:spacing w:before="156" w:beforeLines="50" w:after="50" w:line="360" w:lineRule="auto"/>
        <w:jc w:val="left"/>
        <w:rPr>
          <w:rFonts w:hint="eastAsia" w:ascii="宋体" w:hAnsi="宋体" w:cs="宋体"/>
          <w:b/>
          <w:sz w:val="24"/>
        </w:rPr>
      </w:pPr>
      <w:r>
        <w:rPr>
          <w:rFonts w:hint="eastAsia" w:ascii="宋体" w:hAnsi="宋体" w:cs="宋体"/>
          <w:b/>
          <w:sz w:val="32"/>
          <w:szCs w:val="32"/>
        </w:rPr>
        <w:t>1.资格证明文件封面格式：</w:t>
      </w:r>
      <w:r>
        <w:rPr>
          <w:rFonts w:hint="eastAsia" w:ascii="宋体" w:hAnsi="宋体" w:cs="宋体"/>
          <w:b/>
          <w:sz w:val="24"/>
        </w:rPr>
        <w:t xml:space="preserve"> </w:t>
      </w:r>
    </w:p>
    <w:p w14:paraId="6DA8ABD6">
      <w:pPr>
        <w:snapToGrid w:val="0"/>
        <w:spacing w:before="156" w:beforeLines="50" w:after="50"/>
        <w:rPr>
          <w:rFonts w:hint="eastAsia" w:ascii="宋体" w:hAnsi="宋体" w:cs="宋体"/>
          <w:bCs/>
          <w:sz w:val="32"/>
          <w:szCs w:val="20"/>
        </w:rPr>
      </w:pPr>
      <w:r>
        <w:rPr>
          <w:rFonts w:hint="eastAsia" w:ascii="宋体" w:hAnsi="宋体" w:cs="宋体"/>
          <w:sz w:val="24"/>
        </w:rPr>
        <w:t xml:space="preserve">                                                    </w:t>
      </w:r>
      <w:r>
        <w:rPr>
          <w:rFonts w:hint="eastAsia" w:ascii="宋体" w:hAnsi="宋体" w:cs="宋体"/>
          <w:bCs/>
        </w:rPr>
        <w:t>正本/副本</w:t>
      </w:r>
    </w:p>
    <w:p w14:paraId="50574BCC">
      <w:pPr>
        <w:snapToGrid w:val="0"/>
        <w:spacing w:before="156" w:beforeLines="50" w:after="50"/>
        <w:rPr>
          <w:rFonts w:hint="eastAsia" w:ascii="宋体" w:hAnsi="宋体" w:cs="宋体"/>
          <w:sz w:val="24"/>
          <w:szCs w:val="20"/>
        </w:rPr>
      </w:pPr>
    </w:p>
    <w:p w14:paraId="5C79EF0B">
      <w:pPr>
        <w:snapToGrid w:val="0"/>
        <w:spacing w:before="156" w:beforeLines="50" w:after="50"/>
        <w:rPr>
          <w:rFonts w:hint="eastAsia" w:ascii="宋体" w:hAnsi="宋体" w:cs="宋体"/>
          <w:sz w:val="24"/>
          <w:szCs w:val="20"/>
        </w:rPr>
      </w:pPr>
    </w:p>
    <w:p w14:paraId="25219EEC">
      <w:pPr>
        <w:snapToGrid w:val="0"/>
        <w:spacing w:before="156" w:beforeLines="50" w:after="50"/>
        <w:jc w:val="center"/>
        <w:rPr>
          <w:rFonts w:hint="eastAsia" w:ascii="宋体" w:hAnsi="宋体" w:cs="宋体"/>
          <w:bCs/>
          <w:sz w:val="44"/>
          <w:szCs w:val="44"/>
        </w:rPr>
      </w:pPr>
      <w:r>
        <w:rPr>
          <w:rFonts w:hint="eastAsia" w:ascii="宋体" w:hAnsi="宋体" w:cs="宋体"/>
          <w:bCs/>
          <w:sz w:val="44"/>
          <w:szCs w:val="44"/>
        </w:rPr>
        <w:t>资  格  证  明  文  件</w:t>
      </w:r>
    </w:p>
    <w:p w14:paraId="30A0D126">
      <w:pPr>
        <w:snapToGrid w:val="0"/>
        <w:spacing w:before="156" w:beforeLines="50" w:after="50"/>
        <w:rPr>
          <w:rFonts w:hint="eastAsia" w:ascii="宋体" w:hAnsi="宋体" w:cs="宋体"/>
          <w:bCs/>
          <w:sz w:val="24"/>
          <w:szCs w:val="20"/>
        </w:rPr>
      </w:pPr>
    </w:p>
    <w:p w14:paraId="669EA002">
      <w:pPr>
        <w:snapToGrid w:val="0"/>
        <w:spacing w:before="156" w:beforeLines="50" w:after="50"/>
        <w:rPr>
          <w:rFonts w:hint="eastAsia" w:ascii="宋体" w:hAnsi="宋体" w:cs="宋体"/>
          <w:bCs/>
          <w:sz w:val="24"/>
          <w:szCs w:val="20"/>
        </w:rPr>
      </w:pPr>
    </w:p>
    <w:p w14:paraId="78687660">
      <w:pPr>
        <w:snapToGrid w:val="0"/>
        <w:spacing w:before="156" w:beforeLines="50" w:after="50"/>
        <w:rPr>
          <w:rFonts w:hint="eastAsia" w:ascii="宋体" w:hAnsi="宋体" w:cs="宋体"/>
          <w:bCs/>
          <w:sz w:val="24"/>
          <w:szCs w:val="20"/>
        </w:rPr>
      </w:pPr>
    </w:p>
    <w:p w14:paraId="13EBBDC9">
      <w:pPr>
        <w:snapToGrid w:val="0"/>
        <w:spacing w:before="156" w:beforeLines="50" w:after="50"/>
        <w:rPr>
          <w:rFonts w:hint="eastAsia" w:ascii="宋体" w:hAnsi="宋体" w:cs="宋体"/>
          <w:bCs/>
          <w:sz w:val="24"/>
          <w:szCs w:val="20"/>
        </w:rPr>
      </w:pPr>
    </w:p>
    <w:p w14:paraId="627754F0">
      <w:pPr>
        <w:snapToGrid w:val="0"/>
        <w:spacing w:before="156" w:beforeLines="50" w:after="50"/>
        <w:rPr>
          <w:rFonts w:hint="eastAsia" w:ascii="宋体" w:hAnsi="宋体" w:cs="宋体"/>
          <w:bCs/>
          <w:sz w:val="24"/>
          <w:szCs w:val="20"/>
        </w:rPr>
      </w:pPr>
    </w:p>
    <w:p w14:paraId="51235A5E">
      <w:pPr>
        <w:snapToGrid w:val="0"/>
        <w:spacing w:before="156" w:beforeLines="50" w:after="50"/>
        <w:ind w:firstLine="640" w:firstLineChars="200"/>
        <w:rPr>
          <w:rFonts w:hint="eastAsia" w:ascii="宋体" w:hAnsi="宋体" w:cs="宋体"/>
          <w:bCs/>
          <w:sz w:val="32"/>
          <w:szCs w:val="32"/>
        </w:rPr>
      </w:pPr>
      <w:r>
        <w:rPr>
          <w:rFonts w:hint="eastAsia" w:ascii="宋体" w:hAnsi="宋体" w:cs="宋体"/>
          <w:bCs/>
          <w:sz w:val="32"/>
          <w:szCs w:val="32"/>
        </w:rPr>
        <w:t>项目名称：</w:t>
      </w:r>
    </w:p>
    <w:p w14:paraId="0F52BEB9">
      <w:pPr>
        <w:snapToGrid w:val="0"/>
        <w:spacing w:before="156" w:beforeLines="50" w:after="50"/>
        <w:ind w:firstLine="720" w:firstLineChars="225"/>
        <w:rPr>
          <w:rFonts w:hint="eastAsia" w:ascii="宋体" w:hAnsi="宋体" w:cs="宋体"/>
          <w:bCs/>
          <w:sz w:val="32"/>
          <w:szCs w:val="32"/>
        </w:rPr>
      </w:pPr>
    </w:p>
    <w:p w14:paraId="5AD40762">
      <w:pPr>
        <w:snapToGrid w:val="0"/>
        <w:spacing w:before="156" w:beforeLines="50" w:after="50"/>
        <w:ind w:firstLine="720" w:firstLineChars="225"/>
        <w:rPr>
          <w:rFonts w:hint="eastAsia" w:ascii="宋体" w:hAnsi="宋体" w:cs="宋体"/>
          <w:bCs/>
          <w:sz w:val="32"/>
          <w:szCs w:val="32"/>
        </w:rPr>
      </w:pPr>
      <w:r>
        <w:rPr>
          <w:rFonts w:hint="eastAsia" w:ascii="宋体" w:hAnsi="宋体" w:cs="宋体"/>
          <w:bCs/>
          <w:sz w:val="32"/>
          <w:szCs w:val="32"/>
        </w:rPr>
        <w:t>项目编号：</w:t>
      </w:r>
    </w:p>
    <w:p w14:paraId="7C91F98B">
      <w:pPr>
        <w:snapToGrid w:val="0"/>
        <w:spacing w:before="156" w:beforeLines="50" w:after="50"/>
        <w:ind w:firstLine="720" w:firstLineChars="225"/>
        <w:rPr>
          <w:rFonts w:hint="eastAsia" w:ascii="宋体" w:hAnsi="宋体" w:cs="宋体"/>
          <w:bCs/>
          <w:sz w:val="32"/>
          <w:szCs w:val="32"/>
        </w:rPr>
      </w:pPr>
      <w:r>
        <w:rPr>
          <w:rFonts w:hint="eastAsia" w:ascii="宋体" w:hAnsi="宋体" w:cs="宋体"/>
          <w:bCs/>
          <w:sz w:val="32"/>
          <w:szCs w:val="32"/>
        </w:rPr>
        <w:t xml:space="preserve"> </w:t>
      </w:r>
    </w:p>
    <w:p w14:paraId="303CB3AB">
      <w:pPr>
        <w:snapToGrid w:val="0"/>
        <w:spacing w:before="156" w:beforeLines="50" w:after="50"/>
        <w:ind w:firstLine="720" w:firstLineChars="225"/>
        <w:rPr>
          <w:rFonts w:hint="eastAsia" w:ascii="宋体" w:hAnsi="宋体" w:cs="宋体"/>
          <w:bCs/>
          <w:sz w:val="32"/>
          <w:szCs w:val="32"/>
        </w:rPr>
      </w:pPr>
    </w:p>
    <w:p w14:paraId="57C6B926">
      <w:pPr>
        <w:pStyle w:val="7"/>
        <w:snapToGrid w:val="0"/>
        <w:spacing w:before="50" w:after="50"/>
        <w:ind w:firstLine="720" w:firstLineChars="225"/>
        <w:rPr>
          <w:rFonts w:hint="eastAsia" w:ascii="宋体" w:hAnsi="宋体" w:cs="宋体"/>
          <w:bCs/>
          <w:sz w:val="32"/>
          <w:szCs w:val="32"/>
        </w:rPr>
      </w:pPr>
      <w:r>
        <w:rPr>
          <w:rFonts w:hint="eastAsia" w:ascii="宋体" w:hAnsi="宋体" w:cs="宋体"/>
          <w:bCs/>
          <w:sz w:val="32"/>
          <w:szCs w:val="32"/>
        </w:rPr>
        <w:t>供应商名称：</w:t>
      </w:r>
    </w:p>
    <w:p w14:paraId="4180CBA2">
      <w:pPr>
        <w:snapToGrid w:val="0"/>
        <w:spacing w:before="156" w:beforeLines="50" w:after="50"/>
        <w:ind w:firstLine="640" w:firstLineChars="200"/>
        <w:rPr>
          <w:rFonts w:hint="eastAsia" w:ascii="宋体" w:hAnsi="宋体" w:cs="宋体"/>
          <w:bCs/>
          <w:sz w:val="32"/>
          <w:szCs w:val="32"/>
        </w:rPr>
      </w:pPr>
    </w:p>
    <w:p w14:paraId="6EE31A88">
      <w:pPr>
        <w:pStyle w:val="7"/>
        <w:snapToGrid w:val="0"/>
        <w:spacing w:before="50" w:after="50"/>
        <w:ind w:firstLine="720" w:firstLineChars="225"/>
        <w:rPr>
          <w:rFonts w:hint="eastAsia" w:ascii="宋体" w:hAnsi="宋体" w:cs="宋体"/>
          <w:bCs/>
          <w:sz w:val="32"/>
          <w:szCs w:val="32"/>
        </w:rPr>
      </w:pPr>
    </w:p>
    <w:p w14:paraId="2D734911">
      <w:pPr>
        <w:pStyle w:val="7"/>
        <w:snapToGrid w:val="0"/>
        <w:spacing w:before="50" w:after="50"/>
        <w:ind w:firstLine="720" w:firstLineChars="225"/>
        <w:rPr>
          <w:rFonts w:hint="eastAsia" w:ascii="宋体" w:hAnsi="宋体" w:cs="宋体"/>
          <w:bCs/>
          <w:sz w:val="32"/>
          <w:szCs w:val="32"/>
        </w:rPr>
      </w:pPr>
    </w:p>
    <w:p w14:paraId="1497A215">
      <w:pPr>
        <w:pStyle w:val="7"/>
        <w:snapToGrid w:val="0"/>
        <w:spacing w:before="50" w:after="50"/>
        <w:ind w:firstLine="1280" w:firstLineChars="400"/>
        <w:rPr>
          <w:rFonts w:hint="eastAsia" w:ascii="宋体" w:hAnsi="宋体" w:cs="宋体"/>
          <w:bCs/>
          <w:sz w:val="32"/>
          <w:szCs w:val="32"/>
        </w:rPr>
      </w:pPr>
    </w:p>
    <w:p w14:paraId="3CC89080">
      <w:pPr>
        <w:snapToGrid w:val="0"/>
        <w:spacing w:before="156" w:beforeLines="50" w:after="50"/>
        <w:jc w:val="center"/>
        <w:rPr>
          <w:rFonts w:hint="eastAsia" w:ascii="宋体" w:hAnsi="宋体" w:cs="宋体"/>
          <w:sz w:val="32"/>
          <w:szCs w:val="32"/>
        </w:rPr>
      </w:pPr>
      <w:r>
        <w:rPr>
          <w:rFonts w:hint="eastAsia" w:ascii="宋体" w:hAnsi="宋体" w:cs="宋体"/>
          <w:sz w:val="32"/>
          <w:szCs w:val="32"/>
        </w:rPr>
        <w:t>年    月    日</w:t>
      </w:r>
    </w:p>
    <w:p w14:paraId="2363EF8F">
      <w:pPr>
        <w:snapToGrid w:val="0"/>
        <w:spacing w:before="156" w:beforeLines="50" w:after="50" w:line="360" w:lineRule="auto"/>
        <w:ind w:left="142"/>
        <w:jc w:val="left"/>
        <w:rPr>
          <w:rFonts w:hint="eastAsia" w:ascii="宋体" w:hAnsi="宋体" w:cs="宋体"/>
          <w:b/>
          <w:bCs/>
          <w:sz w:val="32"/>
          <w:szCs w:val="32"/>
        </w:rPr>
      </w:pPr>
      <w:r>
        <w:rPr>
          <w:rFonts w:hint="eastAsia" w:ascii="宋体" w:hAnsi="宋体" w:cs="宋体"/>
          <w:sz w:val="24"/>
        </w:rPr>
        <w:br w:type="page"/>
      </w:r>
      <w:r>
        <w:rPr>
          <w:rFonts w:hint="eastAsia" w:ascii="宋体" w:hAnsi="宋体" w:cs="宋体"/>
          <w:b/>
          <w:bCs/>
          <w:sz w:val="32"/>
          <w:szCs w:val="32"/>
        </w:rPr>
        <w:t>2.资格证明文件目录</w:t>
      </w:r>
    </w:p>
    <w:p w14:paraId="289C581B">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rPr>
        <w:t>1.供应商为法人或者其他组织的提供其营业执照等证明文件（如营业执照或者事业单位法人证书或者执业许可证等）</w:t>
      </w:r>
      <w:bookmarkStart w:id="72" w:name="OLE_LINK1"/>
      <w:r>
        <w:rPr>
          <w:rFonts w:hint="eastAsia" w:ascii="宋体" w:hAnsi="宋体" w:cs="宋体"/>
          <w:bCs/>
          <w:szCs w:val="21"/>
          <w:lang w:val="en-US" w:eastAsia="zh-CN"/>
        </w:rPr>
        <w:t>扫描件</w:t>
      </w:r>
      <w:bookmarkEnd w:id="72"/>
      <w:r>
        <w:rPr>
          <w:rFonts w:hint="eastAsia" w:ascii="宋体" w:hAnsi="宋体" w:cs="宋体"/>
          <w:bCs/>
          <w:szCs w:val="21"/>
        </w:rPr>
        <w:t>；（必须提供，否则响应文件按无效响应处理）</w:t>
      </w:r>
    </w:p>
    <w:p w14:paraId="35377CE8">
      <w:pPr>
        <w:wordWrap w:val="0"/>
        <w:snapToGrid w:val="0"/>
        <w:spacing w:line="400" w:lineRule="exact"/>
        <w:ind w:firstLine="420" w:firstLineChars="200"/>
        <w:jc w:val="left"/>
        <w:rPr>
          <w:rFonts w:hint="eastAsia" w:ascii="宋体" w:hAnsi="宋体" w:cs="宋体"/>
          <w:color w:val="0C0C0C"/>
        </w:rPr>
      </w:pPr>
      <w:r>
        <w:rPr>
          <w:rFonts w:hint="eastAsia" w:ascii="宋体" w:hAnsi="宋体" w:cs="宋体"/>
          <w:bCs/>
          <w:szCs w:val="21"/>
        </w:rPr>
        <w:t>2.</w:t>
      </w:r>
      <w:r>
        <w:rPr>
          <w:rFonts w:hint="eastAsia" w:ascii="宋体" w:hAnsi="宋体" w:cs="宋体"/>
          <w:bCs/>
          <w:color w:val="0C0C0C"/>
        </w:rPr>
        <w:t>有效的企业资质证书副本</w:t>
      </w:r>
      <w:r>
        <w:rPr>
          <w:rFonts w:hint="eastAsia" w:ascii="宋体" w:hAnsi="宋体" w:cs="宋体"/>
          <w:bCs/>
          <w:szCs w:val="21"/>
          <w:lang w:val="en-US" w:eastAsia="zh-CN"/>
        </w:rPr>
        <w:t>扫描件</w:t>
      </w:r>
      <w:r>
        <w:rPr>
          <w:rFonts w:hint="eastAsia" w:ascii="宋体" w:hAnsi="宋体" w:cs="宋体"/>
          <w:bCs/>
          <w:color w:val="0C0C0C"/>
        </w:rPr>
        <w:t>；</w:t>
      </w:r>
      <w:r>
        <w:rPr>
          <w:rFonts w:hint="eastAsia" w:ascii="宋体" w:hAnsi="宋体" w:cs="宋体"/>
          <w:color w:val="0C0C0C"/>
        </w:rPr>
        <w:t>（根据竞争性谈判公告对应的特定资格要求设置竞标人提供的资格证明材料）；</w:t>
      </w:r>
      <w:r>
        <w:rPr>
          <w:rFonts w:hint="eastAsia" w:ascii="宋体" w:hAnsi="宋体" w:cs="宋体"/>
          <w:bCs/>
          <w:szCs w:val="21"/>
        </w:rPr>
        <w:t>（必须提供，否则响应文件按无效响应处理）</w:t>
      </w:r>
    </w:p>
    <w:p w14:paraId="00FA2FDA">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rPr>
        <w:t>3.供应商202</w:t>
      </w:r>
      <w:r>
        <w:rPr>
          <w:rFonts w:hint="eastAsia" w:ascii="宋体" w:hAnsi="宋体" w:cs="宋体"/>
          <w:bCs/>
          <w:szCs w:val="21"/>
          <w:lang w:val="en-US" w:eastAsia="zh-CN"/>
        </w:rPr>
        <w:t>5</w:t>
      </w:r>
      <w:r>
        <w:rPr>
          <w:rFonts w:hint="eastAsia" w:ascii="宋体" w:hAnsi="宋体" w:cs="宋体"/>
          <w:bCs/>
          <w:szCs w:val="21"/>
        </w:rPr>
        <w:t>年财务状况报告</w:t>
      </w:r>
      <w:r>
        <w:rPr>
          <w:rFonts w:hint="eastAsia" w:ascii="宋体" w:hAnsi="宋体" w:cs="宋体"/>
          <w:bCs/>
          <w:szCs w:val="21"/>
          <w:lang w:val="en-US" w:eastAsia="zh-CN"/>
        </w:rPr>
        <w:t>扫描件</w:t>
      </w:r>
      <w:r>
        <w:rPr>
          <w:rFonts w:hint="eastAsia" w:ascii="宋体" w:hAnsi="宋体" w:cs="宋体"/>
          <w:bCs/>
          <w:szCs w:val="21"/>
        </w:rPr>
        <w:t>（供应商是法人的，应提供财务报告或其基本开户银行出具的资信证明；对于从取得营业执照时间起到提交响应文件截止时间为止不足要求年数的，只需提交取得营业执照年份至所要求最近年份的财务报告。如提供月度财务报表或所提供的财务状况报告未经审计的须同时由本公司出具承诺书，承诺该财务状况报告数据真实可靠。供应商是其他组织和自然人的，提供财务报告或者银行出具的资信证明）；（必须提供，否则响应文件按无效响应处理）</w:t>
      </w:r>
    </w:p>
    <w:p w14:paraId="45322082">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rPr>
        <w:t>4.供应商依法缴纳税收的相关材料（</w:t>
      </w:r>
      <w:r>
        <w:rPr>
          <w:rFonts w:hint="eastAsia" w:ascii="宋体" w:hAnsi="宋体" w:cs="宋体"/>
          <w:bCs/>
          <w:szCs w:val="21"/>
          <w:lang w:eastAsia="zh-CN"/>
        </w:rPr>
        <w:t>2025年</w:t>
      </w:r>
      <w:r>
        <w:rPr>
          <w:rFonts w:hint="eastAsia" w:ascii="宋体" w:hAnsi="宋体" w:cs="宋体"/>
          <w:bCs/>
          <w:szCs w:val="21"/>
          <w:lang w:val="en-US" w:eastAsia="zh-CN"/>
        </w:rPr>
        <w:t>10</w:t>
      </w:r>
      <w:r>
        <w:rPr>
          <w:rFonts w:hint="eastAsia" w:ascii="宋体" w:hAnsi="宋体" w:cs="宋体"/>
          <w:bCs/>
          <w:szCs w:val="21"/>
          <w:lang w:eastAsia="zh-CN"/>
        </w:rPr>
        <w:t>月至投标截止时间止任意</w:t>
      </w:r>
      <w:r>
        <w:rPr>
          <w:rFonts w:hint="eastAsia" w:ascii="宋体" w:hAnsi="宋体" w:cs="宋体"/>
          <w:bCs/>
          <w:szCs w:val="21"/>
        </w:rPr>
        <w:t>连续3个月依法缴纳税收的凭据</w:t>
      </w:r>
      <w:r>
        <w:rPr>
          <w:rFonts w:hint="eastAsia" w:ascii="宋体" w:hAnsi="宋体" w:cs="宋体"/>
          <w:bCs/>
          <w:szCs w:val="21"/>
          <w:lang w:val="en-US" w:eastAsia="zh-CN"/>
        </w:rPr>
        <w:t>扫描件</w:t>
      </w:r>
      <w:r>
        <w:rPr>
          <w:rFonts w:hint="eastAsia" w:ascii="宋体" w:hAnsi="宋体" w:cs="宋体"/>
          <w:bCs/>
          <w:szCs w:val="21"/>
        </w:rPr>
        <w:t>；依法免税的，必须提供相应文件证明其依法免税。从成立之日起到响应文件提交截止时间止不足要求月数的，只需提供从成立之日起的依法缴纳税收相应证明文件）；（必须提供，否则响应文件按无效响应处理）</w:t>
      </w:r>
    </w:p>
    <w:p w14:paraId="7566C384">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rPr>
        <w:t>5.供应商依法缴纳社会保障资金的相关材料[</w:t>
      </w:r>
      <w:r>
        <w:rPr>
          <w:rFonts w:hint="eastAsia" w:ascii="宋体" w:hAnsi="宋体" w:cs="宋体"/>
          <w:bCs/>
          <w:szCs w:val="21"/>
          <w:lang w:eastAsia="zh-CN"/>
        </w:rPr>
        <w:t>2025年</w:t>
      </w:r>
      <w:r>
        <w:rPr>
          <w:rFonts w:hint="eastAsia" w:ascii="宋体" w:hAnsi="宋体" w:cs="宋体"/>
          <w:bCs/>
          <w:szCs w:val="21"/>
          <w:lang w:val="en-US" w:eastAsia="zh-CN"/>
        </w:rPr>
        <w:t>10</w:t>
      </w:r>
      <w:r>
        <w:rPr>
          <w:rFonts w:hint="eastAsia" w:ascii="宋体" w:hAnsi="宋体" w:cs="宋体"/>
          <w:bCs/>
          <w:szCs w:val="21"/>
          <w:lang w:eastAsia="zh-CN"/>
        </w:rPr>
        <w:t>月至投标截止时间止任意</w:t>
      </w:r>
      <w:r>
        <w:rPr>
          <w:rFonts w:hint="eastAsia" w:ascii="宋体" w:hAnsi="宋体" w:cs="宋体"/>
          <w:bCs/>
          <w:szCs w:val="21"/>
        </w:rPr>
        <w:t>连续 3个月依法缴纳社会保障资金的缴费凭证</w:t>
      </w:r>
      <w:r>
        <w:rPr>
          <w:rFonts w:hint="eastAsia" w:ascii="宋体" w:hAnsi="宋体" w:cs="宋体"/>
          <w:bCs/>
          <w:szCs w:val="21"/>
          <w:lang w:val="en-US" w:eastAsia="zh-CN"/>
        </w:rPr>
        <w:t>扫描件</w:t>
      </w:r>
      <w:r>
        <w:rPr>
          <w:rFonts w:hint="eastAsia" w:ascii="宋体" w:hAnsi="宋体" w:cs="宋体"/>
          <w:bCs/>
          <w:szCs w:val="21"/>
        </w:rPr>
        <w:t>；依法不需要缴纳社会保障资金的供应商，必须提供相应文件证明不需要缴纳社会保障资金。从取得营业执照时间起到</w:t>
      </w:r>
      <w:r>
        <w:rPr>
          <w:rFonts w:hint="eastAsia" w:ascii="宋体" w:hAnsi="宋体" w:cs="宋体"/>
          <w:bCs/>
          <w:szCs w:val="21"/>
          <w:lang w:val="en-US" w:eastAsia="zh-CN"/>
        </w:rPr>
        <w:t>竞</w:t>
      </w:r>
      <w:r>
        <w:rPr>
          <w:rFonts w:hint="eastAsia" w:ascii="宋体" w:hAnsi="宋体" w:cs="宋体"/>
          <w:bCs/>
          <w:szCs w:val="21"/>
        </w:rPr>
        <w:t>标文件提交截止时间为止不足要求月数的只需提供从取得营业执照起的依法缴纳社会保障资金的相应证明文件]；（必须提供，否则响应文件按无效响应处理）</w:t>
      </w:r>
    </w:p>
    <w:p w14:paraId="6198DCAD">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rPr>
        <w:t>6.供应商直接控股、管理关系信息表（格式后附）；（必须提供，否则响应文件按无效响应处理）</w:t>
      </w:r>
    </w:p>
    <w:p w14:paraId="70575661">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rPr>
        <w:t>7.竞标声明（格式后附）；（必须提供，否则响应文件按无效响应处理）</w:t>
      </w:r>
    </w:p>
    <w:p w14:paraId="69999753">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rPr>
        <w:t>8.无重大违法记录和不良信用记录的书面声明（格式后附）（必须提供，否则响应文件按无效响应处理）；</w:t>
      </w:r>
    </w:p>
    <w:p w14:paraId="2AB6A08D">
      <w:pPr>
        <w:wordWrap w:val="0"/>
        <w:snapToGrid w:val="0"/>
        <w:spacing w:line="400" w:lineRule="exact"/>
        <w:ind w:firstLine="420" w:firstLineChars="200"/>
        <w:jc w:val="left"/>
        <w:rPr>
          <w:rFonts w:hint="eastAsia" w:ascii="宋体" w:hAnsi="宋体" w:cs="宋体"/>
          <w:bCs/>
          <w:szCs w:val="21"/>
        </w:rPr>
      </w:pPr>
      <w:r>
        <w:rPr>
          <w:rFonts w:hint="eastAsia" w:ascii="宋体" w:hAnsi="宋体" w:cs="宋体"/>
          <w:bCs/>
          <w:szCs w:val="21"/>
          <w:lang w:val="en-US" w:eastAsia="zh-CN"/>
        </w:rPr>
        <w:t>9</w:t>
      </w:r>
      <w:r>
        <w:rPr>
          <w:rFonts w:hint="eastAsia" w:ascii="宋体" w:hAnsi="宋体" w:cs="宋体"/>
          <w:bCs/>
          <w:szCs w:val="21"/>
        </w:rPr>
        <w:t>.除谈判文件规定必须提供以外，供应商认为需要提供的其他证明材料；</w:t>
      </w:r>
    </w:p>
    <w:p w14:paraId="74EFAEFF">
      <w:pPr>
        <w:spacing w:line="360" w:lineRule="auto"/>
        <w:rPr>
          <w:rFonts w:hint="eastAsia" w:ascii="宋体" w:hAnsi="宋体" w:cs="宋体"/>
          <w:szCs w:val="21"/>
        </w:rPr>
      </w:pPr>
    </w:p>
    <w:p w14:paraId="4991A558">
      <w:pPr>
        <w:spacing w:line="360" w:lineRule="auto"/>
        <w:rPr>
          <w:rFonts w:hint="eastAsia" w:ascii="宋体" w:hAnsi="宋体" w:cs="宋体"/>
          <w:szCs w:val="21"/>
        </w:rPr>
      </w:pPr>
    </w:p>
    <w:p w14:paraId="075A0606">
      <w:pPr>
        <w:spacing w:line="360" w:lineRule="auto"/>
        <w:rPr>
          <w:rFonts w:hint="eastAsia" w:ascii="宋体" w:hAnsi="宋体" w:cs="宋体"/>
          <w:szCs w:val="21"/>
        </w:rPr>
      </w:pPr>
    </w:p>
    <w:p w14:paraId="062ADF7C">
      <w:pPr>
        <w:spacing w:line="360" w:lineRule="auto"/>
        <w:rPr>
          <w:rFonts w:hint="eastAsia" w:ascii="宋体" w:hAnsi="宋体" w:cs="宋体"/>
          <w:szCs w:val="21"/>
        </w:rPr>
      </w:pPr>
    </w:p>
    <w:p w14:paraId="430CB56B">
      <w:pPr>
        <w:spacing w:line="300" w:lineRule="auto"/>
        <w:rPr>
          <w:rFonts w:hint="eastAsia" w:ascii="宋体" w:hAnsi="宋体" w:cs="宋体"/>
          <w:szCs w:val="21"/>
        </w:rPr>
      </w:pPr>
    </w:p>
    <w:p w14:paraId="2A711CB9">
      <w:pPr>
        <w:spacing w:line="360" w:lineRule="auto"/>
        <w:contextualSpacing/>
        <w:jc w:val="center"/>
        <w:rPr>
          <w:rFonts w:hint="eastAsia" w:ascii="宋体" w:hAnsi="宋体" w:cs="宋体"/>
          <w:b/>
          <w:sz w:val="32"/>
          <w:szCs w:val="32"/>
        </w:rPr>
      </w:pPr>
      <w:r>
        <w:rPr>
          <w:rFonts w:hint="eastAsia" w:ascii="宋体" w:hAnsi="宋体" w:cs="宋体"/>
          <w:b/>
          <w:sz w:val="32"/>
          <w:szCs w:val="32"/>
        </w:rPr>
        <w:br w:type="page"/>
      </w:r>
      <w:r>
        <w:rPr>
          <w:rFonts w:hint="eastAsia" w:ascii="宋体" w:hAnsi="宋体" w:cs="宋体"/>
          <w:b/>
          <w:sz w:val="32"/>
          <w:szCs w:val="32"/>
        </w:rPr>
        <w:t>供应商直接控股股东信息表</w:t>
      </w:r>
    </w:p>
    <w:p w14:paraId="5E77C7E8">
      <w:pPr>
        <w:spacing w:line="360" w:lineRule="auto"/>
        <w:contextualSpacing/>
        <w:jc w:val="center"/>
        <w:rPr>
          <w:rFonts w:hint="eastAsia" w:ascii="宋体" w:hAnsi="宋体" w:cs="宋体"/>
          <w:b/>
          <w:sz w:val="24"/>
        </w:rPr>
      </w:pPr>
    </w:p>
    <w:tbl>
      <w:tblPr>
        <w:tblStyle w:val="30"/>
        <w:tblW w:w="0" w:type="auto"/>
        <w:jc w:val="center"/>
        <w:shd w:val="clear" w:color="auto" w:fill="FBFBFB"/>
        <w:tblLayout w:type="fixed"/>
        <w:tblCellMar>
          <w:top w:w="0" w:type="dxa"/>
          <w:left w:w="0" w:type="dxa"/>
          <w:bottom w:w="0" w:type="dxa"/>
          <w:right w:w="0" w:type="dxa"/>
        </w:tblCellMar>
      </w:tblPr>
      <w:tblGrid>
        <w:gridCol w:w="880"/>
        <w:gridCol w:w="2655"/>
        <w:gridCol w:w="1455"/>
        <w:gridCol w:w="4287"/>
        <w:gridCol w:w="870"/>
      </w:tblGrid>
      <w:tr w14:paraId="7252742D">
        <w:tblPrEx>
          <w:shd w:val="clear" w:color="auto" w:fill="FBFBFB"/>
          <w:tblCellMar>
            <w:top w:w="0" w:type="dxa"/>
            <w:left w:w="0" w:type="dxa"/>
            <w:bottom w:w="0" w:type="dxa"/>
            <w:right w:w="0" w:type="dxa"/>
          </w:tblCellMar>
        </w:tblPrEx>
        <w:trPr>
          <w:tblHeade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071C90E">
            <w:pPr>
              <w:spacing w:line="360" w:lineRule="auto"/>
              <w:contextualSpacing/>
              <w:jc w:val="center"/>
              <w:rPr>
                <w:rFonts w:hint="eastAsia" w:ascii="宋体" w:hAnsi="宋体" w:cs="宋体"/>
                <w:b/>
                <w:bCs/>
                <w:sz w:val="24"/>
              </w:rPr>
            </w:pPr>
            <w:r>
              <w:rPr>
                <w:rFonts w:hint="eastAsia" w:ascii="宋体" w:hAnsi="宋体" w:cs="宋体"/>
                <w:b/>
                <w:bCs/>
                <w:sz w:val="24"/>
              </w:rPr>
              <w:t>序号</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377F7F2">
            <w:pPr>
              <w:spacing w:line="360" w:lineRule="auto"/>
              <w:contextualSpacing/>
              <w:jc w:val="center"/>
              <w:rPr>
                <w:rFonts w:hint="eastAsia" w:ascii="宋体" w:hAnsi="宋体" w:cs="宋体"/>
                <w:b/>
                <w:bCs/>
                <w:sz w:val="24"/>
              </w:rPr>
            </w:pPr>
            <w:r>
              <w:rPr>
                <w:rFonts w:hint="eastAsia" w:ascii="宋体" w:hAnsi="宋体" w:cs="宋体"/>
                <w:b/>
                <w:bCs/>
                <w:sz w:val="24"/>
              </w:rPr>
              <w:t>直接控股股东名称</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DAD7295">
            <w:pPr>
              <w:spacing w:line="360" w:lineRule="auto"/>
              <w:contextualSpacing/>
              <w:jc w:val="center"/>
              <w:rPr>
                <w:rFonts w:hint="eastAsia" w:ascii="宋体" w:hAnsi="宋体" w:cs="宋体"/>
                <w:b/>
                <w:bCs/>
                <w:sz w:val="24"/>
              </w:rPr>
            </w:pPr>
            <w:r>
              <w:rPr>
                <w:rFonts w:hint="eastAsia" w:ascii="宋体" w:hAnsi="宋体" w:cs="宋体"/>
                <w:b/>
                <w:bCs/>
                <w:sz w:val="24"/>
              </w:rPr>
              <w:t>出资比例</w:t>
            </w: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E663B75">
            <w:pPr>
              <w:spacing w:line="360" w:lineRule="auto"/>
              <w:contextualSpacing/>
              <w:jc w:val="center"/>
              <w:rPr>
                <w:rFonts w:hint="eastAsia" w:ascii="宋体" w:hAnsi="宋体" w:cs="宋体"/>
                <w:b/>
                <w:bCs/>
                <w:sz w:val="24"/>
              </w:rPr>
            </w:pPr>
            <w:r>
              <w:rPr>
                <w:rFonts w:hint="eastAsia" w:ascii="宋体" w:hAnsi="宋体" w:cs="宋体"/>
                <w:b/>
                <w:bCs/>
                <w:sz w:val="24"/>
              </w:rPr>
              <w:t>身份证号码或者统一社会信用代码</w:t>
            </w: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CD22E68">
            <w:pPr>
              <w:spacing w:line="360" w:lineRule="auto"/>
              <w:contextualSpacing/>
              <w:jc w:val="center"/>
              <w:rPr>
                <w:rFonts w:hint="eastAsia" w:ascii="宋体" w:hAnsi="宋体" w:cs="宋体"/>
                <w:b/>
                <w:bCs/>
                <w:sz w:val="24"/>
              </w:rPr>
            </w:pPr>
            <w:r>
              <w:rPr>
                <w:rFonts w:hint="eastAsia" w:ascii="宋体" w:hAnsi="宋体" w:cs="宋体"/>
                <w:b/>
                <w:bCs/>
                <w:sz w:val="24"/>
              </w:rPr>
              <w:t>备注</w:t>
            </w:r>
          </w:p>
        </w:tc>
      </w:tr>
      <w:tr w14:paraId="4825CFE8">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C8B9B38">
            <w:pPr>
              <w:spacing w:line="360" w:lineRule="auto"/>
              <w:contextualSpacing/>
              <w:jc w:val="center"/>
              <w:rPr>
                <w:rFonts w:hint="eastAsia" w:ascii="宋体" w:hAnsi="宋体" w:cs="宋体"/>
                <w:sz w:val="24"/>
              </w:rPr>
            </w:pPr>
            <w:r>
              <w:rPr>
                <w:rFonts w:hint="eastAsia" w:ascii="宋体" w:hAnsi="宋体" w:cs="宋体"/>
                <w:sz w:val="24"/>
              </w:rPr>
              <w:t>1</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698B305">
            <w:pPr>
              <w:spacing w:line="360" w:lineRule="auto"/>
              <w:contextualSpacing/>
              <w:jc w:val="center"/>
              <w:rPr>
                <w:rFonts w:hint="eastAsia" w:ascii="宋体" w:hAnsi="宋体" w:cs="宋体"/>
                <w:sz w:val="24"/>
              </w:rPr>
            </w:pP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486DCFE">
            <w:pPr>
              <w:spacing w:line="360" w:lineRule="auto"/>
              <w:contextualSpacing/>
              <w:jc w:val="center"/>
              <w:rPr>
                <w:rFonts w:hint="eastAsia" w:ascii="宋体" w:hAnsi="宋体" w:cs="宋体"/>
                <w:sz w:val="24"/>
              </w:rPr>
            </w:pP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30FDF39">
            <w:pPr>
              <w:spacing w:line="360" w:lineRule="auto"/>
              <w:contextualSpacing/>
              <w:jc w:val="center"/>
              <w:rPr>
                <w:rFonts w:hint="eastAsia" w:ascii="宋体" w:hAnsi="宋体" w:cs="宋体"/>
                <w:sz w:val="24"/>
              </w:rPr>
            </w:pP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D200F27">
            <w:pPr>
              <w:spacing w:line="360" w:lineRule="auto"/>
              <w:contextualSpacing/>
              <w:jc w:val="center"/>
              <w:rPr>
                <w:rFonts w:hint="eastAsia" w:ascii="宋体" w:hAnsi="宋体" w:cs="宋体"/>
                <w:sz w:val="24"/>
              </w:rPr>
            </w:pPr>
          </w:p>
        </w:tc>
      </w:tr>
      <w:tr w14:paraId="23DC7BF0">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225146A">
            <w:pPr>
              <w:spacing w:line="360" w:lineRule="auto"/>
              <w:contextualSpacing/>
              <w:jc w:val="center"/>
              <w:rPr>
                <w:rFonts w:hint="eastAsia" w:ascii="宋体" w:hAnsi="宋体" w:cs="宋体"/>
                <w:sz w:val="24"/>
              </w:rPr>
            </w:pPr>
            <w:r>
              <w:rPr>
                <w:rFonts w:hint="eastAsia" w:ascii="宋体" w:hAnsi="宋体" w:cs="宋体"/>
                <w:sz w:val="24"/>
              </w:rPr>
              <w:t>2</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698EC53">
            <w:pPr>
              <w:spacing w:line="360" w:lineRule="auto"/>
              <w:contextualSpacing/>
              <w:jc w:val="center"/>
              <w:rPr>
                <w:rFonts w:hint="eastAsia" w:ascii="宋体" w:hAnsi="宋体" w:cs="宋体"/>
                <w:sz w:val="24"/>
              </w:rPr>
            </w:pP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6FEED01">
            <w:pPr>
              <w:spacing w:line="360" w:lineRule="auto"/>
              <w:contextualSpacing/>
              <w:jc w:val="center"/>
              <w:rPr>
                <w:rFonts w:hint="eastAsia" w:ascii="宋体" w:hAnsi="宋体" w:cs="宋体"/>
                <w:sz w:val="24"/>
              </w:rPr>
            </w:pP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BD3D9C1">
            <w:pPr>
              <w:spacing w:line="360" w:lineRule="auto"/>
              <w:contextualSpacing/>
              <w:jc w:val="center"/>
              <w:rPr>
                <w:rFonts w:hint="eastAsia" w:ascii="宋体" w:hAnsi="宋体" w:cs="宋体"/>
                <w:sz w:val="24"/>
              </w:rPr>
            </w:pP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9F890DB">
            <w:pPr>
              <w:spacing w:line="360" w:lineRule="auto"/>
              <w:contextualSpacing/>
              <w:jc w:val="center"/>
              <w:rPr>
                <w:rFonts w:hint="eastAsia" w:ascii="宋体" w:hAnsi="宋体" w:cs="宋体"/>
                <w:sz w:val="24"/>
              </w:rPr>
            </w:pPr>
          </w:p>
        </w:tc>
      </w:tr>
      <w:tr w14:paraId="7E6C5E5E">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C423956">
            <w:pPr>
              <w:spacing w:line="360" w:lineRule="auto"/>
              <w:contextualSpacing/>
              <w:jc w:val="center"/>
              <w:rPr>
                <w:rFonts w:hint="eastAsia" w:ascii="宋体" w:hAnsi="宋体" w:cs="宋体"/>
                <w:sz w:val="24"/>
              </w:rPr>
            </w:pPr>
            <w:r>
              <w:rPr>
                <w:rFonts w:hint="eastAsia" w:ascii="宋体" w:hAnsi="宋体" w:cs="宋体"/>
                <w:sz w:val="24"/>
              </w:rPr>
              <w:t>3</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CC278AC">
            <w:pPr>
              <w:spacing w:line="360" w:lineRule="auto"/>
              <w:contextualSpacing/>
              <w:jc w:val="center"/>
              <w:rPr>
                <w:rFonts w:hint="eastAsia" w:ascii="宋体" w:hAnsi="宋体" w:cs="宋体"/>
                <w:sz w:val="24"/>
              </w:rPr>
            </w:pP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0710045">
            <w:pPr>
              <w:spacing w:line="360" w:lineRule="auto"/>
              <w:contextualSpacing/>
              <w:jc w:val="center"/>
              <w:rPr>
                <w:rFonts w:hint="eastAsia" w:ascii="宋体" w:hAnsi="宋体" w:cs="宋体"/>
                <w:sz w:val="24"/>
              </w:rPr>
            </w:pP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4624F14">
            <w:pPr>
              <w:spacing w:line="360" w:lineRule="auto"/>
              <w:contextualSpacing/>
              <w:jc w:val="center"/>
              <w:rPr>
                <w:rFonts w:hint="eastAsia" w:ascii="宋体" w:hAnsi="宋体" w:cs="宋体"/>
                <w:sz w:val="24"/>
              </w:rPr>
            </w:pP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E643147">
            <w:pPr>
              <w:spacing w:line="360" w:lineRule="auto"/>
              <w:contextualSpacing/>
              <w:jc w:val="center"/>
              <w:rPr>
                <w:rFonts w:hint="eastAsia" w:ascii="宋体" w:hAnsi="宋体" w:cs="宋体"/>
                <w:sz w:val="24"/>
              </w:rPr>
            </w:pPr>
          </w:p>
        </w:tc>
      </w:tr>
      <w:tr w14:paraId="50A7CD9E">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B9753B6">
            <w:pPr>
              <w:spacing w:line="360" w:lineRule="auto"/>
              <w:contextualSpacing/>
              <w:jc w:val="center"/>
              <w:rPr>
                <w:rFonts w:hint="eastAsia" w:ascii="宋体" w:hAnsi="宋体" w:cs="宋体"/>
                <w:sz w:val="24"/>
              </w:rPr>
            </w:pPr>
            <w:r>
              <w:rPr>
                <w:rFonts w:hint="eastAsia" w:ascii="宋体" w:hAnsi="宋体" w:cs="宋体"/>
                <w:sz w:val="24"/>
              </w:rPr>
              <w:t>……</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40EB489">
            <w:pPr>
              <w:spacing w:line="360" w:lineRule="auto"/>
              <w:contextualSpacing/>
              <w:jc w:val="center"/>
              <w:rPr>
                <w:rFonts w:hint="eastAsia" w:ascii="宋体" w:hAnsi="宋体" w:cs="宋体"/>
                <w:sz w:val="24"/>
              </w:rPr>
            </w:pP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EE1FFDC">
            <w:pPr>
              <w:spacing w:line="360" w:lineRule="auto"/>
              <w:contextualSpacing/>
              <w:jc w:val="center"/>
              <w:rPr>
                <w:rFonts w:hint="eastAsia" w:ascii="宋体" w:hAnsi="宋体" w:cs="宋体"/>
                <w:sz w:val="24"/>
              </w:rPr>
            </w:pP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C29DB5B">
            <w:pPr>
              <w:spacing w:line="360" w:lineRule="auto"/>
              <w:contextualSpacing/>
              <w:jc w:val="center"/>
              <w:rPr>
                <w:rFonts w:hint="eastAsia" w:ascii="宋体" w:hAnsi="宋体" w:cs="宋体"/>
                <w:sz w:val="24"/>
              </w:rPr>
            </w:pP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64AEF76">
            <w:pPr>
              <w:spacing w:line="360" w:lineRule="auto"/>
              <w:contextualSpacing/>
              <w:jc w:val="center"/>
              <w:rPr>
                <w:rFonts w:hint="eastAsia" w:ascii="宋体" w:hAnsi="宋体" w:cs="宋体"/>
                <w:sz w:val="24"/>
              </w:rPr>
            </w:pPr>
          </w:p>
        </w:tc>
      </w:tr>
    </w:tbl>
    <w:p w14:paraId="4AA8463B">
      <w:pPr>
        <w:spacing w:line="360" w:lineRule="auto"/>
        <w:contextualSpacing/>
        <w:rPr>
          <w:rFonts w:hint="eastAsia" w:ascii="宋体" w:hAnsi="宋体" w:cs="宋体"/>
          <w:sz w:val="24"/>
        </w:rPr>
      </w:pPr>
      <w:r>
        <w:rPr>
          <w:rFonts w:hint="eastAsia" w:ascii="宋体" w:hAnsi="宋体" w:cs="宋体"/>
          <w:sz w:val="24"/>
        </w:rPr>
        <w:t>注：</w:t>
      </w:r>
    </w:p>
    <w:p w14:paraId="52C55B28">
      <w:pPr>
        <w:spacing w:line="360" w:lineRule="auto"/>
        <w:ind w:firstLine="480" w:firstLineChars="200"/>
        <w:contextualSpacing/>
        <w:rPr>
          <w:rFonts w:hint="eastAsia" w:ascii="宋体" w:hAnsi="宋体" w:cs="宋体"/>
          <w:sz w:val="24"/>
        </w:rPr>
      </w:pPr>
      <w:r>
        <w:rPr>
          <w:rFonts w:hint="eastAsia" w:ascii="宋体" w:hAnsi="宋体" w:cs="宋体"/>
          <w:sz w:val="24"/>
        </w:rPr>
        <w:t xml:space="preserve">1、各股东名称必须与《国家企业信用信息公示系统》（网址：https://fj.gsxt.gov.cn/socialuser-use-rllogin.html） “股东及出资信息”的信息相符，否则投标文件作无效处理。 </w:t>
      </w:r>
    </w:p>
    <w:p w14:paraId="4140D2FF">
      <w:pPr>
        <w:spacing w:line="360" w:lineRule="auto"/>
        <w:ind w:firstLine="480" w:firstLineChars="200"/>
        <w:contextualSpacing/>
        <w:rPr>
          <w:rFonts w:hint="eastAsia" w:ascii="宋体" w:hAnsi="宋体" w:cs="宋体"/>
          <w:sz w:val="24"/>
        </w:rPr>
      </w:pPr>
      <w:r>
        <w:rPr>
          <w:rFonts w:hint="eastAsia" w:ascii="宋体" w:hAnsi="宋体" w:cs="宋体"/>
          <w:sz w:val="24"/>
        </w:rPr>
        <w:t>2、附投标</w:t>
      </w:r>
      <w:r>
        <w:rPr>
          <w:rFonts w:hint="eastAsia" w:ascii="宋体" w:hAnsi="宋体" w:cs="宋体"/>
          <w:sz w:val="24"/>
          <w:lang w:val="en-US" w:eastAsia="zh-CN"/>
        </w:rPr>
        <w:t>单位</w:t>
      </w:r>
      <w:r>
        <w:rPr>
          <w:rFonts w:hint="eastAsia" w:ascii="宋体" w:hAnsi="宋体" w:cs="宋体"/>
          <w:sz w:val="24"/>
        </w:rPr>
        <w:t xml:space="preserve">在《国家企业信用信息公示系统》（网址：https://fj.gsxt.gov.cn/socialuser-use-rllogin.html）中的“股东及出资信息”页面打印文件，否则投标文件作无效处理。 </w:t>
      </w:r>
    </w:p>
    <w:p w14:paraId="1B8B4029">
      <w:pPr>
        <w:spacing w:line="360" w:lineRule="auto"/>
        <w:ind w:firstLine="480" w:firstLineChars="200"/>
        <w:contextualSpacing/>
        <w:rPr>
          <w:rFonts w:hint="eastAsia" w:ascii="宋体" w:hAnsi="宋体" w:cs="宋体"/>
          <w:sz w:val="24"/>
        </w:rPr>
      </w:pPr>
      <w:r>
        <w:rPr>
          <w:rFonts w:hint="eastAsia" w:ascii="宋体" w:hAnsi="宋体" w:cs="宋体"/>
          <w:sz w:val="24"/>
        </w:rPr>
        <w:t>3、投标</w:t>
      </w:r>
      <w:r>
        <w:rPr>
          <w:rFonts w:hint="eastAsia" w:ascii="宋体" w:hAnsi="宋体" w:cs="宋体"/>
          <w:sz w:val="24"/>
          <w:lang w:val="en-US" w:eastAsia="zh-CN"/>
        </w:rPr>
        <w:t>单位</w:t>
      </w:r>
      <w:r>
        <w:rPr>
          <w:rFonts w:hint="eastAsia" w:ascii="宋体" w:hAnsi="宋体" w:cs="宋体"/>
          <w:sz w:val="24"/>
        </w:rPr>
        <w:t>如为事业单位的，不需要提供本表。</w:t>
      </w:r>
    </w:p>
    <w:p w14:paraId="00565038">
      <w:pPr>
        <w:spacing w:line="360" w:lineRule="auto"/>
        <w:ind w:firstLine="480" w:firstLineChars="200"/>
        <w:contextualSpacing/>
        <w:rPr>
          <w:rFonts w:hint="eastAsia" w:ascii="宋体" w:hAnsi="宋体" w:cs="宋体"/>
          <w:sz w:val="24"/>
        </w:rPr>
      </w:pPr>
      <w:r>
        <w:rPr>
          <w:rFonts w:hint="eastAsia" w:ascii="宋体" w:hAnsi="宋体" w:cs="宋体"/>
          <w:sz w:val="24"/>
        </w:rPr>
        <w:t>4、提供“天眼查”里面投标人的公司信息及股东之间的关联图，否则投标文件作无效处理。</w:t>
      </w:r>
    </w:p>
    <w:p w14:paraId="0597CDF3">
      <w:pPr>
        <w:spacing w:line="360" w:lineRule="auto"/>
        <w:ind w:firstLine="480" w:firstLineChars="200"/>
        <w:contextualSpacing/>
        <w:rPr>
          <w:rFonts w:hint="eastAsia" w:ascii="宋体" w:hAnsi="宋体" w:cs="宋体"/>
          <w:sz w:val="24"/>
        </w:rPr>
      </w:pPr>
      <w:r>
        <w:rPr>
          <w:rFonts w:hint="eastAsia" w:ascii="宋体" w:hAnsi="宋体" w:cs="宋体"/>
          <w:sz w:val="24"/>
        </w:rPr>
        <w:t>5、本项目不接受联合体投标，不接受投标</w:t>
      </w:r>
      <w:r>
        <w:rPr>
          <w:rFonts w:hint="eastAsia" w:ascii="宋体" w:hAnsi="宋体" w:cs="宋体"/>
          <w:sz w:val="24"/>
          <w:lang w:val="en-US" w:eastAsia="zh-CN"/>
        </w:rPr>
        <w:t>单位</w:t>
      </w:r>
      <w:r>
        <w:rPr>
          <w:rFonts w:hint="eastAsia" w:ascii="宋体" w:hAnsi="宋体" w:cs="宋体"/>
          <w:sz w:val="24"/>
        </w:rPr>
        <w:t>企业间可能存在单位负责人为同一人或者直接控股、管理关系，根据政府采购的有关规定，同一项目不能选择单位负责人为同一人或者存在直接控股、管理关系的不同定点</w:t>
      </w:r>
      <w:r>
        <w:rPr>
          <w:rFonts w:hint="eastAsia" w:ascii="宋体" w:hAnsi="宋体" w:cs="宋体"/>
          <w:sz w:val="24"/>
          <w:lang w:val="en-US" w:eastAsia="zh-CN"/>
        </w:rPr>
        <w:t>投标单位</w:t>
      </w:r>
      <w:r>
        <w:rPr>
          <w:rFonts w:hint="eastAsia" w:ascii="宋体" w:hAnsi="宋体" w:cs="宋体"/>
          <w:sz w:val="24"/>
        </w:rPr>
        <w:t>参与竞争，各投标</w:t>
      </w:r>
      <w:r>
        <w:rPr>
          <w:rFonts w:hint="eastAsia" w:ascii="宋体" w:hAnsi="宋体" w:cs="宋体"/>
          <w:sz w:val="24"/>
          <w:lang w:val="en-US" w:eastAsia="zh-CN"/>
        </w:rPr>
        <w:t>单位</w:t>
      </w:r>
      <w:r>
        <w:rPr>
          <w:rFonts w:hint="eastAsia" w:ascii="宋体" w:hAnsi="宋体" w:cs="宋体"/>
          <w:sz w:val="24"/>
        </w:rPr>
        <w:t>应主动回避此情形。</w:t>
      </w:r>
    </w:p>
    <w:p w14:paraId="53A99D7A">
      <w:pPr>
        <w:spacing w:line="360" w:lineRule="auto"/>
        <w:rPr>
          <w:rFonts w:hint="eastAsia" w:ascii="宋体" w:hAnsi="宋体" w:cs="宋体"/>
          <w:sz w:val="24"/>
        </w:rPr>
      </w:pPr>
    </w:p>
    <w:p w14:paraId="68CEEDF3">
      <w:pPr>
        <w:spacing w:line="360" w:lineRule="auto"/>
        <w:rPr>
          <w:rFonts w:hint="eastAsia" w:ascii="宋体" w:hAnsi="宋体" w:cs="宋体"/>
          <w:sz w:val="24"/>
        </w:rPr>
      </w:pPr>
    </w:p>
    <w:p w14:paraId="7057159F">
      <w:pPr>
        <w:spacing w:before="156" w:beforeLines="50" w:line="360" w:lineRule="auto"/>
        <w:ind w:right="480" w:firstLine="1920" w:firstLineChars="800"/>
        <w:rPr>
          <w:rFonts w:hint="eastAsia" w:ascii="宋体" w:hAnsi="宋体" w:cs="宋体"/>
          <w:sz w:val="24"/>
          <w:u w:val="single"/>
        </w:rPr>
      </w:pPr>
      <w:r>
        <w:rPr>
          <w:rFonts w:hint="eastAsia" w:ascii="宋体" w:hAnsi="宋体" w:cs="宋体"/>
          <w:sz w:val="24"/>
        </w:rPr>
        <w:t>法定代表人或者委托代理人签字：</w:t>
      </w:r>
      <w:r>
        <w:rPr>
          <w:rFonts w:hint="eastAsia" w:ascii="宋体" w:hAnsi="宋体" w:cs="宋体"/>
          <w:sz w:val="24"/>
          <w:u w:val="single"/>
        </w:rPr>
        <w:t xml:space="preserve">                </w:t>
      </w:r>
    </w:p>
    <w:p w14:paraId="1E06F102">
      <w:pPr>
        <w:spacing w:before="156" w:beforeLines="50" w:after="50" w:line="360" w:lineRule="auto"/>
        <w:ind w:right="480" w:firstLine="3000" w:firstLineChars="1250"/>
        <w:rPr>
          <w:rFonts w:hint="eastAsia" w:ascii="宋体" w:hAnsi="宋体" w:cs="宋体"/>
          <w:sz w:val="24"/>
          <w:u w:val="single"/>
        </w:rPr>
      </w:pPr>
      <w:r>
        <w:rPr>
          <w:rFonts w:hint="eastAsia" w:ascii="宋体" w:hAnsi="宋体" w:cs="宋体"/>
          <w:sz w:val="24"/>
        </w:rPr>
        <w:t>供应商</w:t>
      </w:r>
      <w:r>
        <w:rPr>
          <w:rFonts w:hint="eastAsia" w:ascii="宋体" w:hAnsi="宋体"/>
          <w:color w:val="auto"/>
          <w:sz w:val="24"/>
          <w:highlight w:val="none"/>
        </w:rPr>
        <w:t>（电子签章）</w:t>
      </w:r>
      <w:r>
        <w:rPr>
          <w:rFonts w:hint="eastAsia" w:ascii="宋体" w:hAnsi="宋体" w:cs="宋体"/>
          <w:sz w:val="24"/>
        </w:rPr>
        <w:t>：</w:t>
      </w:r>
      <w:r>
        <w:rPr>
          <w:rFonts w:hint="eastAsia" w:ascii="宋体" w:hAnsi="宋体" w:cs="宋体"/>
          <w:sz w:val="24"/>
          <w:u w:val="single"/>
        </w:rPr>
        <w:t xml:space="preserve">                  </w:t>
      </w:r>
    </w:p>
    <w:p w14:paraId="3AE45644">
      <w:pPr>
        <w:spacing w:before="156" w:beforeLines="50" w:after="50" w:line="360" w:lineRule="auto"/>
        <w:ind w:right="480" w:firstLine="5280" w:firstLineChars="2200"/>
        <w:rPr>
          <w:rFonts w:hint="eastAsia" w:ascii="宋体" w:hAnsi="宋体" w:eastAsia="宋体" w:cs="宋体"/>
        </w:rPr>
      </w:pPr>
      <w:r>
        <w:rPr>
          <w:rFonts w:hint="eastAsia" w:ascii="宋体" w:hAnsi="宋体" w:cs="宋体"/>
          <w:sz w:val="24"/>
        </w:rPr>
        <w:t>年    月    日</w:t>
      </w:r>
    </w:p>
    <w:p w14:paraId="037DEC29">
      <w:pPr>
        <w:spacing w:line="320" w:lineRule="exact"/>
        <w:jc w:val="center"/>
        <w:rPr>
          <w:rFonts w:hint="eastAsia" w:ascii="宋体" w:hAnsi="宋体" w:cs="宋体"/>
          <w:b/>
          <w:sz w:val="32"/>
          <w:szCs w:val="32"/>
        </w:rPr>
      </w:pPr>
    </w:p>
    <w:p w14:paraId="411AE0A1">
      <w:pPr>
        <w:spacing w:line="320" w:lineRule="exact"/>
        <w:jc w:val="center"/>
        <w:rPr>
          <w:rFonts w:hint="eastAsia" w:ascii="宋体" w:hAnsi="宋体" w:cs="宋体"/>
          <w:b/>
          <w:sz w:val="32"/>
          <w:szCs w:val="32"/>
        </w:rPr>
      </w:pPr>
      <w:r>
        <w:rPr>
          <w:rFonts w:hint="eastAsia" w:ascii="宋体" w:hAnsi="宋体" w:cs="宋体"/>
          <w:b/>
          <w:sz w:val="32"/>
          <w:szCs w:val="32"/>
        </w:rPr>
        <w:br w:type="page"/>
      </w:r>
      <w:r>
        <w:rPr>
          <w:rFonts w:hint="eastAsia" w:ascii="宋体" w:hAnsi="宋体" w:cs="宋体"/>
          <w:b/>
          <w:sz w:val="32"/>
          <w:szCs w:val="32"/>
        </w:rPr>
        <w:t>供应商直接管理关系信息表</w:t>
      </w:r>
    </w:p>
    <w:p w14:paraId="68356C89">
      <w:pPr>
        <w:spacing w:line="360" w:lineRule="auto"/>
        <w:jc w:val="center"/>
        <w:rPr>
          <w:rFonts w:hint="eastAsia" w:ascii="宋体" w:hAnsi="宋体" w:cs="宋体"/>
          <w:b/>
          <w:sz w:val="24"/>
        </w:rPr>
      </w:pPr>
    </w:p>
    <w:tbl>
      <w:tblPr>
        <w:tblStyle w:val="30"/>
        <w:tblW w:w="0" w:type="auto"/>
        <w:jc w:val="center"/>
        <w:shd w:val="clear" w:color="auto" w:fill="FBFBFB"/>
        <w:tblLayout w:type="fixed"/>
        <w:tblCellMar>
          <w:top w:w="0" w:type="dxa"/>
          <w:left w:w="0" w:type="dxa"/>
          <w:bottom w:w="0" w:type="dxa"/>
          <w:right w:w="0" w:type="dxa"/>
        </w:tblCellMar>
      </w:tblPr>
      <w:tblGrid>
        <w:gridCol w:w="808"/>
        <w:gridCol w:w="3600"/>
        <w:gridCol w:w="3555"/>
        <w:gridCol w:w="1689"/>
      </w:tblGrid>
      <w:tr w14:paraId="3E26ED53">
        <w:tblPrEx>
          <w:shd w:val="clear" w:color="auto" w:fill="FBFBFB"/>
          <w:tblCellMar>
            <w:top w:w="0" w:type="dxa"/>
            <w:left w:w="0" w:type="dxa"/>
            <w:bottom w:w="0" w:type="dxa"/>
            <w:right w:w="0" w:type="dxa"/>
          </w:tblCellMar>
        </w:tblPrEx>
        <w:trPr>
          <w:tblHeade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CB1BEA8">
            <w:pPr>
              <w:spacing w:line="360" w:lineRule="auto"/>
              <w:contextualSpacing/>
              <w:jc w:val="center"/>
              <w:rPr>
                <w:rFonts w:hint="eastAsia" w:ascii="宋体" w:hAnsi="宋体" w:cs="宋体"/>
                <w:b/>
                <w:bCs/>
                <w:sz w:val="24"/>
              </w:rPr>
            </w:pPr>
            <w:r>
              <w:rPr>
                <w:rFonts w:hint="eastAsia" w:ascii="宋体" w:hAnsi="宋体" w:cs="宋体"/>
                <w:b/>
                <w:bCs/>
                <w:sz w:val="24"/>
              </w:rPr>
              <w:t>序号</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313229C">
            <w:pPr>
              <w:spacing w:line="360" w:lineRule="auto"/>
              <w:contextualSpacing/>
              <w:jc w:val="center"/>
              <w:rPr>
                <w:rFonts w:hint="eastAsia" w:ascii="宋体" w:hAnsi="宋体" w:cs="宋体"/>
                <w:b/>
                <w:bCs/>
                <w:sz w:val="24"/>
              </w:rPr>
            </w:pPr>
            <w:r>
              <w:rPr>
                <w:rFonts w:hint="eastAsia" w:ascii="宋体" w:hAnsi="宋体" w:cs="宋体"/>
                <w:b/>
                <w:bCs/>
                <w:sz w:val="24"/>
              </w:rPr>
              <w:t>直接管理关系单位名称</w:t>
            </w: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0CDFE29">
            <w:pPr>
              <w:spacing w:line="360" w:lineRule="auto"/>
              <w:contextualSpacing/>
              <w:jc w:val="center"/>
              <w:rPr>
                <w:rFonts w:hint="eastAsia" w:ascii="宋体" w:hAnsi="宋体" w:cs="宋体"/>
                <w:b/>
                <w:bCs/>
                <w:sz w:val="24"/>
              </w:rPr>
            </w:pPr>
            <w:r>
              <w:rPr>
                <w:rFonts w:hint="eastAsia" w:ascii="宋体" w:hAnsi="宋体" w:cs="宋体"/>
                <w:b/>
                <w:bCs/>
                <w:sz w:val="24"/>
              </w:rPr>
              <w:t>统一社会信用代码</w:t>
            </w: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D889557">
            <w:pPr>
              <w:spacing w:line="360" w:lineRule="auto"/>
              <w:contextualSpacing/>
              <w:jc w:val="center"/>
              <w:rPr>
                <w:rFonts w:hint="eastAsia" w:ascii="宋体" w:hAnsi="宋体" w:cs="宋体"/>
                <w:b/>
                <w:bCs/>
                <w:sz w:val="24"/>
              </w:rPr>
            </w:pPr>
            <w:r>
              <w:rPr>
                <w:rFonts w:hint="eastAsia" w:ascii="宋体" w:hAnsi="宋体" w:cs="宋体"/>
                <w:b/>
                <w:bCs/>
                <w:sz w:val="24"/>
              </w:rPr>
              <w:t>备注</w:t>
            </w:r>
          </w:p>
        </w:tc>
      </w:tr>
      <w:tr w14:paraId="30DF1564">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0F41036">
            <w:pPr>
              <w:spacing w:line="360" w:lineRule="auto"/>
              <w:contextualSpacing/>
              <w:jc w:val="center"/>
              <w:rPr>
                <w:rFonts w:hint="eastAsia" w:ascii="宋体" w:hAnsi="宋体" w:cs="宋体"/>
                <w:sz w:val="24"/>
              </w:rPr>
            </w:pPr>
            <w:r>
              <w:rPr>
                <w:rFonts w:hint="eastAsia" w:ascii="宋体" w:hAnsi="宋体" w:cs="宋体"/>
                <w:sz w:val="24"/>
              </w:rPr>
              <w:t>1</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BC55635">
            <w:pPr>
              <w:spacing w:line="360" w:lineRule="auto"/>
              <w:contextualSpacing/>
              <w:jc w:val="center"/>
              <w:rPr>
                <w:rFonts w:hint="eastAsia" w:ascii="宋体" w:hAnsi="宋体" w:cs="宋体"/>
                <w:sz w:val="24"/>
              </w:rPr>
            </w:pP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FA9DA1E">
            <w:pPr>
              <w:spacing w:line="360" w:lineRule="auto"/>
              <w:contextualSpacing/>
              <w:jc w:val="center"/>
              <w:rPr>
                <w:rFonts w:hint="eastAsia" w:ascii="宋体" w:hAnsi="宋体" w:cs="宋体"/>
                <w:sz w:val="24"/>
              </w:rPr>
            </w:pP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07A7FEE">
            <w:pPr>
              <w:spacing w:line="360" w:lineRule="auto"/>
              <w:contextualSpacing/>
              <w:jc w:val="center"/>
              <w:rPr>
                <w:rFonts w:hint="eastAsia" w:ascii="宋体" w:hAnsi="宋体" w:cs="宋体"/>
                <w:sz w:val="24"/>
              </w:rPr>
            </w:pPr>
          </w:p>
        </w:tc>
      </w:tr>
      <w:tr w14:paraId="356A0962">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09836E9">
            <w:pPr>
              <w:spacing w:line="360" w:lineRule="auto"/>
              <w:contextualSpacing/>
              <w:jc w:val="center"/>
              <w:rPr>
                <w:rFonts w:hint="eastAsia" w:ascii="宋体" w:hAnsi="宋体" w:cs="宋体"/>
                <w:sz w:val="24"/>
              </w:rPr>
            </w:pPr>
            <w:r>
              <w:rPr>
                <w:rFonts w:hint="eastAsia" w:ascii="宋体" w:hAnsi="宋体" w:cs="宋体"/>
                <w:sz w:val="24"/>
              </w:rPr>
              <w:t>2</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67DBF98">
            <w:pPr>
              <w:spacing w:line="360" w:lineRule="auto"/>
              <w:contextualSpacing/>
              <w:jc w:val="center"/>
              <w:rPr>
                <w:rFonts w:hint="eastAsia" w:ascii="宋体" w:hAnsi="宋体" w:cs="宋体"/>
                <w:sz w:val="24"/>
              </w:rPr>
            </w:pP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2D3E3FA">
            <w:pPr>
              <w:spacing w:line="360" w:lineRule="auto"/>
              <w:contextualSpacing/>
              <w:jc w:val="center"/>
              <w:rPr>
                <w:rFonts w:hint="eastAsia" w:ascii="宋体" w:hAnsi="宋体" w:cs="宋体"/>
                <w:sz w:val="24"/>
              </w:rPr>
            </w:pP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46F3497">
            <w:pPr>
              <w:spacing w:line="360" w:lineRule="auto"/>
              <w:contextualSpacing/>
              <w:jc w:val="center"/>
              <w:rPr>
                <w:rFonts w:hint="eastAsia" w:ascii="宋体" w:hAnsi="宋体" w:cs="宋体"/>
                <w:sz w:val="24"/>
              </w:rPr>
            </w:pPr>
          </w:p>
        </w:tc>
      </w:tr>
      <w:tr w14:paraId="0DFD0F92">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2E1FD92">
            <w:pPr>
              <w:spacing w:line="360" w:lineRule="auto"/>
              <w:contextualSpacing/>
              <w:jc w:val="center"/>
              <w:rPr>
                <w:rFonts w:hint="eastAsia" w:ascii="宋体" w:hAnsi="宋体" w:cs="宋体"/>
                <w:sz w:val="24"/>
              </w:rPr>
            </w:pPr>
            <w:r>
              <w:rPr>
                <w:rFonts w:hint="eastAsia" w:ascii="宋体" w:hAnsi="宋体" w:cs="宋体"/>
                <w:sz w:val="24"/>
              </w:rPr>
              <w:t>3</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0AA0CA6">
            <w:pPr>
              <w:spacing w:line="360" w:lineRule="auto"/>
              <w:contextualSpacing/>
              <w:jc w:val="center"/>
              <w:rPr>
                <w:rFonts w:hint="eastAsia" w:ascii="宋体" w:hAnsi="宋体" w:cs="宋体"/>
                <w:sz w:val="24"/>
              </w:rPr>
            </w:pP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527DEB0">
            <w:pPr>
              <w:spacing w:line="360" w:lineRule="auto"/>
              <w:contextualSpacing/>
              <w:jc w:val="center"/>
              <w:rPr>
                <w:rFonts w:hint="eastAsia" w:ascii="宋体" w:hAnsi="宋体" w:cs="宋体"/>
                <w:sz w:val="24"/>
              </w:rPr>
            </w:pP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1E1B6B8">
            <w:pPr>
              <w:spacing w:line="360" w:lineRule="auto"/>
              <w:contextualSpacing/>
              <w:jc w:val="center"/>
              <w:rPr>
                <w:rFonts w:hint="eastAsia" w:ascii="宋体" w:hAnsi="宋体" w:cs="宋体"/>
                <w:sz w:val="24"/>
              </w:rPr>
            </w:pPr>
          </w:p>
        </w:tc>
      </w:tr>
      <w:tr w14:paraId="4F204DCA">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AA4A43A">
            <w:pPr>
              <w:spacing w:line="360" w:lineRule="auto"/>
              <w:contextualSpacing/>
              <w:jc w:val="center"/>
              <w:rPr>
                <w:rFonts w:hint="eastAsia" w:ascii="宋体" w:hAnsi="宋体" w:cs="宋体"/>
                <w:sz w:val="24"/>
              </w:rPr>
            </w:pPr>
            <w:r>
              <w:rPr>
                <w:rFonts w:hint="eastAsia" w:ascii="宋体" w:hAnsi="宋体" w:cs="宋体"/>
                <w:sz w:val="24"/>
              </w:rPr>
              <w:t>……</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03BD733">
            <w:pPr>
              <w:spacing w:line="360" w:lineRule="auto"/>
              <w:contextualSpacing/>
              <w:jc w:val="center"/>
              <w:rPr>
                <w:rFonts w:hint="eastAsia" w:ascii="宋体" w:hAnsi="宋体" w:cs="宋体"/>
                <w:sz w:val="24"/>
              </w:rPr>
            </w:pP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BD441B5">
            <w:pPr>
              <w:spacing w:line="360" w:lineRule="auto"/>
              <w:contextualSpacing/>
              <w:jc w:val="center"/>
              <w:rPr>
                <w:rFonts w:hint="eastAsia" w:ascii="宋体" w:hAnsi="宋体" w:cs="宋体"/>
                <w:sz w:val="24"/>
              </w:rPr>
            </w:pP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338F426">
            <w:pPr>
              <w:spacing w:line="360" w:lineRule="auto"/>
              <w:contextualSpacing/>
              <w:jc w:val="center"/>
              <w:rPr>
                <w:rFonts w:hint="eastAsia" w:ascii="宋体" w:hAnsi="宋体" w:cs="宋体"/>
                <w:sz w:val="24"/>
              </w:rPr>
            </w:pPr>
          </w:p>
        </w:tc>
      </w:tr>
    </w:tbl>
    <w:p w14:paraId="2969758F">
      <w:pPr>
        <w:spacing w:line="360" w:lineRule="auto"/>
        <w:contextualSpacing/>
        <w:rPr>
          <w:rFonts w:hint="eastAsia" w:ascii="宋体" w:hAnsi="宋体" w:cs="宋体"/>
          <w:sz w:val="24"/>
        </w:rPr>
      </w:pPr>
      <w:r>
        <w:rPr>
          <w:rFonts w:hint="eastAsia" w:ascii="宋体" w:hAnsi="宋体" w:cs="宋体"/>
          <w:sz w:val="24"/>
        </w:rPr>
        <w:t>注：</w:t>
      </w:r>
    </w:p>
    <w:p w14:paraId="358FDE93">
      <w:pPr>
        <w:spacing w:line="360" w:lineRule="auto"/>
        <w:ind w:firstLine="480" w:firstLineChars="200"/>
        <w:contextualSpacing/>
        <w:rPr>
          <w:rFonts w:hint="eastAsia" w:ascii="宋体" w:hAnsi="宋体" w:cs="宋体"/>
          <w:sz w:val="24"/>
        </w:rPr>
      </w:pPr>
      <w:r>
        <w:rPr>
          <w:rFonts w:hint="eastAsia" w:ascii="宋体" w:hAnsi="宋体" w:cs="宋体"/>
          <w:sz w:val="24"/>
        </w:rPr>
        <w:t>1.管理关系：是指不具有出资持股关系的其他单位之间存在的管理与被管理关系，如一些上下级关系的事业单位和团体组织。</w:t>
      </w:r>
    </w:p>
    <w:p w14:paraId="42B2B157">
      <w:pPr>
        <w:spacing w:line="360" w:lineRule="auto"/>
        <w:ind w:firstLine="480" w:firstLineChars="200"/>
        <w:contextualSpacing/>
        <w:rPr>
          <w:rFonts w:hint="eastAsia" w:ascii="宋体" w:hAnsi="宋体" w:cs="宋体"/>
          <w:sz w:val="24"/>
        </w:rPr>
      </w:pPr>
      <w:r>
        <w:rPr>
          <w:rFonts w:hint="eastAsia" w:ascii="宋体" w:hAnsi="宋体" w:cs="宋体"/>
          <w:sz w:val="24"/>
        </w:rPr>
        <w:t>2.</w:t>
      </w:r>
      <w:r>
        <w:rPr>
          <w:rFonts w:hint="eastAsia" w:ascii="宋体" w:hAnsi="宋体" w:cs="宋体"/>
          <w:spacing w:val="-6"/>
          <w:sz w:val="24"/>
        </w:rPr>
        <w:t>本表所指的管理关系仅限于直接管理关系，不包括间接的管理关系。</w:t>
      </w:r>
    </w:p>
    <w:p w14:paraId="1F6248DE">
      <w:pPr>
        <w:spacing w:line="360" w:lineRule="auto"/>
        <w:ind w:firstLine="480" w:firstLineChars="200"/>
        <w:contextualSpacing/>
        <w:rPr>
          <w:rFonts w:hint="eastAsia" w:ascii="宋体" w:hAnsi="宋体" w:cs="宋体"/>
          <w:sz w:val="24"/>
        </w:rPr>
      </w:pPr>
      <w:r>
        <w:rPr>
          <w:rFonts w:hint="eastAsia" w:ascii="宋体" w:hAnsi="宋体" w:cs="宋体"/>
          <w:sz w:val="24"/>
        </w:rPr>
        <w:t>3.供应商不存在直接管理关系的，则填“无”。</w:t>
      </w:r>
    </w:p>
    <w:p w14:paraId="4DA6F65B">
      <w:pPr>
        <w:spacing w:line="360" w:lineRule="auto"/>
        <w:contextualSpacing/>
        <w:rPr>
          <w:rFonts w:hint="eastAsia" w:ascii="宋体" w:hAnsi="宋体" w:cs="宋体"/>
          <w:sz w:val="24"/>
        </w:rPr>
      </w:pPr>
    </w:p>
    <w:p w14:paraId="5B623ED9">
      <w:pPr>
        <w:spacing w:line="360" w:lineRule="auto"/>
        <w:contextualSpacing/>
        <w:rPr>
          <w:rFonts w:hint="eastAsia" w:ascii="宋体" w:hAnsi="宋体" w:cs="宋体"/>
          <w:sz w:val="24"/>
        </w:rPr>
      </w:pPr>
    </w:p>
    <w:p w14:paraId="42E93521">
      <w:pPr>
        <w:spacing w:line="360" w:lineRule="auto"/>
        <w:contextualSpacing/>
        <w:rPr>
          <w:rFonts w:hint="eastAsia" w:ascii="宋体" w:hAnsi="宋体" w:cs="宋体"/>
          <w:sz w:val="24"/>
        </w:rPr>
      </w:pPr>
    </w:p>
    <w:p w14:paraId="4D595001">
      <w:pPr>
        <w:spacing w:line="360" w:lineRule="auto"/>
        <w:contextualSpacing/>
        <w:rPr>
          <w:rFonts w:hint="eastAsia" w:ascii="宋体" w:hAnsi="宋体" w:cs="宋体"/>
          <w:sz w:val="24"/>
        </w:rPr>
      </w:pPr>
    </w:p>
    <w:p w14:paraId="062CDFA6">
      <w:pPr>
        <w:spacing w:line="360" w:lineRule="auto"/>
        <w:contextualSpacing/>
        <w:rPr>
          <w:rFonts w:hint="eastAsia" w:ascii="宋体" w:hAnsi="宋体" w:cs="宋体"/>
          <w:sz w:val="24"/>
        </w:rPr>
      </w:pPr>
    </w:p>
    <w:p w14:paraId="659B7C1E">
      <w:pPr>
        <w:spacing w:line="360" w:lineRule="auto"/>
        <w:contextualSpacing/>
        <w:rPr>
          <w:rFonts w:hint="eastAsia" w:ascii="宋体" w:hAnsi="宋体" w:cs="宋体"/>
          <w:sz w:val="24"/>
        </w:rPr>
      </w:pPr>
    </w:p>
    <w:p w14:paraId="2048D25E">
      <w:pPr>
        <w:spacing w:line="360" w:lineRule="auto"/>
        <w:ind w:right="480" w:firstLine="2160" w:firstLineChars="900"/>
        <w:contextualSpacing/>
        <w:rPr>
          <w:rFonts w:hint="eastAsia" w:ascii="宋体" w:hAnsi="宋体" w:cs="宋体"/>
          <w:sz w:val="24"/>
          <w:u w:val="single"/>
        </w:rPr>
      </w:pPr>
      <w:r>
        <w:rPr>
          <w:rFonts w:hint="eastAsia" w:ascii="宋体" w:hAnsi="宋体" w:cs="宋体"/>
          <w:sz w:val="24"/>
        </w:rPr>
        <w:t>法定代表人或者委托代理人签字：</w:t>
      </w:r>
      <w:r>
        <w:rPr>
          <w:rFonts w:hint="eastAsia" w:ascii="宋体" w:hAnsi="宋体" w:cs="宋体"/>
          <w:sz w:val="24"/>
          <w:u w:val="single"/>
        </w:rPr>
        <w:t xml:space="preserve">               </w:t>
      </w:r>
    </w:p>
    <w:p w14:paraId="5684505F">
      <w:pPr>
        <w:spacing w:line="360" w:lineRule="auto"/>
        <w:ind w:right="480" w:firstLine="3360" w:firstLineChars="1400"/>
        <w:contextualSpacing/>
        <w:rPr>
          <w:rFonts w:hint="eastAsia" w:ascii="宋体" w:hAnsi="宋体" w:cs="宋体"/>
          <w:sz w:val="24"/>
        </w:rPr>
      </w:pPr>
      <w:r>
        <w:rPr>
          <w:rFonts w:hint="eastAsia" w:ascii="宋体" w:hAnsi="宋体" w:cs="宋体"/>
          <w:sz w:val="24"/>
        </w:rPr>
        <w:t>供应商</w:t>
      </w:r>
      <w:r>
        <w:rPr>
          <w:rFonts w:hint="eastAsia" w:ascii="宋体" w:hAnsi="宋体"/>
          <w:color w:val="auto"/>
          <w:sz w:val="24"/>
          <w:highlight w:val="none"/>
        </w:rPr>
        <w:t>（电子签章）</w:t>
      </w:r>
      <w:r>
        <w:rPr>
          <w:rFonts w:hint="eastAsia" w:ascii="宋体" w:hAnsi="宋体" w:cs="宋体"/>
          <w:sz w:val="24"/>
        </w:rPr>
        <w:t>：</w:t>
      </w:r>
      <w:r>
        <w:rPr>
          <w:rFonts w:hint="eastAsia" w:ascii="宋体" w:hAnsi="宋体" w:cs="宋体"/>
          <w:sz w:val="24"/>
          <w:u w:val="single"/>
        </w:rPr>
        <w:t xml:space="preserve">                </w:t>
      </w:r>
    </w:p>
    <w:p w14:paraId="00324B2E">
      <w:pPr>
        <w:spacing w:line="360" w:lineRule="auto"/>
        <w:ind w:right="480" w:firstLine="240" w:firstLineChars="100"/>
        <w:contextualSpacing/>
        <w:jc w:val="center"/>
        <w:rPr>
          <w:rFonts w:hint="eastAsia" w:ascii="宋体" w:hAnsi="宋体" w:cs="宋体"/>
          <w:sz w:val="28"/>
          <w:szCs w:val="28"/>
        </w:rPr>
      </w:pPr>
      <w:r>
        <w:rPr>
          <w:rFonts w:hint="eastAsia" w:ascii="宋体" w:hAnsi="宋体" w:cs="宋体"/>
          <w:sz w:val="24"/>
        </w:rPr>
        <w:t xml:space="preserve">                                        年    月    日</w:t>
      </w:r>
    </w:p>
    <w:p w14:paraId="3EC461A4">
      <w:pPr>
        <w:spacing w:line="360" w:lineRule="auto"/>
        <w:ind w:right="480"/>
        <w:contextualSpacing/>
        <w:jc w:val="center"/>
        <w:rPr>
          <w:rFonts w:hint="eastAsia" w:ascii="宋体" w:hAnsi="宋体" w:cs="宋体"/>
          <w:b/>
          <w:sz w:val="32"/>
          <w:szCs w:val="32"/>
        </w:rPr>
      </w:pPr>
    </w:p>
    <w:p w14:paraId="22D9FF5E">
      <w:pPr>
        <w:spacing w:line="360" w:lineRule="auto"/>
        <w:ind w:right="480"/>
        <w:contextualSpacing/>
        <w:jc w:val="center"/>
        <w:rPr>
          <w:rFonts w:hint="eastAsia" w:ascii="宋体" w:hAnsi="宋体" w:cs="宋体"/>
          <w:b/>
          <w:sz w:val="32"/>
          <w:szCs w:val="32"/>
        </w:rPr>
      </w:pPr>
    </w:p>
    <w:p w14:paraId="72CB3AAD">
      <w:pPr>
        <w:spacing w:line="360" w:lineRule="auto"/>
        <w:ind w:right="480"/>
        <w:contextualSpacing/>
        <w:jc w:val="center"/>
        <w:rPr>
          <w:rFonts w:hint="eastAsia" w:ascii="宋体" w:hAnsi="宋体" w:cs="宋体"/>
          <w:b/>
          <w:sz w:val="32"/>
          <w:szCs w:val="32"/>
        </w:rPr>
      </w:pPr>
    </w:p>
    <w:p w14:paraId="432F68AE">
      <w:pPr>
        <w:spacing w:line="360" w:lineRule="auto"/>
        <w:ind w:right="480"/>
        <w:contextualSpacing/>
        <w:jc w:val="center"/>
        <w:rPr>
          <w:rFonts w:hint="eastAsia" w:ascii="宋体" w:hAnsi="宋体" w:cs="宋体"/>
          <w:b/>
          <w:sz w:val="32"/>
          <w:szCs w:val="32"/>
        </w:rPr>
      </w:pPr>
    </w:p>
    <w:p w14:paraId="62DC3213">
      <w:pPr>
        <w:spacing w:line="360" w:lineRule="auto"/>
        <w:ind w:right="480"/>
        <w:contextualSpacing/>
        <w:jc w:val="center"/>
        <w:rPr>
          <w:rFonts w:hint="eastAsia" w:ascii="宋体" w:hAnsi="宋体" w:cs="宋体"/>
          <w:b/>
          <w:sz w:val="32"/>
          <w:szCs w:val="32"/>
        </w:rPr>
      </w:pPr>
    </w:p>
    <w:p w14:paraId="73A4CCCE">
      <w:pPr>
        <w:spacing w:line="360" w:lineRule="auto"/>
        <w:ind w:right="480"/>
        <w:contextualSpacing/>
        <w:jc w:val="center"/>
        <w:rPr>
          <w:rFonts w:hint="eastAsia" w:ascii="宋体" w:hAnsi="宋体" w:cs="宋体"/>
          <w:b/>
          <w:sz w:val="32"/>
          <w:szCs w:val="32"/>
        </w:rPr>
      </w:pPr>
      <w:r>
        <w:rPr>
          <w:rFonts w:hint="eastAsia" w:ascii="宋体" w:hAnsi="宋体" w:cs="宋体"/>
          <w:b/>
          <w:sz w:val="32"/>
          <w:szCs w:val="32"/>
        </w:rPr>
        <w:t>竞标声明</w:t>
      </w:r>
    </w:p>
    <w:p w14:paraId="2F42023B">
      <w:pPr>
        <w:spacing w:line="320" w:lineRule="exact"/>
        <w:jc w:val="center"/>
        <w:rPr>
          <w:rFonts w:hint="eastAsia" w:ascii="宋体" w:hAnsi="宋体" w:cs="宋体"/>
          <w:sz w:val="24"/>
          <w:szCs w:val="20"/>
        </w:rPr>
      </w:pPr>
    </w:p>
    <w:p w14:paraId="5480F2A0">
      <w:pPr>
        <w:spacing w:line="360" w:lineRule="auto"/>
        <w:contextualSpacing/>
        <w:rPr>
          <w:rFonts w:hint="eastAsia" w:ascii="宋体" w:hAnsi="宋体" w:eastAsia="宋体" w:cs="宋体"/>
          <w:sz w:val="24"/>
          <w:lang w:eastAsia="zh-CN"/>
        </w:rPr>
      </w:pPr>
      <w:r>
        <w:rPr>
          <w:rFonts w:hint="eastAsia" w:ascii="宋体" w:hAnsi="宋体" w:cs="宋体"/>
          <w:sz w:val="24"/>
        </w:rPr>
        <w:t>致：</w:t>
      </w:r>
      <w:r>
        <w:rPr>
          <w:rFonts w:hint="eastAsia" w:ascii="宋体" w:hAnsi="宋体" w:cs="宋体"/>
          <w:sz w:val="24"/>
          <w:u w:val="single"/>
          <w:lang w:eastAsia="zh-CN"/>
        </w:rPr>
        <w:t>广西丰泰工程项目管理有限公司</w:t>
      </w:r>
    </w:p>
    <w:p w14:paraId="351379AF">
      <w:pPr>
        <w:spacing w:line="360" w:lineRule="auto"/>
        <w:ind w:firstLine="480" w:firstLineChars="200"/>
        <w:contextualSpacing/>
        <w:rPr>
          <w:rFonts w:hint="eastAsia" w:ascii="宋体" w:hAnsi="宋体" w:cs="宋体"/>
          <w:sz w:val="24"/>
        </w:rPr>
      </w:pPr>
      <w:r>
        <w:rPr>
          <w:rFonts w:hint="eastAsia" w:ascii="宋体" w:hAnsi="宋体" w:cs="宋体"/>
          <w:sz w:val="24"/>
        </w:rPr>
        <w:t>我方</w:t>
      </w:r>
      <w:r>
        <w:rPr>
          <w:rFonts w:hint="eastAsia" w:ascii="宋体" w:hAnsi="宋体" w:cs="宋体"/>
          <w:sz w:val="24"/>
          <w:u w:val="single"/>
        </w:rPr>
        <w:t>（供应商名称）</w:t>
      </w:r>
      <w:r>
        <w:rPr>
          <w:rFonts w:hint="eastAsia" w:ascii="宋体" w:hAnsi="宋体" w:cs="宋体"/>
          <w:sz w:val="24"/>
          <w:u w:val="single"/>
          <w:lang w:val="en-US" w:eastAsia="zh-CN"/>
        </w:rPr>
        <w:t xml:space="preserve">      </w:t>
      </w:r>
      <w:r>
        <w:rPr>
          <w:rFonts w:hint="eastAsia" w:ascii="宋体" w:hAnsi="宋体" w:cs="宋体"/>
          <w:sz w:val="24"/>
        </w:rPr>
        <w:t>系中华人民共和国合法供应商，经营地址</w:t>
      </w:r>
      <w:r>
        <w:rPr>
          <w:rFonts w:hint="eastAsia" w:ascii="宋体" w:hAnsi="宋体" w:cs="宋体"/>
          <w:sz w:val="24"/>
          <w:u w:val="single"/>
        </w:rPr>
        <w:t xml:space="preserve">                              </w:t>
      </w:r>
      <w:r>
        <w:rPr>
          <w:rFonts w:hint="eastAsia" w:ascii="宋体" w:hAnsi="宋体" w:cs="宋体"/>
          <w:sz w:val="24"/>
        </w:rPr>
        <w:t>。</w:t>
      </w:r>
    </w:p>
    <w:p w14:paraId="588A8373">
      <w:pPr>
        <w:spacing w:line="360" w:lineRule="auto"/>
        <w:ind w:firstLine="480" w:firstLineChars="200"/>
        <w:contextualSpacing/>
        <w:rPr>
          <w:rFonts w:hint="eastAsia" w:ascii="宋体" w:hAnsi="宋体" w:cs="宋体"/>
          <w:sz w:val="24"/>
        </w:rPr>
      </w:pPr>
      <w:r>
        <w:rPr>
          <w:rFonts w:hint="eastAsia" w:ascii="宋体" w:hAnsi="宋体" w:cs="宋体"/>
          <w:sz w:val="24"/>
        </w:rPr>
        <w:t>我方愿意参加贵方组织的</w:t>
      </w:r>
      <w:r>
        <w:rPr>
          <w:rFonts w:hint="eastAsia" w:ascii="宋体" w:hAnsi="宋体" w:cs="宋体"/>
          <w:sz w:val="24"/>
          <w:u w:val="single"/>
        </w:rPr>
        <w:t>（项目名称）</w:t>
      </w:r>
      <w:r>
        <w:rPr>
          <w:rFonts w:hint="eastAsia" w:ascii="宋体" w:hAnsi="宋体" w:cs="宋体"/>
          <w:sz w:val="24"/>
        </w:rPr>
        <w:t>项目的竞标，为便于贵方公正、择优地确定成交供应商及其竞标产品和服务，我方就本次竞标有关事项郑重声明如下：</w:t>
      </w:r>
    </w:p>
    <w:p w14:paraId="7C77602C">
      <w:pPr>
        <w:spacing w:line="360" w:lineRule="auto"/>
        <w:ind w:firstLine="480" w:firstLineChars="200"/>
        <w:contextualSpacing/>
        <w:rPr>
          <w:rFonts w:hint="eastAsia" w:ascii="宋体" w:hAnsi="宋体" w:cs="宋体"/>
          <w:sz w:val="24"/>
        </w:rPr>
      </w:pPr>
      <w:r>
        <w:rPr>
          <w:rFonts w:hint="eastAsia" w:ascii="宋体" w:hAnsi="宋体" w:cs="宋体"/>
          <w:sz w:val="24"/>
        </w:rPr>
        <w:t>1.我方向贵方提交的所有响应文件、资料都是准确的和真实的。</w:t>
      </w:r>
    </w:p>
    <w:p w14:paraId="34DCD851">
      <w:pPr>
        <w:spacing w:line="360" w:lineRule="auto"/>
        <w:ind w:firstLine="480" w:firstLineChars="200"/>
        <w:contextualSpacing/>
        <w:rPr>
          <w:rFonts w:hint="eastAsia" w:ascii="宋体" w:hAnsi="宋体" w:cs="宋体"/>
          <w:sz w:val="24"/>
        </w:rPr>
      </w:pPr>
      <w:r>
        <w:rPr>
          <w:rFonts w:hint="eastAsia" w:ascii="宋体" w:hAnsi="宋体" w:cs="宋体"/>
          <w:sz w:val="24"/>
        </w:rPr>
        <w:t>2.我方不是为本次采购项目提供整体设计、规范编制或者项目管理、监理、检测等服务的供应商。</w:t>
      </w:r>
    </w:p>
    <w:p w14:paraId="3709B0E7">
      <w:pPr>
        <w:spacing w:line="360" w:lineRule="auto"/>
        <w:ind w:firstLine="480" w:firstLineChars="200"/>
        <w:contextualSpacing/>
        <w:rPr>
          <w:rFonts w:hint="eastAsia" w:ascii="宋体" w:hAnsi="宋体" w:cs="宋体"/>
          <w:sz w:val="24"/>
        </w:rPr>
      </w:pPr>
      <w:r>
        <w:rPr>
          <w:rFonts w:hint="eastAsia" w:ascii="宋体" w:hAnsi="宋体" w:cs="宋体"/>
          <w:sz w:val="24"/>
        </w:rPr>
        <w:t>3.在此，我方宣布同意如下：</w:t>
      </w:r>
    </w:p>
    <w:p w14:paraId="5733022C">
      <w:pPr>
        <w:spacing w:line="360" w:lineRule="auto"/>
        <w:ind w:firstLine="480" w:firstLineChars="200"/>
        <w:contextualSpacing/>
        <w:rPr>
          <w:rFonts w:hint="eastAsia" w:ascii="宋体" w:hAnsi="宋体" w:cs="宋体"/>
          <w:sz w:val="24"/>
        </w:rPr>
      </w:pPr>
      <w:r>
        <w:rPr>
          <w:rFonts w:hint="eastAsia" w:ascii="宋体" w:hAnsi="宋体" w:cs="宋体"/>
          <w:sz w:val="24"/>
        </w:rPr>
        <w:t>（1）将按谈判文件的约定履行合同责任和义务；</w:t>
      </w:r>
    </w:p>
    <w:p w14:paraId="0073EE6B">
      <w:pPr>
        <w:spacing w:line="360" w:lineRule="auto"/>
        <w:ind w:firstLine="480" w:firstLineChars="200"/>
        <w:contextualSpacing/>
        <w:rPr>
          <w:rFonts w:hint="eastAsia" w:ascii="宋体" w:hAnsi="宋体" w:cs="宋体"/>
          <w:sz w:val="24"/>
        </w:rPr>
      </w:pPr>
      <w:r>
        <w:rPr>
          <w:rFonts w:hint="eastAsia" w:ascii="宋体" w:hAnsi="宋体" w:cs="宋体"/>
          <w:sz w:val="24"/>
        </w:rPr>
        <w:t>（2）已详细审查全部谈判文件，包括补遗文件（如有）；</w:t>
      </w:r>
    </w:p>
    <w:p w14:paraId="6B392562">
      <w:pPr>
        <w:spacing w:line="360" w:lineRule="auto"/>
        <w:ind w:firstLine="480" w:firstLineChars="200"/>
        <w:contextualSpacing/>
        <w:rPr>
          <w:rFonts w:hint="eastAsia" w:ascii="宋体" w:hAnsi="宋体" w:cs="宋体"/>
          <w:sz w:val="24"/>
        </w:rPr>
      </w:pPr>
      <w:r>
        <w:rPr>
          <w:rFonts w:hint="eastAsia" w:ascii="宋体" w:hAnsi="宋体" w:cs="宋体"/>
          <w:sz w:val="24"/>
        </w:rPr>
        <w:t>（3）同意提供按照贵方可能要求的与谈判有关的一切数据或者资料；</w:t>
      </w:r>
    </w:p>
    <w:p w14:paraId="0141C807">
      <w:pPr>
        <w:spacing w:line="360" w:lineRule="auto"/>
        <w:ind w:firstLine="480" w:firstLineChars="200"/>
        <w:contextualSpacing/>
        <w:rPr>
          <w:rFonts w:hint="eastAsia" w:ascii="宋体" w:hAnsi="宋体" w:cs="宋体"/>
          <w:sz w:val="24"/>
        </w:rPr>
      </w:pPr>
      <w:r>
        <w:rPr>
          <w:rFonts w:hint="eastAsia" w:ascii="宋体" w:hAnsi="宋体" w:cs="宋体"/>
          <w:sz w:val="24"/>
        </w:rPr>
        <w:t>（4）响应谈判文件规定的竞标有效期。</w:t>
      </w:r>
    </w:p>
    <w:p w14:paraId="794895FD">
      <w:pPr>
        <w:spacing w:line="360" w:lineRule="auto"/>
        <w:ind w:firstLine="480" w:firstLineChars="200"/>
        <w:contextualSpacing/>
        <w:rPr>
          <w:rFonts w:hint="eastAsia" w:ascii="宋体" w:hAnsi="宋体" w:cs="宋体"/>
          <w:sz w:val="24"/>
        </w:rPr>
      </w:pPr>
      <w:r>
        <w:rPr>
          <w:rFonts w:hint="eastAsia" w:ascii="宋体" w:hAnsi="宋体" w:cs="宋体"/>
          <w:sz w:val="24"/>
        </w:rPr>
        <w:t>4.我方承诺符合《中华人民共和国政府采购法》第二十二条规定：</w:t>
      </w:r>
    </w:p>
    <w:p w14:paraId="7065F694">
      <w:pPr>
        <w:spacing w:line="360" w:lineRule="auto"/>
        <w:ind w:firstLine="480" w:firstLineChars="200"/>
        <w:contextualSpacing/>
        <w:rPr>
          <w:rFonts w:hint="eastAsia" w:ascii="宋体" w:hAnsi="宋体" w:cs="宋体"/>
          <w:sz w:val="24"/>
        </w:rPr>
      </w:pPr>
      <w:r>
        <w:rPr>
          <w:rFonts w:hint="eastAsia" w:ascii="宋体" w:hAnsi="宋体" w:cs="宋体"/>
          <w:sz w:val="24"/>
        </w:rPr>
        <w:t>（1）具有独立承担民事责任的能力；</w:t>
      </w:r>
    </w:p>
    <w:p w14:paraId="73B45A93">
      <w:pPr>
        <w:spacing w:line="360" w:lineRule="auto"/>
        <w:ind w:firstLine="480" w:firstLineChars="200"/>
        <w:contextualSpacing/>
        <w:rPr>
          <w:rFonts w:hint="eastAsia" w:ascii="宋体" w:hAnsi="宋体" w:cs="宋体"/>
          <w:sz w:val="24"/>
        </w:rPr>
      </w:pPr>
      <w:r>
        <w:rPr>
          <w:rFonts w:hint="eastAsia" w:ascii="宋体" w:hAnsi="宋体" w:cs="宋体"/>
          <w:sz w:val="24"/>
        </w:rPr>
        <w:t>（2）具有良好的商业信誉和健全的财务会计制度；</w:t>
      </w:r>
    </w:p>
    <w:p w14:paraId="5D947B25">
      <w:pPr>
        <w:spacing w:line="360" w:lineRule="auto"/>
        <w:ind w:firstLine="480" w:firstLineChars="200"/>
        <w:contextualSpacing/>
        <w:rPr>
          <w:rFonts w:hint="eastAsia" w:ascii="宋体" w:hAnsi="宋体" w:cs="宋体"/>
          <w:sz w:val="24"/>
        </w:rPr>
      </w:pPr>
      <w:r>
        <w:rPr>
          <w:rFonts w:hint="eastAsia" w:ascii="宋体" w:hAnsi="宋体" w:cs="宋体"/>
          <w:sz w:val="24"/>
        </w:rPr>
        <w:t>（3）具有履行合同所必需的设备和专业技术能力；</w:t>
      </w:r>
    </w:p>
    <w:p w14:paraId="61032724">
      <w:pPr>
        <w:spacing w:line="360" w:lineRule="auto"/>
        <w:ind w:firstLine="480" w:firstLineChars="200"/>
        <w:contextualSpacing/>
        <w:rPr>
          <w:rFonts w:hint="eastAsia" w:ascii="宋体" w:hAnsi="宋体" w:cs="宋体"/>
          <w:sz w:val="24"/>
        </w:rPr>
      </w:pPr>
      <w:r>
        <w:rPr>
          <w:rFonts w:hint="eastAsia" w:ascii="宋体" w:hAnsi="宋体" w:cs="宋体"/>
          <w:sz w:val="24"/>
        </w:rPr>
        <w:t>（4）有依法缴纳税收和社会保障资金的良好记录；</w:t>
      </w:r>
    </w:p>
    <w:p w14:paraId="510B1059">
      <w:pPr>
        <w:spacing w:line="360" w:lineRule="auto"/>
        <w:ind w:firstLine="480" w:firstLineChars="200"/>
        <w:contextualSpacing/>
        <w:rPr>
          <w:rFonts w:hint="eastAsia" w:ascii="宋体" w:hAnsi="宋体" w:cs="宋体"/>
          <w:sz w:val="24"/>
        </w:rPr>
      </w:pPr>
      <w:r>
        <w:rPr>
          <w:rFonts w:hint="eastAsia" w:ascii="宋体" w:hAnsi="宋体" w:cs="宋体"/>
          <w:sz w:val="24"/>
        </w:rPr>
        <w:t>（5）参加政府采购活动前三年内，在经营活动中没有重大违法记录；</w:t>
      </w:r>
    </w:p>
    <w:p w14:paraId="765CDC6F">
      <w:pPr>
        <w:spacing w:line="360" w:lineRule="auto"/>
        <w:ind w:firstLine="480" w:firstLineChars="200"/>
        <w:contextualSpacing/>
        <w:rPr>
          <w:rFonts w:hint="eastAsia" w:ascii="宋体" w:hAnsi="宋体" w:cs="宋体"/>
          <w:sz w:val="24"/>
        </w:rPr>
      </w:pPr>
      <w:r>
        <w:rPr>
          <w:rFonts w:hint="eastAsia" w:ascii="宋体" w:hAnsi="宋体" w:cs="宋体"/>
          <w:sz w:val="24"/>
        </w:rPr>
        <w:t>（6）法律、行政法规规定的其他条件。</w:t>
      </w:r>
    </w:p>
    <w:p w14:paraId="196F2F59">
      <w:pPr>
        <w:spacing w:line="360" w:lineRule="auto"/>
        <w:ind w:firstLine="480" w:firstLineChars="200"/>
        <w:contextualSpacing/>
        <w:rPr>
          <w:rFonts w:hint="eastAsia" w:ascii="宋体" w:hAnsi="宋体" w:cs="宋体"/>
          <w:sz w:val="24"/>
        </w:rPr>
      </w:pPr>
      <w:r>
        <w:rPr>
          <w:rFonts w:hint="eastAsia" w:ascii="宋体" w:hAnsi="宋体" w:cs="宋体"/>
          <w:sz w:val="24"/>
        </w:rPr>
        <w:t>5.我方在此声明，我方在参加本项目的政府采购活动前三年内，在经营活动中没有重大违法记录（重大违法记录是指供应商因违法经营受到刑事处罚或者责令停产停业、吊销许可证或者执照、较大数额罚款等行政处罚），未被列入失信被执行人、重大税收违法案件当事人名单、政府采购严重违法失信行为记录名单，完全符合《中华人民共和国政府采购法》第二十二条规定的供应商资格条件，我方对此声明负全部法律责任。</w:t>
      </w:r>
    </w:p>
    <w:p w14:paraId="359F7CCE">
      <w:pPr>
        <w:spacing w:line="360" w:lineRule="auto"/>
        <w:ind w:firstLine="480" w:firstLineChars="200"/>
        <w:contextualSpacing/>
        <w:rPr>
          <w:rFonts w:hint="eastAsia" w:ascii="宋体" w:hAnsi="宋体" w:cs="宋体"/>
          <w:sz w:val="24"/>
        </w:rPr>
      </w:pPr>
      <w:r>
        <w:rPr>
          <w:rFonts w:hint="eastAsia" w:ascii="宋体" w:hAnsi="宋体" w:cs="宋体"/>
          <w:sz w:val="24"/>
        </w:rPr>
        <w:t>6.根据《中华人民共和国政府采购法实施条例》第五十条要求对政府采购合同进行公告，但政府采购合同中涉及国家秘密、商业秘密的内容除外。我方就对本次响应文件进行注明如下：（两项内容中必须选择一项）</w:t>
      </w:r>
    </w:p>
    <w:p w14:paraId="493354F2">
      <w:pPr>
        <w:spacing w:line="360" w:lineRule="auto"/>
        <w:ind w:firstLine="480" w:firstLineChars="200"/>
        <w:contextualSpacing/>
        <w:rPr>
          <w:rFonts w:hint="eastAsia" w:ascii="宋体" w:hAnsi="宋体" w:cs="宋体"/>
          <w:sz w:val="24"/>
        </w:rPr>
      </w:pPr>
      <w:r>
        <w:rPr>
          <w:rFonts w:hint="eastAsia" w:ascii="宋体" w:hAnsi="宋体" w:cs="宋体"/>
          <w:sz w:val="24"/>
        </w:rPr>
        <w:t>□我方本次响应文件</w:t>
      </w:r>
      <w:r>
        <w:rPr>
          <w:rFonts w:hint="eastAsia" w:ascii="宋体" w:hAnsi="宋体" w:cs="宋体"/>
          <w:kern w:val="0"/>
          <w:sz w:val="24"/>
        </w:rPr>
        <w:t>内容中</w:t>
      </w:r>
      <w:r>
        <w:rPr>
          <w:rFonts w:hint="eastAsia" w:ascii="宋体" w:hAnsi="宋体" w:cs="宋体"/>
          <w:sz w:val="24"/>
        </w:rPr>
        <w:t>未</w:t>
      </w:r>
      <w:r>
        <w:rPr>
          <w:rFonts w:hint="eastAsia" w:ascii="宋体" w:hAnsi="宋体" w:cs="宋体"/>
          <w:kern w:val="0"/>
          <w:sz w:val="24"/>
        </w:rPr>
        <w:t>涉及商业秘密；</w:t>
      </w:r>
    </w:p>
    <w:p w14:paraId="0EFBEAA0">
      <w:pPr>
        <w:spacing w:line="360" w:lineRule="auto"/>
        <w:ind w:firstLine="480" w:firstLineChars="200"/>
        <w:contextualSpacing/>
        <w:rPr>
          <w:rFonts w:hint="eastAsia" w:ascii="宋体" w:hAnsi="宋体" w:cs="宋体"/>
          <w:sz w:val="24"/>
        </w:rPr>
      </w:pPr>
      <w:r>
        <w:rPr>
          <w:rFonts w:hint="eastAsia" w:ascii="宋体" w:hAnsi="宋体" w:cs="宋体"/>
          <w:sz w:val="24"/>
        </w:rPr>
        <w:t>□我方本次响应文件</w:t>
      </w:r>
      <w:r>
        <w:rPr>
          <w:rFonts w:hint="eastAsia" w:ascii="宋体" w:hAnsi="宋体" w:cs="宋体"/>
          <w:kern w:val="0"/>
          <w:sz w:val="24"/>
        </w:rPr>
        <w:t>涉及商业秘密的内容有：</w:t>
      </w:r>
      <w:r>
        <w:rPr>
          <w:rFonts w:hint="eastAsia" w:ascii="宋体" w:hAnsi="宋体" w:cs="宋体"/>
          <w:kern w:val="0"/>
          <w:sz w:val="24"/>
          <w:u w:val="single"/>
        </w:rPr>
        <w:t xml:space="preserve">                         </w:t>
      </w:r>
      <w:r>
        <w:rPr>
          <w:rFonts w:hint="eastAsia" w:ascii="宋体" w:hAnsi="宋体" w:cs="宋体"/>
          <w:kern w:val="0"/>
          <w:sz w:val="24"/>
        </w:rPr>
        <w:t>；</w:t>
      </w:r>
    </w:p>
    <w:p w14:paraId="223A29CC">
      <w:pPr>
        <w:pStyle w:val="17"/>
        <w:spacing w:line="360" w:lineRule="auto"/>
        <w:ind w:firstLine="480" w:firstLineChars="200"/>
        <w:contextualSpacing/>
        <w:rPr>
          <w:rFonts w:hint="eastAsia" w:hAnsi="宋体" w:cs="宋体"/>
          <w:sz w:val="24"/>
          <w:szCs w:val="24"/>
          <w:u w:val="single"/>
        </w:rPr>
      </w:pPr>
      <w:r>
        <w:rPr>
          <w:rFonts w:hint="eastAsia" w:hAnsi="宋体" w:cs="宋体"/>
          <w:sz w:val="24"/>
          <w:szCs w:val="24"/>
        </w:rPr>
        <w:t>7.与本谈判有关的一切正式往来信函请寄：</w:t>
      </w:r>
      <w:r>
        <w:rPr>
          <w:rFonts w:hint="eastAsia" w:hAnsi="宋体" w:cs="宋体"/>
          <w:sz w:val="24"/>
          <w:szCs w:val="24"/>
          <w:u w:val="single"/>
        </w:rPr>
        <w:t xml:space="preserve">                  </w:t>
      </w:r>
      <w:r>
        <w:rPr>
          <w:rFonts w:hint="eastAsia" w:hAnsi="宋体" w:cs="宋体"/>
          <w:sz w:val="24"/>
          <w:szCs w:val="24"/>
        </w:rPr>
        <w:t>邮政编号：</w:t>
      </w:r>
      <w:r>
        <w:rPr>
          <w:rFonts w:hint="eastAsia" w:hAnsi="宋体" w:cs="宋体"/>
          <w:sz w:val="24"/>
          <w:szCs w:val="24"/>
          <w:u w:val="single"/>
        </w:rPr>
        <w:t xml:space="preserve">    </w:t>
      </w:r>
    </w:p>
    <w:p w14:paraId="6C133208">
      <w:pPr>
        <w:pStyle w:val="17"/>
        <w:spacing w:line="360" w:lineRule="auto"/>
        <w:ind w:firstLine="480" w:firstLineChars="200"/>
        <w:contextualSpacing/>
        <w:rPr>
          <w:rFonts w:hint="eastAsia" w:hAnsi="宋体" w:cs="宋体"/>
          <w:sz w:val="24"/>
          <w:szCs w:val="24"/>
        </w:rPr>
      </w:pPr>
      <w:r>
        <w:rPr>
          <w:rFonts w:hint="eastAsia" w:hAnsi="宋体" w:cs="宋体"/>
          <w:sz w:val="24"/>
          <w:szCs w:val="24"/>
        </w:rPr>
        <w:t>电话/传真：</w:t>
      </w:r>
      <w:r>
        <w:rPr>
          <w:rFonts w:hint="eastAsia" w:hAnsi="宋体" w:cs="宋体"/>
          <w:sz w:val="24"/>
          <w:szCs w:val="24"/>
          <w:u w:val="single"/>
        </w:rPr>
        <w:t xml:space="preserve">                        </w:t>
      </w:r>
      <w:r>
        <w:rPr>
          <w:rFonts w:hint="eastAsia" w:hAnsi="宋体" w:cs="宋体"/>
          <w:sz w:val="24"/>
          <w:szCs w:val="24"/>
        </w:rPr>
        <w:t xml:space="preserve"> 电子函件：</w:t>
      </w:r>
      <w:r>
        <w:rPr>
          <w:rFonts w:hint="eastAsia" w:hAnsi="宋体" w:cs="宋体"/>
          <w:sz w:val="24"/>
          <w:szCs w:val="24"/>
          <w:u w:val="single"/>
        </w:rPr>
        <w:t xml:space="preserve">             </w:t>
      </w:r>
      <w:r>
        <w:rPr>
          <w:rFonts w:hint="eastAsia" w:hAnsi="宋体" w:cs="宋体"/>
          <w:sz w:val="24"/>
          <w:szCs w:val="24"/>
        </w:rPr>
        <w:t xml:space="preserve">    </w:t>
      </w:r>
    </w:p>
    <w:p w14:paraId="0FA46C7D">
      <w:pPr>
        <w:pStyle w:val="15"/>
        <w:tabs>
          <w:tab w:val="left" w:pos="939"/>
        </w:tabs>
        <w:spacing w:line="360" w:lineRule="auto"/>
        <w:ind w:left="141" w:leftChars="67" w:firstLine="360" w:firstLineChars="150"/>
        <w:rPr>
          <w:rFonts w:hint="eastAsia" w:ascii="宋体" w:hAnsi="宋体" w:cs="宋体"/>
          <w:sz w:val="24"/>
        </w:rPr>
      </w:pPr>
      <w:r>
        <w:rPr>
          <w:rFonts w:hint="eastAsia" w:ascii="宋体" w:hAnsi="宋体" w:cs="宋体"/>
          <w:sz w:val="24"/>
        </w:rPr>
        <w:t>开户银行：</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lang w:eastAsia="zh-CN"/>
        </w:rPr>
        <w:t>账号</w:t>
      </w:r>
      <w:r>
        <w:rPr>
          <w:rFonts w:hint="eastAsia" w:ascii="宋体" w:hAnsi="宋体" w:cs="宋体"/>
          <w:sz w:val="24"/>
        </w:rPr>
        <w:t>/行号：</w:t>
      </w:r>
      <w:r>
        <w:rPr>
          <w:rFonts w:hint="eastAsia" w:ascii="宋体" w:hAnsi="宋体" w:cs="宋体"/>
          <w:sz w:val="24"/>
          <w:u w:val="single"/>
        </w:rPr>
        <w:t xml:space="preserve">           </w:t>
      </w:r>
    </w:p>
    <w:p w14:paraId="59FE30C9">
      <w:pPr>
        <w:pStyle w:val="15"/>
        <w:tabs>
          <w:tab w:val="left" w:pos="939"/>
        </w:tabs>
        <w:spacing w:line="360" w:lineRule="auto"/>
        <w:ind w:left="141" w:leftChars="67" w:firstLine="360" w:firstLineChars="150"/>
        <w:rPr>
          <w:rFonts w:hint="eastAsia" w:ascii="宋体" w:hAnsi="宋体" w:cs="宋体"/>
          <w:sz w:val="24"/>
        </w:rPr>
      </w:pPr>
      <w:r>
        <w:rPr>
          <w:rFonts w:hint="eastAsia" w:ascii="宋体" w:hAnsi="宋体" w:cs="宋体"/>
          <w:sz w:val="24"/>
        </w:rPr>
        <w:t>8.以上事项如有虚假或者隐瞒，我方愿意承担一切后果，并不再寻求任何旨在减轻或者免除法律责任的辩解。</w:t>
      </w:r>
    </w:p>
    <w:p w14:paraId="15356FD9">
      <w:pPr>
        <w:pStyle w:val="15"/>
        <w:tabs>
          <w:tab w:val="left" w:pos="939"/>
        </w:tabs>
        <w:spacing w:line="360" w:lineRule="auto"/>
        <w:ind w:left="141" w:leftChars="67" w:firstLine="360" w:firstLineChars="150"/>
        <w:rPr>
          <w:rFonts w:hint="eastAsia" w:ascii="宋体" w:hAnsi="宋体" w:cs="宋体"/>
          <w:szCs w:val="21"/>
        </w:rPr>
      </w:pPr>
      <w:r>
        <w:rPr>
          <w:rFonts w:hint="eastAsia" w:ascii="宋体" w:hAnsi="宋体" w:cs="宋体"/>
          <w:sz w:val="24"/>
        </w:rPr>
        <w:t>特此承诺。</w:t>
      </w:r>
    </w:p>
    <w:p w14:paraId="4163E6F1">
      <w:pPr>
        <w:spacing w:line="360" w:lineRule="auto"/>
        <w:contextualSpacing/>
        <w:jc w:val="left"/>
        <w:rPr>
          <w:rFonts w:hint="eastAsia" w:ascii="宋体" w:hAnsi="宋体" w:cs="宋体"/>
          <w:szCs w:val="21"/>
        </w:rPr>
      </w:pPr>
      <w:r>
        <w:rPr>
          <w:rFonts w:hint="eastAsia" w:ascii="宋体" w:hAnsi="宋体" w:cs="宋体"/>
          <w:b/>
          <w:sz w:val="24"/>
        </w:rPr>
        <w:t xml:space="preserve">   </w:t>
      </w:r>
    </w:p>
    <w:p w14:paraId="1FABE0B5">
      <w:pPr>
        <w:spacing w:line="360" w:lineRule="auto"/>
        <w:ind w:firstLine="3780" w:firstLineChars="1800"/>
        <w:contextualSpacing/>
        <w:rPr>
          <w:rFonts w:hint="eastAsia" w:ascii="宋体" w:hAnsi="宋体" w:cs="宋体"/>
        </w:rPr>
      </w:pPr>
      <w:r>
        <w:rPr>
          <w:rFonts w:hint="eastAsia" w:ascii="宋体" w:hAnsi="宋体" w:cs="宋体"/>
        </w:rPr>
        <w:t xml:space="preserve">                                  </w:t>
      </w:r>
    </w:p>
    <w:p w14:paraId="4F7C3D60">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1393F93B">
      <w:pPr>
        <w:spacing w:line="240" w:lineRule="auto"/>
        <w:ind w:right="0" w:firstLine="0" w:firstLineChars="0"/>
        <w:contextualSpacing/>
        <w:jc w:val="center"/>
        <w:rPr>
          <w:rFonts w:hint="eastAsia" w:ascii="宋体" w:hAnsi="宋体" w:cs="宋体"/>
          <w:szCs w:val="21"/>
        </w:rPr>
      </w:pPr>
      <w:r>
        <w:rPr>
          <w:rFonts w:hint="eastAsia" w:ascii="宋体" w:hAnsi="宋体" w:cs="宋体"/>
          <w:sz w:val="24"/>
          <w:szCs w:val="24"/>
        </w:rPr>
        <w:t xml:space="preserve">                  </w:t>
      </w:r>
      <w:r>
        <w:rPr>
          <w:rFonts w:hint="eastAsia" w:ascii="宋体" w:hAnsi="宋体" w:cs="宋体"/>
          <w:sz w:val="24"/>
          <w:szCs w:val="24"/>
          <w:lang w:val="en-US" w:eastAsia="zh-CN"/>
        </w:rPr>
        <w:t xml:space="preserve">                             日期：   </w:t>
      </w:r>
      <w:r>
        <w:rPr>
          <w:rFonts w:hint="eastAsia" w:ascii="宋体" w:hAnsi="宋体" w:cs="宋体"/>
          <w:sz w:val="24"/>
          <w:szCs w:val="24"/>
        </w:rPr>
        <w:t>年    月    日</w:t>
      </w:r>
      <w:r>
        <w:rPr>
          <w:rFonts w:hint="eastAsia" w:ascii="宋体" w:hAnsi="宋体" w:cs="宋体"/>
        </w:rPr>
        <w:t xml:space="preserve"> </w:t>
      </w:r>
    </w:p>
    <w:p w14:paraId="09E9C53E">
      <w:pPr>
        <w:spacing w:line="360" w:lineRule="auto"/>
        <w:contextualSpacing/>
        <w:rPr>
          <w:rFonts w:hint="eastAsia" w:ascii="宋体" w:hAnsi="宋体" w:cs="宋体"/>
          <w:sz w:val="32"/>
          <w:szCs w:val="32"/>
        </w:rPr>
      </w:pPr>
    </w:p>
    <w:p w14:paraId="5035326A">
      <w:pPr>
        <w:spacing w:line="360" w:lineRule="auto"/>
        <w:contextualSpacing/>
        <w:rPr>
          <w:rFonts w:hint="eastAsia" w:ascii="宋体" w:hAnsi="宋体" w:cs="宋体"/>
          <w:sz w:val="32"/>
          <w:szCs w:val="32"/>
        </w:rPr>
      </w:pPr>
    </w:p>
    <w:p w14:paraId="03BF53A3">
      <w:pPr>
        <w:spacing w:line="360" w:lineRule="auto"/>
        <w:contextualSpacing/>
        <w:rPr>
          <w:rFonts w:hint="eastAsia" w:ascii="宋体" w:hAnsi="宋体" w:cs="宋体"/>
          <w:sz w:val="32"/>
          <w:szCs w:val="32"/>
        </w:rPr>
      </w:pPr>
    </w:p>
    <w:p w14:paraId="23D98A9C">
      <w:pPr>
        <w:spacing w:line="360" w:lineRule="auto"/>
        <w:contextualSpacing/>
        <w:rPr>
          <w:rFonts w:hint="eastAsia" w:ascii="宋体" w:hAnsi="宋体" w:cs="宋体"/>
          <w:sz w:val="32"/>
          <w:szCs w:val="32"/>
        </w:rPr>
      </w:pPr>
    </w:p>
    <w:p w14:paraId="632BF92D">
      <w:pPr>
        <w:spacing w:line="360" w:lineRule="auto"/>
        <w:contextualSpacing/>
        <w:rPr>
          <w:rFonts w:hint="eastAsia" w:ascii="宋体" w:hAnsi="宋体" w:cs="宋体"/>
          <w:sz w:val="32"/>
          <w:szCs w:val="32"/>
        </w:rPr>
      </w:pPr>
    </w:p>
    <w:p w14:paraId="6C4E8877">
      <w:pPr>
        <w:spacing w:line="360" w:lineRule="auto"/>
        <w:contextualSpacing/>
        <w:rPr>
          <w:rFonts w:hint="eastAsia" w:ascii="宋体" w:hAnsi="宋体" w:cs="宋体"/>
          <w:sz w:val="32"/>
          <w:szCs w:val="32"/>
        </w:rPr>
      </w:pPr>
    </w:p>
    <w:p w14:paraId="35654991">
      <w:pPr>
        <w:spacing w:line="360" w:lineRule="auto"/>
        <w:contextualSpacing/>
        <w:rPr>
          <w:rFonts w:hint="eastAsia" w:ascii="宋体" w:hAnsi="宋体" w:cs="宋体"/>
          <w:sz w:val="32"/>
          <w:szCs w:val="32"/>
        </w:rPr>
      </w:pPr>
    </w:p>
    <w:p w14:paraId="151D044F">
      <w:pPr>
        <w:spacing w:line="360" w:lineRule="auto"/>
        <w:contextualSpacing/>
        <w:rPr>
          <w:rFonts w:hint="eastAsia" w:ascii="宋体" w:hAnsi="宋体" w:cs="宋体"/>
          <w:sz w:val="32"/>
          <w:szCs w:val="32"/>
        </w:rPr>
      </w:pPr>
    </w:p>
    <w:p w14:paraId="40915BA6">
      <w:pPr>
        <w:spacing w:line="360" w:lineRule="auto"/>
        <w:contextualSpacing/>
        <w:rPr>
          <w:rFonts w:hint="eastAsia" w:ascii="宋体" w:hAnsi="宋体" w:cs="宋体"/>
          <w:sz w:val="32"/>
          <w:szCs w:val="32"/>
        </w:rPr>
      </w:pPr>
    </w:p>
    <w:p w14:paraId="4CD57F3A">
      <w:pPr>
        <w:spacing w:line="360" w:lineRule="auto"/>
        <w:contextualSpacing/>
        <w:rPr>
          <w:rFonts w:hint="eastAsia" w:ascii="宋体" w:hAnsi="宋体" w:cs="宋体"/>
          <w:sz w:val="32"/>
          <w:szCs w:val="32"/>
        </w:rPr>
      </w:pPr>
    </w:p>
    <w:p w14:paraId="7C3542F0">
      <w:pPr>
        <w:spacing w:line="360" w:lineRule="auto"/>
        <w:contextualSpacing/>
        <w:rPr>
          <w:rFonts w:hint="eastAsia" w:ascii="宋体" w:hAnsi="宋体" w:cs="宋体"/>
          <w:sz w:val="32"/>
          <w:szCs w:val="32"/>
        </w:rPr>
      </w:pPr>
    </w:p>
    <w:p w14:paraId="760DE5B3">
      <w:pPr>
        <w:pStyle w:val="29"/>
        <w:ind w:firstLine="640"/>
        <w:rPr>
          <w:rFonts w:hint="eastAsia" w:ascii="宋体" w:hAnsi="宋体" w:eastAsia="宋体" w:cs="宋体"/>
        </w:rPr>
      </w:pPr>
    </w:p>
    <w:p w14:paraId="37BDEA5F">
      <w:pPr>
        <w:spacing w:line="360" w:lineRule="auto"/>
        <w:contextualSpacing/>
        <w:jc w:val="center"/>
        <w:rPr>
          <w:rFonts w:ascii="宋体" w:hAnsi="宋体"/>
          <w:b/>
          <w:color w:val="auto"/>
          <w:highlight w:val="none"/>
        </w:rPr>
      </w:pPr>
      <w:r>
        <w:rPr>
          <w:rFonts w:hint="eastAsia" w:ascii="宋体" w:hAnsi="宋体" w:cs="宋体"/>
          <w:b/>
          <w:sz w:val="32"/>
          <w:szCs w:val="32"/>
        </w:rPr>
        <w:br w:type="page"/>
      </w:r>
      <w:r>
        <w:rPr>
          <w:rFonts w:hint="eastAsia" w:ascii="宋体" w:hAnsi="宋体" w:eastAsia="宋体" w:cs="宋体"/>
          <w:b/>
          <w:bCs w:val="0"/>
          <w:color w:val="auto"/>
          <w:kern w:val="0"/>
          <w:sz w:val="24"/>
          <w:szCs w:val="24"/>
          <w:lang w:val="en-US" w:eastAsia="zh-CN" w:bidi="ar-SA"/>
        </w:rPr>
        <w:t>①参加政府采购活动前三年内在经营活动中没有重大违法记录和不良信用记录的书面声明</w:t>
      </w:r>
    </w:p>
    <w:p w14:paraId="274CC43F">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0"/>
          <w:sz w:val="22"/>
          <w:szCs w:val="22"/>
          <w:highlight w:val="none"/>
          <w:lang w:val="en-US" w:eastAsia="zh-CN" w:bidi="ar"/>
        </w:rPr>
      </w:pPr>
    </w:p>
    <w:p w14:paraId="1C5FC04A">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ascii="宋体" w:hAnsi="宋体"/>
          <w:bCs/>
          <w:color w:val="auto"/>
          <w:sz w:val="24"/>
          <w:szCs w:val="32"/>
          <w:highlight w:val="none"/>
        </w:rPr>
      </w:pPr>
      <w:r>
        <w:rPr>
          <w:rFonts w:hint="eastAsia" w:ascii="宋体" w:hAnsi="宋体" w:eastAsia="宋体" w:cs="宋体"/>
          <w:color w:val="auto"/>
          <w:kern w:val="0"/>
          <w:sz w:val="22"/>
          <w:szCs w:val="22"/>
          <w:highlight w:val="none"/>
          <w:lang w:val="en-US" w:eastAsia="zh-CN" w:bidi="ar"/>
        </w:rPr>
        <w:t>致：</w:t>
      </w:r>
      <w:r>
        <w:rPr>
          <w:rFonts w:hint="eastAsia" w:ascii="宋体" w:hAnsi="宋体" w:eastAsia="宋体" w:cs="宋体"/>
          <w:color w:val="auto"/>
          <w:kern w:val="0"/>
          <w:sz w:val="22"/>
          <w:szCs w:val="22"/>
          <w:highlight w:val="none"/>
          <w:u w:val="single"/>
          <w:lang w:val="en-US" w:eastAsia="zh-CN" w:bidi="ar"/>
        </w:rPr>
        <w:t>（采购人/采购代理机构名称）</w:t>
      </w:r>
      <w:r>
        <w:rPr>
          <w:rFonts w:hint="eastAsia" w:ascii="宋体" w:hAnsi="宋体" w:eastAsia="宋体" w:cs="宋体"/>
          <w:color w:val="auto"/>
          <w:kern w:val="0"/>
          <w:sz w:val="22"/>
          <w:szCs w:val="22"/>
          <w:highlight w:val="none"/>
          <w:lang w:val="en-US" w:eastAsia="zh-CN" w:bidi="ar"/>
        </w:rPr>
        <w:t>：</w:t>
      </w:r>
    </w:p>
    <w:p w14:paraId="6414B2EF">
      <w:pPr>
        <w:spacing w:line="360" w:lineRule="auto"/>
        <w:ind w:firstLine="420"/>
        <w:rPr>
          <w:rFonts w:ascii="宋体" w:hAnsi="宋体"/>
          <w:bCs/>
          <w:color w:val="auto"/>
          <w:sz w:val="24"/>
          <w:szCs w:val="32"/>
          <w:highlight w:val="none"/>
        </w:rPr>
      </w:pPr>
      <w:r>
        <w:rPr>
          <w:rFonts w:hint="eastAsia" w:ascii="宋体" w:hAnsi="宋体"/>
          <w:bCs/>
          <w:color w:val="auto"/>
          <w:sz w:val="24"/>
          <w:szCs w:val="32"/>
          <w:highlight w:val="none"/>
        </w:rPr>
        <w:t>根据《中华人民共和国政府采购法实施条例》第十七条第一款第</w:t>
      </w:r>
      <w:r>
        <w:rPr>
          <w:rFonts w:hint="eastAsia" w:ascii="宋体" w:hAnsi="宋体"/>
          <w:bCs/>
          <w:color w:val="auto"/>
          <w:sz w:val="24"/>
          <w:szCs w:val="32"/>
          <w:highlight w:val="none"/>
          <w:lang w:eastAsia="zh-CN"/>
        </w:rPr>
        <w:t>（</w:t>
      </w:r>
      <w:r>
        <w:rPr>
          <w:rFonts w:hint="eastAsia" w:ascii="宋体" w:hAnsi="宋体"/>
          <w:bCs/>
          <w:color w:val="auto"/>
          <w:sz w:val="24"/>
          <w:szCs w:val="32"/>
          <w:highlight w:val="none"/>
        </w:rPr>
        <w:t>四</w:t>
      </w:r>
      <w:r>
        <w:rPr>
          <w:rFonts w:hint="eastAsia" w:ascii="宋体" w:hAnsi="宋体"/>
          <w:bCs/>
          <w:color w:val="auto"/>
          <w:sz w:val="24"/>
          <w:szCs w:val="32"/>
          <w:highlight w:val="none"/>
          <w:lang w:eastAsia="zh-CN"/>
        </w:rPr>
        <w:t>）</w:t>
      </w:r>
      <w:r>
        <w:rPr>
          <w:rFonts w:hint="eastAsia" w:ascii="宋体" w:hAnsi="宋体"/>
          <w:bCs/>
          <w:color w:val="auto"/>
          <w:sz w:val="24"/>
          <w:szCs w:val="32"/>
          <w:highlight w:val="none"/>
        </w:rPr>
        <w:t>项的规定，现郑重声明：</w:t>
      </w:r>
    </w:p>
    <w:p w14:paraId="10A5B934">
      <w:pPr>
        <w:spacing w:line="360" w:lineRule="auto"/>
        <w:ind w:firstLine="420"/>
        <w:rPr>
          <w:rFonts w:ascii="宋体" w:hAnsi="宋体"/>
          <w:bCs/>
          <w:color w:val="auto"/>
          <w:sz w:val="24"/>
          <w:szCs w:val="32"/>
          <w:highlight w:val="none"/>
        </w:rPr>
      </w:pPr>
      <w:r>
        <w:rPr>
          <w:rFonts w:hint="eastAsia" w:ascii="宋体" w:hAnsi="宋体" w:eastAsia="宋体" w:cs="Times New Roman"/>
          <w:bCs/>
          <w:color w:val="auto"/>
          <w:sz w:val="24"/>
          <w:szCs w:val="32"/>
          <w:highlight w:val="none"/>
          <w:u w:val="single"/>
          <w:lang w:eastAsia="zh-CN"/>
        </w:rPr>
        <w:t>（</w:t>
      </w:r>
      <w:r>
        <w:rPr>
          <w:rFonts w:hint="eastAsia" w:ascii="宋体" w:hAnsi="宋体" w:eastAsia="宋体" w:cs="Times New Roman"/>
          <w:bCs/>
          <w:color w:val="auto"/>
          <w:sz w:val="24"/>
          <w:szCs w:val="32"/>
          <w:highlight w:val="none"/>
          <w:u w:val="single"/>
        </w:rPr>
        <w:t>供应商名称</w:t>
      </w:r>
      <w:r>
        <w:rPr>
          <w:rFonts w:hint="eastAsia" w:ascii="宋体" w:hAnsi="宋体" w:eastAsia="宋体" w:cs="Times New Roman"/>
          <w:bCs/>
          <w:color w:val="auto"/>
          <w:sz w:val="24"/>
          <w:szCs w:val="32"/>
          <w:highlight w:val="none"/>
          <w:u w:val="single"/>
          <w:lang w:eastAsia="zh-CN"/>
        </w:rPr>
        <w:t>）</w:t>
      </w:r>
      <w:r>
        <w:rPr>
          <w:rFonts w:hint="eastAsia" w:ascii="宋体" w:hAnsi="宋体"/>
          <w:bCs/>
          <w:color w:val="auto"/>
          <w:sz w:val="24"/>
          <w:szCs w:val="32"/>
          <w:highlight w:val="none"/>
        </w:rPr>
        <w:t>在参加本次政府采购活动前3年内在经营活动中没有重大违法记录（</w:t>
      </w:r>
      <w:r>
        <w:rPr>
          <w:rFonts w:hint="eastAsia" w:ascii="宋体" w:hAnsi="宋体"/>
          <w:bCs/>
          <w:color w:val="auto"/>
          <w:sz w:val="24"/>
          <w:szCs w:val="32"/>
          <w:highlight w:val="none"/>
          <w:u w:val="single"/>
        </w:rPr>
        <w:t>即因违法经营受到刑事处罚或者责令停产停业、吊销许可证或者执照、较大数额罚款等行政处罚的行为</w:t>
      </w:r>
      <w:r>
        <w:rPr>
          <w:rFonts w:hint="eastAsia" w:ascii="宋体" w:hAnsi="宋体"/>
          <w:bCs/>
          <w:color w:val="auto"/>
          <w:sz w:val="24"/>
          <w:szCs w:val="32"/>
          <w:highlight w:val="none"/>
        </w:rPr>
        <w:t>）。</w:t>
      </w:r>
    </w:p>
    <w:p w14:paraId="6F5C49B2">
      <w:pPr>
        <w:spacing w:line="360" w:lineRule="auto"/>
        <w:ind w:firstLine="420"/>
        <w:rPr>
          <w:rFonts w:ascii="宋体" w:hAnsi="宋体"/>
          <w:bCs/>
          <w:color w:val="auto"/>
          <w:sz w:val="24"/>
          <w:szCs w:val="32"/>
          <w:highlight w:val="none"/>
        </w:rPr>
      </w:pPr>
      <w:r>
        <w:rPr>
          <w:rFonts w:hint="eastAsia" w:ascii="宋体" w:hAnsi="宋体"/>
          <w:bCs/>
          <w:color w:val="auto"/>
          <w:sz w:val="24"/>
          <w:szCs w:val="32"/>
          <w:highlight w:val="none"/>
        </w:rPr>
        <w:t>本单位对上述声明内容事项真实性负责，如有虚假，由我单位承担相关法律责任。</w:t>
      </w:r>
    </w:p>
    <w:p w14:paraId="36871FCF">
      <w:pPr>
        <w:spacing w:line="360" w:lineRule="auto"/>
        <w:rPr>
          <w:rFonts w:hint="eastAsia" w:ascii="宋体" w:hAnsi="宋体"/>
          <w:bCs/>
          <w:color w:val="auto"/>
          <w:sz w:val="24"/>
          <w:szCs w:val="32"/>
          <w:highlight w:val="none"/>
        </w:rPr>
      </w:pPr>
      <w:r>
        <w:rPr>
          <w:rFonts w:hint="eastAsia" w:ascii="宋体" w:hAnsi="宋体"/>
          <w:bCs/>
          <w:color w:val="auto"/>
          <w:sz w:val="24"/>
          <w:szCs w:val="32"/>
          <w:highlight w:val="none"/>
        </w:rPr>
        <w:t>特此声明。</w:t>
      </w:r>
    </w:p>
    <w:p w14:paraId="60E05153">
      <w:pPr>
        <w:pStyle w:val="4"/>
        <w:rPr>
          <w:rFonts w:hint="eastAsia" w:ascii="宋体" w:hAnsi="宋体"/>
          <w:bCs/>
          <w:color w:val="auto"/>
          <w:sz w:val="24"/>
          <w:szCs w:val="32"/>
          <w:highlight w:val="none"/>
        </w:rPr>
      </w:pPr>
    </w:p>
    <w:p w14:paraId="7F57593F">
      <w:pPr>
        <w:rPr>
          <w:rFonts w:hint="eastAsia" w:ascii="宋体" w:hAnsi="宋体"/>
          <w:bCs/>
          <w:color w:val="auto"/>
          <w:sz w:val="24"/>
          <w:szCs w:val="32"/>
          <w:highlight w:val="none"/>
        </w:rPr>
      </w:pPr>
    </w:p>
    <w:p w14:paraId="5F6ED43C">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53227523">
      <w:pPr>
        <w:spacing w:line="240" w:lineRule="auto"/>
        <w:ind w:right="0" w:firstLine="0" w:firstLineChars="0"/>
        <w:contextualSpacing/>
        <w:jc w:val="center"/>
        <w:rPr>
          <w:rFonts w:hint="eastAsia" w:ascii="宋体" w:hAnsi="宋体" w:cs="宋体"/>
          <w:szCs w:val="21"/>
        </w:rPr>
      </w:pPr>
      <w:r>
        <w:rPr>
          <w:rFonts w:hint="eastAsia" w:ascii="宋体" w:hAnsi="宋体" w:cs="宋体"/>
          <w:sz w:val="24"/>
          <w:szCs w:val="24"/>
        </w:rPr>
        <w:t xml:space="preserve">                  </w:t>
      </w:r>
      <w:r>
        <w:rPr>
          <w:rFonts w:hint="eastAsia" w:ascii="宋体" w:hAnsi="宋体" w:cs="宋体"/>
          <w:sz w:val="24"/>
          <w:szCs w:val="24"/>
          <w:lang w:val="en-US" w:eastAsia="zh-CN"/>
        </w:rPr>
        <w:t xml:space="preserve">                             日期：   </w:t>
      </w:r>
      <w:r>
        <w:rPr>
          <w:rFonts w:hint="eastAsia" w:ascii="宋体" w:hAnsi="宋体" w:cs="宋体"/>
          <w:sz w:val="24"/>
          <w:szCs w:val="24"/>
        </w:rPr>
        <w:t>年    月    日</w:t>
      </w:r>
      <w:r>
        <w:rPr>
          <w:rFonts w:hint="eastAsia" w:ascii="宋体" w:hAnsi="宋体" w:cs="宋体"/>
        </w:rPr>
        <w:t xml:space="preserve"> </w:t>
      </w:r>
    </w:p>
    <w:p w14:paraId="5B88404D">
      <w:pPr>
        <w:rPr>
          <w:rFonts w:hint="eastAsia" w:ascii="宋体" w:hAnsi="宋体"/>
          <w:b w:val="0"/>
          <w:bCs w:val="0"/>
          <w:color w:val="auto"/>
          <w:sz w:val="24"/>
          <w:highlight w:val="none"/>
        </w:rPr>
      </w:pPr>
    </w:p>
    <w:p w14:paraId="7926DDC6">
      <w:pPr>
        <w:rPr>
          <w:rFonts w:hint="eastAsia" w:ascii="宋体" w:hAnsi="宋体"/>
          <w:b w:val="0"/>
          <w:bCs w:val="0"/>
          <w:color w:val="auto"/>
          <w:sz w:val="24"/>
          <w:highlight w:val="none"/>
        </w:rPr>
      </w:pPr>
    </w:p>
    <w:p w14:paraId="61FC2A50">
      <w:pPr>
        <w:spacing w:before="234" w:line="448" w:lineRule="auto"/>
        <w:ind w:left="4932" w:right="1418" w:hanging="101"/>
        <w:rPr>
          <w:rFonts w:hint="eastAsia" w:ascii="宋体" w:hAnsi="宋体" w:cs="宋体"/>
          <w:sz w:val="24"/>
        </w:rPr>
      </w:pPr>
    </w:p>
    <w:p w14:paraId="35F0BC43">
      <w:pPr>
        <w:spacing w:line="360" w:lineRule="auto"/>
        <w:contextualSpacing/>
        <w:rPr>
          <w:rFonts w:hint="eastAsia" w:ascii="宋体" w:hAnsi="宋体" w:cs="宋体"/>
          <w:b/>
          <w:sz w:val="32"/>
          <w:szCs w:val="32"/>
        </w:rPr>
      </w:pPr>
      <w:r>
        <w:rPr>
          <w:rFonts w:hint="eastAsia" w:ascii="宋体" w:hAnsi="宋体" w:cs="宋体"/>
          <w:sz w:val="32"/>
          <w:szCs w:val="32"/>
        </w:rPr>
        <w:br w:type="page"/>
      </w:r>
      <w:r>
        <w:rPr>
          <w:rFonts w:hint="eastAsia" w:ascii="宋体" w:hAnsi="宋体" w:cs="宋体"/>
          <w:b/>
          <w:bCs/>
          <w:sz w:val="32"/>
          <w:szCs w:val="32"/>
        </w:rPr>
        <w:t>二、</w:t>
      </w:r>
      <w:r>
        <w:rPr>
          <w:rFonts w:hint="eastAsia" w:ascii="宋体" w:hAnsi="宋体" w:cs="宋体"/>
          <w:b/>
          <w:sz w:val="32"/>
          <w:szCs w:val="32"/>
        </w:rPr>
        <w:t>报价商务技术文件格式</w:t>
      </w:r>
    </w:p>
    <w:p w14:paraId="059C85DD">
      <w:pPr>
        <w:snapToGrid w:val="0"/>
        <w:spacing w:before="156" w:beforeLines="50" w:after="50" w:line="360" w:lineRule="auto"/>
        <w:jc w:val="left"/>
        <w:rPr>
          <w:rFonts w:hint="eastAsia" w:ascii="宋体" w:hAnsi="宋体" w:cs="宋体"/>
          <w:b/>
          <w:sz w:val="32"/>
          <w:szCs w:val="32"/>
        </w:rPr>
      </w:pPr>
      <w:r>
        <w:rPr>
          <w:rFonts w:hint="eastAsia" w:ascii="宋体" w:hAnsi="宋体" w:cs="宋体"/>
          <w:b/>
          <w:sz w:val="32"/>
          <w:szCs w:val="32"/>
        </w:rPr>
        <w:t>1.报价商务技术文件封面格式</w:t>
      </w:r>
    </w:p>
    <w:p w14:paraId="0C086965">
      <w:pPr>
        <w:snapToGrid w:val="0"/>
        <w:spacing w:before="156" w:beforeLines="50" w:after="50"/>
        <w:rPr>
          <w:rFonts w:hint="eastAsia" w:ascii="宋体" w:hAnsi="宋体" w:cs="宋体"/>
          <w:bCs/>
          <w:sz w:val="32"/>
          <w:szCs w:val="20"/>
        </w:rPr>
      </w:pPr>
      <w:r>
        <w:rPr>
          <w:rFonts w:hint="eastAsia" w:ascii="宋体" w:hAnsi="宋体" w:cs="宋体"/>
          <w:sz w:val="24"/>
        </w:rPr>
        <w:t xml:space="preserve">                                                    </w:t>
      </w:r>
      <w:r>
        <w:rPr>
          <w:rFonts w:hint="eastAsia" w:ascii="宋体" w:hAnsi="宋体" w:cs="宋体"/>
          <w:bCs/>
        </w:rPr>
        <w:t>正本/副本</w:t>
      </w:r>
    </w:p>
    <w:p w14:paraId="2993ABE6">
      <w:pPr>
        <w:snapToGrid w:val="0"/>
        <w:spacing w:before="156" w:beforeLines="50" w:after="50"/>
        <w:rPr>
          <w:rFonts w:hint="eastAsia" w:ascii="宋体" w:hAnsi="宋体" w:cs="宋体"/>
          <w:sz w:val="24"/>
          <w:szCs w:val="20"/>
        </w:rPr>
      </w:pPr>
    </w:p>
    <w:p w14:paraId="2230684D">
      <w:pPr>
        <w:snapToGrid w:val="0"/>
        <w:spacing w:before="156" w:beforeLines="50" w:after="50"/>
        <w:rPr>
          <w:rFonts w:hint="eastAsia" w:ascii="宋体" w:hAnsi="宋体" w:cs="宋体"/>
          <w:sz w:val="24"/>
          <w:szCs w:val="20"/>
        </w:rPr>
      </w:pPr>
    </w:p>
    <w:p w14:paraId="45AFC0DE">
      <w:pPr>
        <w:snapToGrid w:val="0"/>
        <w:spacing w:before="156" w:beforeLines="50" w:after="50"/>
        <w:rPr>
          <w:rFonts w:hint="eastAsia" w:ascii="宋体" w:hAnsi="宋体" w:cs="宋体"/>
          <w:sz w:val="24"/>
          <w:szCs w:val="20"/>
        </w:rPr>
      </w:pPr>
    </w:p>
    <w:p w14:paraId="2A96FFC2">
      <w:pPr>
        <w:snapToGrid w:val="0"/>
        <w:spacing w:before="156" w:beforeLines="50" w:after="50"/>
        <w:jc w:val="center"/>
        <w:rPr>
          <w:rFonts w:hint="eastAsia" w:ascii="宋体" w:hAnsi="宋体" w:cs="宋体"/>
          <w:bCs/>
          <w:sz w:val="44"/>
          <w:szCs w:val="44"/>
        </w:rPr>
      </w:pPr>
      <w:r>
        <w:rPr>
          <w:rFonts w:hint="eastAsia" w:ascii="宋体" w:hAnsi="宋体" w:cs="宋体"/>
          <w:bCs/>
          <w:sz w:val="44"/>
          <w:szCs w:val="44"/>
        </w:rPr>
        <w:t>报  价  商  务  技  术  文  件</w:t>
      </w:r>
    </w:p>
    <w:p w14:paraId="18DA46A0">
      <w:pPr>
        <w:snapToGrid w:val="0"/>
        <w:spacing w:before="156" w:beforeLines="50" w:after="50"/>
        <w:rPr>
          <w:rFonts w:hint="eastAsia" w:ascii="宋体" w:hAnsi="宋体" w:cs="宋体"/>
          <w:bCs/>
          <w:sz w:val="24"/>
          <w:szCs w:val="20"/>
        </w:rPr>
      </w:pPr>
    </w:p>
    <w:p w14:paraId="2F6D03B3">
      <w:pPr>
        <w:snapToGrid w:val="0"/>
        <w:spacing w:before="156" w:beforeLines="50" w:after="50"/>
        <w:rPr>
          <w:rFonts w:hint="eastAsia" w:ascii="宋体" w:hAnsi="宋体" w:cs="宋体"/>
          <w:bCs/>
          <w:sz w:val="24"/>
          <w:szCs w:val="20"/>
        </w:rPr>
      </w:pPr>
    </w:p>
    <w:p w14:paraId="7F3CDA57">
      <w:pPr>
        <w:snapToGrid w:val="0"/>
        <w:spacing w:before="156" w:beforeLines="50" w:after="50"/>
        <w:rPr>
          <w:rFonts w:hint="eastAsia" w:ascii="宋体" w:hAnsi="宋体" w:cs="宋体"/>
          <w:bCs/>
          <w:sz w:val="24"/>
          <w:szCs w:val="20"/>
        </w:rPr>
      </w:pPr>
    </w:p>
    <w:p w14:paraId="2FC58BDF">
      <w:pPr>
        <w:snapToGrid w:val="0"/>
        <w:spacing w:before="156" w:beforeLines="50" w:after="50"/>
        <w:rPr>
          <w:rFonts w:hint="eastAsia" w:ascii="宋体" w:hAnsi="宋体" w:cs="宋体"/>
          <w:bCs/>
          <w:sz w:val="24"/>
          <w:szCs w:val="20"/>
        </w:rPr>
      </w:pPr>
    </w:p>
    <w:p w14:paraId="015FDFCC">
      <w:pPr>
        <w:snapToGrid w:val="0"/>
        <w:spacing w:before="156" w:beforeLines="50" w:after="50"/>
        <w:rPr>
          <w:rFonts w:hint="eastAsia" w:ascii="宋体" w:hAnsi="宋体" w:cs="宋体"/>
          <w:bCs/>
          <w:sz w:val="24"/>
          <w:szCs w:val="20"/>
        </w:rPr>
      </w:pPr>
    </w:p>
    <w:p w14:paraId="2D841DA8">
      <w:pPr>
        <w:snapToGrid w:val="0"/>
        <w:spacing w:before="156" w:beforeLines="50" w:after="50"/>
        <w:ind w:firstLine="640" w:firstLineChars="200"/>
        <w:rPr>
          <w:rFonts w:hint="eastAsia" w:ascii="宋体" w:hAnsi="宋体" w:cs="宋体"/>
          <w:bCs/>
          <w:sz w:val="32"/>
          <w:szCs w:val="32"/>
        </w:rPr>
      </w:pPr>
      <w:r>
        <w:rPr>
          <w:rFonts w:hint="eastAsia" w:ascii="宋体" w:hAnsi="宋体" w:cs="宋体"/>
          <w:bCs/>
          <w:sz w:val="32"/>
          <w:szCs w:val="32"/>
        </w:rPr>
        <w:t>项目名称：</w:t>
      </w:r>
    </w:p>
    <w:p w14:paraId="4F5EDC52">
      <w:pPr>
        <w:snapToGrid w:val="0"/>
        <w:spacing w:before="156" w:beforeLines="50" w:after="50"/>
        <w:ind w:firstLine="720" w:firstLineChars="225"/>
        <w:rPr>
          <w:rFonts w:hint="eastAsia" w:ascii="宋体" w:hAnsi="宋体" w:cs="宋体"/>
          <w:bCs/>
          <w:sz w:val="32"/>
          <w:szCs w:val="32"/>
        </w:rPr>
      </w:pPr>
    </w:p>
    <w:p w14:paraId="05F5A59F">
      <w:pPr>
        <w:snapToGrid w:val="0"/>
        <w:spacing w:before="156" w:beforeLines="50" w:after="50"/>
        <w:ind w:firstLine="640" w:firstLineChars="200"/>
        <w:rPr>
          <w:rFonts w:hint="eastAsia" w:ascii="宋体" w:hAnsi="宋体" w:cs="宋体"/>
          <w:bCs/>
          <w:sz w:val="32"/>
          <w:szCs w:val="32"/>
        </w:rPr>
      </w:pPr>
      <w:r>
        <w:rPr>
          <w:rFonts w:hint="eastAsia" w:ascii="宋体" w:hAnsi="宋体" w:cs="宋体"/>
          <w:bCs/>
          <w:sz w:val="32"/>
          <w:szCs w:val="32"/>
        </w:rPr>
        <w:t>项目编号：</w:t>
      </w:r>
    </w:p>
    <w:p w14:paraId="2ACCBBF6">
      <w:pPr>
        <w:snapToGrid w:val="0"/>
        <w:spacing w:before="156" w:beforeLines="50" w:after="50"/>
        <w:ind w:firstLine="720" w:firstLineChars="225"/>
        <w:rPr>
          <w:rFonts w:hint="eastAsia" w:ascii="宋体" w:hAnsi="宋体" w:cs="宋体"/>
          <w:bCs/>
          <w:sz w:val="32"/>
          <w:szCs w:val="32"/>
        </w:rPr>
      </w:pPr>
      <w:r>
        <w:rPr>
          <w:rFonts w:hint="eastAsia" w:ascii="宋体" w:hAnsi="宋体" w:cs="宋体"/>
          <w:bCs/>
          <w:sz w:val="32"/>
          <w:szCs w:val="32"/>
        </w:rPr>
        <w:t xml:space="preserve"> </w:t>
      </w:r>
    </w:p>
    <w:p w14:paraId="6567CB6D">
      <w:pPr>
        <w:snapToGrid w:val="0"/>
        <w:spacing w:before="156" w:beforeLines="50" w:after="50"/>
        <w:ind w:firstLine="720" w:firstLineChars="225"/>
        <w:rPr>
          <w:rFonts w:hint="eastAsia" w:ascii="宋体" w:hAnsi="宋体" w:cs="宋体"/>
          <w:bCs/>
          <w:sz w:val="32"/>
          <w:szCs w:val="32"/>
        </w:rPr>
      </w:pPr>
    </w:p>
    <w:p w14:paraId="2A5A3102">
      <w:pPr>
        <w:pStyle w:val="7"/>
        <w:snapToGrid w:val="0"/>
        <w:spacing w:before="50" w:after="50"/>
        <w:ind w:firstLine="640" w:firstLineChars="200"/>
        <w:rPr>
          <w:rFonts w:hint="eastAsia" w:ascii="宋体" w:hAnsi="宋体" w:cs="宋体"/>
          <w:bCs/>
          <w:sz w:val="32"/>
          <w:szCs w:val="32"/>
        </w:rPr>
      </w:pPr>
      <w:r>
        <w:rPr>
          <w:rFonts w:hint="eastAsia" w:ascii="宋体" w:hAnsi="宋体" w:cs="宋体"/>
          <w:bCs/>
          <w:sz w:val="32"/>
          <w:szCs w:val="32"/>
        </w:rPr>
        <w:t>供应商名称：</w:t>
      </w:r>
    </w:p>
    <w:p w14:paraId="4FDDB2BB">
      <w:pPr>
        <w:pStyle w:val="7"/>
        <w:snapToGrid w:val="0"/>
        <w:spacing w:before="50" w:after="50"/>
        <w:ind w:firstLine="640" w:firstLineChars="200"/>
        <w:rPr>
          <w:rFonts w:hint="eastAsia" w:ascii="宋体" w:hAnsi="宋体" w:cs="宋体"/>
          <w:bCs/>
          <w:sz w:val="32"/>
          <w:szCs w:val="32"/>
        </w:rPr>
      </w:pPr>
    </w:p>
    <w:p w14:paraId="69FE0A0A">
      <w:pPr>
        <w:pStyle w:val="7"/>
        <w:snapToGrid w:val="0"/>
        <w:spacing w:before="50" w:after="50"/>
        <w:ind w:firstLine="720" w:firstLineChars="225"/>
        <w:rPr>
          <w:rFonts w:hint="eastAsia" w:ascii="宋体" w:hAnsi="宋体" w:cs="宋体"/>
          <w:bCs/>
          <w:sz w:val="32"/>
          <w:szCs w:val="32"/>
        </w:rPr>
      </w:pPr>
    </w:p>
    <w:p w14:paraId="07E98836">
      <w:pPr>
        <w:pStyle w:val="7"/>
        <w:snapToGrid w:val="0"/>
        <w:spacing w:before="50" w:after="50"/>
        <w:ind w:firstLine="0"/>
        <w:rPr>
          <w:rFonts w:hint="eastAsia" w:ascii="宋体" w:hAnsi="宋体" w:cs="宋体"/>
          <w:bCs/>
          <w:sz w:val="32"/>
          <w:szCs w:val="32"/>
        </w:rPr>
      </w:pPr>
    </w:p>
    <w:p w14:paraId="275FB461">
      <w:pPr>
        <w:pStyle w:val="7"/>
        <w:snapToGrid w:val="0"/>
        <w:spacing w:before="50" w:after="50"/>
        <w:ind w:firstLine="1280" w:firstLineChars="400"/>
        <w:rPr>
          <w:rFonts w:hint="eastAsia" w:ascii="宋体" w:hAnsi="宋体" w:cs="宋体"/>
          <w:bCs/>
          <w:sz w:val="32"/>
          <w:szCs w:val="32"/>
        </w:rPr>
      </w:pPr>
    </w:p>
    <w:p w14:paraId="7A5D7450">
      <w:pPr>
        <w:snapToGrid w:val="0"/>
        <w:spacing w:before="156" w:beforeLines="50" w:after="50"/>
        <w:jc w:val="center"/>
        <w:rPr>
          <w:rFonts w:hint="eastAsia" w:ascii="宋体" w:hAnsi="宋体" w:cs="宋体"/>
          <w:sz w:val="32"/>
          <w:szCs w:val="32"/>
        </w:rPr>
      </w:pPr>
      <w:r>
        <w:rPr>
          <w:rFonts w:hint="eastAsia" w:ascii="宋体" w:hAnsi="宋体" w:cs="宋体"/>
          <w:sz w:val="32"/>
          <w:szCs w:val="32"/>
        </w:rPr>
        <w:t>年    月    日</w:t>
      </w:r>
    </w:p>
    <w:p w14:paraId="6471B384">
      <w:pPr>
        <w:snapToGrid w:val="0"/>
        <w:spacing w:before="156" w:beforeLines="50" w:after="50" w:line="360" w:lineRule="auto"/>
        <w:ind w:left="142"/>
        <w:jc w:val="left"/>
        <w:rPr>
          <w:rFonts w:hint="eastAsia" w:ascii="宋体" w:hAnsi="宋体" w:cs="宋体"/>
          <w:b/>
          <w:bCs/>
          <w:sz w:val="24"/>
        </w:rPr>
      </w:pPr>
      <w:r>
        <w:rPr>
          <w:rFonts w:hint="eastAsia" w:ascii="宋体" w:hAnsi="宋体" w:cs="宋体"/>
          <w:sz w:val="24"/>
        </w:rPr>
        <w:br w:type="page"/>
      </w:r>
      <w:r>
        <w:rPr>
          <w:rFonts w:hint="eastAsia" w:ascii="宋体" w:hAnsi="宋体" w:cs="宋体"/>
          <w:b/>
          <w:bCs/>
          <w:sz w:val="32"/>
          <w:szCs w:val="32"/>
        </w:rPr>
        <w:t>2.报价商务技术文件目录</w:t>
      </w:r>
    </w:p>
    <w:p w14:paraId="60D14ACC">
      <w:pPr>
        <w:wordWrap w:val="0"/>
        <w:spacing w:line="400" w:lineRule="exact"/>
        <w:rPr>
          <w:rFonts w:hint="eastAsia" w:ascii="宋体" w:hAnsi="宋体" w:cs="宋体"/>
          <w:szCs w:val="21"/>
        </w:rPr>
      </w:pPr>
      <w:r>
        <w:rPr>
          <w:rFonts w:hint="eastAsia" w:ascii="宋体" w:hAnsi="宋体" w:cs="宋体"/>
          <w:szCs w:val="21"/>
        </w:rPr>
        <w:t>1.无串通竞标行为的承诺函（格式后附）；（</w:t>
      </w:r>
      <w:r>
        <w:rPr>
          <w:rFonts w:hint="eastAsia" w:ascii="宋体" w:hAnsi="宋体" w:cs="宋体"/>
          <w:b/>
          <w:szCs w:val="21"/>
        </w:rPr>
        <w:t>必须提供，否则响应文件按无效响应处理</w:t>
      </w:r>
      <w:r>
        <w:rPr>
          <w:rFonts w:hint="eastAsia" w:ascii="宋体" w:hAnsi="宋体" w:cs="宋体"/>
          <w:szCs w:val="21"/>
        </w:rPr>
        <w:t>）</w:t>
      </w:r>
    </w:p>
    <w:p w14:paraId="35D7253E">
      <w:pPr>
        <w:wordWrap w:val="0"/>
        <w:spacing w:line="400" w:lineRule="exact"/>
        <w:rPr>
          <w:rFonts w:hint="eastAsia" w:ascii="宋体" w:hAnsi="宋体" w:cs="宋体"/>
          <w:szCs w:val="21"/>
        </w:rPr>
      </w:pPr>
      <w:r>
        <w:rPr>
          <w:rFonts w:hint="eastAsia" w:ascii="宋体" w:hAnsi="宋体" w:cs="宋体"/>
          <w:szCs w:val="21"/>
        </w:rPr>
        <w:t>2.竞标报价表（格式后附）；（</w:t>
      </w:r>
      <w:r>
        <w:rPr>
          <w:rFonts w:hint="eastAsia" w:ascii="宋体" w:hAnsi="宋体" w:cs="宋体"/>
          <w:b/>
          <w:szCs w:val="21"/>
        </w:rPr>
        <w:t>必须提供，否则响应文件按无效响应处理</w:t>
      </w:r>
      <w:r>
        <w:rPr>
          <w:rFonts w:hint="eastAsia" w:ascii="宋体" w:hAnsi="宋体" w:cs="宋体"/>
          <w:szCs w:val="21"/>
        </w:rPr>
        <w:t>）</w:t>
      </w:r>
    </w:p>
    <w:p w14:paraId="4D5651FD">
      <w:pPr>
        <w:wordWrap w:val="0"/>
        <w:snapToGrid w:val="0"/>
        <w:spacing w:line="400" w:lineRule="exact"/>
        <w:jc w:val="left"/>
        <w:rPr>
          <w:rFonts w:hint="eastAsia" w:ascii="宋体" w:hAnsi="宋体" w:cs="宋体"/>
          <w:szCs w:val="21"/>
        </w:rPr>
      </w:pPr>
      <w:r>
        <w:rPr>
          <w:rFonts w:hint="eastAsia" w:ascii="宋体" w:hAnsi="宋体" w:cs="宋体"/>
          <w:szCs w:val="21"/>
        </w:rPr>
        <w:t>3.法定代表人身份证明书及法定代表人有效身份证正反面</w:t>
      </w:r>
      <w:r>
        <w:rPr>
          <w:rFonts w:hint="eastAsia" w:ascii="宋体" w:hAnsi="宋体" w:cs="宋体"/>
          <w:bCs/>
          <w:szCs w:val="21"/>
          <w:lang w:val="en-US" w:eastAsia="zh-CN"/>
        </w:rPr>
        <w:t>扫描件</w:t>
      </w:r>
      <w:r>
        <w:rPr>
          <w:rFonts w:hint="eastAsia" w:ascii="宋体" w:hAnsi="宋体" w:cs="宋体"/>
          <w:szCs w:val="21"/>
        </w:rPr>
        <w:t>（格式后附）；（</w:t>
      </w:r>
      <w:r>
        <w:rPr>
          <w:rFonts w:hint="eastAsia" w:ascii="宋体" w:hAnsi="宋体" w:cs="宋体"/>
          <w:b/>
          <w:szCs w:val="21"/>
        </w:rPr>
        <w:t>必须提供，否则响应文件按无效响应处理</w:t>
      </w:r>
      <w:r>
        <w:rPr>
          <w:rFonts w:hint="eastAsia" w:ascii="宋体" w:hAnsi="宋体" w:cs="宋体"/>
          <w:szCs w:val="21"/>
        </w:rPr>
        <w:t>）</w:t>
      </w:r>
    </w:p>
    <w:p w14:paraId="2D9D610D">
      <w:pPr>
        <w:wordWrap w:val="0"/>
        <w:spacing w:line="400" w:lineRule="exact"/>
        <w:rPr>
          <w:rFonts w:hint="eastAsia" w:ascii="宋体" w:hAnsi="宋体" w:cs="宋体"/>
          <w:szCs w:val="21"/>
        </w:rPr>
      </w:pPr>
      <w:r>
        <w:rPr>
          <w:rFonts w:hint="eastAsia" w:ascii="宋体" w:hAnsi="宋体" w:cs="宋体"/>
          <w:szCs w:val="21"/>
        </w:rPr>
        <w:t>4.授权委托书及委托代理人有效身份证正反面</w:t>
      </w:r>
      <w:r>
        <w:rPr>
          <w:rFonts w:hint="eastAsia" w:ascii="宋体" w:hAnsi="宋体" w:cs="宋体"/>
          <w:bCs/>
          <w:szCs w:val="21"/>
          <w:lang w:val="en-US" w:eastAsia="zh-CN"/>
        </w:rPr>
        <w:t>扫描件</w:t>
      </w:r>
      <w:r>
        <w:rPr>
          <w:rFonts w:hint="eastAsia" w:ascii="宋体" w:hAnsi="宋体" w:cs="宋体"/>
          <w:szCs w:val="21"/>
        </w:rPr>
        <w:t>（格式后附）；（</w:t>
      </w:r>
      <w:r>
        <w:rPr>
          <w:rFonts w:hint="eastAsia" w:ascii="宋体" w:hAnsi="宋体" w:cs="宋体"/>
          <w:b/>
          <w:szCs w:val="21"/>
        </w:rPr>
        <w:t>委托时必须提供，否则响应文件按无效响应处理</w:t>
      </w:r>
      <w:r>
        <w:rPr>
          <w:rFonts w:hint="eastAsia" w:ascii="宋体" w:hAnsi="宋体" w:cs="宋体"/>
          <w:szCs w:val="21"/>
        </w:rPr>
        <w:t>）</w:t>
      </w:r>
    </w:p>
    <w:p w14:paraId="4DF12619">
      <w:pPr>
        <w:wordWrap w:val="0"/>
        <w:spacing w:line="400" w:lineRule="exact"/>
        <w:rPr>
          <w:rFonts w:hint="eastAsia" w:ascii="宋体" w:hAnsi="宋体" w:cs="宋体"/>
          <w:szCs w:val="21"/>
        </w:rPr>
      </w:pPr>
      <w:r>
        <w:rPr>
          <w:rFonts w:hint="eastAsia" w:ascii="宋体" w:hAnsi="宋体" w:cs="宋体"/>
          <w:szCs w:val="21"/>
        </w:rPr>
        <w:t>5.</w:t>
      </w:r>
      <w:r>
        <w:rPr>
          <w:rFonts w:hint="eastAsia" w:ascii="宋体" w:hAnsi="宋体" w:cs="宋体"/>
          <w:szCs w:val="21"/>
          <w:highlight w:val="none"/>
          <w:lang w:eastAsia="zh-CN"/>
        </w:rPr>
        <w:t>竞标</w:t>
      </w:r>
      <w:r>
        <w:rPr>
          <w:rFonts w:hint="eastAsia" w:ascii="宋体" w:hAnsi="宋体" w:cs="宋体"/>
          <w:szCs w:val="21"/>
          <w:highlight w:val="none"/>
        </w:rPr>
        <w:t>保证金提交凭证</w:t>
      </w:r>
      <w:r>
        <w:rPr>
          <w:rFonts w:hint="eastAsia" w:ascii="宋体" w:hAnsi="宋体" w:cs="宋体"/>
          <w:szCs w:val="21"/>
        </w:rPr>
        <w:t>；（</w:t>
      </w:r>
      <w:r>
        <w:rPr>
          <w:rFonts w:hint="eastAsia" w:ascii="宋体" w:hAnsi="宋体" w:cs="宋体"/>
          <w:b/>
          <w:bCs/>
        </w:rPr>
        <w:t>必须提供</w:t>
      </w:r>
      <w:r>
        <w:rPr>
          <w:rFonts w:hint="eastAsia" w:ascii="宋体" w:hAnsi="宋体" w:cs="宋体"/>
          <w:b/>
          <w:szCs w:val="21"/>
        </w:rPr>
        <w:t>，否则响应文件按无效处理</w:t>
      </w:r>
      <w:r>
        <w:rPr>
          <w:rFonts w:hint="eastAsia" w:ascii="宋体" w:hAnsi="宋体" w:cs="宋体"/>
          <w:szCs w:val="21"/>
        </w:rPr>
        <w:t>）</w:t>
      </w:r>
    </w:p>
    <w:p w14:paraId="71A33BCB">
      <w:pPr>
        <w:wordWrap w:val="0"/>
        <w:spacing w:line="400" w:lineRule="exact"/>
        <w:rPr>
          <w:rFonts w:hint="eastAsia" w:ascii="宋体" w:hAnsi="宋体" w:cs="宋体"/>
          <w:szCs w:val="21"/>
        </w:rPr>
      </w:pPr>
      <w:r>
        <w:rPr>
          <w:rFonts w:hint="eastAsia" w:ascii="宋体" w:hAnsi="宋体" w:cs="宋体"/>
          <w:szCs w:val="21"/>
        </w:rPr>
        <w:t>6.商务要求偏离表（格式后附）；（</w:t>
      </w:r>
      <w:r>
        <w:rPr>
          <w:rFonts w:hint="eastAsia" w:ascii="宋体" w:hAnsi="宋体" w:cs="宋体"/>
          <w:b/>
          <w:szCs w:val="21"/>
        </w:rPr>
        <w:t>必须提供，否则响应文件按无效响应处理</w:t>
      </w:r>
      <w:r>
        <w:rPr>
          <w:rFonts w:hint="eastAsia" w:ascii="宋体" w:hAnsi="宋体" w:cs="宋体"/>
          <w:szCs w:val="21"/>
        </w:rPr>
        <w:t>）</w:t>
      </w:r>
    </w:p>
    <w:p w14:paraId="1AB8BF20">
      <w:pPr>
        <w:wordWrap w:val="0"/>
        <w:spacing w:line="400" w:lineRule="exact"/>
        <w:rPr>
          <w:rFonts w:hint="eastAsia" w:ascii="宋体" w:hAnsi="宋体" w:cs="宋体"/>
          <w:szCs w:val="21"/>
        </w:rPr>
      </w:pPr>
      <w:r>
        <w:rPr>
          <w:rFonts w:hint="eastAsia" w:ascii="宋体" w:hAnsi="宋体" w:cs="宋体"/>
          <w:szCs w:val="21"/>
        </w:rPr>
        <w:t>7.售后服务承诺；</w:t>
      </w:r>
      <w:r>
        <w:rPr>
          <w:rFonts w:hint="eastAsia" w:ascii="宋体" w:hAnsi="宋体" w:cs="宋体"/>
          <w:bCs/>
          <w:szCs w:val="21"/>
        </w:rPr>
        <w:t>（</w:t>
      </w:r>
      <w:r>
        <w:rPr>
          <w:rFonts w:hint="eastAsia" w:ascii="宋体" w:hAnsi="宋体" w:cs="宋体"/>
          <w:b/>
          <w:szCs w:val="21"/>
        </w:rPr>
        <w:t>格式自拟，必须提供，否则响应文件按无效响应处理</w:t>
      </w:r>
      <w:r>
        <w:rPr>
          <w:rFonts w:hint="eastAsia" w:ascii="宋体" w:hAnsi="宋体" w:cs="宋体"/>
          <w:szCs w:val="21"/>
        </w:rPr>
        <w:t>）</w:t>
      </w:r>
    </w:p>
    <w:p w14:paraId="12907748">
      <w:pPr>
        <w:wordWrap w:val="0"/>
        <w:spacing w:line="400" w:lineRule="exact"/>
        <w:rPr>
          <w:rFonts w:hint="eastAsia" w:ascii="宋体" w:hAnsi="宋体" w:cs="宋体"/>
          <w:szCs w:val="21"/>
        </w:rPr>
      </w:pPr>
      <w:r>
        <w:rPr>
          <w:rFonts w:hint="eastAsia" w:ascii="宋体" w:hAnsi="宋体" w:cs="宋体"/>
          <w:szCs w:val="21"/>
        </w:rPr>
        <w:t>8.货物配置清单（均不含报价）（格式后附）；（</w:t>
      </w:r>
      <w:r>
        <w:rPr>
          <w:rFonts w:hint="eastAsia" w:ascii="宋体" w:hAnsi="宋体" w:cs="宋体"/>
          <w:b/>
          <w:szCs w:val="21"/>
        </w:rPr>
        <w:t>必须提供，否则响应文件按无效处理</w:t>
      </w:r>
      <w:r>
        <w:rPr>
          <w:rFonts w:hint="eastAsia" w:ascii="宋体" w:hAnsi="宋体" w:cs="宋体"/>
          <w:szCs w:val="21"/>
        </w:rPr>
        <w:t>）</w:t>
      </w:r>
    </w:p>
    <w:p w14:paraId="13468D24">
      <w:pPr>
        <w:wordWrap w:val="0"/>
        <w:spacing w:line="400" w:lineRule="exact"/>
        <w:rPr>
          <w:rFonts w:hint="eastAsia" w:ascii="宋体" w:hAnsi="宋体" w:cs="宋体"/>
          <w:szCs w:val="21"/>
        </w:rPr>
      </w:pPr>
      <w:r>
        <w:rPr>
          <w:rFonts w:hint="eastAsia" w:ascii="宋体" w:hAnsi="宋体" w:cs="宋体"/>
          <w:szCs w:val="21"/>
        </w:rPr>
        <w:t>9.技术偏离表（格式后附）；（</w:t>
      </w:r>
      <w:r>
        <w:rPr>
          <w:rFonts w:hint="eastAsia" w:ascii="宋体" w:hAnsi="宋体" w:cs="宋体"/>
          <w:b/>
          <w:szCs w:val="21"/>
        </w:rPr>
        <w:t>必须提供，否则响应文件按无效响应处理</w:t>
      </w:r>
      <w:r>
        <w:rPr>
          <w:rFonts w:hint="eastAsia" w:ascii="宋体" w:hAnsi="宋体" w:cs="宋体"/>
          <w:szCs w:val="21"/>
        </w:rPr>
        <w:t>）</w:t>
      </w:r>
    </w:p>
    <w:p w14:paraId="221C3349">
      <w:pPr>
        <w:wordWrap w:val="0"/>
        <w:spacing w:line="400" w:lineRule="exact"/>
        <w:rPr>
          <w:rFonts w:hint="eastAsia" w:ascii="宋体" w:hAnsi="宋体" w:cs="宋体"/>
          <w:color w:val="auto"/>
          <w:szCs w:val="21"/>
        </w:rPr>
      </w:pPr>
      <w:r>
        <w:rPr>
          <w:rFonts w:hint="eastAsia" w:ascii="宋体" w:hAnsi="宋体" w:cs="宋体"/>
          <w:color w:val="auto"/>
          <w:szCs w:val="21"/>
          <w:lang w:val="en-US" w:eastAsia="zh-CN"/>
        </w:rPr>
        <w:t>10.关于符合本国产品标准的声明函</w:t>
      </w:r>
      <w:r>
        <w:rPr>
          <w:rFonts w:hint="eastAsia" w:ascii="宋体" w:hAnsi="宋体" w:cs="宋体"/>
          <w:color w:val="auto"/>
          <w:szCs w:val="21"/>
        </w:rPr>
        <w:t>（格式后附）；</w:t>
      </w:r>
    </w:p>
    <w:p w14:paraId="418F6907">
      <w:pPr>
        <w:wordWrap w:val="0"/>
        <w:spacing w:line="400" w:lineRule="exact"/>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.对应采购需求的技术要求、商务要求提供的其他文件资料（格式自拟）；</w:t>
      </w:r>
    </w:p>
    <w:p w14:paraId="7786441E">
      <w:pPr>
        <w:spacing w:line="400" w:lineRule="exact"/>
        <w:rPr>
          <w:rFonts w:hint="eastAsia" w:ascii="宋体" w:hAnsi="宋体" w:cs="宋体"/>
          <w:sz w:val="32"/>
          <w:szCs w:val="32"/>
        </w:rPr>
      </w:pPr>
      <w:r>
        <w:rPr>
          <w:rFonts w:hint="eastAsia" w:ascii="宋体" w:hAnsi="宋体" w:cs="宋体"/>
          <w:szCs w:val="21"/>
        </w:rPr>
        <w:t>1</w:t>
      </w:r>
      <w:r>
        <w:rPr>
          <w:rFonts w:hint="eastAsia" w:ascii="宋体" w:hAnsi="宋体" w:cs="宋体"/>
          <w:szCs w:val="21"/>
          <w:lang w:val="en-US" w:eastAsia="zh-CN"/>
        </w:rPr>
        <w:t>2</w:t>
      </w:r>
      <w:r>
        <w:rPr>
          <w:rFonts w:hint="eastAsia" w:ascii="宋体" w:hAnsi="宋体" w:cs="宋体"/>
          <w:szCs w:val="21"/>
        </w:rPr>
        <w:t>.供应商认为需要提供的其他有关资料。</w:t>
      </w:r>
    </w:p>
    <w:p w14:paraId="0F903B22">
      <w:pPr>
        <w:spacing w:line="300" w:lineRule="auto"/>
        <w:rPr>
          <w:rFonts w:hint="eastAsia" w:ascii="宋体" w:hAnsi="宋体" w:cs="宋体"/>
          <w:sz w:val="44"/>
          <w:szCs w:val="44"/>
        </w:rPr>
      </w:pPr>
    </w:p>
    <w:p w14:paraId="6EA53131">
      <w:pPr>
        <w:spacing w:line="300" w:lineRule="auto"/>
        <w:rPr>
          <w:rFonts w:hint="eastAsia" w:ascii="宋体" w:hAnsi="宋体" w:cs="宋体"/>
          <w:sz w:val="44"/>
          <w:szCs w:val="44"/>
        </w:rPr>
      </w:pPr>
    </w:p>
    <w:p w14:paraId="701BC9F0">
      <w:pPr>
        <w:spacing w:line="300" w:lineRule="auto"/>
        <w:rPr>
          <w:rFonts w:hint="eastAsia" w:ascii="宋体" w:hAnsi="宋体" w:cs="宋体"/>
          <w:sz w:val="44"/>
          <w:szCs w:val="44"/>
        </w:rPr>
      </w:pPr>
    </w:p>
    <w:p w14:paraId="60CB4EA3">
      <w:pPr>
        <w:spacing w:line="300" w:lineRule="auto"/>
        <w:rPr>
          <w:rFonts w:hint="eastAsia" w:ascii="宋体" w:hAnsi="宋体" w:cs="宋体"/>
          <w:sz w:val="44"/>
          <w:szCs w:val="44"/>
        </w:rPr>
      </w:pPr>
    </w:p>
    <w:p w14:paraId="6A6CF699">
      <w:pPr>
        <w:spacing w:line="300" w:lineRule="auto"/>
        <w:rPr>
          <w:rFonts w:hint="eastAsia" w:ascii="宋体" w:hAnsi="宋体" w:cs="宋体"/>
          <w:sz w:val="44"/>
          <w:szCs w:val="44"/>
        </w:rPr>
      </w:pPr>
    </w:p>
    <w:p w14:paraId="2C6D9845">
      <w:pPr>
        <w:spacing w:line="300" w:lineRule="auto"/>
        <w:rPr>
          <w:rFonts w:hint="eastAsia" w:ascii="宋体" w:hAnsi="宋体" w:cs="宋体"/>
          <w:sz w:val="44"/>
          <w:szCs w:val="44"/>
        </w:rPr>
      </w:pPr>
    </w:p>
    <w:p w14:paraId="557E693D">
      <w:pPr>
        <w:spacing w:line="300" w:lineRule="auto"/>
        <w:rPr>
          <w:rFonts w:hint="eastAsia" w:ascii="宋体" w:hAnsi="宋体" w:cs="宋体"/>
          <w:sz w:val="44"/>
          <w:szCs w:val="44"/>
        </w:rPr>
      </w:pPr>
    </w:p>
    <w:p w14:paraId="299E20A0">
      <w:pPr>
        <w:spacing w:line="300" w:lineRule="auto"/>
        <w:rPr>
          <w:rFonts w:hint="eastAsia" w:ascii="宋体" w:hAnsi="宋体" w:cs="宋体"/>
          <w:sz w:val="44"/>
          <w:szCs w:val="44"/>
        </w:rPr>
      </w:pPr>
    </w:p>
    <w:p w14:paraId="0ACDD5E5">
      <w:pPr>
        <w:spacing w:line="520" w:lineRule="exact"/>
        <w:jc w:val="center"/>
        <w:rPr>
          <w:rFonts w:hint="eastAsia" w:ascii="宋体" w:hAnsi="宋体" w:cs="宋体"/>
          <w:sz w:val="32"/>
          <w:szCs w:val="32"/>
        </w:rPr>
      </w:pPr>
      <w:r>
        <w:rPr>
          <w:rFonts w:hint="eastAsia" w:ascii="宋体" w:hAnsi="宋体" w:cs="宋体"/>
          <w:sz w:val="44"/>
          <w:szCs w:val="44"/>
        </w:rPr>
        <w:br w:type="page"/>
      </w:r>
      <w:r>
        <w:rPr>
          <w:rFonts w:hint="eastAsia" w:ascii="宋体" w:hAnsi="宋体" w:cs="宋体"/>
          <w:sz w:val="44"/>
          <w:szCs w:val="44"/>
        </w:rPr>
        <w:t>无串通竞标行为的承诺函</w:t>
      </w:r>
    </w:p>
    <w:p w14:paraId="3550A129">
      <w:pPr>
        <w:spacing w:line="360" w:lineRule="auto"/>
        <w:ind w:firstLine="640" w:firstLineChars="200"/>
        <w:contextualSpacing/>
        <w:rPr>
          <w:rFonts w:hint="eastAsia" w:ascii="宋体" w:hAnsi="宋体" w:cs="宋体"/>
          <w:sz w:val="32"/>
          <w:szCs w:val="32"/>
        </w:rPr>
      </w:pPr>
    </w:p>
    <w:p w14:paraId="5B2B91EB">
      <w:pPr>
        <w:spacing w:line="360" w:lineRule="auto"/>
        <w:ind w:firstLine="482" w:firstLineChars="200"/>
        <w:contextualSpacing/>
        <w:rPr>
          <w:rFonts w:hint="eastAsia" w:ascii="宋体" w:hAnsi="宋体" w:cs="宋体"/>
          <w:b/>
          <w:bCs/>
          <w:sz w:val="24"/>
        </w:rPr>
      </w:pPr>
      <w:r>
        <w:rPr>
          <w:rFonts w:hint="eastAsia" w:ascii="宋体" w:hAnsi="宋体" w:cs="宋体"/>
          <w:b/>
          <w:bCs/>
          <w:sz w:val="24"/>
        </w:rPr>
        <w:t>一、我方承诺无下列相互串通竞标的情形：</w:t>
      </w:r>
    </w:p>
    <w:p w14:paraId="18AF2257">
      <w:pPr>
        <w:spacing w:line="360" w:lineRule="auto"/>
        <w:ind w:firstLine="480" w:firstLineChars="200"/>
        <w:contextualSpacing/>
        <w:rPr>
          <w:rFonts w:hint="eastAsia" w:ascii="宋体" w:hAnsi="宋体" w:cs="宋体"/>
          <w:sz w:val="24"/>
        </w:rPr>
      </w:pPr>
      <w:r>
        <w:rPr>
          <w:rFonts w:hint="eastAsia" w:ascii="宋体" w:hAnsi="宋体" w:cs="宋体"/>
          <w:sz w:val="24"/>
        </w:rPr>
        <w:t>1.不同供应商的响应文件由同一单位或者个人编制；</w:t>
      </w:r>
    </w:p>
    <w:p w14:paraId="43E5FF85">
      <w:pPr>
        <w:spacing w:line="360" w:lineRule="auto"/>
        <w:ind w:firstLine="480" w:firstLineChars="200"/>
        <w:contextualSpacing/>
        <w:rPr>
          <w:rFonts w:hint="eastAsia" w:ascii="宋体" w:hAnsi="宋体" w:cs="宋体"/>
          <w:sz w:val="24"/>
        </w:rPr>
      </w:pPr>
      <w:r>
        <w:rPr>
          <w:rFonts w:hint="eastAsia" w:ascii="宋体" w:hAnsi="宋体" w:cs="宋体"/>
          <w:sz w:val="24"/>
        </w:rPr>
        <w:t>2.不同供应商委托同一单位或者个人办理竞标事宜；</w:t>
      </w:r>
    </w:p>
    <w:p w14:paraId="7E068B8D">
      <w:pPr>
        <w:spacing w:line="360" w:lineRule="auto"/>
        <w:ind w:firstLine="480" w:firstLineChars="200"/>
        <w:contextualSpacing/>
        <w:rPr>
          <w:rFonts w:hint="eastAsia" w:ascii="宋体" w:hAnsi="宋体" w:cs="宋体"/>
          <w:sz w:val="24"/>
        </w:rPr>
      </w:pPr>
      <w:r>
        <w:rPr>
          <w:rFonts w:hint="eastAsia" w:ascii="宋体" w:hAnsi="宋体" w:cs="宋体"/>
          <w:sz w:val="24"/>
        </w:rPr>
        <w:t>3.不同的供应商的响应文件载明的项目管理员为同一个人；</w:t>
      </w:r>
    </w:p>
    <w:p w14:paraId="606C4E63">
      <w:pPr>
        <w:spacing w:line="360" w:lineRule="auto"/>
        <w:ind w:firstLine="480" w:firstLineChars="200"/>
        <w:contextualSpacing/>
        <w:rPr>
          <w:rFonts w:hint="eastAsia" w:ascii="宋体" w:hAnsi="宋体" w:cs="宋体"/>
          <w:sz w:val="24"/>
        </w:rPr>
      </w:pPr>
      <w:r>
        <w:rPr>
          <w:rFonts w:hint="eastAsia" w:ascii="宋体" w:hAnsi="宋体" w:cs="宋体"/>
          <w:sz w:val="24"/>
        </w:rPr>
        <w:t>4.不</w:t>
      </w:r>
      <w:r>
        <w:rPr>
          <w:rFonts w:hint="eastAsia" w:ascii="宋体" w:hAnsi="宋体" w:cs="宋体"/>
          <w:spacing w:val="-6"/>
          <w:sz w:val="24"/>
        </w:rPr>
        <w:t>同供应商的响应文件异常一致或者竞标报价呈规律性差异；</w:t>
      </w:r>
    </w:p>
    <w:p w14:paraId="18F83EDF">
      <w:pPr>
        <w:spacing w:line="360" w:lineRule="auto"/>
        <w:ind w:firstLine="480" w:firstLineChars="200"/>
        <w:contextualSpacing/>
        <w:rPr>
          <w:rFonts w:hint="eastAsia" w:ascii="宋体" w:hAnsi="宋体" w:cs="宋体"/>
          <w:sz w:val="24"/>
        </w:rPr>
      </w:pPr>
      <w:r>
        <w:rPr>
          <w:rFonts w:hint="eastAsia" w:ascii="宋体" w:hAnsi="宋体" w:cs="宋体"/>
          <w:sz w:val="24"/>
        </w:rPr>
        <w:t>5.不同供应商的响应文件相互混装；</w:t>
      </w:r>
    </w:p>
    <w:p w14:paraId="50353D77">
      <w:pPr>
        <w:spacing w:line="360" w:lineRule="auto"/>
        <w:ind w:firstLine="480" w:firstLineChars="200"/>
        <w:contextualSpacing/>
        <w:rPr>
          <w:rFonts w:hint="eastAsia" w:ascii="宋体" w:hAnsi="宋体" w:cs="宋体"/>
          <w:sz w:val="24"/>
        </w:rPr>
      </w:pPr>
      <w:r>
        <w:rPr>
          <w:rFonts w:hint="eastAsia" w:ascii="宋体" w:hAnsi="宋体" w:cs="宋体"/>
          <w:sz w:val="24"/>
        </w:rPr>
        <w:t>6.不同供应商的竞标保证金从同一单位或者个人账户转出。</w:t>
      </w:r>
    </w:p>
    <w:p w14:paraId="51E773EC">
      <w:pPr>
        <w:spacing w:line="360" w:lineRule="auto"/>
        <w:ind w:firstLine="482" w:firstLineChars="200"/>
        <w:contextualSpacing/>
        <w:rPr>
          <w:rFonts w:hint="eastAsia" w:ascii="宋体" w:hAnsi="宋体" w:cs="宋体"/>
          <w:b/>
          <w:bCs/>
          <w:sz w:val="24"/>
        </w:rPr>
      </w:pPr>
      <w:r>
        <w:rPr>
          <w:rFonts w:hint="eastAsia" w:ascii="宋体" w:hAnsi="宋体" w:cs="宋体"/>
          <w:b/>
          <w:bCs/>
          <w:sz w:val="24"/>
        </w:rPr>
        <w:t>二、我方承诺无下列恶意串通的情形：</w:t>
      </w:r>
    </w:p>
    <w:p w14:paraId="196EF841">
      <w:pPr>
        <w:spacing w:line="360" w:lineRule="auto"/>
        <w:ind w:firstLine="480" w:firstLineChars="200"/>
        <w:contextualSpacing/>
        <w:rPr>
          <w:rFonts w:hint="eastAsia" w:ascii="宋体" w:hAnsi="宋体" w:cs="宋体"/>
          <w:sz w:val="24"/>
        </w:rPr>
      </w:pPr>
      <w:r>
        <w:rPr>
          <w:rFonts w:hint="eastAsia" w:ascii="宋体" w:hAnsi="宋体" w:cs="宋体"/>
          <w:sz w:val="24"/>
        </w:rPr>
        <w:t>1.供应商直接或者间接从采购人或者采购代理机构处获得其他供应商的相关信息并修改其响应文件；</w:t>
      </w:r>
    </w:p>
    <w:p w14:paraId="5EAFB9EA">
      <w:pPr>
        <w:spacing w:line="360" w:lineRule="auto"/>
        <w:ind w:firstLine="480" w:firstLineChars="200"/>
        <w:contextualSpacing/>
        <w:rPr>
          <w:rFonts w:hint="eastAsia" w:ascii="宋体" w:hAnsi="宋体" w:cs="宋体"/>
          <w:sz w:val="24"/>
        </w:rPr>
      </w:pPr>
      <w:r>
        <w:rPr>
          <w:rFonts w:hint="eastAsia" w:ascii="宋体" w:hAnsi="宋体" w:cs="宋体"/>
          <w:sz w:val="24"/>
        </w:rPr>
        <w:t>2.供应商按照采购人或者采购代理机构的授意撤换、修改响应文件；</w:t>
      </w:r>
    </w:p>
    <w:p w14:paraId="623D124E">
      <w:pPr>
        <w:spacing w:line="360" w:lineRule="auto"/>
        <w:ind w:firstLine="480" w:firstLineChars="200"/>
        <w:contextualSpacing/>
        <w:rPr>
          <w:rFonts w:hint="eastAsia" w:ascii="宋体" w:hAnsi="宋体" w:cs="宋体"/>
          <w:sz w:val="24"/>
        </w:rPr>
      </w:pPr>
      <w:r>
        <w:rPr>
          <w:rFonts w:hint="eastAsia" w:ascii="宋体" w:hAnsi="宋体" w:cs="宋体"/>
          <w:sz w:val="24"/>
        </w:rPr>
        <w:t>3.供</w:t>
      </w:r>
      <w:r>
        <w:rPr>
          <w:rFonts w:hint="eastAsia" w:ascii="宋体" w:hAnsi="宋体" w:cs="宋体"/>
          <w:spacing w:val="-6"/>
          <w:sz w:val="24"/>
        </w:rPr>
        <w:t>应商之间协商报价、技术方案等响应文件的实质性内容；</w:t>
      </w:r>
    </w:p>
    <w:p w14:paraId="6D730F8B">
      <w:pPr>
        <w:spacing w:line="360" w:lineRule="auto"/>
        <w:ind w:firstLine="480" w:firstLineChars="200"/>
        <w:contextualSpacing/>
        <w:rPr>
          <w:rFonts w:hint="eastAsia" w:ascii="宋体" w:hAnsi="宋体" w:cs="宋体"/>
          <w:sz w:val="24"/>
        </w:rPr>
      </w:pPr>
      <w:r>
        <w:rPr>
          <w:rFonts w:hint="eastAsia" w:ascii="宋体" w:hAnsi="宋体" w:cs="宋体"/>
          <w:sz w:val="24"/>
        </w:rPr>
        <w:t>4.属于同一集团、协会、商会等组织成员的供应商按照该组织要求协同参加政府采购活动；</w:t>
      </w:r>
    </w:p>
    <w:p w14:paraId="45849161">
      <w:pPr>
        <w:spacing w:line="360" w:lineRule="auto"/>
        <w:ind w:firstLine="480" w:firstLineChars="200"/>
        <w:contextualSpacing/>
        <w:rPr>
          <w:rFonts w:hint="eastAsia" w:ascii="宋体" w:hAnsi="宋体" w:cs="宋体"/>
          <w:sz w:val="24"/>
        </w:rPr>
      </w:pPr>
      <w:r>
        <w:rPr>
          <w:rFonts w:hint="eastAsia" w:ascii="宋体" w:hAnsi="宋体" w:cs="宋体"/>
          <w:sz w:val="24"/>
        </w:rPr>
        <w:t>5.供应商之间事先约定一致抬高或者压低竞标报价</w:t>
      </w:r>
      <w:r>
        <w:rPr>
          <w:rFonts w:hint="eastAsia" w:ascii="宋体" w:hAnsi="宋体" w:cs="宋体"/>
          <w:sz w:val="24"/>
          <w:lang w:eastAsia="zh-CN"/>
        </w:rPr>
        <w:t>，</w:t>
      </w:r>
      <w:r>
        <w:rPr>
          <w:rFonts w:hint="eastAsia" w:ascii="宋体" w:hAnsi="宋体" w:cs="宋体"/>
          <w:sz w:val="24"/>
        </w:rPr>
        <w:t>或者在竞争性谈判项目中事先约定轮流以高价位或者低价位成交</w:t>
      </w:r>
      <w:r>
        <w:rPr>
          <w:rFonts w:hint="eastAsia" w:ascii="宋体" w:hAnsi="宋体" w:cs="宋体"/>
          <w:sz w:val="24"/>
          <w:lang w:eastAsia="zh-CN"/>
        </w:rPr>
        <w:t>，</w:t>
      </w:r>
      <w:r>
        <w:rPr>
          <w:rFonts w:hint="eastAsia" w:ascii="宋体" w:hAnsi="宋体" w:cs="宋体"/>
          <w:sz w:val="24"/>
        </w:rPr>
        <w:t>或者事先约定由某一特定供应商成交</w:t>
      </w:r>
      <w:r>
        <w:rPr>
          <w:rFonts w:hint="eastAsia" w:ascii="宋体" w:hAnsi="宋体" w:cs="宋体"/>
          <w:sz w:val="24"/>
          <w:lang w:eastAsia="zh-CN"/>
        </w:rPr>
        <w:t>，</w:t>
      </w:r>
      <w:r>
        <w:rPr>
          <w:rFonts w:hint="eastAsia" w:ascii="宋体" w:hAnsi="宋体" w:cs="宋体"/>
          <w:sz w:val="24"/>
        </w:rPr>
        <w:t>然后再参加竞标；</w:t>
      </w:r>
    </w:p>
    <w:p w14:paraId="703021A5">
      <w:pPr>
        <w:spacing w:line="360" w:lineRule="auto"/>
        <w:ind w:firstLine="480" w:firstLineChars="200"/>
        <w:contextualSpacing/>
        <w:rPr>
          <w:rFonts w:hint="eastAsia" w:ascii="宋体" w:hAnsi="宋体" w:cs="宋体"/>
          <w:sz w:val="24"/>
        </w:rPr>
      </w:pPr>
      <w:r>
        <w:rPr>
          <w:rFonts w:hint="eastAsia" w:ascii="宋体" w:hAnsi="宋体" w:cs="宋体"/>
          <w:sz w:val="24"/>
        </w:rPr>
        <w:t>6.供应商之间商定部分供应商放弃参加政府采购活动或者放弃成交；</w:t>
      </w:r>
    </w:p>
    <w:p w14:paraId="75D90846">
      <w:pPr>
        <w:spacing w:line="360" w:lineRule="auto"/>
        <w:ind w:firstLine="480" w:firstLineChars="200"/>
        <w:contextualSpacing/>
        <w:rPr>
          <w:rFonts w:hint="eastAsia" w:ascii="宋体" w:hAnsi="宋体" w:cs="宋体"/>
          <w:sz w:val="24"/>
        </w:rPr>
      </w:pPr>
      <w:r>
        <w:rPr>
          <w:rFonts w:hint="eastAsia" w:ascii="宋体" w:hAnsi="宋体" w:cs="宋体"/>
          <w:sz w:val="24"/>
        </w:rPr>
        <w:t>7.供应商与采购人或者采购代理机构之间、供应商相互之间，为</w:t>
      </w:r>
      <w:r>
        <w:rPr>
          <w:rFonts w:hint="eastAsia" w:ascii="宋体" w:hAnsi="宋体" w:cs="宋体"/>
          <w:spacing w:val="-6"/>
          <w:sz w:val="24"/>
        </w:rPr>
        <w:t>谋求特定供应商成交或者排斥其他供应商的其他串通行为。</w:t>
      </w:r>
    </w:p>
    <w:p w14:paraId="255CE8D7">
      <w:pPr>
        <w:spacing w:line="360" w:lineRule="auto"/>
        <w:ind w:firstLine="480" w:firstLineChars="200"/>
        <w:contextualSpacing/>
        <w:rPr>
          <w:rFonts w:hint="eastAsia" w:ascii="宋体" w:hAnsi="宋体" w:cs="宋体"/>
          <w:sz w:val="24"/>
        </w:rPr>
      </w:pPr>
    </w:p>
    <w:p w14:paraId="506ADA30">
      <w:pPr>
        <w:spacing w:line="360" w:lineRule="auto"/>
        <w:ind w:firstLine="482" w:firstLineChars="200"/>
        <w:contextualSpacing/>
        <w:rPr>
          <w:rFonts w:hint="eastAsia" w:ascii="宋体" w:hAnsi="宋体" w:cs="宋体"/>
          <w:b/>
          <w:bCs/>
          <w:sz w:val="24"/>
        </w:rPr>
      </w:pPr>
      <w:r>
        <w:rPr>
          <w:rFonts w:hint="eastAsia" w:ascii="宋体" w:hAnsi="宋体" w:cs="宋体"/>
          <w:b/>
          <w:bCs/>
          <w:sz w:val="24"/>
        </w:rPr>
        <w:t>以上情形一经核查属实，我方愿意承担一切后果，并不再寻求任何旨在减轻或者免除法律责任的辩解。</w:t>
      </w:r>
    </w:p>
    <w:p w14:paraId="3B3F8061">
      <w:pPr>
        <w:spacing w:line="360" w:lineRule="auto"/>
        <w:contextualSpacing/>
        <w:rPr>
          <w:rFonts w:hint="eastAsia" w:ascii="宋体" w:hAnsi="宋体" w:cs="宋体"/>
          <w:sz w:val="24"/>
        </w:rPr>
      </w:pPr>
    </w:p>
    <w:p w14:paraId="38A043E5">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6D851758">
      <w:pPr>
        <w:spacing w:line="240" w:lineRule="auto"/>
        <w:ind w:right="0" w:firstLine="0" w:firstLineChars="0"/>
        <w:contextualSpacing/>
        <w:jc w:val="center"/>
        <w:rPr>
          <w:rFonts w:hint="eastAsia" w:ascii="宋体" w:hAnsi="宋体" w:cs="宋体"/>
          <w:szCs w:val="21"/>
        </w:rPr>
      </w:pPr>
      <w:r>
        <w:rPr>
          <w:rFonts w:hint="eastAsia" w:ascii="宋体" w:hAnsi="宋体" w:cs="宋体"/>
          <w:sz w:val="24"/>
          <w:szCs w:val="24"/>
        </w:rPr>
        <w:t xml:space="preserve">                  </w:t>
      </w:r>
      <w:r>
        <w:rPr>
          <w:rFonts w:hint="eastAsia" w:ascii="宋体" w:hAnsi="宋体" w:cs="宋体"/>
          <w:sz w:val="24"/>
          <w:szCs w:val="24"/>
          <w:lang w:val="en-US" w:eastAsia="zh-CN"/>
        </w:rPr>
        <w:t xml:space="preserve">                             日期：   </w:t>
      </w:r>
      <w:r>
        <w:rPr>
          <w:rFonts w:hint="eastAsia" w:ascii="宋体" w:hAnsi="宋体" w:cs="宋体"/>
          <w:sz w:val="24"/>
          <w:szCs w:val="24"/>
        </w:rPr>
        <w:t>年    月    日</w:t>
      </w:r>
      <w:r>
        <w:rPr>
          <w:rFonts w:hint="eastAsia" w:ascii="宋体" w:hAnsi="宋体" w:cs="宋体"/>
        </w:rPr>
        <w:t xml:space="preserve"> </w:t>
      </w:r>
    </w:p>
    <w:p w14:paraId="1EAFE6EB">
      <w:pPr>
        <w:spacing w:line="300" w:lineRule="auto"/>
        <w:rPr>
          <w:rFonts w:hint="eastAsia" w:ascii="宋体" w:hAnsi="宋体" w:cs="宋体"/>
          <w:sz w:val="32"/>
          <w:szCs w:val="32"/>
        </w:rPr>
      </w:pPr>
    </w:p>
    <w:p w14:paraId="1B1C6E7E">
      <w:pPr>
        <w:tabs>
          <w:tab w:val="left" w:pos="3479"/>
        </w:tabs>
        <w:spacing w:line="520" w:lineRule="exact"/>
        <w:jc w:val="center"/>
        <w:rPr>
          <w:rFonts w:hint="eastAsia" w:ascii="宋体" w:hAnsi="宋体" w:cs="宋体"/>
          <w:bCs/>
          <w:sz w:val="44"/>
          <w:szCs w:val="44"/>
        </w:rPr>
      </w:pPr>
    </w:p>
    <w:p w14:paraId="05FEDF7C">
      <w:pPr>
        <w:tabs>
          <w:tab w:val="left" w:pos="3479"/>
        </w:tabs>
        <w:spacing w:line="520" w:lineRule="exact"/>
        <w:jc w:val="center"/>
        <w:rPr>
          <w:rFonts w:hint="eastAsia" w:ascii="宋体" w:hAnsi="宋体" w:cs="宋体"/>
          <w:bCs/>
          <w:sz w:val="32"/>
          <w:szCs w:val="32"/>
        </w:rPr>
      </w:pPr>
      <w:r>
        <w:rPr>
          <w:rFonts w:hint="eastAsia" w:ascii="宋体" w:hAnsi="宋体" w:cs="宋体"/>
          <w:bCs/>
          <w:sz w:val="44"/>
          <w:szCs w:val="44"/>
        </w:rPr>
        <w:t>竞  标  报  价  表</w:t>
      </w:r>
    </w:p>
    <w:p w14:paraId="3F01DE20">
      <w:pPr>
        <w:spacing w:line="520" w:lineRule="exact"/>
        <w:jc w:val="center"/>
        <w:rPr>
          <w:rFonts w:hint="eastAsia" w:ascii="宋体" w:hAnsi="宋体" w:cs="宋体"/>
          <w:bCs/>
          <w:sz w:val="32"/>
          <w:szCs w:val="32"/>
        </w:rPr>
      </w:pPr>
    </w:p>
    <w:p w14:paraId="144368FF">
      <w:pPr>
        <w:snapToGrid w:val="0"/>
        <w:spacing w:before="50" w:after="50" w:line="360" w:lineRule="auto"/>
        <w:rPr>
          <w:rFonts w:hint="eastAsia" w:ascii="宋体" w:hAnsi="宋体" w:cs="宋体"/>
          <w:sz w:val="24"/>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项目编号：</w:t>
      </w:r>
      <w:r>
        <w:rPr>
          <w:rFonts w:hint="eastAsia" w:ascii="宋体" w:hAnsi="宋体" w:cs="宋体"/>
          <w:sz w:val="24"/>
          <w:u w:val="single"/>
        </w:rPr>
        <w:t xml:space="preserve">               </w:t>
      </w:r>
      <w:r>
        <w:rPr>
          <w:rFonts w:hint="eastAsia" w:ascii="宋体" w:hAnsi="宋体" w:cs="宋体"/>
          <w:sz w:val="24"/>
        </w:rPr>
        <w:t xml:space="preserve"> 分标（如有）：</w:t>
      </w:r>
      <w:r>
        <w:rPr>
          <w:rFonts w:hint="eastAsia" w:ascii="宋体" w:hAnsi="宋体" w:cs="宋体"/>
          <w:sz w:val="24"/>
          <w:u w:val="single"/>
        </w:rPr>
        <w:t xml:space="preserve">            </w:t>
      </w:r>
    </w:p>
    <w:p w14:paraId="39F2C910">
      <w:pPr>
        <w:snapToGrid w:val="0"/>
        <w:spacing w:before="50" w:after="50" w:line="360" w:lineRule="auto"/>
        <w:rPr>
          <w:rFonts w:hint="eastAsia"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 xml:space="preserve">                      </w:t>
      </w:r>
    </w:p>
    <w:p w14:paraId="03BE3255">
      <w:pPr>
        <w:snapToGrid w:val="0"/>
        <w:spacing w:before="50" w:after="50" w:line="360" w:lineRule="auto"/>
        <w:ind w:firstLine="5520" w:firstLineChars="2300"/>
        <w:rPr>
          <w:rFonts w:hint="eastAsia" w:ascii="宋体" w:hAnsi="宋体" w:cs="宋体"/>
          <w:sz w:val="24"/>
        </w:rPr>
      </w:pPr>
      <w:r>
        <w:rPr>
          <w:rFonts w:hint="eastAsia" w:ascii="宋体" w:hAnsi="宋体" w:cs="宋体"/>
          <w:sz w:val="24"/>
        </w:rPr>
        <w:t>单位：元</w:t>
      </w:r>
    </w:p>
    <w:tbl>
      <w:tblPr>
        <w:tblStyle w:val="3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0"/>
        <w:gridCol w:w="1389"/>
        <w:gridCol w:w="1311"/>
        <w:gridCol w:w="1135"/>
        <w:gridCol w:w="1389"/>
        <w:gridCol w:w="1016"/>
        <w:gridCol w:w="2251"/>
      </w:tblGrid>
      <w:tr w14:paraId="226BBB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59D18E59">
            <w:pPr>
              <w:spacing w:line="360" w:lineRule="auto"/>
              <w:jc w:val="center"/>
              <w:rPr>
                <w:rFonts w:hint="eastAsia" w:ascii="宋体" w:hAnsi="宋体" w:cs="宋体"/>
                <w:b/>
                <w:bCs/>
                <w:sz w:val="24"/>
              </w:rPr>
            </w:pPr>
            <w:r>
              <w:rPr>
                <w:rFonts w:hint="eastAsia" w:ascii="宋体" w:hAnsi="宋体" w:cs="宋体"/>
                <w:b/>
                <w:bCs/>
                <w:sz w:val="24"/>
              </w:rPr>
              <w:t>项号</w:t>
            </w:r>
          </w:p>
        </w:tc>
        <w:tc>
          <w:tcPr>
            <w:tcW w:w="1389" w:type="dxa"/>
            <w:tcBorders>
              <w:top w:val="single" w:color="auto" w:sz="4" w:space="0"/>
              <w:left w:val="single" w:color="auto" w:sz="4" w:space="0"/>
              <w:bottom w:val="single" w:color="auto" w:sz="4" w:space="0"/>
              <w:right w:val="single" w:color="auto" w:sz="4" w:space="0"/>
            </w:tcBorders>
            <w:noWrap w:val="0"/>
            <w:vAlign w:val="center"/>
          </w:tcPr>
          <w:p w14:paraId="6A6BA53C">
            <w:pPr>
              <w:spacing w:line="360" w:lineRule="auto"/>
              <w:jc w:val="center"/>
              <w:rPr>
                <w:rFonts w:hint="eastAsia" w:ascii="宋体" w:hAnsi="宋体" w:cs="宋体"/>
                <w:b/>
                <w:bCs/>
                <w:sz w:val="24"/>
              </w:rPr>
            </w:pPr>
            <w:r>
              <w:rPr>
                <w:rFonts w:hint="eastAsia" w:ascii="宋体" w:hAnsi="宋体" w:cs="宋体"/>
                <w:b/>
                <w:bCs/>
                <w:sz w:val="24"/>
              </w:rPr>
              <w:t>标的的名称</w:t>
            </w:r>
          </w:p>
        </w:tc>
        <w:tc>
          <w:tcPr>
            <w:tcW w:w="1311" w:type="dxa"/>
            <w:tcBorders>
              <w:top w:val="single" w:color="auto" w:sz="4" w:space="0"/>
              <w:left w:val="single" w:color="auto" w:sz="4" w:space="0"/>
              <w:bottom w:val="single" w:color="auto" w:sz="4" w:space="0"/>
              <w:right w:val="single" w:color="auto" w:sz="4" w:space="0"/>
            </w:tcBorders>
            <w:noWrap w:val="0"/>
            <w:vAlign w:val="center"/>
          </w:tcPr>
          <w:p w14:paraId="7AE29A1D">
            <w:pPr>
              <w:spacing w:line="360" w:lineRule="auto"/>
              <w:jc w:val="center"/>
              <w:rPr>
                <w:rFonts w:hint="eastAsia" w:ascii="宋体" w:hAnsi="宋体" w:cs="宋体"/>
                <w:b/>
                <w:bCs/>
                <w:sz w:val="24"/>
              </w:rPr>
            </w:pPr>
            <w:r>
              <w:rPr>
                <w:rFonts w:hint="eastAsia" w:ascii="宋体" w:hAnsi="宋体" w:cs="宋体"/>
                <w:b/>
                <w:bCs/>
                <w:sz w:val="24"/>
              </w:rPr>
              <w:t>数量及单位</w:t>
            </w:r>
          </w:p>
          <w:p w14:paraId="475BD237">
            <w:pPr>
              <w:spacing w:line="360" w:lineRule="auto"/>
              <w:jc w:val="center"/>
              <w:rPr>
                <w:rFonts w:hint="eastAsia" w:ascii="宋体" w:hAnsi="宋体" w:cs="宋体"/>
                <w:b/>
                <w:bCs/>
                <w:sz w:val="24"/>
              </w:rPr>
            </w:pPr>
            <w:r>
              <w:rPr>
                <w:rFonts w:hint="eastAsia" w:ascii="宋体" w:hAnsi="宋体" w:cs="宋体"/>
                <w:b/>
                <w:bCs/>
                <w:sz w:val="24"/>
              </w:rPr>
              <w:t>①</w:t>
            </w:r>
          </w:p>
        </w:tc>
        <w:tc>
          <w:tcPr>
            <w:tcW w:w="1135" w:type="dxa"/>
            <w:tcBorders>
              <w:top w:val="single" w:color="auto" w:sz="4" w:space="0"/>
              <w:left w:val="single" w:color="auto" w:sz="4" w:space="0"/>
              <w:bottom w:val="single" w:color="auto" w:sz="4" w:space="0"/>
              <w:right w:val="single" w:color="auto" w:sz="4" w:space="0"/>
            </w:tcBorders>
            <w:noWrap w:val="0"/>
            <w:vAlign w:val="center"/>
          </w:tcPr>
          <w:p w14:paraId="3A0C3C8D">
            <w:pPr>
              <w:spacing w:line="360" w:lineRule="auto"/>
              <w:jc w:val="center"/>
              <w:rPr>
                <w:rFonts w:hint="eastAsia" w:ascii="宋体" w:hAnsi="宋体" w:cs="宋体"/>
                <w:b/>
                <w:bCs/>
                <w:sz w:val="24"/>
              </w:rPr>
            </w:pPr>
            <w:r>
              <w:rPr>
                <w:rFonts w:hint="eastAsia" w:ascii="宋体" w:hAnsi="宋体" w:cs="宋体"/>
                <w:b/>
                <w:bCs/>
                <w:sz w:val="24"/>
              </w:rPr>
              <w:t>品牌</w:t>
            </w:r>
          </w:p>
        </w:tc>
        <w:tc>
          <w:tcPr>
            <w:tcW w:w="1389" w:type="dxa"/>
            <w:tcBorders>
              <w:top w:val="single" w:color="auto" w:sz="4" w:space="0"/>
              <w:left w:val="single" w:color="auto" w:sz="4" w:space="0"/>
              <w:bottom w:val="single" w:color="auto" w:sz="4" w:space="0"/>
              <w:right w:val="single" w:color="auto" w:sz="4" w:space="0"/>
            </w:tcBorders>
            <w:noWrap w:val="0"/>
            <w:vAlign w:val="center"/>
          </w:tcPr>
          <w:p w14:paraId="05A4443A">
            <w:pPr>
              <w:spacing w:line="360" w:lineRule="auto"/>
              <w:jc w:val="center"/>
              <w:rPr>
                <w:rFonts w:hint="eastAsia" w:ascii="宋体" w:hAnsi="宋体" w:cs="宋体"/>
                <w:b/>
                <w:bCs/>
                <w:sz w:val="24"/>
              </w:rPr>
            </w:pPr>
            <w:r>
              <w:rPr>
                <w:rFonts w:hint="eastAsia" w:ascii="宋体" w:hAnsi="宋体" w:cs="宋体"/>
                <w:b/>
                <w:bCs/>
                <w:sz w:val="24"/>
              </w:rPr>
              <w:t>规格</w:t>
            </w:r>
          </w:p>
          <w:p w14:paraId="46EAECB1">
            <w:pPr>
              <w:spacing w:line="360" w:lineRule="auto"/>
              <w:jc w:val="center"/>
              <w:rPr>
                <w:rFonts w:hint="eastAsia" w:ascii="宋体" w:hAnsi="宋体" w:cs="宋体"/>
                <w:b/>
                <w:bCs/>
                <w:sz w:val="24"/>
              </w:rPr>
            </w:pPr>
            <w:r>
              <w:rPr>
                <w:rFonts w:hint="eastAsia" w:ascii="宋体" w:hAnsi="宋体" w:cs="宋体"/>
                <w:b/>
                <w:bCs/>
                <w:sz w:val="24"/>
              </w:rPr>
              <w:t>型号</w:t>
            </w:r>
          </w:p>
        </w:tc>
        <w:tc>
          <w:tcPr>
            <w:tcW w:w="1016" w:type="dxa"/>
            <w:tcBorders>
              <w:top w:val="single" w:color="auto" w:sz="4" w:space="0"/>
              <w:left w:val="single" w:color="auto" w:sz="4" w:space="0"/>
              <w:bottom w:val="single" w:color="auto" w:sz="4" w:space="0"/>
              <w:right w:val="single" w:color="auto" w:sz="4" w:space="0"/>
            </w:tcBorders>
            <w:noWrap w:val="0"/>
            <w:vAlign w:val="center"/>
          </w:tcPr>
          <w:p w14:paraId="0CF4114D">
            <w:pPr>
              <w:spacing w:line="360" w:lineRule="auto"/>
              <w:jc w:val="center"/>
              <w:rPr>
                <w:rFonts w:hint="eastAsia" w:ascii="宋体" w:hAnsi="宋体" w:cs="宋体"/>
                <w:b/>
                <w:bCs/>
                <w:sz w:val="24"/>
              </w:rPr>
            </w:pPr>
            <w:r>
              <w:rPr>
                <w:rFonts w:hint="eastAsia" w:ascii="宋体" w:hAnsi="宋体" w:cs="宋体"/>
                <w:b/>
                <w:bCs/>
                <w:sz w:val="24"/>
              </w:rPr>
              <w:t>单价</w:t>
            </w:r>
          </w:p>
          <w:p w14:paraId="29B70662">
            <w:pPr>
              <w:spacing w:line="360" w:lineRule="auto"/>
              <w:jc w:val="center"/>
              <w:rPr>
                <w:rFonts w:hint="eastAsia" w:ascii="宋体" w:hAnsi="宋体" w:cs="宋体"/>
                <w:b/>
                <w:bCs/>
                <w:sz w:val="24"/>
              </w:rPr>
            </w:pPr>
            <w:r>
              <w:rPr>
                <w:rFonts w:hint="eastAsia" w:ascii="宋体" w:hAnsi="宋体" w:cs="宋体"/>
                <w:b/>
                <w:bCs/>
                <w:sz w:val="24"/>
              </w:rPr>
              <w:t>②</w:t>
            </w:r>
          </w:p>
        </w:tc>
        <w:tc>
          <w:tcPr>
            <w:tcW w:w="2251" w:type="dxa"/>
            <w:tcBorders>
              <w:top w:val="single" w:color="auto" w:sz="4" w:space="0"/>
              <w:left w:val="single" w:color="auto" w:sz="4" w:space="0"/>
              <w:bottom w:val="single" w:color="auto" w:sz="4" w:space="0"/>
              <w:right w:val="single" w:color="auto" w:sz="4" w:space="0"/>
            </w:tcBorders>
            <w:noWrap w:val="0"/>
            <w:vAlign w:val="center"/>
          </w:tcPr>
          <w:p w14:paraId="2CED7510">
            <w:pPr>
              <w:spacing w:line="360" w:lineRule="auto"/>
              <w:jc w:val="center"/>
              <w:rPr>
                <w:rFonts w:hint="eastAsia" w:ascii="宋体" w:hAnsi="宋体" w:cs="宋体"/>
                <w:b/>
                <w:bCs/>
                <w:sz w:val="24"/>
              </w:rPr>
            </w:pPr>
            <w:r>
              <w:rPr>
                <w:rFonts w:hint="eastAsia" w:ascii="宋体" w:hAnsi="宋体" w:cs="宋体"/>
                <w:b/>
                <w:bCs/>
                <w:sz w:val="24"/>
              </w:rPr>
              <w:t>竞标报价</w:t>
            </w:r>
          </w:p>
          <w:p w14:paraId="6E9C7218">
            <w:pPr>
              <w:spacing w:line="360" w:lineRule="auto"/>
              <w:jc w:val="center"/>
              <w:rPr>
                <w:rFonts w:hint="eastAsia" w:ascii="宋体" w:hAnsi="宋体" w:cs="宋体"/>
                <w:b/>
                <w:bCs/>
                <w:sz w:val="24"/>
              </w:rPr>
            </w:pPr>
            <w:r>
              <w:rPr>
                <w:rFonts w:hint="eastAsia" w:ascii="宋体" w:hAnsi="宋体" w:cs="宋体"/>
                <w:b/>
                <w:bCs/>
                <w:sz w:val="24"/>
              </w:rPr>
              <w:t>③=①×②</w:t>
            </w:r>
          </w:p>
        </w:tc>
      </w:tr>
      <w:tr w14:paraId="5305A0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1"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7F02A5B8">
            <w:pPr>
              <w:spacing w:line="360" w:lineRule="auto"/>
              <w:jc w:val="center"/>
              <w:rPr>
                <w:rFonts w:hint="eastAsia" w:ascii="宋体" w:hAnsi="宋体" w:cs="宋体"/>
                <w:sz w:val="24"/>
              </w:rPr>
            </w:pPr>
            <w:r>
              <w:rPr>
                <w:rFonts w:hint="eastAsia" w:ascii="宋体" w:hAnsi="宋体" w:cs="宋体"/>
                <w:sz w:val="24"/>
              </w:rPr>
              <w:t>1</w:t>
            </w:r>
          </w:p>
        </w:tc>
        <w:tc>
          <w:tcPr>
            <w:tcW w:w="1389" w:type="dxa"/>
            <w:tcBorders>
              <w:top w:val="single" w:color="auto" w:sz="4" w:space="0"/>
              <w:left w:val="single" w:color="auto" w:sz="4" w:space="0"/>
              <w:bottom w:val="single" w:color="auto" w:sz="4" w:space="0"/>
              <w:right w:val="single" w:color="auto" w:sz="4" w:space="0"/>
            </w:tcBorders>
            <w:noWrap w:val="0"/>
            <w:vAlign w:val="center"/>
          </w:tcPr>
          <w:p w14:paraId="2EE103EE">
            <w:pPr>
              <w:spacing w:line="360" w:lineRule="auto"/>
              <w:jc w:val="center"/>
              <w:rPr>
                <w:rFonts w:hint="eastAsia" w:ascii="宋体" w:hAnsi="宋体" w:cs="宋体"/>
                <w:sz w:val="24"/>
              </w:rPr>
            </w:pPr>
          </w:p>
        </w:tc>
        <w:tc>
          <w:tcPr>
            <w:tcW w:w="1311" w:type="dxa"/>
            <w:tcBorders>
              <w:top w:val="single" w:color="auto" w:sz="4" w:space="0"/>
              <w:left w:val="single" w:color="auto" w:sz="4" w:space="0"/>
              <w:bottom w:val="single" w:color="auto" w:sz="4" w:space="0"/>
              <w:right w:val="single" w:color="auto" w:sz="4" w:space="0"/>
            </w:tcBorders>
            <w:noWrap w:val="0"/>
            <w:vAlign w:val="center"/>
          </w:tcPr>
          <w:p w14:paraId="28E9B693">
            <w:pPr>
              <w:spacing w:line="360" w:lineRule="auto"/>
              <w:jc w:val="center"/>
              <w:rPr>
                <w:rFonts w:hint="eastAsia" w:ascii="宋体" w:hAnsi="宋体" w:cs="宋体"/>
                <w:sz w:val="24"/>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14:paraId="76E7FBC7">
            <w:pPr>
              <w:spacing w:line="360" w:lineRule="auto"/>
              <w:jc w:val="center"/>
              <w:rPr>
                <w:rFonts w:hint="eastAsia" w:ascii="宋体" w:hAnsi="宋体" w:cs="宋体"/>
                <w:sz w:val="24"/>
              </w:rPr>
            </w:pPr>
          </w:p>
        </w:tc>
        <w:tc>
          <w:tcPr>
            <w:tcW w:w="1389" w:type="dxa"/>
            <w:tcBorders>
              <w:top w:val="single" w:color="auto" w:sz="4" w:space="0"/>
              <w:left w:val="single" w:color="auto" w:sz="4" w:space="0"/>
              <w:bottom w:val="single" w:color="auto" w:sz="4" w:space="0"/>
              <w:right w:val="single" w:color="auto" w:sz="4" w:space="0"/>
            </w:tcBorders>
            <w:noWrap w:val="0"/>
            <w:vAlign w:val="center"/>
          </w:tcPr>
          <w:p w14:paraId="799961BD">
            <w:pPr>
              <w:spacing w:line="360" w:lineRule="auto"/>
              <w:jc w:val="center"/>
              <w:rPr>
                <w:rFonts w:hint="eastAsia" w:ascii="宋体" w:hAnsi="宋体" w:cs="宋体"/>
                <w:sz w:val="24"/>
              </w:rPr>
            </w:pPr>
          </w:p>
        </w:tc>
        <w:tc>
          <w:tcPr>
            <w:tcW w:w="1016" w:type="dxa"/>
            <w:tcBorders>
              <w:top w:val="single" w:color="auto" w:sz="4" w:space="0"/>
              <w:left w:val="single" w:color="auto" w:sz="4" w:space="0"/>
              <w:bottom w:val="single" w:color="auto" w:sz="4" w:space="0"/>
              <w:right w:val="single" w:color="auto" w:sz="4" w:space="0"/>
            </w:tcBorders>
            <w:noWrap w:val="0"/>
            <w:vAlign w:val="center"/>
          </w:tcPr>
          <w:p w14:paraId="282E5337">
            <w:pPr>
              <w:spacing w:line="360" w:lineRule="auto"/>
              <w:jc w:val="center"/>
              <w:rPr>
                <w:rFonts w:hint="eastAsia" w:ascii="宋体" w:hAnsi="宋体" w:cs="宋体"/>
                <w:sz w:val="24"/>
              </w:rPr>
            </w:pPr>
          </w:p>
        </w:tc>
        <w:tc>
          <w:tcPr>
            <w:tcW w:w="2251" w:type="dxa"/>
            <w:tcBorders>
              <w:top w:val="single" w:color="auto" w:sz="4" w:space="0"/>
              <w:left w:val="single" w:color="auto" w:sz="4" w:space="0"/>
              <w:bottom w:val="single" w:color="auto" w:sz="4" w:space="0"/>
              <w:right w:val="single" w:color="auto" w:sz="4" w:space="0"/>
            </w:tcBorders>
            <w:noWrap w:val="0"/>
            <w:vAlign w:val="center"/>
          </w:tcPr>
          <w:p w14:paraId="392AC585">
            <w:pPr>
              <w:spacing w:line="360" w:lineRule="auto"/>
              <w:jc w:val="center"/>
              <w:rPr>
                <w:rFonts w:hint="eastAsia" w:ascii="宋体" w:hAnsi="宋体" w:cs="宋体"/>
                <w:sz w:val="24"/>
              </w:rPr>
            </w:pPr>
          </w:p>
        </w:tc>
      </w:tr>
      <w:tr w14:paraId="4373F8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2"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6956218C">
            <w:pPr>
              <w:spacing w:line="360" w:lineRule="auto"/>
              <w:jc w:val="center"/>
              <w:rPr>
                <w:rFonts w:hint="eastAsia" w:ascii="宋体" w:hAnsi="宋体" w:cs="宋体"/>
                <w:sz w:val="24"/>
              </w:rPr>
            </w:pPr>
            <w:r>
              <w:rPr>
                <w:rFonts w:hint="eastAsia" w:ascii="宋体" w:hAnsi="宋体" w:cs="宋体"/>
                <w:sz w:val="24"/>
              </w:rPr>
              <w:t>2</w:t>
            </w:r>
          </w:p>
        </w:tc>
        <w:tc>
          <w:tcPr>
            <w:tcW w:w="1389" w:type="dxa"/>
            <w:tcBorders>
              <w:top w:val="single" w:color="auto" w:sz="4" w:space="0"/>
              <w:left w:val="single" w:color="auto" w:sz="4" w:space="0"/>
              <w:bottom w:val="single" w:color="auto" w:sz="4" w:space="0"/>
              <w:right w:val="single" w:color="auto" w:sz="4" w:space="0"/>
            </w:tcBorders>
            <w:noWrap w:val="0"/>
            <w:vAlign w:val="center"/>
          </w:tcPr>
          <w:p w14:paraId="5BA4B091">
            <w:pPr>
              <w:spacing w:line="360" w:lineRule="auto"/>
              <w:jc w:val="center"/>
              <w:rPr>
                <w:rFonts w:hint="eastAsia" w:ascii="宋体" w:hAnsi="宋体" w:cs="宋体"/>
                <w:sz w:val="24"/>
              </w:rPr>
            </w:pPr>
          </w:p>
        </w:tc>
        <w:tc>
          <w:tcPr>
            <w:tcW w:w="1311" w:type="dxa"/>
            <w:tcBorders>
              <w:top w:val="single" w:color="auto" w:sz="4" w:space="0"/>
              <w:left w:val="single" w:color="auto" w:sz="4" w:space="0"/>
              <w:bottom w:val="single" w:color="auto" w:sz="4" w:space="0"/>
              <w:right w:val="single" w:color="auto" w:sz="4" w:space="0"/>
            </w:tcBorders>
            <w:noWrap w:val="0"/>
            <w:vAlign w:val="center"/>
          </w:tcPr>
          <w:p w14:paraId="7F88B8A0">
            <w:pPr>
              <w:spacing w:line="360" w:lineRule="auto"/>
              <w:jc w:val="center"/>
              <w:rPr>
                <w:rFonts w:hint="eastAsia" w:ascii="宋体" w:hAnsi="宋体" w:cs="宋体"/>
                <w:sz w:val="24"/>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14:paraId="1342D18E">
            <w:pPr>
              <w:spacing w:line="360" w:lineRule="auto"/>
              <w:jc w:val="center"/>
              <w:rPr>
                <w:rFonts w:hint="eastAsia" w:ascii="宋体" w:hAnsi="宋体" w:cs="宋体"/>
                <w:sz w:val="24"/>
              </w:rPr>
            </w:pPr>
          </w:p>
        </w:tc>
        <w:tc>
          <w:tcPr>
            <w:tcW w:w="1389" w:type="dxa"/>
            <w:tcBorders>
              <w:top w:val="single" w:color="auto" w:sz="4" w:space="0"/>
              <w:left w:val="single" w:color="auto" w:sz="4" w:space="0"/>
              <w:bottom w:val="single" w:color="auto" w:sz="4" w:space="0"/>
              <w:right w:val="single" w:color="auto" w:sz="4" w:space="0"/>
            </w:tcBorders>
            <w:noWrap w:val="0"/>
            <w:vAlign w:val="center"/>
          </w:tcPr>
          <w:p w14:paraId="713484EC">
            <w:pPr>
              <w:spacing w:line="360" w:lineRule="auto"/>
              <w:jc w:val="center"/>
              <w:rPr>
                <w:rFonts w:hint="eastAsia" w:ascii="宋体" w:hAnsi="宋体" w:cs="宋体"/>
                <w:sz w:val="24"/>
              </w:rPr>
            </w:pPr>
          </w:p>
        </w:tc>
        <w:tc>
          <w:tcPr>
            <w:tcW w:w="1016" w:type="dxa"/>
            <w:tcBorders>
              <w:top w:val="single" w:color="auto" w:sz="4" w:space="0"/>
              <w:left w:val="single" w:color="auto" w:sz="4" w:space="0"/>
              <w:bottom w:val="single" w:color="auto" w:sz="4" w:space="0"/>
              <w:right w:val="single" w:color="auto" w:sz="4" w:space="0"/>
            </w:tcBorders>
            <w:noWrap w:val="0"/>
            <w:vAlign w:val="center"/>
          </w:tcPr>
          <w:p w14:paraId="3F406DCF">
            <w:pPr>
              <w:spacing w:line="360" w:lineRule="auto"/>
              <w:jc w:val="center"/>
              <w:rPr>
                <w:rFonts w:hint="eastAsia" w:ascii="宋体" w:hAnsi="宋体" w:cs="宋体"/>
                <w:sz w:val="24"/>
              </w:rPr>
            </w:pPr>
          </w:p>
        </w:tc>
        <w:tc>
          <w:tcPr>
            <w:tcW w:w="2251" w:type="dxa"/>
            <w:tcBorders>
              <w:top w:val="single" w:color="auto" w:sz="4" w:space="0"/>
              <w:left w:val="single" w:color="auto" w:sz="4" w:space="0"/>
              <w:bottom w:val="single" w:color="auto" w:sz="4" w:space="0"/>
              <w:right w:val="single" w:color="auto" w:sz="4" w:space="0"/>
            </w:tcBorders>
            <w:noWrap w:val="0"/>
            <w:vAlign w:val="center"/>
          </w:tcPr>
          <w:p w14:paraId="48B8DAEF">
            <w:pPr>
              <w:spacing w:line="360" w:lineRule="auto"/>
              <w:jc w:val="center"/>
              <w:rPr>
                <w:rFonts w:hint="eastAsia" w:ascii="宋体" w:hAnsi="宋体" w:cs="宋体"/>
                <w:sz w:val="24"/>
              </w:rPr>
            </w:pPr>
          </w:p>
        </w:tc>
      </w:tr>
      <w:tr w14:paraId="50C15B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6A9945D6">
            <w:pPr>
              <w:spacing w:line="360" w:lineRule="auto"/>
              <w:jc w:val="center"/>
              <w:rPr>
                <w:rFonts w:hint="eastAsia" w:ascii="宋体" w:hAnsi="宋体" w:cs="宋体"/>
                <w:sz w:val="24"/>
              </w:rPr>
            </w:pPr>
            <w:r>
              <w:rPr>
                <w:rFonts w:hint="eastAsia" w:ascii="宋体" w:hAnsi="宋体" w:cs="宋体"/>
                <w:sz w:val="24"/>
              </w:rPr>
              <w:t>…</w:t>
            </w:r>
          </w:p>
        </w:tc>
        <w:tc>
          <w:tcPr>
            <w:tcW w:w="1389" w:type="dxa"/>
            <w:tcBorders>
              <w:top w:val="single" w:color="auto" w:sz="4" w:space="0"/>
              <w:left w:val="single" w:color="auto" w:sz="4" w:space="0"/>
              <w:bottom w:val="single" w:color="auto" w:sz="4" w:space="0"/>
              <w:right w:val="single" w:color="auto" w:sz="4" w:space="0"/>
            </w:tcBorders>
            <w:noWrap w:val="0"/>
            <w:vAlign w:val="center"/>
          </w:tcPr>
          <w:p w14:paraId="7EC1BF83">
            <w:pPr>
              <w:spacing w:line="360" w:lineRule="auto"/>
              <w:jc w:val="center"/>
              <w:rPr>
                <w:rFonts w:hint="eastAsia" w:ascii="宋体" w:hAnsi="宋体" w:cs="宋体"/>
                <w:sz w:val="24"/>
              </w:rPr>
            </w:pPr>
            <w:r>
              <w:rPr>
                <w:rFonts w:hint="eastAsia" w:ascii="宋体" w:hAnsi="宋体" w:cs="宋体"/>
                <w:sz w:val="24"/>
              </w:rPr>
              <w:t>……</w:t>
            </w:r>
          </w:p>
        </w:tc>
        <w:tc>
          <w:tcPr>
            <w:tcW w:w="1311" w:type="dxa"/>
            <w:tcBorders>
              <w:top w:val="single" w:color="auto" w:sz="4" w:space="0"/>
              <w:left w:val="single" w:color="auto" w:sz="4" w:space="0"/>
              <w:bottom w:val="single" w:color="auto" w:sz="4" w:space="0"/>
              <w:right w:val="single" w:color="auto" w:sz="4" w:space="0"/>
            </w:tcBorders>
            <w:noWrap w:val="0"/>
            <w:vAlign w:val="center"/>
          </w:tcPr>
          <w:p w14:paraId="1C242757">
            <w:pPr>
              <w:spacing w:line="360" w:lineRule="auto"/>
              <w:jc w:val="center"/>
              <w:rPr>
                <w:rFonts w:hint="eastAsia" w:ascii="宋体" w:hAnsi="宋体" w:cs="宋体"/>
                <w:sz w:val="24"/>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14:paraId="3F8D8D86">
            <w:pPr>
              <w:spacing w:line="360" w:lineRule="auto"/>
              <w:jc w:val="center"/>
              <w:rPr>
                <w:rFonts w:hint="eastAsia" w:ascii="宋体" w:hAnsi="宋体" w:cs="宋体"/>
                <w:sz w:val="24"/>
              </w:rPr>
            </w:pPr>
          </w:p>
        </w:tc>
        <w:tc>
          <w:tcPr>
            <w:tcW w:w="1389" w:type="dxa"/>
            <w:tcBorders>
              <w:top w:val="single" w:color="auto" w:sz="4" w:space="0"/>
              <w:left w:val="single" w:color="auto" w:sz="4" w:space="0"/>
              <w:bottom w:val="single" w:color="auto" w:sz="4" w:space="0"/>
              <w:right w:val="single" w:color="auto" w:sz="4" w:space="0"/>
            </w:tcBorders>
            <w:noWrap w:val="0"/>
            <w:vAlign w:val="center"/>
          </w:tcPr>
          <w:p w14:paraId="4AA3A0E3">
            <w:pPr>
              <w:spacing w:line="360" w:lineRule="auto"/>
              <w:jc w:val="center"/>
              <w:rPr>
                <w:rFonts w:hint="eastAsia" w:ascii="宋体" w:hAnsi="宋体" w:cs="宋体"/>
                <w:sz w:val="24"/>
              </w:rPr>
            </w:pPr>
          </w:p>
        </w:tc>
        <w:tc>
          <w:tcPr>
            <w:tcW w:w="1016" w:type="dxa"/>
            <w:tcBorders>
              <w:top w:val="single" w:color="auto" w:sz="4" w:space="0"/>
              <w:left w:val="single" w:color="auto" w:sz="4" w:space="0"/>
              <w:bottom w:val="single" w:color="auto" w:sz="4" w:space="0"/>
              <w:right w:val="single" w:color="auto" w:sz="4" w:space="0"/>
            </w:tcBorders>
            <w:noWrap w:val="0"/>
            <w:vAlign w:val="center"/>
          </w:tcPr>
          <w:p w14:paraId="0E41B7BD">
            <w:pPr>
              <w:spacing w:line="360" w:lineRule="auto"/>
              <w:jc w:val="center"/>
              <w:rPr>
                <w:rFonts w:hint="eastAsia" w:ascii="宋体" w:hAnsi="宋体" w:cs="宋体"/>
                <w:sz w:val="24"/>
              </w:rPr>
            </w:pPr>
          </w:p>
        </w:tc>
        <w:tc>
          <w:tcPr>
            <w:tcW w:w="2251" w:type="dxa"/>
            <w:tcBorders>
              <w:top w:val="single" w:color="auto" w:sz="4" w:space="0"/>
              <w:left w:val="single" w:color="auto" w:sz="4" w:space="0"/>
              <w:bottom w:val="single" w:color="auto" w:sz="4" w:space="0"/>
              <w:right w:val="single" w:color="auto" w:sz="4" w:space="0"/>
            </w:tcBorders>
            <w:noWrap w:val="0"/>
            <w:vAlign w:val="center"/>
          </w:tcPr>
          <w:p w14:paraId="6E53293F">
            <w:pPr>
              <w:spacing w:line="360" w:lineRule="auto"/>
              <w:jc w:val="center"/>
              <w:rPr>
                <w:rFonts w:hint="eastAsia" w:ascii="宋体" w:hAnsi="宋体" w:cs="宋体"/>
                <w:sz w:val="24"/>
              </w:rPr>
            </w:pPr>
          </w:p>
        </w:tc>
      </w:tr>
    </w:tbl>
    <w:p w14:paraId="0234B59E">
      <w:pPr>
        <w:spacing w:line="360" w:lineRule="auto"/>
        <w:contextualSpacing/>
        <w:jc w:val="left"/>
        <w:rPr>
          <w:rFonts w:hint="eastAsia" w:ascii="宋体" w:hAnsi="宋体" w:cs="宋体"/>
          <w:sz w:val="24"/>
        </w:rPr>
      </w:pPr>
    </w:p>
    <w:p w14:paraId="603112CB">
      <w:pPr>
        <w:spacing w:line="360" w:lineRule="auto"/>
        <w:contextualSpacing/>
        <w:jc w:val="left"/>
        <w:rPr>
          <w:rFonts w:hint="eastAsia" w:ascii="宋体" w:hAnsi="宋体" w:cs="宋体"/>
          <w:b/>
          <w:sz w:val="24"/>
        </w:rPr>
      </w:pPr>
      <w:r>
        <w:rPr>
          <w:rFonts w:hint="eastAsia" w:ascii="宋体" w:hAnsi="宋体" w:cs="宋体"/>
          <w:b/>
          <w:sz w:val="24"/>
        </w:rPr>
        <w:t>注</w:t>
      </w:r>
      <w:r>
        <w:rPr>
          <w:rFonts w:hint="eastAsia" w:ascii="宋体" w:hAnsi="宋体" w:cs="宋体"/>
          <w:b/>
          <w:sz w:val="24"/>
          <w:lang w:eastAsia="zh-CN"/>
        </w:rPr>
        <w:t>：</w:t>
      </w:r>
      <w:r>
        <w:rPr>
          <w:rFonts w:hint="eastAsia" w:ascii="宋体" w:hAnsi="宋体" w:cs="宋体"/>
          <w:b/>
          <w:sz w:val="24"/>
        </w:rPr>
        <w:t xml:space="preserve"> </w:t>
      </w:r>
    </w:p>
    <w:p w14:paraId="68DBEC22">
      <w:pPr>
        <w:spacing w:line="360" w:lineRule="auto"/>
        <w:ind w:firstLine="480" w:firstLineChars="200"/>
        <w:contextualSpacing/>
        <w:jc w:val="left"/>
        <w:rPr>
          <w:rFonts w:hint="eastAsia" w:ascii="宋体" w:hAnsi="宋体" w:cs="宋体"/>
          <w:sz w:val="24"/>
        </w:rPr>
      </w:pPr>
      <w:r>
        <w:rPr>
          <w:rFonts w:hint="eastAsia" w:ascii="宋体" w:hAnsi="宋体" w:cs="宋体"/>
          <w:sz w:val="24"/>
        </w:rPr>
        <w:t>1. 以上竞标报价表中“货物名称、数量及单位、品牌、规格型号”必须如实填写完整，品牌、规格型号没有则填无，填写有缺漏</w:t>
      </w:r>
      <w:r>
        <w:rPr>
          <w:rFonts w:hint="eastAsia" w:ascii="宋体" w:hAnsi="宋体" w:cs="宋体"/>
          <w:bCs/>
          <w:sz w:val="24"/>
        </w:rPr>
        <w:t>的，</w:t>
      </w:r>
      <w:r>
        <w:rPr>
          <w:rFonts w:hint="eastAsia" w:ascii="宋体" w:hAnsi="宋体" w:cs="宋体"/>
          <w:b/>
          <w:sz w:val="24"/>
        </w:rPr>
        <w:t>其响应文件按无效处理。</w:t>
      </w:r>
    </w:p>
    <w:p w14:paraId="2F282A82">
      <w:pPr>
        <w:spacing w:line="360" w:lineRule="auto"/>
        <w:ind w:firstLine="480" w:firstLineChars="200"/>
        <w:contextualSpacing/>
        <w:jc w:val="left"/>
        <w:rPr>
          <w:rFonts w:hint="eastAsia" w:ascii="宋体" w:hAnsi="宋体" w:cs="宋体"/>
          <w:sz w:val="24"/>
        </w:rPr>
      </w:pPr>
      <w:r>
        <w:rPr>
          <w:rFonts w:hint="eastAsia" w:ascii="宋体" w:hAnsi="宋体" w:cs="宋体"/>
          <w:sz w:val="24"/>
        </w:rPr>
        <w:t>2.供应商的报价表必须加盖供应商公章并由法定代表人或者委托代理人签字，</w:t>
      </w:r>
      <w:r>
        <w:rPr>
          <w:rFonts w:hint="eastAsia" w:ascii="宋体" w:hAnsi="宋体" w:cs="宋体"/>
          <w:b/>
          <w:sz w:val="24"/>
        </w:rPr>
        <w:t>否则其响应文件按无效处理</w:t>
      </w:r>
      <w:r>
        <w:rPr>
          <w:rFonts w:hint="eastAsia" w:ascii="宋体" w:hAnsi="宋体" w:cs="宋体"/>
          <w:sz w:val="24"/>
        </w:rPr>
        <w:t>。</w:t>
      </w:r>
    </w:p>
    <w:p w14:paraId="4F292110">
      <w:pPr>
        <w:spacing w:line="360" w:lineRule="auto"/>
        <w:ind w:firstLine="480" w:firstLineChars="200"/>
        <w:contextualSpacing/>
        <w:jc w:val="left"/>
        <w:rPr>
          <w:rFonts w:hint="eastAsia" w:ascii="宋体" w:hAnsi="宋体" w:cs="宋体"/>
          <w:b/>
          <w:sz w:val="24"/>
        </w:rPr>
      </w:pPr>
      <w:r>
        <w:rPr>
          <w:rFonts w:hint="eastAsia" w:ascii="宋体" w:hAnsi="宋体" w:cs="宋体"/>
          <w:bCs/>
          <w:sz w:val="24"/>
        </w:rPr>
        <w:t>3.</w:t>
      </w:r>
      <w:r>
        <w:rPr>
          <w:rFonts w:hint="eastAsia" w:ascii="宋体" w:hAnsi="宋体" w:cs="宋体"/>
          <w:sz w:val="24"/>
        </w:rPr>
        <w:t>报价一经涂改，应在涂改处加盖供应商公章或者由法定代表人或者授权委托人签字或者盖章</w:t>
      </w:r>
      <w:r>
        <w:rPr>
          <w:rFonts w:hint="eastAsia" w:ascii="宋体" w:hAnsi="宋体" w:cs="宋体"/>
          <w:b/>
          <w:sz w:val="24"/>
        </w:rPr>
        <w:t>，否则其响应文件按无效处理。</w:t>
      </w:r>
    </w:p>
    <w:p w14:paraId="7A0FAA32">
      <w:pPr>
        <w:spacing w:line="360" w:lineRule="auto"/>
        <w:ind w:firstLine="480" w:firstLineChars="200"/>
        <w:contextualSpacing/>
        <w:jc w:val="left"/>
        <w:rPr>
          <w:rFonts w:hint="eastAsia" w:ascii="宋体" w:hAnsi="宋体" w:cs="宋体"/>
          <w:sz w:val="24"/>
        </w:rPr>
      </w:pPr>
    </w:p>
    <w:p w14:paraId="3AA40A31">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546DFBC6">
      <w:pPr>
        <w:spacing w:line="240" w:lineRule="auto"/>
        <w:ind w:right="0" w:firstLine="0" w:firstLineChars="0"/>
        <w:contextualSpacing/>
        <w:jc w:val="center"/>
        <w:rPr>
          <w:rFonts w:hint="eastAsia" w:ascii="宋体" w:hAnsi="宋体" w:cs="宋体"/>
          <w:szCs w:val="21"/>
        </w:rPr>
      </w:pPr>
      <w:r>
        <w:rPr>
          <w:rFonts w:hint="eastAsia" w:ascii="宋体" w:hAnsi="宋体" w:cs="宋体"/>
          <w:sz w:val="24"/>
          <w:szCs w:val="24"/>
        </w:rPr>
        <w:t xml:space="preserve">                  </w:t>
      </w:r>
      <w:r>
        <w:rPr>
          <w:rFonts w:hint="eastAsia" w:ascii="宋体" w:hAnsi="宋体" w:cs="宋体"/>
          <w:sz w:val="24"/>
          <w:szCs w:val="24"/>
          <w:lang w:val="en-US" w:eastAsia="zh-CN"/>
        </w:rPr>
        <w:t xml:space="preserve">                             日期：   </w:t>
      </w:r>
      <w:r>
        <w:rPr>
          <w:rFonts w:hint="eastAsia" w:ascii="宋体" w:hAnsi="宋体" w:cs="宋体"/>
          <w:sz w:val="24"/>
          <w:szCs w:val="24"/>
        </w:rPr>
        <w:t>年    月    日</w:t>
      </w:r>
      <w:r>
        <w:rPr>
          <w:rFonts w:hint="eastAsia" w:ascii="宋体" w:hAnsi="宋体" w:cs="宋体"/>
        </w:rPr>
        <w:t xml:space="preserve"> </w:t>
      </w:r>
    </w:p>
    <w:p w14:paraId="455C03FA">
      <w:pPr>
        <w:spacing w:before="312" w:beforeLines="100" w:after="156" w:afterLines="50" w:line="520" w:lineRule="exact"/>
        <w:rPr>
          <w:rFonts w:hint="eastAsia" w:ascii="宋体" w:hAnsi="宋体" w:cs="宋体"/>
          <w:bCs/>
          <w:sz w:val="44"/>
          <w:szCs w:val="44"/>
        </w:rPr>
      </w:pPr>
    </w:p>
    <w:p w14:paraId="0DA685EA">
      <w:pPr>
        <w:spacing w:before="312" w:beforeLines="100" w:after="156" w:afterLines="50" w:line="520" w:lineRule="exact"/>
        <w:ind w:left="540"/>
        <w:jc w:val="center"/>
        <w:rPr>
          <w:rFonts w:hint="eastAsia" w:ascii="宋体" w:hAnsi="宋体" w:cs="宋体"/>
          <w:sz w:val="32"/>
          <w:szCs w:val="32"/>
        </w:rPr>
      </w:pPr>
      <w:r>
        <w:rPr>
          <w:rFonts w:hint="eastAsia" w:ascii="宋体" w:hAnsi="宋体" w:cs="宋体"/>
          <w:bCs/>
          <w:sz w:val="44"/>
          <w:szCs w:val="44"/>
        </w:rPr>
        <w:br w:type="page"/>
      </w:r>
      <w:r>
        <w:rPr>
          <w:rFonts w:hint="eastAsia" w:ascii="宋体" w:hAnsi="宋体" w:cs="宋体"/>
          <w:bCs/>
          <w:sz w:val="44"/>
          <w:szCs w:val="44"/>
        </w:rPr>
        <w:t>法定代表人证明书</w:t>
      </w:r>
    </w:p>
    <w:p w14:paraId="6728C7D3">
      <w:pPr>
        <w:spacing w:line="360" w:lineRule="auto"/>
        <w:ind w:left="540"/>
        <w:contextualSpacing/>
        <w:rPr>
          <w:rFonts w:hint="eastAsia" w:ascii="宋体" w:hAnsi="宋体" w:cs="宋体"/>
          <w:sz w:val="32"/>
          <w:szCs w:val="32"/>
        </w:rPr>
      </w:pPr>
    </w:p>
    <w:p w14:paraId="259F10C7">
      <w:pPr>
        <w:spacing w:line="360" w:lineRule="auto"/>
        <w:ind w:left="540"/>
        <w:contextualSpacing/>
        <w:rPr>
          <w:rFonts w:hint="eastAsia"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p>
    <w:p w14:paraId="7965B386">
      <w:pPr>
        <w:spacing w:line="360" w:lineRule="auto"/>
        <w:ind w:left="540"/>
        <w:contextualSpacing/>
        <w:rPr>
          <w:rFonts w:hint="eastAsia" w:ascii="宋体" w:hAnsi="宋体" w:cs="宋体"/>
          <w:sz w:val="24"/>
        </w:rPr>
      </w:pPr>
      <w:r>
        <w:rPr>
          <w:rFonts w:hint="eastAsia" w:ascii="宋体" w:hAnsi="宋体" w:cs="宋体"/>
          <w:sz w:val="24"/>
        </w:rPr>
        <w:t>地    址：</w:t>
      </w:r>
      <w:r>
        <w:rPr>
          <w:rFonts w:hint="eastAsia" w:ascii="宋体" w:hAnsi="宋体" w:cs="宋体"/>
          <w:sz w:val="24"/>
          <w:u w:val="single"/>
        </w:rPr>
        <w:t xml:space="preserve">                                                        </w:t>
      </w:r>
    </w:p>
    <w:p w14:paraId="07BD55B8">
      <w:pPr>
        <w:spacing w:line="360" w:lineRule="auto"/>
        <w:ind w:left="540"/>
        <w:contextualSpacing/>
        <w:rPr>
          <w:rFonts w:hint="eastAsia" w:ascii="宋体" w:hAnsi="宋体" w:cs="宋体"/>
          <w:sz w:val="24"/>
        </w:rPr>
      </w:pPr>
      <w:r>
        <w:rPr>
          <w:rFonts w:hint="eastAsia" w:ascii="宋体" w:hAnsi="宋体" w:cs="宋体"/>
          <w:sz w:val="24"/>
        </w:rPr>
        <w:t>姓    名：</w:t>
      </w:r>
      <w:r>
        <w:rPr>
          <w:rFonts w:hint="eastAsia" w:ascii="宋体" w:hAnsi="宋体" w:cs="宋体"/>
          <w:sz w:val="24"/>
          <w:u w:val="single"/>
        </w:rPr>
        <w:t xml:space="preserve">               </w:t>
      </w:r>
      <w:r>
        <w:rPr>
          <w:rFonts w:hint="eastAsia" w:ascii="宋体" w:hAnsi="宋体" w:cs="宋体"/>
          <w:sz w:val="24"/>
        </w:rPr>
        <w:t>性      别：</w:t>
      </w:r>
      <w:r>
        <w:rPr>
          <w:rFonts w:hint="eastAsia" w:ascii="宋体" w:hAnsi="宋体" w:cs="宋体"/>
          <w:sz w:val="24"/>
          <w:u w:val="single"/>
        </w:rPr>
        <w:t xml:space="preserve">                </w:t>
      </w:r>
    </w:p>
    <w:p w14:paraId="50E97173">
      <w:pPr>
        <w:spacing w:line="360" w:lineRule="auto"/>
        <w:ind w:left="540"/>
        <w:contextualSpacing/>
        <w:rPr>
          <w:rFonts w:hint="eastAsia" w:ascii="宋体" w:hAnsi="宋体" w:cs="宋体"/>
          <w:sz w:val="24"/>
          <w:u w:val="single"/>
        </w:rPr>
      </w:pPr>
      <w:r>
        <w:rPr>
          <w:rFonts w:hint="eastAsia" w:ascii="宋体" w:hAnsi="宋体" w:cs="宋体"/>
          <w:sz w:val="24"/>
        </w:rPr>
        <w:t>年    龄：</w:t>
      </w:r>
      <w:r>
        <w:rPr>
          <w:rFonts w:hint="eastAsia" w:ascii="宋体" w:hAnsi="宋体" w:cs="宋体"/>
          <w:sz w:val="24"/>
          <w:u w:val="single"/>
        </w:rPr>
        <w:t xml:space="preserve">               </w:t>
      </w:r>
      <w:r>
        <w:rPr>
          <w:rFonts w:hint="eastAsia" w:ascii="宋体" w:hAnsi="宋体" w:cs="宋体"/>
          <w:sz w:val="24"/>
        </w:rPr>
        <w:t>职      务：</w:t>
      </w:r>
      <w:r>
        <w:rPr>
          <w:rFonts w:hint="eastAsia" w:ascii="宋体" w:hAnsi="宋体" w:cs="宋体"/>
          <w:sz w:val="24"/>
          <w:u w:val="single"/>
        </w:rPr>
        <w:t xml:space="preserve">                </w:t>
      </w:r>
    </w:p>
    <w:p w14:paraId="36FEF696">
      <w:pPr>
        <w:spacing w:line="360" w:lineRule="auto"/>
        <w:ind w:left="540"/>
        <w:contextualSpacing/>
        <w:rPr>
          <w:rFonts w:hint="eastAsia" w:ascii="宋体" w:hAnsi="宋体" w:cs="宋体"/>
          <w:sz w:val="24"/>
        </w:rPr>
      </w:pPr>
      <w:r>
        <w:rPr>
          <w:rFonts w:hint="eastAsia" w:ascii="宋体" w:hAnsi="宋体" w:cs="宋体"/>
          <w:sz w:val="24"/>
        </w:rPr>
        <w:t>身份证号码：</w:t>
      </w:r>
      <w:r>
        <w:rPr>
          <w:rFonts w:hint="eastAsia" w:ascii="宋体" w:hAnsi="宋体" w:cs="宋体"/>
          <w:sz w:val="24"/>
          <w:u w:val="single"/>
        </w:rPr>
        <w:t xml:space="preserve">                                        </w:t>
      </w:r>
    </w:p>
    <w:p w14:paraId="2283AE04">
      <w:pPr>
        <w:spacing w:line="360" w:lineRule="auto"/>
        <w:ind w:left="540"/>
        <w:contextualSpacing/>
        <w:rPr>
          <w:rFonts w:hint="eastAsia" w:ascii="宋体" w:hAnsi="宋体" w:cs="宋体"/>
          <w:sz w:val="24"/>
        </w:rPr>
      </w:pPr>
      <w:r>
        <w:rPr>
          <w:rFonts w:hint="eastAsia" w:ascii="宋体" w:hAnsi="宋体" w:cs="宋体"/>
          <w:sz w:val="24"/>
        </w:rPr>
        <w:t>系</w:t>
      </w:r>
      <w:r>
        <w:rPr>
          <w:rFonts w:hint="eastAsia" w:ascii="宋体" w:hAnsi="宋体" w:cs="宋体"/>
          <w:sz w:val="24"/>
          <w:u w:val="single"/>
        </w:rPr>
        <w:t xml:space="preserve">    （供应商名称）   </w:t>
      </w:r>
      <w:r>
        <w:rPr>
          <w:rFonts w:hint="eastAsia" w:ascii="宋体" w:hAnsi="宋体" w:cs="宋体"/>
          <w:sz w:val="24"/>
        </w:rPr>
        <w:t>的法定代表人。</w:t>
      </w:r>
    </w:p>
    <w:p w14:paraId="568B0198">
      <w:pPr>
        <w:spacing w:line="360" w:lineRule="auto"/>
        <w:ind w:left="540"/>
        <w:contextualSpacing/>
        <w:rPr>
          <w:rFonts w:hint="eastAsia" w:ascii="宋体" w:hAnsi="宋体" w:cs="宋体"/>
          <w:sz w:val="24"/>
        </w:rPr>
      </w:pPr>
      <w:r>
        <w:rPr>
          <w:rFonts w:hint="eastAsia" w:ascii="宋体" w:hAnsi="宋体" w:cs="宋体"/>
          <w:sz w:val="24"/>
        </w:rPr>
        <w:t>特此证明。</w:t>
      </w:r>
    </w:p>
    <w:p w14:paraId="2A2A49B3">
      <w:pPr>
        <w:spacing w:line="360" w:lineRule="auto"/>
        <w:ind w:left="540"/>
        <w:contextualSpacing/>
        <w:rPr>
          <w:rFonts w:hint="eastAsia" w:ascii="宋体" w:hAnsi="宋体" w:cs="宋体"/>
          <w:sz w:val="24"/>
        </w:rPr>
      </w:pPr>
    </w:p>
    <w:p w14:paraId="3557716E">
      <w:pPr>
        <w:spacing w:line="360" w:lineRule="auto"/>
        <w:ind w:left="540"/>
        <w:contextualSpacing/>
        <w:rPr>
          <w:rFonts w:hint="eastAsia" w:ascii="宋体" w:hAnsi="宋体" w:cs="宋体"/>
          <w:sz w:val="24"/>
        </w:rPr>
      </w:pPr>
    </w:p>
    <w:p w14:paraId="6C949A01">
      <w:pPr>
        <w:spacing w:line="360" w:lineRule="auto"/>
        <w:ind w:left="540"/>
        <w:contextualSpacing/>
        <w:rPr>
          <w:rFonts w:hint="eastAsia" w:ascii="宋体" w:hAnsi="宋体" w:cs="宋体"/>
          <w:sz w:val="24"/>
        </w:rPr>
      </w:pPr>
    </w:p>
    <w:p w14:paraId="4879BF7E">
      <w:pPr>
        <w:spacing w:line="360" w:lineRule="auto"/>
        <w:ind w:left="540"/>
        <w:contextualSpacing/>
        <w:rPr>
          <w:rFonts w:hint="eastAsia" w:ascii="宋体" w:hAnsi="宋体" w:cs="宋体"/>
          <w:sz w:val="24"/>
        </w:rPr>
      </w:pPr>
      <w:r>
        <w:rPr>
          <w:rFonts w:hint="eastAsia" w:ascii="宋体" w:hAnsi="宋体" w:cs="宋体"/>
          <w:sz w:val="24"/>
        </w:rPr>
        <w:t>附件：法定代表人有效身份证正反面</w:t>
      </w:r>
      <w:r>
        <w:rPr>
          <w:rFonts w:hint="eastAsia" w:ascii="宋体" w:hAnsi="宋体" w:cs="宋体"/>
          <w:sz w:val="24"/>
          <w:lang w:val="en-US" w:eastAsia="zh-CN"/>
        </w:rPr>
        <w:t>扫描件</w:t>
      </w:r>
    </w:p>
    <w:p w14:paraId="242BDDDC">
      <w:pPr>
        <w:spacing w:line="360" w:lineRule="auto"/>
        <w:ind w:left="540"/>
        <w:contextualSpacing/>
        <w:rPr>
          <w:rFonts w:hint="eastAsia" w:ascii="宋体" w:hAnsi="宋体" w:cs="宋体"/>
          <w:sz w:val="24"/>
        </w:rPr>
      </w:pPr>
    </w:p>
    <w:p w14:paraId="10A3D871">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2F140A20">
      <w:pPr>
        <w:spacing w:line="240" w:lineRule="auto"/>
        <w:ind w:right="0" w:firstLine="0" w:firstLineChars="0"/>
        <w:contextualSpacing/>
        <w:jc w:val="center"/>
        <w:rPr>
          <w:rFonts w:hint="eastAsia" w:ascii="宋体" w:hAnsi="宋体" w:cs="宋体"/>
          <w:szCs w:val="21"/>
        </w:rPr>
      </w:pPr>
      <w:r>
        <w:rPr>
          <w:rFonts w:hint="eastAsia" w:ascii="宋体" w:hAnsi="宋体" w:cs="宋体"/>
          <w:sz w:val="24"/>
          <w:szCs w:val="24"/>
        </w:rPr>
        <w:t xml:space="preserve">                  </w:t>
      </w:r>
      <w:r>
        <w:rPr>
          <w:rFonts w:hint="eastAsia" w:ascii="宋体" w:hAnsi="宋体" w:cs="宋体"/>
          <w:sz w:val="24"/>
          <w:szCs w:val="24"/>
          <w:lang w:val="en-US" w:eastAsia="zh-CN"/>
        </w:rPr>
        <w:t xml:space="preserve">                             日期：   </w:t>
      </w:r>
      <w:r>
        <w:rPr>
          <w:rFonts w:hint="eastAsia" w:ascii="宋体" w:hAnsi="宋体" w:cs="宋体"/>
          <w:sz w:val="24"/>
          <w:szCs w:val="24"/>
        </w:rPr>
        <w:t>年    月    日</w:t>
      </w:r>
      <w:r>
        <w:rPr>
          <w:rFonts w:hint="eastAsia" w:ascii="宋体" w:hAnsi="宋体" w:cs="宋体"/>
        </w:rPr>
        <w:t xml:space="preserve"> </w:t>
      </w:r>
    </w:p>
    <w:p w14:paraId="6C463C1C">
      <w:pPr>
        <w:spacing w:line="360" w:lineRule="auto"/>
        <w:contextualSpacing/>
        <w:jc w:val="center"/>
        <w:rPr>
          <w:rFonts w:hint="eastAsia" w:ascii="宋体" w:hAnsi="宋体" w:cs="宋体"/>
          <w:b/>
          <w:sz w:val="24"/>
        </w:rPr>
      </w:pPr>
    </w:p>
    <w:p w14:paraId="41C5006C">
      <w:pPr>
        <w:adjustRightInd w:val="0"/>
        <w:snapToGrid w:val="0"/>
        <w:spacing w:line="300" w:lineRule="auto"/>
        <w:jc w:val="left"/>
        <w:rPr>
          <w:rFonts w:hint="eastAsia" w:ascii="宋体" w:hAnsi="宋体" w:cs="宋体"/>
          <w:b/>
          <w:szCs w:val="21"/>
        </w:rPr>
      </w:pPr>
    </w:p>
    <w:p w14:paraId="4144E31B">
      <w:pPr>
        <w:spacing w:line="520" w:lineRule="exact"/>
        <w:jc w:val="center"/>
        <w:rPr>
          <w:rFonts w:hint="eastAsia" w:ascii="宋体" w:hAnsi="宋体" w:cs="宋体"/>
          <w:sz w:val="44"/>
          <w:szCs w:val="44"/>
        </w:rPr>
      </w:pPr>
      <w:r>
        <w:rPr>
          <w:rFonts w:hint="eastAsia" w:ascii="宋体" w:hAnsi="宋体" w:cs="宋体"/>
          <w:sz w:val="44"/>
          <w:szCs w:val="44"/>
        </w:rPr>
        <w:br w:type="page"/>
      </w:r>
      <w:r>
        <w:rPr>
          <w:rFonts w:hint="eastAsia" w:ascii="宋体" w:hAnsi="宋体" w:cs="宋体"/>
          <w:sz w:val="44"/>
          <w:szCs w:val="44"/>
        </w:rPr>
        <w:t>授权委托书</w:t>
      </w:r>
    </w:p>
    <w:p w14:paraId="205D0866">
      <w:pPr>
        <w:spacing w:line="360" w:lineRule="auto"/>
        <w:contextualSpacing/>
        <w:rPr>
          <w:rFonts w:hint="eastAsia" w:ascii="宋体" w:hAnsi="宋体" w:cs="宋体"/>
          <w:sz w:val="32"/>
          <w:szCs w:val="32"/>
        </w:rPr>
      </w:pPr>
    </w:p>
    <w:p w14:paraId="5720055D">
      <w:pPr>
        <w:spacing w:line="360" w:lineRule="auto"/>
        <w:contextualSpacing/>
        <w:rPr>
          <w:rFonts w:hint="eastAsia" w:ascii="宋体" w:hAnsi="宋体" w:cs="宋体"/>
          <w:sz w:val="24"/>
        </w:rPr>
      </w:pPr>
      <w:r>
        <w:rPr>
          <w:rFonts w:hint="eastAsia" w:ascii="宋体" w:hAnsi="宋体" w:cs="宋体"/>
          <w:sz w:val="24"/>
        </w:rPr>
        <w:t>致：</w:t>
      </w:r>
      <w:r>
        <w:rPr>
          <w:rFonts w:hint="eastAsia" w:ascii="宋体" w:hAnsi="宋体" w:cs="宋体"/>
          <w:sz w:val="24"/>
          <w:u w:val="single"/>
          <w:lang w:eastAsia="zh-CN"/>
        </w:rPr>
        <w:t>广西丰泰工程项目管理有限公司</w:t>
      </w:r>
      <w:r>
        <w:rPr>
          <w:rFonts w:hint="eastAsia" w:ascii="宋体" w:hAnsi="宋体" w:cs="宋体"/>
          <w:sz w:val="24"/>
        </w:rPr>
        <w:t>：</w:t>
      </w:r>
    </w:p>
    <w:p w14:paraId="4699D060">
      <w:pPr>
        <w:spacing w:line="360" w:lineRule="auto"/>
        <w:ind w:firstLine="480" w:firstLineChars="200"/>
        <w:contextualSpacing/>
        <w:rPr>
          <w:rFonts w:hint="eastAsia" w:ascii="宋体" w:hAnsi="宋体" w:cs="宋体"/>
          <w:sz w:val="24"/>
        </w:rPr>
      </w:pPr>
      <w:r>
        <w:rPr>
          <w:rFonts w:hint="eastAsia" w:ascii="宋体" w:hAnsi="宋体" w:cs="宋体"/>
          <w:sz w:val="24"/>
        </w:rPr>
        <w:t>我</w:t>
      </w:r>
      <w:r>
        <w:rPr>
          <w:rFonts w:hint="eastAsia" w:ascii="宋体" w:hAnsi="宋体" w:cs="宋体"/>
          <w:sz w:val="24"/>
          <w:u w:val="single"/>
        </w:rPr>
        <w:t xml:space="preserve">  （姓名）  </w:t>
      </w:r>
      <w:r>
        <w:rPr>
          <w:rFonts w:hint="eastAsia" w:ascii="宋体" w:hAnsi="宋体" w:cs="宋体"/>
          <w:sz w:val="24"/>
        </w:rPr>
        <w:t>系</w:t>
      </w:r>
      <w:r>
        <w:rPr>
          <w:rFonts w:hint="eastAsia" w:ascii="宋体" w:hAnsi="宋体" w:cs="宋体"/>
          <w:sz w:val="24"/>
          <w:u w:val="single"/>
        </w:rPr>
        <w:t xml:space="preserve">  （供应商名称）  </w:t>
      </w:r>
      <w:r>
        <w:rPr>
          <w:rFonts w:hint="eastAsia" w:ascii="宋体" w:hAnsi="宋体" w:cs="宋体"/>
          <w:sz w:val="24"/>
        </w:rPr>
        <w:t>的（</w:t>
      </w:r>
      <w:r>
        <w:rPr>
          <w:rFonts w:hint="eastAsia" w:ascii="宋体" w:hAnsi="宋体" w:cs="宋体"/>
          <w:sz w:val="24"/>
          <w:u w:val="single"/>
        </w:rPr>
        <w:t>法定代表人</w:t>
      </w:r>
      <w:r>
        <w:rPr>
          <w:rFonts w:hint="eastAsia" w:ascii="宋体" w:hAnsi="宋体" w:cs="宋体"/>
          <w:sz w:val="24"/>
        </w:rPr>
        <w:t>），现授权</w:t>
      </w:r>
      <w:r>
        <w:rPr>
          <w:rFonts w:hint="eastAsia" w:ascii="宋体" w:hAnsi="宋体" w:cs="宋体"/>
          <w:sz w:val="24"/>
          <w:u w:val="single"/>
        </w:rPr>
        <w:t xml:space="preserve"> （姓名） </w:t>
      </w:r>
      <w:r>
        <w:rPr>
          <w:rFonts w:hint="eastAsia" w:ascii="宋体" w:hAnsi="宋体" w:cs="宋体"/>
          <w:sz w:val="24"/>
        </w:rPr>
        <w:t>以我方的名义参加</w:t>
      </w:r>
      <w:r>
        <w:rPr>
          <w:rFonts w:hint="eastAsia" w:ascii="宋体" w:hAnsi="宋体" w:cs="宋体"/>
          <w:sz w:val="24"/>
          <w:u w:val="single"/>
        </w:rPr>
        <w:t xml:space="preserve">              </w:t>
      </w:r>
      <w:r>
        <w:rPr>
          <w:rFonts w:hint="eastAsia" w:ascii="宋体" w:hAnsi="宋体" w:cs="宋体"/>
          <w:sz w:val="24"/>
        </w:rPr>
        <w:t>项目的竞标活动，并代表我方全权办理针对上述项目的所有采购程序和环节的具体事务和签署相关文件。</w:t>
      </w:r>
    </w:p>
    <w:p w14:paraId="29006779">
      <w:pPr>
        <w:spacing w:line="360" w:lineRule="auto"/>
        <w:contextualSpacing/>
        <w:rPr>
          <w:rFonts w:hint="eastAsia" w:ascii="宋体" w:hAnsi="宋体" w:cs="宋体"/>
          <w:sz w:val="24"/>
        </w:rPr>
      </w:pPr>
      <w:r>
        <w:rPr>
          <w:rFonts w:hint="eastAsia" w:ascii="宋体" w:hAnsi="宋体" w:cs="宋体"/>
          <w:sz w:val="24"/>
        </w:rPr>
        <w:t xml:space="preserve">    我方对委托代理人的签字事项负全部责任。</w:t>
      </w:r>
    </w:p>
    <w:p w14:paraId="7D60113D">
      <w:pPr>
        <w:spacing w:line="360" w:lineRule="auto"/>
        <w:ind w:firstLine="480" w:firstLineChars="200"/>
        <w:contextualSpacing/>
        <w:rPr>
          <w:rFonts w:hint="eastAsia" w:ascii="宋体" w:hAnsi="宋体" w:cs="宋体"/>
          <w:sz w:val="24"/>
        </w:rPr>
      </w:pPr>
      <w:r>
        <w:rPr>
          <w:rFonts w:hint="eastAsia" w:ascii="宋体" w:hAnsi="宋体" w:cs="宋体"/>
          <w:sz w:val="24"/>
        </w:rPr>
        <w:t>本授权书自签署之日起生效，在撤销授权的书面通知以前，本授权书一直有效。委托代理人在授权书有效期内签署的所有文件不因授权的撤销而失效。</w:t>
      </w:r>
    </w:p>
    <w:p w14:paraId="48ED8B50">
      <w:pPr>
        <w:spacing w:line="360" w:lineRule="auto"/>
        <w:ind w:firstLine="480" w:firstLineChars="200"/>
        <w:contextualSpacing/>
        <w:rPr>
          <w:rFonts w:hint="eastAsia" w:ascii="宋体" w:hAnsi="宋体" w:cs="宋体"/>
          <w:sz w:val="24"/>
        </w:rPr>
      </w:pPr>
      <w:r>
        <w:rPr>
          <w:rFonts w:hint="eastAsia" w:ascii="宋体" w:hAnsi="宋体" w:cs="宋体"/>
          <w:sz w:val="24"/>
        </w:rPr>
        <w:t>委托代理人无转委托权，特此委托。</w:t>
      </w:r>
    </w:p>
    <w:p w14:paraId="21E3FB96">
      <w:pPr>
        <w:spacing w:line="360" w:lineRule="auto"/>
        <w:ind w:firstLine="480" w:firstLineChars="200"/>
        <w:contextualSpacing/>
        <w:rPr>
          <w:rFonts w:hint="eastAsia" w:ascii="宋体" w:hAnsi="宋体" w:cs="宋体"/>
          <w:sz w:val="24"/>
        </w:rPr>
      </w:pPr>
      <w:r>
        <w:rPr>
          <w:rFonts w:hint="eastAsia" w:ascii="宋体" w:hAnsi="宋体" w:cs="宋体"/>
          <w:sz w:val="24"/>
        </w:rPr>
        <w:t>附：法定代表人身份证明书及委托代理人有效身份证正反面</w:t>
      </w:r>
      <w:r>
        <w:rPr>
          <w:rFonts w:hint="eastAsia" w:ascii="宋体" w:hAnsi="宋体" w:cs="宋体"/>
          <w:sz w:val="24"/>
          <w:lang w:val="en-US" w:eastAsia="zh-CN"/>
        </w:rPr>
        <w:t>扫描件</w:t>
      </w:r>
    </w:p>
    <w:p w14:paraId="02E043F7">
      <w:pPr>
        <w:spacing w:line="360" w:lineRule="auto"/>
        <w:contextualSpacing/>
        <w:rPr>
          <w:rFonts w:hint="eastAsia" w:ascii="宋体" w:hAnsi="宋体" w:cs="宋体"/>
          <w:sz w:val="24"/>
        </w:rPr>
      </w:pPr>
    </w:p>
    <w:p w14:paraId="35B9822E">
      <w:pPr>
        <w:spacing w:line="360" w:lineRule="auto"/>
        <w:contextualSpacing/>
        <w:rPr>
          <w:rFonts w:hint="eastAsia" w:ascii="宋体" w:hAnsi="宋体" w:cs="宋体"/>
          <w:sz w:val="24"/>
        </w:rPr>
      </w:pPr>
      <w:r>
        <w:rPr>
          <w:rFonts w:hint="eastAsia" w:ascii="宋体" w:hAnsi="宋体" w:cs="宋体"/>
          <w:sz w:val="24"/>
        </w:rPr>
        <w:t xml:space="preserve">委托代理人（签字）：         法定代表人（签字或者盖章）：                    </w:t>
      </w:r>
    </w:p>
    <w:p w14:paraId="502C9F87">
      <w:pPr>
        <w:spacing w:line="360" w:lineRule="auto"/>
        <w:contextualSpacing/>
        <w:rPr>
          <w:rFonts w:hint="eastAsia" w:ascii="宋体" w:hAnsi="宋体" w:cs="宋体"/>
          <w:sz w:val="24"/>
        </w:rPr>
      </w:pPr>
      <w:r>
        <w:rPr>
          <w:rFonts w:hint="eastAsia" w:ascii="宋体" w:hAnsi="宋体" w:cs="宋体"/>
          <w:sz w:val="24"/>
        </w:rPr>
        <w:t xml:space="preserve">委托代理人身份证号码：                              </w:t>
      </w:r>
    </w:p>
    <w:p w14:paraId="2B994464">
      <w:pPr>
        <w:spacing w:line="360" w:lineRule="auto"/>
        <w:contextualSpacing/>
        <w:rPr>
          <w:rFonts w:hint="eastAsia" w:ascii="宋体" w:hAnsi="宋体" w:cs="宋体"/>
          <w:sz w:val="24"/>
        </w:rPr>
      </w:pPr>
      <w:r>
        <w:rPr>
          <w:rFonts w:hint="eastAsia" w:ascii="宋体" w:hAnsi="宋体" w:cs="宋体"/>
          <w:sz w:val="24"/>
        </w:rPr>
        <w:t xml:space="preserve">                                </w:t>
      </w:r>
    </w:p>
    <w:p w14:paraId="3920AA37">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rPr>
        <w:t xml:space="preserve">                                         </w:t>
      </w: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63D26A06">
      <w:pPr>
        <w:spacing w:line="240" w:lineRule="auto"/>
        <w:ind w:right="0" w:firstLine="0" w:firstLineChars="0"/>
        <w:contextualSpacing/>
        <w:jc w:val="both"/>
        <w:rPr>
          <w:rFonts w:hint="eastAsia" w:ascii="宋体" w:hAnsi="宋体" w:cs="宋体"/>
          <w:szCs w:val="21"/>
        </w:rPr>
      </w:pPr>
      <w:r>
        <w:rPr>
          <w:rFonts w:hint="eastAsia" w:ascii="宋体" w:hAnsi="宋体" w:cs="宋体"/>
          <w:sz w:val="24"/>
          <w:szCs w:val="24"/>
          <w:lang w:val="en-US" w:eastAsia="zh-CN"/>
        </w:rPr>
        <w:t xml:space="preserve">日           期：   </w:t>
      </w:r>
      <w:r>
        <w:rPr>
          <w:rFonts w:hint="eastAsia" w:ascii="宋体" w:hAnsi="宋体" w:cs="宋体"/>
          <w:sz w:val="24"/>
          <w:szCs w:val="24"/>
        </w:rPr>
        <w:t>年    月    日</w:t>
      </w:r>
      <w:r>
        <w:rPr>
          <w:rFonts w:hint="eastAsia" w:ascii="宋体" w:hAnsi="宋体" w:cs="宋体"/>
        </w:rPr>
        <w:t xml:space="preserve"> </w:t>
      </w:r>
    </w:p>
    <w:p w14:paraId="388A728C">
      <w:pPr>
        <w:spacing w:line="360" w:lineRule="auto"/>
        <w:contextualSpacing/>
        <w:rPr>
          <w:rFonts w:hint="eastAsia" w:ascii="宋体" w:hAnsi="宋体" w:cs="宋体"/>
          <w:sz w:val="24"/>
        </w:rPr>
      </w:pPr>
    </w:p>
    <w:p w14:paraId="44E015E9">
      <w:pPr>
        <w:spacing w:line="360" w:lineRule="auto"/>
        <w:contextualSpacing/>
        <w:rPr>
          <w:rFonts w:hint="eastAsia" w:ascii="宋体" w:hAnsi="宋体" w:cs="宋体"/>
          <w:sz w:val="24"/>
        </w:rPr>
      </w:pPr>
    </w:p>
    <w:p w14:paraId="553261BA">
      <w:pPr>
        <w:spacing w:line="360" w:lineRule="auto"/>
        <w:contextualSpacing/>
        <w:rPr>
          <w:rFonts w:hint="eastAsia" w:ascii="宋体" w:hAnsi="宋体" w:cs="宋体"/>
          <w:sz w:val="24"/>
        </w:rPr>
      </w:pPr>
      <w:r>
        <w:rPr>
          <w:rFonts w:hint="eastAsia" w:ascii="宋体" w:hAnsi="宋体" w:cs="宋体"/>
          <w:sz w:val="24"/>
        </w:rPr>
        <w:t>注： 法定代表人必须在授权委托书上亲笔签字或者盖章，委托代理人必须在授权委托书上亲笔签字，</w:t>
      </w:r>
      <w:r>
        <w:rPr>
          <w:rFonts w:hint="eastAsia" w:ascii="宋体" w:hAnsi="宋体" w:cs="宋体"/>
          <w:b/>
          <w:sz w:val="24"/>
        </w:rPr>
        <w:t>否则其响应文件按无效响应处理。</w:t>
      </w:r>
    </w:p>
    <w:p w14:paraId="58EA3A0C">
      <w:pPr>
        <w:spacing w:line="360" w:lineRule="auto"/>
        <w:ind w:firstLine="420" w:firstLineChars="200"/>
        <w:contextualSpacing/>
        <w:jc w:val="left"/>
        <w:rPr>
          <w:rFonts w:hint="eastAsia" w:ascii="宋体" w:hAnsi="宋体" w:cs="宋体"/>
          <w:szCs w:val="21"/>
        </w:rPr>
      </w:pPr>
    </w:p>
    <w:p w14:paraId="5EC60E74">
      <w:pPr>
        <w:spacing w:line="360" w:lineRule="auto"/>
        <w:contextualSpacing/>
        <w:jc w:val="center"/>
        <w:rPr>
          <w:rFonts w:hint="eastAsia" w:ascii="宋体" w:hAnsi="宋体" w:cs="宋体"/>
          <w:bCs/>
          <w:sz w:val="44"/>
          <w:szCs w:val="44"/>
        </w:rPr>
      </w:pPr>
      <w:r>
        <w:rPr>
          <w:rFonts w:hint="eastAsia" w:ascii="宋体" w:hAnsi="宋体" w:cs="宋体"/>
          <w:szCs w:val="21"/>
        </w:rPr>
        <w:br w:type="page"/>
      </w:r>
      <w:r>
        <w:rPr>
          <w:rFonts w:hint="eastAsia" w:ascii="宋体" w:hAnsi="宋体" w:cs="宋体"/>
          <w:bCs/>
          <w:sz w:val="44"/>
          <w:szCs w:val="44"/>
        </w:rPr>
        <w:t>商务要求偏离表格式</w:t>
      </w:r>
    </w:p>
    <w:p w14:paraId="221B9E56">
      <w:pPr>
        <w:spacing w:line="500" w:lineRule="exact"/>
        <w:jc w:val="center"/>
        <w:rPr>
          <w:rFonts w:hint="eastAsia" w:ascii="宋体" w:hAnsi="宋体" w:cs="宋体"/>
          <w:b/>
          <w:sz w:val="32"/>
          <w:szCs w:val="32"/>
        </w:rPr>
      </w:pPr>
      <w:r>
        <w:rPr>
          <w:rFonts w:hint="eastAsia" w:ascii="宋体" w:hAnsi="宋体" w:cs="宋体"/>
          <w:bCs/>
          <w:sz w:val="44"/>
          <w:szCs w:val="44"/>
        </w:rPr>
        <w:t>（注：按采购需求具体条款修改）</w:t>
      </w:r>
    </w:p>
    <w:p w14:paraId="2B9C3B69">
      <w:pPr>
        <w:snapToGrid w:val="0"/>
        <w:spacing w:before="50"/>
        <w:jc w:val="left"/>
        <w:rPr>
          <w:rFonts w:hint="eastAsia" w:ascii="宋体" w:hAnsi="宋体" w:cs="宋体"/>
          <w:sz w:val="24"/>
        </w:rPr>
      </w:pPr>
    </w:p>
    <w:p w14:paraId="1DF71183">
      <w:pPr>
        <w:pStyle w:val="17"/>
        <w:spacing w:line="360" w:lineRule="auto"/>
        <w:rPr>
          <w:rFonts w:hint="eastAsia" w:hAnsi="宋体" w:cs="宋体"/>
          <w:sz w:val="24"/>
          <w:szCs w:val="24"/>
        </w:rPr>
      </w:pPr>
      <w:r>
        <w:rPr>
          <w:rFonts w:hint="eastAsia" w:hAnsi="宋体" w:cs="宋体"/>
          <w:sz w:val="24"/>
          <w:szCs w:val="24"/>
        </w:rPr>
        <w:t>所竞分标：</w:t>
      </w:r>
      <w:r>
        <w:rPr>
          <w:rFonts w:hint="eastAsia" w:hAnsi="宋体" w:cs="宋体"/>
          <w:sz w:val="24"/>
          <w:szCs w:val="24"/>
          <w:u w:val="single"/>
        </w:rPr>
        <w:t xml:space="preserve">              </w:t>
      </w:r>
    </w:p>
    <w:tbl>
      <w:tblPr>
        <w:tblStyle w:val="30"/>
        <w:tblpPr w:leftFromText="180" w:rightFromText="180" w:vertAnchor="text" w:horzAnchor="margin" w:tblpY="311"/>
        <w:tblOverlap w:val="never"/>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8"/>
        <w:gridCol w:w="2668"/>
        <w:gridCol w:w="2633"/>
        <w:gridCol w:w="1829"/>
      </w:tblGrid>
      <w:tr w14:paraId="6E2E76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2178" w:type="dxa"/>
            <w:tcBorders>
              <w:top w:val="single" w:color="auto" w:sz="4" w:space="0"/>
              <w:left w:val="single" w:color="auto" w:sz="4" w:space="0"/>
              <w:bottom w:val="single" w:color="auto" w:sz="4" w:space="0"/>
              <w:right w:val="single" w:color="auto" w:sz="4" w:space="0"/>
            </w:tcBorders>
            <w:noWrap w:val="0"/>
            <w:vAlign w:val="center"/>
          </w:tcPr>
          <w:p w14:paraId="45FF4774">
            <w:pPr>
              <w:snapToGrid w:val="0"/>
              <w:spacing w:before="156" w:beforeLines="50" w:line="360" w:lineRule="auto"/>
              <w:jc w:val="center"/>
              <w:rPr>
                <w:rFonts w:hint="eastAsia" w:ascii="宋体" w:hAnsi="宋体" w:cs="宋体"/>
                <w:sz w:val="24"/>
              </w:rPr>
            </w:pPr>
            <w:r>
              <w:rPr>
                <w:rFonts w:hint="eastAsia" w:ascii="宋体" w:hAnsi="宋体" w:cs="宋体"/>
                <w:sz w:val="24"/>
              </w:rPr>
              <w:t>项目</w:t>
            </w:r>
          </w:p>
        </w:tc>
        <w:tc>
          <w:tcPr>
            <w:tcW w:w="2668" w:type="dxa"/>
            <w:tcBorders>
              <w:top w:val="single" w:color="auto" w:sz="4" w:space="0"/>
              <w:left w:val="single" w:color="auto" w:sz="4" w:space="0"/>
              <w:bottom w:val="single" w:color="auto" w:sz="4" w:space="0"/>
              <w:right w:val="single" w:color="auto" w:sz="4" w:space="0"/>
            </w:tcBorders>
            <w:noWrap w:val="0"/>
            <w:vAlign w:val="center"/>
          </w:tcPr>
          <w:p w14:paraId="26CE8566">
            <w:pPr>
              <w:snapToGrid w:val="0"/>
              <w:spacing w:before="156" w:beforeLines="50" w:line="360" w:lineRule="auto"/>
              <w:jc w:val="center"/>
              <w:rPr>
                <w:rFonts w:hint="eastAsia" w:ascii="宋体" w:hAnsi="宋体" w:cs="宋体"/>
                <w:sz w:val="24"/>
              </w:rPr>
            </w:pPr>
            <w:r>
              <w:rPr>
                <w:rFonts w:hint="eastAsia" w:ascii="宋体" w:hAnsi="宋体" w:cs="宋体"/>
                <w:sz w:val="24"/>
              </w:rPr>
              <w:t>谈判文件商务要求</w:t>
            </w:r>
          </w:p>
        </w:tc>
        <w:tc>
          <w:tcPr>
            <w:tcW w:w="2633" w:type="dxa"/>
            <w:tcBorders>
              <w:top w:val="single" w:color="auto" w:sz="4" w:space="0"/>
              <w:left w:val="single" w:color="auto" w:sz="4" w:space="0"/>
              <w:bottom w:val="single" w:color="auto" w:sz="4" w:space="0"/>
              <w:right w:val="single" w:color="auto" w:sz="4" w:space="0"/>
            </w:tcBorders>
            <w:noWrap w:val="0"/>
            <w:vAlign w:val="center"/>
          </w:tcPr>
          <w:p w14:paraId="1574922B">
            <w:pPr>
              <w:snapToGrid w:val="0"/>
              <w:spacing w:before="156" w:beforeLines="50" w:line="360" w:lineRule="auto"/>
              <w:jc w:val="center"/>
              <w:rPr>
                <w:rFonts w:hint="eastAsia" w:ascii="宋体" w:hAnsi="宋体" w:cs="宋体"/>
                <w:sz w:val="24"/>
              </w:rPr>
            </w:pPr>
            <w:r>
              <w:rPr>
                <w:rFonts w:hint="eastAsia" w:ascii="宋体" w:hAnsi="宋体" w:cs="宋体"/>
                <w:sz w:val="24"/>
              </w:rPr>
              <w:t>供应商的响应</w:t>
            </w:r>
          </w:p>
        </w:tc>
        <w:tc>
          <w:tcPr>
            <w:tcW w:w="1829" w:type="dxa"/>
            <w:tcBorders>
              <w:top w:val="single" w:color="auto" w:sz="4" w:space="0"/>
              <w:left w:val="single" w:color="auto" w:sz="4" w:space="0"/>
              <w:bottom w:val="single" w:color="auto" w:sz="4" w:space="0"/>
              <w:right w:val="single" w:color="auto" w:sz="4" w:space="0"/>
            </w:tcBorders>
            <w:noWrap w:val="0"/>
            <w:vAlign w:val="center"/>
          </w:tcPr>
          <w:p w14:paraId="22ACDA47">
            <w:pPr>
              <w:snapToGrid w:val="0"/>
              <w:spacing w:before="156" w:beforeLines="50" w:line="360" w:lineRule="auto"/>
              <w:jc w:val="center"/>
              <w:rPr>
                <w:rFonts w:hint="eastAsia" w:ascii="宋体" w:hAnsi="宋体" w:cs="宋体"/>
                <w:sz w:val="24"/>
              </w:rPr>
            </w:pPr>
            <w:r>
              <w:rPr>
                <w:rFonts w:hint="eastAsia" w:ascii="宋体" w:hAnsi="宋体" w:cs="宋体"/>
                <w:sz w:val="24"/>
              </w:rPr>
              <w:t>偏离说明</w:t>
            </w:r>
          </w:p>
        </w:tc>
      </w:tr>
      <w:tr w14:paraId="337826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2178" w:type="dxa"/>
            <w:tcBorders>
              <w:top w:val="single" w:color="auto" w:sz="4" w:space="0"/>
              <w:left w:val="single" w:color="auto" w:sz="4" w:space="0"/>
              <w:bottom w:val="single" w:color="auto" w:sz="4" w:space="0"/>
              <w:right w:val="single" w:color="auto" w:sz="4" w:space="0"/>
            </w:tcBorders>
            <w:noWrap w:val="0"/>
            <w:vAlign w:val="center"/>
          </w:tcPr>
          <w:p w14:paraId="71619472">
            <w:pPr>
              <w:jc w:val="center"/>
              <w:rPr>
                <w:rFonts w:hint="eastAsia" w:ascii="宋体" w:hAnsi="宋体" w:cs="宋体"/>
                <w:sz w:val="24"/>
              </w:rPr>
            </w:pPr>
            <w:r>
              <w:rPr>
                <w:rFonts w:hint="eastAsia" w:ascii="宋体" w:hAnsi="宋体" w:cs="宋体"/>
                <w:sz w:val="24"/>
              </w:rPr>
              <w:t>质保期</w:t>
            </w:r>
          </w:p>
        </w:tc>
        <w:tc>
          <w:tcPr>
            <w:tcW w:w="2668" w:type="dxa"/>
            <w:tcBorders>
              <w:top w:val="single" w:color="auto" w:sz="4" w:space="0"/>
              <w:left w:val="single" w:color="auto" w:sz="4" w:space="0"/>
              <w:bottom w:val="single" w:color="auto" w:sz="4" w:space="0"/>
              <w:right w:val="single" w:color="auto" w:sz="4" w:space="0"/>
            </w:tcBorders>
            <w:noWrap w:val="0"/>
            <w:vAlign w:val="center"/>
          </w:tcPr>
          <w:p w14:paraId="7D10F011">
            <w:pPr>
              <w:jc w:val="center"/>
              <w:rPr>
                <w:rFonts w:hint="eastAsia" w:ascii="宋体" w:hAnsi="宋体" w:cs="宋体"/>
                <w:sz w:val="24"/>
              </w:rPr>
            </w:pPr>
          </w:p>
        </w:tc>
        <w:tc>
          <w:tcPr>
            <w:tcW w:w="2633" w:type="dxa"/>
            <w:tcBorders>
              <w:top w:val="single" w:color="auto" w:sz="4" w:space="0"/>
              <w:left w:val="single" w:color="auto" w:sz="4" w:space="0"/>
              <w:bottom w:val="single" w:color="auto" w:sz="4" w:space="0"/>
              <w:right w:val="single" w:color="auto" w:sz="4" w:space="0"/>
            </w:tcBorders>
            <w:noWrap w:val="0"/>
            <w:vAlign w:val="center"/>
          </w:tcPr>
          <w:p w14:paraId="4642703F">
            <w:pPr>
              <w:snapToGrid w:val="0"/>
              <w:spacing w:before="156" w:beforeLines="50" w:line="360" w:lineRule="auto"/>
              <w:jc w:val="center"/>
              <w:rPr>
                <w:rFonts w:hint="eastAsia" w:ascii="宋体" w:hAnsi="宋体" w:cs="宋体"/>
                <w:sz w:val="24"/>
              </w:rPr>
            </w:pPr>
          </w:p>
        </w:tc>
        <w:tc>
          <w:tcPr>
            <w:tcW w:w="1829" w:type="dxa"/>
            <w:tcBorders>
              <w:top w:val="single" w:color="auto" w:sz="4" w:space="0"/>
              <w:left w:val="single" w:color="auto" w:sz="4" w:space="0"/>
              <w:bottom w:val="single" w:color="auto" w:sz="4" w:space="0"/>
              <w:right w:val="single" w:color="auto" w:sz="4" w:space="0"/>
            </w:tcBorders>
            <w:noWrap w:val="0"/>
            <w:vAlign w:val="center"/>
          </w:tcPr>
          <w:p w14:paraId="3F2EEE3F">
            <w:pPr>
              <w:snapToGrid w:val="0"/>
              <w:spacing w:before="156" w:beforeLines="50" w:line="360" w:lineRule="auto"/>
              <w:jc w:val="center"/>
              <w:rPr>
                <w:rFonts w:hint="eastAsia" w:ascii="宋体" w:hAnsi="宋体" w:cs="宋体"/>
                <w:sz w:val="24"/>
              </w:rPr>
            </w:pPr>
          </w:p>
        </w:tc>
      </w:tr>
      <w:tr w14:paraId="431A18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2178" w:type="dxa"/>
            <w:tcBorders>
              <w:top w:val="single" w:color="auto" w:sz="4" w:space="0"/>
              <w:left w:val="single" w:color="auto" w:sz="4" w:space="0"/>
              <w:bottom w:val="single" w:color="auto" w:sz="4" w:space="0"/>
              <w:right w:val="single" w:color="auto" w:sz="4" w:space="0"/>
            </w:tcBorders>
            <w:noWrap w:val="0"/>
            <w:vAlign w:val="center"/>
          </w:tcPr>
          <w:p w14:paraId="7CDD3331">
            <w:pPr>
              <w:jc w:val="center"/>
              <w:rPr>
                <w:rFonts w:hint="eastAsia" w:ascii="宋体" w:hAnsi="宋体" w:cs="宋体"/>
                <w:sz w:val="24"/>
              </w:rPr>
            </w:pPr>
            <w:r>
              <w:rPr>
                <w:rFonts w:hint="eastAsia" w:ascii="宋体" w:hAnsi="宋体" w:cs="宋体"/>
                <w:sz w:val="24"/>
              </w:rPr>
              <w:t>售后服务</w:t>
            </w:r>
          </w:p>
        </w:tc>
        <w:tc>
          <w:tcPr>
            <w:tcW w:w="2668" w:type="dxa"/>
            <w:tcBorders>
              <w:top w:val="single" w:color="auto" w:sz="4" w:space="0"/>
              <w:left w:val="single" w:color="auto" w:sz="4" w:space="0"/>
              <w:bottom w:val="single" w:color="auto" w:sz="4" w:space="0"/>
              <w:right w:val="single" w:color="auto" w:sz="4" w:space="0"/>
            </w:tcBorders>
            <w:noWrap w:val="0"/>
            <w:vAlign w:val="center"/>
          </w:tcPr>
          <w:p w14:paraId="3E6A8041">
            <w:pPr>
              <w:jc w:val="center"/>
              <w:rPr>
                <w:rFonts w:hint="eastAsia" w:ascii="宋体" w:hAnsi="宋体" w:cs="宋体"/>
                <w:sz w:val="24"/>
              </w:rPr>
            </w:pPr>
          </w:p>
        </w:tc>
        <w:tc>
          <w:tcPr>
            <w:tcW w:w="2633" w:type="dxa"/>
            <w:tcBorders>
              <w:top w:val="single" w:color="auto" w:sz="4" w:space="0"/>
              <w:left w:val="single" w:color="auto" w:sz="4" w:space="0"/>
              <w:bottom w:val="single" w:color="auto" w:sz="4" w:space="0"/>
              <w:right w:val="single" w:color="auto" w:sz="4" w:space="0"/>
            </w:tcBorders>
            <w:noWrap w:val="0"/>
            <w:vAlign w:val="center"/>
          </w:tcPr>
          <w:p w14:paraId="3B859EEE">
            <w:pPr>
              <w:snapToGrid w:val="0"/>
              <w:spacing w:before="156" w:beforeLines="50" w:line="360" w:lineRule="auto"/>
              <w:ind w:left="43"/>
              <w:jc w:val="center"/>
              <w:rPr>
                <w:rFonts w:hint="eastAsia" w:ascii="宋体" w:hAnsi="宋体" w:cs="宋体"/>
                <w:sz w:val="24"/>
              </w:rPr>
            </w:pPr>
          </w:p>
        </w:tc>
        <w:tc>
          <w:tcPr>
            <w:tcW w:w="1829" w:type="dxa"/>
            <w:tcBorders>
              <w:top w:val="single" w:color="auto" w:sz="4" w:space="0"/>
              <w:left w:val="single" w:color="auto" w:sz="4" w:space="0"/>
              <w:bottom w:val="single" w:color="auto" w:sz="4" w:space="0"/>
              <w:right w:val="single" w:color="auto" w:sz="4" w:space="0"/>
            </w:tcBorders>
            <w:noWrap w:val="0"/>
            <w:vAlign w:val="center"/>
          </w:tcPr>
          <w:p w14:paraId="771AD321">
            <w:pPr>
              <w:snapToGrid w:val="0"/>
              <w:spacing w:before="156" w:beforeLines="50" w:line="360" w:lineRule="auto"/>
              <w:ind w:left="43"/>
              <w:jc w:val="center"/>
              <w:rPr>
                <w:rFonts w:hint="eastAsia" w:ascii="宋体" w:hAnsi="宋体" w:cs="宋体"/>
                <w:sz w:val="24"/>
              </w:rPr>
            </w:pPr>
          </w:p>
        </w:tc>
      </w:tr>
      <w:tr w14:paraId="59C9DD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178" w:type="dxa"/>
            <w:tcBorders>
              <w:top w:val="single" w:color="auto" w:sz="4" w:space="0"/>
              <w:left w:val="single" w:color="auto" w:sz="4" w:space="0"/>
              <w:bottom w:val="single" w:color="auto" w:sz="4" w:space="0"/>
              <w:right w:val="single" w:color="auto" w:sz="4" w:space="0"/>
            </w:tcBorders>
            <w:noWrap w:val="0"/>
            <w:vAlign w:val="center"/>
          </w:tcPr>
          <w:p w14:paraId="4BD81B19">
            <w:pPr>
              <w:snapToGrid w:val="0"/>
              <w:spacing w:before="156" w:beforeLines="50" w:line="360" w:lineRule="auto"/>
              <w:jc w:val="center"/>
              <w:rPr>
                <w:rFonts w:hint="eastAsia" w:ascii="宋体" w:hAnsi="宋体" w:cs="宋体"/>
                <w:sz w:val="24"/>
              </w:rPr>
            </w:pPr>
            <w:r>
              <w:rPr>
                <w:rFonts w:hint="eastAsia" w:ascii="宋体" w:hAnsi="宋体" w:cs="宋体"/>
                <w:sz w:val="24"/>
              </w:rPr>
              <w:t>…</w:t>
            </w:r>
          </w:p>
        </w:tc>
        <w:tc>
          <w:tcPr>
            <w:tcW w:w="2668" w:type="dxa"/>
            <w:tcBorders>
              <w:top w:val="single" w:color="auto" w:sz="4" w:space="0"/>
              <w:left w:val="single" w:color="auto" w:sz="4" w:space="0"/>
              <w:bottom w:val="single" w:color="auto" w:sz="4" w:space="0"/>
              <w:right w:val="single" w:color="auto" w:sz="4" w:space="0"/>
            </w:tcBorders>
            <w:noWrap w:val="0"/>
            <w:vAlign w:val="center"/>
          </w:tcPr>
          <w:p w14:paraId="5C5B7AD7">
            <w:pPr>
              <w:snapToGrid w:val="0"/>
              <w:spacing w:before="156" w:beforeLines="50" w:line="360" w:lineRule="auto"/>
              <w:jc w:val="center"/>
              <w:rPr>
                <w:rFonts w:hint="eastAsia" w:ascii="宋体" w:hAnsi="宋体" w:cs="宋体"/>
                <w:sz w:val="24"/>
              </w:rPr>
            </w:pPr>
          </w:p>
        </w:tc>
        <w:tc>
          <w:tcPr>
            <w:tcW w:w="2633" w:type="dxa"/>
            <w:tcBorders>
              <w:top w:val="single" w:color="auto" w:sz="4" w:space="0"/>
              <w:left w:val="single" w:color="auto" w:sz="4" w:space="0"/>
              <w:bottom w:val="single" w:color="auto" w:sz="4" w:space="0"/>
              <w:right w:val="single" w:color="auto" w:sz="4" w:space="0"/>
            </w:tcBorders>
            <w:noWrap w:val="0"/>
            <w:vAlign w:val="center"/>
          </w:tcPr>
          <w:p w14:paraId="5C67CE9B">
            <w:pPr>
              <w:snapToGrid w:val="0"/>
              <w:spacing w:before="156" w:beforeLines="50" w:line="360" w:lineRule="auto"/>
              <w:jc w:val="center"/>
              <w:rPr>
                <w:rFonts w:hint="eastAsia" w:ascii="宋体" w:hAnsi="宋体" w:cs="宋体"/>
                <w:sz w:val="24"/>
              </w:rPr>
            </w:pPr>
          </w:p>
        </w:tc>
        <w:tc>
          <w:tcPr>
            <w:tcW w:w="1829" w:type="dxa"/>
            <w:tcBorders>
              <w:top w:val="single" w:color="auto" w:sz="4" w:space="0"/>
              <w:left w:val="single" w:color="auto" w:sz="4" w:space="0"/>
              <w:bottom w:val="single" w:color="auto" w:sz="4" w:space="0"/>
              <w:right w:val="single" w:color="auto" w:sz="4" w:space="0"/>
            </w:tcBorders>
            <w:noWrap w:val="0"/>
            <w:vAlign w:val="center"/>
          </w:tcPr>
          <w:p w14:paraId="771F7879">
            <w:pPr>
              <w:snapToGrid w:val="0"/>
              <w:spacing w:before="156" w:beforeLines="50" w:line="360" w:lineRule="auto"/>
              <w:jc w:val="center"/>
              <w:rPr>
                <w:rFonts w:hint="eastAsia" w:ascii="宋体" w:hAnsi="宋体" w:cs="宋体"/>
                <w:sz w:val="24"/>
              </w:rPr>
            </w:pPr>
          </w:p>
        </w:tc>
      </w:tr>
    </w:tbl>
    <w:p w14:paraId="29566F6C">
      <w:pPr>
        <w:pStyle w:val="11"/>
        <w:spacing w:after="0" w:line="360" w:lineRule="auto"/>
        <w:contextualSpacing/>
        <w:rPr>
          <w:rFonts w:hint="eastAsia" w:ascii="宋体" w:hAnsi="宋体" w:cs="宋体"/>
          <w:kern w:val="0"/>
          <w:sz w:val="24"/>
          <w:szCs w:val="24"/>
        </w:rPr>
      </w:pPr>
      <w:r>
        <w:rPr>
          <w:rFonts w:hint="eastAsia" w:ascii="宋体" w:hAnsi="宋体" w:cs="宋体"/>
          <w:kern w:val="0"/>
          <w:sz w:val="24"/>
          <w:szCs w:val="24"/>
        </w:rPr>
        <w:t>注：</w:t>
      </w:r>
    </w:p>
    <w:p w14:paraId="55B322AB">
      <w:pPr>
        <w:pStyle w:val="11"/>
        <w:spacing w:after="0" w:line="360" w:lineRule="auto"/>
        <w:contextualSpacing/>
        <w:rPr>
          <w:rFonts w:hint="eastAsia" w:ascii="宋体" w:hAnsi="宋体" w:cs="宋体"/>
          <w:kern w:val="0"/>
          <w:sz w:val="24"/>
          <w:szCs w:val="24"/>
        </w:rPr>
      </w:pPr>
      <w:r>
        <w:rPr>
          <w:rFonts w:hint="eastAsia" w:ascii="宋体" w:hAnsi="宋体" w:cs="宋体"/>
          <w:kern w:val="0"/>
          <w:sz w:val="24"/>
          <w:szCs w:val="24"/>
        </w:rPr>
        <w:t>1. 说明：应对照谈判文件“第三章 采购需求”中的商务要求逐条明确响应，并作出偏离说明。</w:t>
      </w:r>
    </w:p>
    <w:p w14:paraId="23385270">
      <w:pPr>
        <w:pStyle w:val="11"/>
        <w:spacing w:after="0" w:line="360" w:lineRule="auto"/>
        <w:contextualSpacing/>
        <w:rPr>
          <w:rFonts w:hint="eastAsia" w:ascii="宋体" w:hAnsi="宋体" w:cs="宋体"/>
          <w:kern w:val="0"/>
          <w:sz w:val="24"/>
          <w:szCs w:val="24"/>
        </w:rPr>
      </w:pPr>
      <w:r>
        <w:rPr>
          <w:rFonts w:hint="eastAsia" w:ascii="宋体" w:hAnsi="宋体" w:cs="宋体"/>
          <w:kern w:val="0"/>
          <w:sz w:val="24"/>
          <w:szCs w:val="24"/>
        </w:rPr>
        <w:t>2.供应商应根据自身的承诺，对照谈判文件要求在“偏离说明”中注明“正偏离</w:t>
      </w:r>
      <w:r>
        <w:rPr>
          <w:rFonts w:hint="eastAsia" w:ascii="宋体" w:hAnsi="宋体" w:cs="宋体"/>
          <w:kern w:val="0"/>
          <w:sz w:val="24"/>
          <w:szCs w:val="24"/>
          <w:lang w:eastAsia="zh-CN"/>
        </w:rPr>
        <w:t>”“</w:t>
      </w:r>
      <w:r>
        <w:rPr>
          <w:rFonts w:hint="eastAsia" w:ascii="宋体" w:hAnsi="宋体" w:cs="宋体"/>
          <w:kern w:val="0"/>
          <w:sz w:val="24"/>
          <w:szCs w:val="24"/>
        </w:rPr>
        <w:t>负偏离”或者“无偏离”。既不属于“正偏离”也不属于“负偏离”即为“无偏离”。</w:t>
      </w:r>
    </w:p>
    <w:p w14:paraId="1446598B">
      <w:pPr>
        <w:spacing w:line="360" w:lineRule="auto"/>
        <w:contextualSpacing/>
        <w:jc w:val="left"/>
        <w:rPr>
          <w:rFonts w:hint="eastAsia" w:ascii="宋体" w:hAnsi="宋体" w:cs="宋体"/>
          <w:sz w:val="24"/>
          <w:u w:val="single"/>
        </w:rPr>
      </w:pPr>
    </w:p>
    <w:p w14:paraId="7332C011">
      <w:pPr>
        <w:spacing w:line="360" w:lineRule="auto"/>
        <w:contextualSpacing/>
        <w:jc w:val="left"/>
        <w:rPr>
          <w:rFonts w:hint="eastAsia" w:ascii="宋体" w:hAnsi="宋体" w:cs="宋体"/>
          <w:sz w:val="24"/>
          <w:u w:val="single"/>
        </w:rPr>
      </w:pPr>
    </w:p>
    <w:p w14:paraId="692A4ABE">
      <w:pPr>
        <w:spacing w:line="360" w:lineRule="auto"/>
        <w:ind w:right="-817" w:rightChars="-389"/>
        <w:contextualSpacing/>
        <w:rPr>
          <w:rFonts w:hint="eastAsia" w:ascii="宋体" w:hAnsi="宋体" w:cs="宋体"/>
          <w:sz w:val="24"/>
        </w:rPr>
      </w:pPr>
    </w:p>
    <w:p w14:paraId="0B210D78">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651F0AFC">
      <w:pPr>
        <w:spacing w:line="240" w:lineRule="auto"/>
        <w:ind w:right="0" w:firstLine="0" w:firstLineChars="0"/>
        <w:contextualSpacing/>
        <w:jc w:val="center"/>
        <w:rPr>
          <w:rFonts w:hint="eastAsia" w:ascii="宋体" w:hAnsi="宋体" w:cs="宋体"/>
          <w:szCs w:val="21"/>
        </w:rPr>
      </w:pPr>
      <w:r>
        <w:rPr>
          <w:rFonts w:hint="eastAsia" w:ascii="宋体" w:hAnsi="宋体" w:cs="宋体"/>
          <w:sz w:val="24"/>
          <w:szCs w:val="24"/>
        </w:rPr>
        <w:t xml:space="preserve">                  </w:t>
      </w:r>
      <w:r>
        <w:rPr>
          <w:rFonts w:hint="eastAsia" w:ascii="宋体" w:hAnsi="宋体" w:cs="宋体"/>
          <w:sz w:val="24"/>
          <w:szCs w:val="24"/>
          <w:lang w:val="en-US" w:eastAsia="zh-CN"/>
        </w:rPr>
        <w:t xml:space="preserve">                             日期：   </w:t>
      </w:r>
      <w:r>
        <w:rPr>
          <w:rFonts w:hint="eastAsia" w:ascii="宋体" w:hAnsi="宋体" w:cs="宋体"/>
          <w:sz w:val="24"/>
          <w:szCs w:val="24"/>
        </w:rPr>
        <w:t>年    月    日</w:t>
      </w:r>
      <w:r>
        <w:rPr>
          <w:rFonts w:hint="eastAsia" w:ascii="宋体" w:hAnsi="宋体" w:cs="宋体"/>
        </w:rPr>
        <w:t xml:space="preserve"> </w:t>
      </w:r>
    </w:p>
    <w:p w14:paraId="14520495">
      <w:pPr>
        <w:adjustRightInd w:val="0"/>
        <w:snapToGrid w:val="0"/>
        <w:spacing w:line="520" w:lineRule="exact"/>
        <w:ind w:firstLine="7040" w:firstLineChars="1600"/>
        <w:jc w:val="center"/>
        <w:rPr>
          <w:rFonts w:hint="eastAsia" w:ascii="宋体" w:hAnsi="宋体" w:cs="宋体"/>
          <w:bCs/>
          <w:sz w:val="44"/>
          <w:szCs w:val="44"/>
        </w:rPr>
      </w:pPr>
    </w:p>
    <w:p w14:paraId="6710D5D9">
      <w:pPr>
        <w:adjustRightInd w:val="0"/>
        <w:snapToGrid w:val="0"/>
        <w:spacing w:line="520" w:lineRule="exact"/>
        <w:jc w:val="center"/>
        <w:rPr>
          <w:rFonts w:hint="eastAsia" w:ascii="宋体" w:hAnsi="宋体" w:cs="宋体"/>
          <w:b/>
          <w:sz w:val="32"/>
          <w:szCs w:val="32"/>
        </w:rPr>
      </w:pPr>
      <w:r>
        <w:rPr>
          <w:rFonts w:hint="eastAsia" w:ascii="宋体" w:hAnsi="宋体" w:cs="宋体"/>
          <w:bCs/>
          <w:sz w:val="44"/>
          <w:szCs w:val="44"/>
        </w:rPr>
        <w:br w:type="page"/>
      </w:r>
      <w:r>
        <w:rPr>
          <w:rFonts w:hint="eastAsia" w:ascii="宋体" w:hAnsi="宋体" w:cs="宋体"/>
          <w:bCs/>
          <w:sz w:val="44"/>
          <w:szCs w:val="44"/>
        </w:rPr>
        <w:t>货物配置清单</w:t>
      </w:r>
    </w:p>
    <w:p w14:paraId="7D2B83E6">
      <w:pPr>
        <w:spacing w:line="300" w:lineRule="auto"/>
        <w:rPr>
          <w:rFonts w:hint="eastAsia" w:ascii="宋体" w:hAnsi="宋体" w:cs="宋体"/>
          <w:szCs w:val="21"/>
        </w:rPr>
      </w:pPr>
    </w:p>
    <w:p w14:paraId="233FFB1B">
      <w:pPr>
        <w:spacing w:line="300" w:lineRule="auto"/>
        <w:rPr>
          <w:rFonts w:hint="eastAsia" w:ascii="宋体" w:hAnsi="宋体" w:cs="宋体"/>
          <w:szCs w:val="21"/>
        </w:rPr>
      </w:pPr>
    </w:p>
    <w:p w14:paraId="17853355">
      <w:pPr>
        <w:spacing w:line="360" w:lineRule="auto"/>
        <w:rPr>
          <w:rFonts w:hint="eastAsia" w:ascii="宋体" w:hAnsi="宋体" w:cs="宋体"/>
          <w:sz w:val="24"/>
        </w:rPr>
      </w:pPr>
      <w:r>
        <w:rPr>
          <w:rFonts w:hint="eastAsia" w:ascii="宋体" w:hAnsi="宋体" w:cs="宋体"/>
          <w:sz w:val="24"/>
        </w:rPr>
        <w:t>项目编号：</w:t>
      </w:r>
      <w:r>
        <w:rPr>
          <w:rFonts w:hint="eastAsia" w:ascii="宋体" w:hAnsi="宋体" w:cs="宋体"/>
          <w:sz w:val="24"/>
          <w:u w:val="single"/>
        </w:rPr>
        <w:t xml:space="preserve">                 </w:t>
      </w:r>
      <w:r>
        <w:rPr>
          <w:rFonts w:hint="eastAsia" w:ascii="宋体" w:hAnsi="宋体" w:cs="宋体"/>
          <w:sz w:val="24"/>
        </w:rPr>
        <w:t xml:space="preserve"> </w:t>
      </w:r>
    </w:p>
    <w:p w14:paraId="0E197F96">
      <w:pPr>
        <w:spacing w:line="360" w:lineRule="auto"/>
        <w:rPr>
          <w:rFonts w:hint="eastAsia" w:ascii="宋体" w:hAnsi="宋体" w:cs="宋体"/>
          <w:sz w:val="24"/>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 xml:space="preserve"> </w:t>
      </w:r>
    </w:p>
    <w:tbl>
      <w:tblPr>
        <w:tblStyle w:val="3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6"/>
        <w:gridCol w:w="1176"/>
        <w:gridCol w:w="1416"/>
        <w:gridCol w:w="696"/>
        <w:gridCol w:w="1176"/>
        <w:gridCol w:w="2616"/>
      </w:tblGrid>
      <w:tr w14:paraId="1C0C5E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696" w:type="dxa"/>
            <w:tcBorders>
              <w:top w:val="single" w:color="auto" w:sz="4" w:space="0"/>
              <w:left w:val="single" w:color="auto" w:sz="4" w:space="0"/>
              <w:bottom w:val="single" w:color="auto" w:sz="4" w:space="0"/>
              <w:right w:val="single" w:color="auto" w:sz="4" w:space="0"/>
            </w:tcBorders>
            <w:noWrap w:val="0"/>
            <w:vAlign w:val="center"/>
          </w:tcPr>
          <w:p w14:paraId="43AB75B7">
            <w:pPr>
              <w:snapToGrid w:val="0"/>
              <w:spacing w:before="50" w:after="50"/>
              <w:jc w:val="center"/>
              <w:rPr>
                <w:rFonts w:hint="eastAsia" w:ascii="宋体" w:hAnsi="宋体" w:cs="宋体"/>
                <w:sz w:val="24"/>
              </w:rPr>
            </w:pPr>
            <w:r>
              <w:rPr>
                <w:rFonts w:hint="eastAsia" w:ascii="宋体" w:hAnsi="宋体" w:cs="宋体"/>
                <w:sz w:val="24"/>
              </w:rPr>
              <w:t>序号</w:t>
            </w:r>
          </w:p>
        </w:tc>
        <w:tc>
          <w:tcPr>
            <w:tcW w:w="1176" w:type="dxa"/>
            <w:tcBorders>
              <w:top w:val="single" w:color="auto" w:sz="4" w:space="0"/>
              <w:left w:val="single" w:color="auto" w:sz="4" w:space="0"/>
              <w:bottom w:val="single" w:color="auto" w:sz="4" w:space="0"/>
              <w:right w:val="single" w:color="auto" w:sz="4" w:space="0"/>
            </w:tcBorders>
            <w:noWrap w:val="0"/>
            <w:vAlign w:val="center"/>
          </w:tcPr>
          <w:p w14:paraId="6710F646">
            <w:pPr>
              <w:snapToGrid w:val="0"/>
              <w:spacing w:before="50" w:after="50"/>
              <w:jc w:val="center"/>
              <w:rPr>
                <w:rFonts w:hint="eastAsia" w:ascii="宋体" w:hAnsi="宋体" w:cs="宋体"/>
                <w:sz w:val="24"/>
              </w:rPr>
            </w:pPr>
            <w:r>
              <w:rPr>
                <w:rFonts w:hint="eastAsia" w:ascii="宋体" w:hAnsi="宋体" w:cs="宋体"/>
                <w:sz w:val="24"/>
              </w:rPr>
              <w:t>货物名称</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5670915">
            <w:pPr>
              <w:snapToGrid w:val="0"/>
              <w:spacing w:before="50" w:after="50"/>
              <w:jc w:val="center"/>
              <w:rPr>
                <w:rFonts w:hint="eastAsia" w:ascii="宋体" w:hAnsi="宋体" w:cs="宋体"/>
                <w:sz w:val="24"/>
              </w:rPr>
            </w:pPr>
            <w:r>
              <w:rPr>
                <w:rFonts w:hint="eastAsia" w:ascii="宋体" w:hAnsi="宋体" w:cs="宋体"/>
                <w:sz w:val="24"/>
              </w:rPr>
              <w:t>数量及单位</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74D8FB2E">
            <w:pPr>
              <w:snapToGrid w:val="0"/>
              <w:spacing w:before="50" w:after="50"/>
              <w:jc w:val="center"/>
              <w:rPr>
                <w:rFonts w:hint="eastAsia" w:ascii="宋体" w:hAnsi="宋体" w:cs="宋体"/>
                <w:sz w:val="24"/>
              </w:rPr>
            </w:pPr>
            <w:r>
              <w:rPr>
                <w:rFonts w:hint="eastAsia" w:ascii="宋体" w:hAnsi="宋体" w:cs="宋体"/>
                <w:sz w:val="24"/>
              </w:rPr>
              <w:t>品牌</w:t>
            </w:r>
          </w:p>
        </w:tc>
        <w:tc>
          <w:tcPr>
            <w:tcW w:w="1176" w:type="dxa"/>
            <w:tcBorders>
              <w:top w:val="single" w:color="auto" w:sz="4" w:space="0"/>
              <w:left w:val="single" w:color="auto" w:sz="4" w:space="0"/>
              <w:bottom w:val="single" w:color="auto" w:sz="4" w:space="0"/>
              <w:right w:val="single" w:color="auto" w:sz="4" w:space="0"/>
            </w:tcBorders>
            <w:noWrap w:val="0"/>
            <w:vAlign w:val="top"/>
          </w:tcPr>
          <w:p w14:paraId="5F4F2888">
            <w:pPr>
              <w:snapToGrid w:val="0"/>
              <w:spacing w:before="50" w:after="50"/>
              <w:jc w:val="center"/>
              <w:rPr>
                <w:rFonts w:hint="eastAsia" w:ascii="宋体" w:hAnsi="宋体" w:cs="宋体"/>
                <w:sz w:val="24"/>
              </w:rPr>
            </w:pPr>
          </w:p>
          <w:p w14:paraId="2043E8BC">
            <w:pPr>
              <w:snapToGrid w:val="0"/>
              <w:spacing w:before="50" w:after="50"/>
              <w:jc w:val="center"/>
              <w:rPr>
                <w:rFonts w:hint="eastAsia" w:ascii="宋体" w:hAnsi="宋体" w:cs="宋体"/>
                <w:sz w:val="24"/>
              </w:rPr>
            </w:pPr>
            <w:r>
              <w:rPr>
                <w:rFonts w:hint="eastAsia" w:ascii="宋体" w:hAnsi="宋体" w:cs="宋体"/>
                <w:sz w:val="24"/>
              </w:rPr>
              <w:t>规格型号</w:t>
            </w:r>
          </w:p>
        </w:tc>
        <w:tc>
          <w:tcPr>
            <w:tcW w:w="2616" w:type="dxa"/>
            <w:tcBorders>
              <w:top w:val="single" w:color="auto" w:sz="4" w:space="0"/>
              <w:left w:val="single" w:color="auto" w:sz="4" w:space="0"/>
              <w:bottom w:val="single" w:color="auto" w:sz="4" w:space="0"/>
              <w:right w:val="single" w:color="auto" w:sz="4" w:space="0"/>
            </w:tcBorders>
            <w:noWrap w:val="0"/>
            <w:vAlign w:val="center"/>
          </w:tcPr>
          <w:p w14:paraId="139FA5A9">
            <w:pPr>
              <w:snapToGrid w:val="0"/>
              <w:spacing w:before="50" w:after="50"/>
              <w:jc w:val="center"/>
              <w:rPr>
                <w:rFonts w:hint="eastAsia" w:ascii="宋体" w:hAnsi="宋体" w:cs="宋体"/>
                <w:sz w:val="24"/>
              </w:rPr>
            </w:pPr>
            <w:r>
              <w:rPr>
                <w:rFonts w:hint="eastAsia" w:ascii="宋体" w:hAnsi="宋体" w:cs="宋体"/>
                <w:sz w:val="24"/>
              </w:rPr>
              <w:t>参数性能、指标及配置</w:t>
            </w:r>
          </w:p>
        </w:tc>
      </w:tr>
      <w:tr w14:paraId="0389D5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9" w:hRule="atLeast"/>
          <w:jc w:val="center"/>
        </w:trPr>
        <w:tc>
          <w:tcPr>
            <w:tcW w:w="696" w:type="dxa"/>
            <w:tcBorders>
              <w:top w:val="single" w:color="auto" w:sz="4" w:space="0"/>
              <w:left w:val="single" w:color="auto" w:sz="4" w:space="0"/>
              <w:bottom w:val="single" w:color="auto" w:sz="4" w:space="0"/>
              <w:right w:val="single" w:color="auto" w:sz="4" w:space="0"/>
            </w:tcBorders>
            <w:noWrap w:val="0"/>
            <w:vAlign w:val="center"/>
          </w:tcPr>
          <w:p w14:paraId="7FD491D9">
            <w:pPr>
              <w:snapToGrid w:val="0"/>
              <w:spacing w:before="50" w:after="50"/>
              <w:jc w:val="center"/>
              <w:rPr>
                <w:rFonts w:hint="eastAsia" w:ascii="宋体" w:hAnsi="宋体" w:cs="宋体"/>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14:paraId="0F60E326">
            <w:pPr>
              <w:snapToGrid w:val="0"/>
              <w:spacing w:before="50" w:after="50"/>
              <w:jc w:val="center"/>
              <w:rPr>
                <w:rFonts w:hint="eastAsia" w:ascii="宋体" w:hAnsi="宋体" w:cs="宋体"/>
                <w:sz w:val="24"/>
              </w:rPr>
            </w:pPr>
          </w:p>
        </w:tc>
        <w:tc>
          <w:tcPr>
            <w:tcW w:w="1416" w:type="dxa"/>
            <w:tcBorders>
              <w:top w:val="single" w:color="auto" w:sz="4" w:space="0"/>
              <w:left w:val="single" w:color="auto" w:sz="4" w:space="0"/>
              <w:bottom w:val="single" w:color="auto" w:sz="4" w:space="0"/>
              <w:right w:val="single" w:color="auto" w:sz="4" w:space="0"/>
            </w:tcBorders>
            <w:noWrap w:val="0"/>
            <w:vAlign w:val="center"/>
          </w:tcPr>
          <w:p w14:paraId="48A41BDF">
            <w:pPr>
              <w:snapToGrid w:val="0"/>
              <w:spacing w:before="50" w:after="50"/>
              <w:jc w:val="center"/>
              <w:rPr>
                <w:rFonts w:hint="eastAsia" w:ascii="宋体" w:hAnsi="宋体" w:cs="宋体"/>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14:paraId="0BEF8BC9">
            <w:pPr>
              <w:snapToGrid w:val="0"/>
              <w:spacing w:before="50" w:after="50"/>
              <w:jc w:val="center"/>
              <w:rPr>
                <w:rFonts w:hint="eastAsia" w:ascii="宋体" w:hAnsi="宋体" w:cs="宋体"/>
                <w:sz w:val="24"/>
              </w:rPr>
            </w:pPr>
          </w:p>
        </w:tc>
        <w:tc>
          <w:tcPr>
            <w:tcW w:w="1176" w:type="dxa"/>
            <w:tcBorders>
              <w:top w:val="single" w:color="auto" w:sz="4" w:space="0"/>
              <w:left w:val="single" w:color="auto" w:sz="4" w:space="0"/>
              <w:bottom w:val="single" w:color="auto" w:sz="4" w:space="0"/>
              <w:right w:val="single" w:color="auto" w:sz="4" w:space="0"/>
            </w:tcBorders>
            <w:noWrap w:val="0"/>
            <w:vAlign w:val="top"/>
          </w:tcPr>
          <w:p w14:paraId="32D5E4A3">
            <w:pPr>
              <w:snapToGrid w:val="0"/>
              <w:spacing w:before="50" w:after="50"/>
              <w:jc w:val="center"/>
              <w:rPr>
                <w:rFonts w:hint="eastAsia" w:ascii="宋体" w:hAnsi="宋体" w:cs="宋体"/>
                <w:sz w:val="24"/>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663C599D">
            <w:pPr>
              <w:snapToGrid w:val="0"/>
              <w:spacing w:before="50" w:after="50"/>
              <w:jc w:val="center"/>
              <w:rPr>
                <w:rFonts w:hint="eastAsia" w:ascii="宋体" w:hAnsi="宋体" w:cs="宋体"/>
                <w:sz w:val="24"/>
              </w:rPr>
            </w:pPr>
          </w:p>
        </w:tc>
      </w:tr>
      <w:tr w14:paraId="287EF6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696" w:type="dxa"/>
            <w:tcBorders>
              <w:top w:val="single" w:color="auto" w:sz="4" w:space="0"/>
              <w:left w:val="single" w:color="auto" w:sz="4" w:space="0"/>
              <w:bottom w:val="single" w:color="auto" w:sz="4" w:space="0"/>
              <w:right w:val="single" w:color="auto" w:sz="4" w:space="0"/>
            </w:tcBorders>
            <w:noWrap w:val="0"/>
            <w:vAlign w:val="center"/>
          </w:tcPr>
          <w:p w14:paraId="06FEC8D2">
            <w:pPr>
              <w:snapToGrid w:val="0"/>
              <w:spacing w:before="50" w:after="50"/>
              <w:jc w:val="center"/>
              <w:rPr>
                <w:rFonts w:hint="eastAsia" w:ascii="宋体" w:hAnsi="宋体" w:cs="宋体"/>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14:paraId="7A4EDE0D">
            <w:pPr>
              <w:snapToGrid w:val="0"/>
              <w:spacing w:before="50" w:after="50"/>
              <w:jc w:val="center"/>
              <w:rPr>
                <w:rFonts w:hint="eastAsia" w:ascii="宋体" w:hAnsi="宋体" w:cs="宋体"/>
                <w:sz w:val="24"/>
              </w:rPr>
            </w:pPr>
          </w:p>
        </w:tc>
        <w:tc>
          <w:tcPr>
            <w:tcW w:w="1416" w:type="dxa"/>
            <w:tcBorders>
              <w:top w:val="single" w:color="auto" w:sz="4" w:space="0"/>
              <w:left w:val="single" w:color="auto" w:sz="4" w:space="0"/>
              <w:bottom w:val="single" w:color="auto" w:sz="4" w:space="0"/>
              <w:right w:val="single" w:color="auto" w:sz="4" w:space="0"/>
            </w:tcBorders>
            <w:noWrap w:val="0"/>
            <w:vAlign w:val="center"/>
          </w:tcPr>
          <w:p w14:paraId="5FC8EFB4">
            <w:pPr>
              <w:snapToGrid w:val="0"/>
              <w:spacing w:before="50" w:after="50"/>
              <w:jc w:val="center"/>
              <w:rPr>
                <w:rFonts w:hint="eastAsia" w:ascii="宋体" w:hAnsi="宋体" w:cs="宋体"/>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14:paraId="3622F7F8">
            <w:pPr>
              <w:snapToGrid w:val="0"/>
              <w:spacing w:before="50" w:after="50"/>
              <w:jc w:val="center"/>
              <w:rPr>
                <w:rFonts w:hint="eastAsia" w:ascii="宋体" w:hAnsi="宋体" w:cs="宋体"/>
                <w:sz w:val="24"/>
              </w:rPr>
            </w:pPr>
          </w:p>
        </w:tc>
        <w:tc>
          <w:tcPr>
            <w:tcW w:w="1176" w:type="dxa"/>
            <w:tcBorders>
              <w:top w:val="single" w:color="auto" w:sz="4" w:space="0"/>
              <w:left w:val="single" w:color="auto" w:sz="4" w:space="0"/>
              <w:bottom w:val="single" w:color="auto" w:sz="4" w:space="0"/>
              <w:right w:val="single" w:color="auto" w:sz="4" w:space="0"/>
            </w:tcBorders>
            <w:noWrap w:val="0"/>
            <w:vAlign w:val="top"/>
          </w:tcPr>
          <w:p w14:paraId="3E673DA2">
            <w:pPr>
              <w:snapToGrid w:val="0"/>
              <w:spacing w:before="50" w:after="50"/>
              <w:jc w:val="center"/>
              <w:rPr>
                <w:rFonts w:hint="eastAsia" w:ascii="宋体" w:hAnsi="宋体" w:cs="宋体"/>
                <w:sz w:val="24"/>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0B12A49C">
            <w:pPr>
              <w:snapToGrid w:val="0"/>
              <w:spacing w:before="50" w:after="50"/>
              <w:jc w:val="center"/>
              <w:rPr>
                <w:rFonts w:hint="eastAsia" w:ascii="宋体" w:hAnsi="宋体" w:cs="宋体"/>
                <w:sz w:val="24"/>
              </w:rPr>
            </w:pPr>
          </w:p>
        </w:tc>
      </w:tr>
      <w:tr w14:paraId="026A0D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96" w:type="dxa"/>
            <w:tcBorders>
              <w:top w:val="single" w:color="auto" w:sz="4" w:space="0"/>
              <w:left w:val="single" w:color="auto" w:sz="4" w:space="0"/>
              <w:bottom w:val="single" w:color="auto" w:sz="4" w:space="0"/>
              <w:right w:val="single" w:color="auto" w:sz="4" w:space="0"/>
            </w:tcBorders>
            <w:noWrap w:val="0"/>
            <w:vAlign w:val="center"/>
          </w:tcPr>
          <w:p w14:paraId="34229AA3">
            <w:pPr>
              <w:snapToGrid w:val="0"/>
              <w:spacing w:before="50" w:after="50"/>
              <w:jc w:val="center"/>
              <w:rPr>
                <w:rFonts w:hint="eastAsia" w:ascii="宋体" w:hAnsi="宋体" w:cs="宋体"/>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14:paraId="4F33A220">
            <w:pPr>
              <w:snapToGrid w:val="0"/>
              <w:spacing w:before="50" w:after="50"/>
              <w:jc w:val="center"/>
              <w:rPr>
                <w:rFonts w:hint="eastAsia" w:ascii="宋体" w:hAnsi="宋体" w:cs="宋体"/>
                <w:sz w:val="24"/>
              </w:rPr>
            </w:pP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F1EA575">
            <w:pPr>
              <w:snapToGrid w:val="0"/>
              <w:spacing w:before="50" w:after="50"/>
              <w:jc w:val="center"/>
              <w:rPr>
                <w:rFonts w:hint="eastAsia" w:ascii="宋体" w:hAnsi="宋体" w:cs="宋体"/>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14:paraId="158B6836">
            <w:pPr>
              <w:snapToGrid w:val="0"/>
              <w:spacing w:before="50" w:after="50"/>
              <w:jc w:val="center"/>
              <w:rPr>
                <w:rFonts w:hint="eastAsia" w:ascii="宋体" w:hAnsi="宋体" w:cs="宋体"/>
                <w:sz w:val="24"/>
              </w:rPr>
            </w:pPr>
          </w:p>
        </w:tc>
        <w:tc>
          <w:tcPr>
            <w:tcW w:w="1176" w:type="dxa"/>
            <w:tcBorders>
              <w:top w:val="single" w:color="auto" w:sz="4" w:space="0"/>
              <w:left w:val="single" w:color="auto" w:sz="4" w:space="0"/>
              <w:bottom w:val="single" w:color="auto" w:sz="4" w:space="0"/>
              <w:right w:val="single" w:color="auto" w:sz="4" w:space="0"/>
            </w:tcBorders>
            <w:noWrap w:val="0"/>
            <w:vAlign w:val="top"/>
          </w:tcPr>
          <w:p w14:paraId="253A6A64">
            <w:pPr>
              <w:snapToGrid w:val="0"/>
              <w:spacing w:before="50" w:after="50"/>
              <w:jc w:val="center"/>
              <w:rPr>
                <w:rFonts w:hint="eastAsia" w:ascii="宋体" w:hAnsi="宋体" w:cs="宋体"/>
                <w:sz w:val="24"/>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1EE103E4">
            <w:pPr>
              <w:snapToGrid w:val="0"/>
              <w:spacing w:before="50" w:after="50"/>
              <w:jc w:val="center"/>
              <w:rPr>
                <w:rFonts w:hint="eastAsia" w:ascii="宋体" w:hAnsi="宋体" w:cs="宋体"/>
                <w:sz w:val="24"/>
              </w:rPr>
            </w:pPr>
          </w:p>
        </w:tc>
      </w:tr>
    </w:tbl>
    <w:p w14:paraId="016F45C9">
      <w:pPr>
        <w:spacing w:line="360" w:lineRule="auto"/>
        <w:contextualSpacing/>
        <w:rPr>
          <w:rFonts w:hint="eastAsia" w:ascii="宋体" w:hAnsi="宋体" w:cs="宋体"/>
          <w:sz w:val="24"/>
        </w:rPr>
      </w:pPr>
      <w:r>
        <w:rPr>
          <w:rFonts w:hint="eastAsia" w:ascii="宋体" w:hAnsi="宋体" w:cs="宋体"/>
          <w:sz w:val="24"/>
        </w:rPr>
        <w:t>备注：</w:t>
      </w:r>
    </w:p>
    <w:p w14:paraId="268BEB26">
      <w:pPr>
        <w:tabs>
          <w:tab w:val="left" w:pos="1065"/>
        </w:tabs>
        <w:adjustRightInd w:val="0"/>
        <w:spacing w:line="360" w:lineRule="auto"/>
        <w:contextualSpacing/>
        <w:rPr>
          <w:rFonts w:hint="eastAsia" w:ascii="宋体" w:hAnsi="宋体" w:cs="宋体"/>
          <w:sz w:val="24"/>
        </w:rPr>
      </w:pPr>
      <w:r>
        <w:rPr>
          <w:rFonts w:hint="eastAsia" w:ascii="宋体" w:hAnsi="宋体" w:cs="宋体"/>
          <w:b/>
          <w:bCs/>
          <w:sz w:val="24"/>
        </w:rPr>
        <w:t>以上货物配置清单中“货物名称、数量及单位、品牌、规格型号、参数性能、指标及配置”必须如实填写完整，品牌、规格型号没有则填无，填写有缺漏的，响应文件按无效处理</w:t>
      </w:r>
      <w:r>
        <w:rPr>
          <w:rFonts w:hint="eastAsia" w:ascii="宋体" w:hAnsi="宋体" w:cs="宋体"/>
          <w:b/>
          <w:sz w:val="24"/>
        </w:rPr>
        <w:t>。</w:t>
      </w:r>
      <w:r>
        <w:rPr>
          <w:rFonts w:hint="eastAsia" w:ascii="宋体" w:hAnsi="宋体" w:cs="宋体"/>
          <w:sz w:val="24"/>
        </w:rPr>
        <w:t>货物名称、数量及单位、品牌必须与“竞标报价表”一致，</w:t>
      </w:r>
      <w:r>
        <w:rPr>
          <w:rFonts w:hint="eastAsia" w:ascii="宋体" w:hAnsi="宋体" w:cs="宋体"/>
          <w:bCs/>
          <w:sz w:val="24"/>
        </w:rPr>
        <w:t>否则响应文件按无效处理</w:t>
      </w:r>
      <w:r>
        <w:rPr>
          <w:rFonts w:hint="eastAsia" w:ascii="宋体" w:hAnsi="宋体" w:cs="宋体"/>
          <w:b/>
          <w:sz w:val="24"/>
        </w:rPr>
        <w:t>。</w:t>
      </w:r>
      <w:r>
        <w:rPr>
          <w:rFonts w:hint="eastAsia" w:ascii="宋体" w:hAnsi="宋体" w:cs="宋体"/>
          <w:sz w:val="24"/>
        </w:rPr>
        <w:tab/>
      </w:r>
    </w:p>
    <w:p w14:paraId="3A43F389">
      <w:pPr>
        <w:adjustRightInd w:val="0"/>
        <w:spacing w:line="360" w:lineRule="auto"/>
        <w:contextualSpacing/>
        <w:jc w:val="left"/>
        <w:rPr>
          <w:rFonts w:hint="eastAsia" w:ascii="宋体" w:hAnsi="宋体" w:cs="宋体"/>
          <w:sz w:val="24"/>
        </w:rPr>
      </w:pPr>
    </w:p>
    <w:p w14:paraId="5319C71C">
      <w:pPr>
        <w:adjustRightInd w:val="0"/>
        <w:spacing w:line="360" w:lineRule="auto"/>
        <w:contextualSpacing/>
        <w:jc w:val="left"/>
        <w:rPr>
          <w:rFonts w:hint="eastAsia" w:ascii="宋体" w:hAnsi="宋体" w:cs="宋体"/>
          <w:sz w:val="24"/>
        </w:rPr>
      </w:pPr>
    </w:p>
    <w:p w14:paraId="2955BB95">
      <w:pPr>
        <w:adjustRightInd w:val="0"/>
        <w:spacing w:line="360" w:lineRule="auto"/>
        <w:contextualSpacing/>
        <w:jc w:val="left"/>
        <w:rPr>
          <w:rFonts w:hint="eastAsia" w:ascii="宋体" w:hAnsi="宋体" w:cs="宋体"/>
          <w:sz w:val="24"/>
        </w:rPr>
      </w:pPr>
    </w:p>
    <w:p w14:paraId="46D39C5B">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09974B9B">
      <w:pPr>
        <w:spacing w:line="240" w:lineRule="auto"/>
        <w:ind w:right="0" w:firstLine="0" w:firstLineChars="0"/>
        <w:contextualSpacing/>
        <w:jc w:val="center"/>
        <w:rPr>
          <w:rFonts w:hint="eastAsia" w:ascii="宋体" w:hAnsi="宋体" w:cs="宋体"/>
          <w:szCs w:val="21"/>
        </w:rPr>
      </w:pPr>
      <w:r>
        <w:rPr>
          <w:rFonts w:hint="eastAsia" w:ascii="宋体" w:hAnsi="宋体" w:cs="宋体"/>
          <w:sz w:val="24"/>
          <w:szCs w:val="24"/>
        </w:rPr>
        <w:t xml:space="preserve">                  </w:t>
      </w:r>
      <w:r>
        <w:rPr>
          <w:rFonts w:hint="eastAsia" w:ascii="宋体" w:hAnsi="宋体" w:cs="宋体"/>
          <w:sz w:val="24"/>
          <w:szCs w:val="24"/>
          <w:lang w:val="en-US" w:eastAsia="zh-CN"/>
        </w:rPr>
        <w:t xml:space="preserve">                             日期：   </w:t>
      </w:r>
      <w:r>
        <w:rPr>
          <w:rFonts w:hint="eastAsia" w:ascii="宋体" w:hAnsi="宋体" w:cs="宋体"/>
          <w:sz w:val="24"/>
          <w:szCs w:val="24"/>
        </w:rPr>
        <w:t>年    月    日</w:t>
      </w:r>
      <w:r>
        <w:rPr>
          <w:rFonts w:hint="eastAsia" w:ascii="宋体" w:hAnsi="宋体" w:cs="宋体"/>
        </w:rPr>
        <w:t xml:space="preserve"> </w:t>
      </w:r>
    </w:p>
    <w:p w14:paraId="3C9BF2E7">
      <w:pPr>
        <w:adjustRightInd w:val="0"/>
        <w:snapToGrid w:val="0"/>
        <w:spacing w:line="300" w:lineRule="auto"/>
        <w:rPr>
          <w:rFonts w:hint="eastAsia" w:ascii="宋体" w:hAnsi="宋体" w:cs="宋体"/>
          <w:szCs w:val="21"/>
          <w:u w:val="single"/>
        </w:rPr>
      </w:pPr>
    </w:p>
    <w:p w14:paraId="75FDB248">
      <w:pPr>
        <w:adjustRightInd w:val="0"/>
        <w:snapToGrid w:val="0"/>
        <w:spacing w:line="300" w:lineRule="auto"/>
        <w:rPr>
          <w:rFonts w:hint="eastAsia" w:ascii="宋体" w:hAnsi="宋体" w:cs="宋体"/>
          <w:szCs w:val="21"/>
          <w:u w:val="single"/>
        </w:rPr>
      </w:pPr>
    </w:p>
    <w:p w14:paraId="4080D560">
      <w:pPr>
        <w:adjustRightInd w:val="0"/>
        <w:snapToGrid w:val="0"/>
        <w:spacing w:line="300" w:lineRule="auto"/>
        <w:rPr>
          <w:rFonts w:hint="eastAsia" w:ascii="宋体" w:hAnsi="宋体" w:cs="宋体"/>
          <w:szCs w:val="21"/>
          <w:u w:val="single"/>
        </w:rPr>
      </w:pPr>
    </w:p>
    <w:p w14:paraId="566DD70F">
      <w:pPr>
        <w:adjustRightInd w:val="0"/>
        <w:snapToGrid w:val="0"/>
        <w:spacing w:line="300" w:lineRule="auto"/>
        <w:rPr>
          <w:rFonts w:hint="eastAsia" w:ascii="宋体" w:hAnsi="宋体" w:cs="宋体"/>
          <w:szCs w:val="21"/>
          <w:u w:val="single"/>
        </w:rPr>
      </w:pPr>
    </w:p>
    <w:p w14:paraId="135A2017">
      <w:pPr>
        <w:adjustRightInd w:val="0"/>
        <w:snapToGrid w:val="0"/>
        <w:spacing w:line="300" w:lineRule="auto"/>
        <w:rPr>
          <w:rFonts w:hint="eastAsia" w:ascii="宋体" w:hAnsi="宋体" w:cs="宋体"/>
          <w:szCs w:val="21"/>
          <w:u w:val="single"/>
        </w:rPr>
      </w:pPr>
    </w:p>
    <w:p w14:paraId="47147B1B">
      <w:pPr>
        <w:adjustRightInd w:val="0"/>
        <w:snapToGrid w:val="0"/>
        <w:spacing w:line="300" w:lineRule="auto"/>
        <w:rPr>
          <w:rFonts w:hint="eastAsia" w:ascii="宋体" w:hAnsi="宋体" w:cs="宋体"/>
          <w:szCs w:val="21"/>
          <w:u w:val="single"/>
        </w:rPr>
      </w:pPr>
    </w:p>
    <w:p w14:paraId="043FF3CE">
      <w:pPr>
        <w:adjustRightInd w:val="0"/>
        <w:snapToGrid w:val="0"/>
        <w:spacing w:line="300" w:lineRule="auto"/>
        <w:rPr>
          <w:rFonts w:hint="eastAsia" w:ascii="宋体" w:hAnsi="宋体" w:cs="宋体"/>
          <w:szCs w:val="21"/>
          <w:u w:val="single"/>
        </w:rPr>
      </w:pPr>
    </w:p>
    <w:p w14:paraId="7A7D02C4">
      <w:pPr>
        <w:adjustRightInd w:val="0"/>
        <w:snapToGrid w:val="0"/>
        <w:spacing w:line="300" w:lineRule="auto"/>
        <w:rPr>
          <w:rFonts w:hint="eastAsia" w:ascii="宋体" w:hAnsi="宋体" w:cs="宋体"/>
          <w:szCs w:val="21"/>
          <w:u w:val="single"/>
        </w:rPr>
      </w:pPr>
    </w:p>
    <w:p w14:paraId="45021384">
      <w:pPr>
        <w:adjustRightInd w:val="0"/>
        <w:snapToGrid w:val="0"/>
        <w:spacing w:line="300" w:lineRule="auto"/>
        <w:jc w:val="center"/>
        <w:rPr>
          <w:rFonts w:hint="eastAsia" w:ascii="宋体" w:hAnsi="宋体" w:cs="宋体"/>
          <w:bCs/>
          <w:sz w:val="44"/>
          <w:szCs w:val="44"/>
        </w:rPr>
      </w:pPr>
      <w:r>
        <w:rPr>
          <w:rFonts w:hint="eastAsia" w:ascii="宋体" w:hAnsi="宋体" w:cs="宋体"/>
          <w:bCs/>
          <w:sz w:val="44"/>
          <w:szCs w:val="44"/>
        </w:rPr>
        <w:br w:type="page"/>
      </w:r>
      <w:r>
        <w:rPr>
          <w:rFonts w:hint="eastAsia" w:ascii="宋体" w:hAnsi="宋体" w:cs="宋体"/>
          <w:bCs/>
          <w:sz w:val="44"/>
          <w:szCs w:val="44"/>
        </w:rPr>
        <w:t>技术要求偏离表</w:t>
      </w:r>
    </w:p>
    <w:p w14:paraId="5F0193D5">
      <w:pPr>
        <w:spacing w:line="520" w:lineRule="exact"/>
        <w:rPr>
          <w:rFonts w:hint="eastAsia" w:ascii="宋体" w:hAnsi="宋体" w:cs="宋体"/>
          <w:sz w:val="32"/>
          <w:szCs w:val="32"/>
        </w:rPr>
      </w:pPr>
    </w:p>
    <w:p w14:paraId="14004DFE">
      <w:pPr>
        <w:spacing w:line="360" w:lineRule="auto"/>
        <w:rPr>
          <w:rFonts w:hint="eastAsia" w:ascii="宋体" w:hAnsi="宋体" w:cs="宋体"/>
          <w:sz w:val="24"/>
          <w:u w:val="single"/>
        </w:rPr>
      </w:pPr>
      <w:r>
        <w:rPr>
          <w:rFonts w:hint="eastAsia" w:ascii="宋体" w:hAnsi="宋体" w:cs="宋体"/>
          <w:sz w:val="24"/>
        </w:rPr>
        <w:t>采购项目编号：</w:t>
      </w:r>
      <w:r>
        <w:rPr>
          <w:rFonts w:hint="eastAsia" w:ascii="宋体" w:hAnsi="宋体" w:cs="宋体"/>
          <w:sz w:val="24"/>
          <w:u w:val="single"/>
        </w:rPr>
        <w:t xml:space="preserve">                 </w:t>
      </w:r>
    </w:p>
    <w:p w14:paraId="1A5B398E">
      <w:pPr>
        <w:spacing w:line="360" w:lineRule="auto"/>
        <w:rPr>
          <w:rFonts w:hint="eastAsia" w:ascii="宋体" w:hAnsi="宋体" w:cs="宋体"/>
          <w:sz w:val="24"/>
        </w:rPr>
      </w:pPr>
      <w:r>
        <w:rPr>
          <w:rFonts w:hint="eastAsia" w:ascii="宋体" w:hAnsi="宋体" w:cs="宋体"/>
          <w:sz w:val="24"/>
        </w:rPr>
        <w:t>采购项目名称：</w:t>
      </w:r>
      <w:r>
        <w:rPr>
          <w:rFonts w:hint="eastAsia" w:ascii="宋体" w:hAnsi="宋体" w:cs="宋体"/>
          <w:sz w:val="24"/>
          <w:u w:val="single"/>
        </w:rPr>
        <w:t xml:space="preserve">                 </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34"/>
        <w:gridCol w:w="934"/>
        <w:gridCol w:w="3103"/>
        <w:gridCol w:w="2792"/>
        <w:gridCol w:w="1524"/>
      </w:tblGrid>
      <w:tr w14:paraId="57D20F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34" w:type="dxa"/>
            <w:noWrap w:val="0"/>
            <w:vAlign w:val="center"/>
          </w:tcPr>
          <w:p w14:paraId="4345C983">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序号</w:t>
            </w:r>
          </w:p>
        </w:tc>
        <w:tc>
          <w:tcPr>
            <w:tcW w:w="934" w:type="dxa"/>
            <w:tcBorders>
              <w:right w:val="single" w:color="auto" w:sz="4" w:space="0"/>
            </w:tcBorders>
            <w:noWrap w:val="0"/>
            <w:vAlign w:val="center"/>
          </w:tcPr>
          <w:p w14:paraId="68DC6074">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名称</w:t>
            </w:r>
          </w:p>
        </w:tc>
        <w:tc>
          <w:tcPr>
            <w:tcW w:w="3103" w:type="dxa"/>
            <w:tcBorders>
              <w:left w:val="single" w:color="auto" w:sz="4" w:space="0"/>
            </w:tcBorders>
            <w:noWrap w:val="0"/>
            <w:vAlign w:val="center"/>
          </w:tcPr>
          <w:p w14:paraId="245262AE">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谈判文件要求</w:t>
            </w:r>
          </w:p>
        </w:tc>
        <w:tc>
          <w:tcPr>
            <w:tcW w:w="2792" w:type="dxa"/>
            <w:noWrap w:val="0"/>
            <w:vAlign w:val="center"/>
          </w:tcPr>
          <w:p w14:paraId="78667A1B">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竞标响应</w:t>
            </w:r>
          </w:p>
        </w:tc>
        <w:tc>
          <w:tcPr>
            <w:tcW w:w="1524" w:type="dxa"/>
            <w:noWrap w:val="0"/>
            <w:vAlign w:val="center"/>
          </w:tcPr>
          <w:p w14:paraId="0F445E7B">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偏离说明</w:t>
            </w:r>
          </w:p>
        </w:tc>
      </w:tr>
      <w:tr w14:paraId="22C8BC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34" w:type="dxa"/>
            <w:noWrap w:val="0"/>
            <w:vAlign w:val="center"/>
          </w:tcPr>
          <w:p w14:paraId="67D6DA6E">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1</w:t>
            </w:r>
          </w:p>
        </w:tc>
        <w:tc>
          <w:tcPr>
            <w:tcW w:w="934" w:type="dxa"/>
            <w:tcBorders>
              <w:right w:val="single" w:color="auto" w:sz="4" w:space="0"/>
            </w:tcBorders>
            <w:noWrap w:val="0"/>
            <w:vAlign w:val="center"/>
          </w:tcPr>
          <w:p w14:paraId="178949ED">
            <w:pPr>
              <w:pStyle w:val="13"/>
              <w:spacing w:line="360" w:lineRule="auto"/>
              <w:ind w:firstLine="0" w:firstLineChars="0"/>
              <w:jc w:val="center"/>
              <w:rPr>
                <w:rFonts w:hint="eastAsia" w:ascii="宋体" w:hAnsi="宋体" w:eastAsia="宋体" w:cs="宋体"/>
                <w:kern w:val="2"/>
                <w:sz w:val="24"/>
                <w:szCs w:val="24"/>
              </w:rPr>
            </w:pPr>
          </w:p>
        </w:tc>
        <w:tc>
          <w:tcPr>
            <w:tcW w:w="3103" w:type="dxa"/>
            <w:tcBorders>
              <w:left w:val="single" w:color="auto" w:sz="4" w:space="0"/>
            </w:tcBorders>
            <w:noWrap w:val="0"/>
            <w:vAlign w:val="center"/>
          </w:tcPr>
          <w:p w14:paraId="568568BD">
            <w:pPr>
              <w:pStyle w:val="13"/>
              <w:spacing w:line="360" w:lineRule="auto"/>
              <w:ind w:firstLine="0" w:firstLineChars="0"/>
              <w:jc w:val="center"/>
              <w:rPr>
                <w:rFonts w:hint="eastAsia" w:ascii="宋体" w:hAnsi="宋体" w:eastAsia="宋体" w:cs="宋体"/>
                <w:kern w:val="2"/>
                <w:sz w:val="24"/>
                <w:szCs w:val="24"/>
              </w:rPr>
            </w:pPr>
          </w:p>
        </w:tc>
        <w:tc>
          <w:tcPr>
            <w:tcW w:w="2792" w:type="dxa"/>
            <w:noWrap w:val="0"/>
            <w:vAlign w:val="center"/>
          </w:tcPr>
          <w:p w14:paraId="46EC5B0D">
            <w:pPr>
              <w:pStyle w:val="13"/>
              <w:spacing w:line="360" w:lineRule="auto"/>
              <w:ind w:firstLine="0" w:firstLineChars="0"/>
              <w:jc w:val="center"/>
              <w:rPr>
                <w:rFonts w:hint="eastAsia" w:ascii="宋体" w:hAnsi="宋体" w:eastAsia="宋体" w:cs="宋体"/>
                <w:kern w:val="2"/>
                <w:sz w:val="24"/>
                <w:szCs w:val="24"/>
              </w:rPr>
            </w:pPr>
          </w:p>
        </w:tc>
        <w:tc>
          <w:tcPr>
            <w:tcW w:w="1524" w:type="dxa"/>
            <w:noWrap w:val="0"/>
            <w:vAlign w:val="center"/>
          </w:tcPr>
          <w:p w14:paraId="115011AA">
            <w:pPr>
              <w:pStyle w:val="13"/>
              <w:spacing w:line="360" w:lineRule="auto"/>
              <w:ind w:firstLine="0" w:firstLineChars="0"/>
              <w:jc w:val="center"/>
              <w:rPr>
                <w:rFonts w:hint="eastAsia" w:ascii="宋体" w:hAnsi="宋体" w:eastAsia="宋体" w:cs="宋体"/>
                <w:kern w:val="2"/>
                <w:sz w:val="24"/>
                <w:szCs w:val="24"/>
              </w:rPr>
            </w:pPr>
          </w:p>
        </w:tc>
      </w:tr>
      <w:tr w14:paraId="5B5AB6A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34" w:type="dxa"/>
            <w:noWrap w:val="0"/>
            <w:vAlign w:val="center"/>
          </w:tcPr>
          <w:p w14:paraId="6C1FC201">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2</w:t>
            </w:r>
          </w:p>
        </w:tc>
        <w:tc>
          <w:tcPr>
            <w:tcW w:w="934" w:type="dxa"/>
            <w:tcBorders>
              <w:right w:val="single" w:color="auto" w:sz="4" w:space="0"/>
            </w:tcBorders>
            <w:noWrap w:val="0"/>
            <w:vAlign w:val="center"/>
          </w:tcPr>
          <w:p w14:paraId="7B9A7F70">
            <w:pPr>
              <w:pStyle w:val="13"/>
              <w:spacing w:line="360" w:lineRule="auto"/>
              <w:ind w:firstLine="0" w:firstLineChars="0"/>
              <w:jc w:val="center"/>
              <w:rPr>
                <w:rFonts w:hint="eastAsia" w:ascii="宋体" w:hAnsi="宋体" w:eastAsia="宋体" w:cs="宋体"/>
                <w:kern w:val="2"/>
                <w:sz w:val="24"/>
                <w:szCs w:val="24"/>
              </w:rPr>
            </w:pPr>
          </w:p>
        </w:tc>
        <w:tc>
          <w:tcPr>
            <w:tcW w:w="3103" w:type="dxa"/>
            <w:tcBorders>
              <w:left w:val="single" w:color="auto" w:sz="4" w:space="0"/>
            </w:tcBorders>
            <w:noWrap w:val="0"/>
            <w:vAlign w:val="center"/>
          </w:tcPr>
          <w:p w14:paraId="40585087">
            <w:pPr>
              <w:pStyle w:val="13"/>
              <w:spacing w:line="360" w:lineRule="auto"/>
              <w:ind w:firstLine="0" w:firstLineChars="0"/>
              <w:jc w:val="center"/>
              <w:rPr>
                <w:rFonts w:hint="eastAsia" w:ascii="宋体" w:hAnsi="宋体" w:eastAsia="宋体" w:cs="宋体"/>
                <w:kern w:val="2"/>
                <w:sz w:val="24"/>
                <w:szCs w:val="24"/>
              </w:rPr>
            </w:pPr>
          </w:p>
        </w:tc>
        <w:tc>
          <w:tcPr>
            <w:tcW w:w="2792" w:type="dxa"/>
            <w:noWrap w:val="0"/>
            <w:vAlign w:val="center"/>
          </w:tcPr>
          <w:p w14:paraId="5E4A8A11">
            <w:pPr>
              <w:pStyle w:val="13"/>
              <w:spacing w:line="360" w:lineRule="auto"/>
              <w:ind w:firstLine="0" w:firstLineChars="0"/>
              <w:jc w:val="center"/>
              <w:rPr>
                <w:rFonts w:hint="eastAsia" w:ascii="宋体" w:hAnsi="宋体" w:eastAsia="宋体" w:cs="宋体"/>
                <w:kern w:val="2"/>
                <w:sz w:val="24"/>
                <w:szCs w:val="24"/>
              </w:rPr>
            </w:pPr>
          </w:p>
        </w:tc>
        <w:tc>
          <w:tcPr>
            <w:tcW w:w="1524" w:type="dxa"/>
            <w:noWrap w:val="0"/>
            <w:vAlign w:val="center"/>
          </w:tcPr>
          <w:p w14:paraId="6675E521">
            <w:pPr>
              <w:pStyle w:val="13"/>
              <w:spacing w:line="360" w:lineRule="auto"/>
              <w:ind w:firstLine="0" w:firstLineChars="0"/>
              <w:jc w:val="center"/>
              <w:rPr>
                <w:rFonts w:hint="eastAsia" w:ascii="宋体" w:hAnsi="宋体" w:eastAsia="宋体" w:cs="宋体"/>
                <w:kern w:val="2"/>
                <w:sz w:val="24"/>
                <w:szCs w:val="24"/>
              </w:rPr>
            </w:pPr>
          </w:p>
        </w:tc>
      </w:tr>
      <w:tr w14:paraId="219846C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34" w:type="dxa"/>
            <w:noWrap w:val="0"/>
            <w:vAlign w:val="center"/>
          </w:tcPr>
          <w:p w14:paraId="7E6AF93E">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3</w:t>
            </w:r>
          </w:p>
        </w:tc>
        <w:tc>
          <w:tcPr>
            <w:tcW w:w="934" w:type="dxa"/>
            <w:tcBorders>
              <w:right w:val="single" w:color="auto" w:sz="4" w:space="0"/>
            </w:tcBorders>
            <w:noWrap w:val="0"/>
            <w:vAlign w:val="center"/>
          </w:tcPr>
          <w:p w14:paraId="69F902B8">
            <w:pPr>
              <w:pStyle w:val="13"/>
              <w:spacing w:line="360" w:lineRule="auto"/>
              <w:ind w:firstLine="0" w:firstLineChars="0"/>
              <w:jc w:val="center"/>
              <w:rPr>
                <w:rFonts w:hint="eastAsia" w:ascii="宋体" w:hAnsi="宋体" w:eastAsia="宋体" w:cs="宋体"/>
                <w:kern w:val="2"/>
                <w:sz w:val="24"/>
                <w:szCs w:val="24"/>
              </w:rPr>
            </w:pPr>
          </w:p>
        </w:tc>
        <w:tc>
          <w:tcPr>
            <w:tcW w:w="3103" w:type="dxa"/>
            <w:tcBorders>
              <w:left w:val="single" w:color="auto" w:sz="4" w:space="0"/>
            </w:tcBorders>
            <w:noWrap w:val="0"/>
            <w:vAlign w:val="center"/>
          </w:tcPr>
          <w:p w14:paraId="1A0B0CB0">
            <w:pPr>
              <w:pStyle w:val="13"/>
              <w:spacing w:line="360" w:lineRule="auto"/>
              <w:ind w:firstLine="0" w:firstLineChars="0"/>
              <w:jc w:val="center"/>
              <w:rPr>
                <w:rFonts w:hint="eastAsia" w:ascii="宋体" w:hAnsi="宋体" w:eastAsia="宋体" w:cs="宋体"/>
                <w:kern w:val="2"/>
                <w:sz w:val="24"/>
                <w:szCs w:val="24"/>
              </w:rPr>
            </w:pPr>
          </w:p>
        </w:tc>
        <w:tc>
          <w:tcPr>
            <w:tcW w:w="2792" w:type="dxa"/>
            <w:noWrap w:val="0"/>
            <w:vAlign w:val="center"/>
          </w:tcPr>
          <w:p w14:paraId="693C1043">
            <w:pPr>
              <w:pStyle w:val="13"/>
              <w:spacing w:line="360" w:lineRule="auto"/>
              <w:ind w:firstLine="0" w:firstLineChars="0"/>
              <w:jc w:val="center"/>
              <w:rPr>
                <w:rFonts w:hint="eastAsia" w:ascii="宋体" w:hAnsi="宋体" w:eastAsia="宋体" w:cs="宋体"/>
                <w:kern w:val="2"/>
                <w:sz w:val="24"/>
                <w:szCs w:val="24"/>
              </w:rPr>
            </w:pPr>
          </w:p>
        </w:tc>
        <w:tc>
          <w:tcPr>
            <w:tcW w:w="1524" w:type="dxa"/>
            <w:noWrap w:val="0"/>
            <w:vAlign w:val="center"/>
          </w:tcPr>
          <w:p w14:paraId="25985B9B">
            <w:pPr>
              <w:pStyle w:val="13"/>
              <w:spacing w:line="360" w:lineRule="auto"/>
              <w:ind w:firstLine="0" w:firstLineChars="0"/>
              <w:jc w:val="center"/>
              <w:rPr>
                <w:rFonts w:hint="eastAsia" w:ascii="宋体" w:hAnsi="宋体" w:eastAsia="宋体" w:cs="宋体"/>
                <w:kern w:val="2"/>
                <w:sz w:val="24"/>
                <w:szCs w:val="24"/>
              </w:rPr>
            </w:pPr>
          </w:p>
        </w:tc>
      </w:tr>
      <w:tr w14:paraId="2FFEA24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34" w:type="dxa"/>
            <w:noWrap w:val="0"/>
            <w:vAlign w:val="center"/>
          </w:tcPr>
          <w:p w14:paraId="2A3F0B03">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4</w:t>
            </w:r>
          </w:p>
        </w:tc>
        <w:tc>
          <w:tcPr>
            <w:tcW w:w="934" w:type="dxa"/>
            <w:tcBorders>
              <w:right w:val="single" w:color="auto" w:sz="4" w:space="0"/>
            </w:tcBorders>
            <w:noWrap w:val="0"/>
            <w:vAlign w:val="center"/>
          </w:tcPr>
          <w:p w14:paraId="25BFD2FD">
            <w:pPr>
              <w:pStyle w:val="13"/>
              <w:spacing w:line="360" w:lineRule="auto"/>
              <w:ind w:firstLine="0" w:firstLineChars="0"/>
              <w:jc w:val="center"/>
              <w:rPr>
                <w:rFonts w:hint="eastAsia" w:ascii="宋体" w:hAnsi="宋体" w:eastAsia="宋体" w:cs="宋体"/>
                <w:kern w:val="2"/>
                <w:sz w:val="24"/>
                <w:szCs w:val="24"/>
              </w:rPr>
            </w:pPr>
          </w:p>
        </w:tc>
        <w:tc>
          <w:tcPr>
            <w:tcW w:w="3103" w:type="dxa"/>
            <w:tcBorders>
              <w:left w:val="single" w:color="auto" w:sz="4" w:space="0"/>
            </w:tcBorders>
            <w:noWrap w:val="0"/>
            <w:vAlign w:val="center"/>
          </w:tcPr>
          <w:p w14:paraId="0F4DAC87">
            <w:pPr>
              <w:pStyle w:val="13"/>
              <w:spacing w:line="360" w:lineRule="auto"/>
              <w:ind w:firstLine="0" w:firstLineChars="0"/>
              <w:jc w:val="center"/>
              <w:rPr>
                <w:rFonts w:hint="eastAsia" w:ascii="宋体" w:hAnsi="宋体" w:eastAsia="宋体" w:cs="宋体"/>
                <w:kern w:val="2"/>
                <w:sz w:val="24"/>
                <w:szCs w:val="24"/>
              </w:rPr>
            </w:pPr>
          </w:p>
        </w:tc>
        <w:tc>
          <w:tcPr>
            <w:tcW w:w="2792" w:type="dxa"/>
            <w:noWrap w:val="0"/>
            <w:vAlign w:val="center"/>
          </w:tcPr>
          <w:p w14:paraId="2C58C8FE">
            <w:pPr>
              <w:pStyle w:val="13"/>
              <w:spacing w:line="360" w:lineRule="auto"/>
              <w:ind w:firstLine="0" w:firstLineChars="0"/>
              <w:jc w:val="center"/>
              <w:rPr>
                <w:rFonts w:hint="eastAsia" w:ascii="宋体" w:hAnsi="宋体" w:eastAsia="宋体" w:cs="宋体"/>
                <w:kern w:val="2"/>
                <w:sz w:val="24"/>
                <w:szCs w:val="24"/>
              </w:rPr>
            </w:pPr>
          </w:p>
        </w:tc>
        <w:tc>
          <w:tcPr>
            <w:tcW w:w="1524" w:type="dxa"/>
            <w:noWrap w:val="0"/>
            <w:vAlign w:val="center"/>
          </w:tcPr>
          <w:p w14:paraId="5537D2FB">
            <w:pPr>
              <w:pStyle w:val="13"/>
              <w:spacing w:line="360" w:lineRule="auto"/>
              <w:ind w:firstLine="0" w:firstLineChars="0"/>
              <w:jc w:val="center"/>
              <w:rPr>
                <w:rFonts w:hint="eastAsia" w:ascii="宋体" w:hAnsi="宋体" w:eastAsia="宋体" w:cs="宋体"/>
                <w:kern w:val="2"/>
                <w:sz w:val="24"/>
                <w:szCs w:val="24"/>
              </w:rPr>
            </w:pPr>
          </w:p>
        </w:tc>
      </w:tr>
      <w:tr w14:paraId="28FCE2B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34" w:type="dxa"/>
            <w:noWrap w:val="0"/>
            <w:vAlign w:val="center"/>
          </w:tcPr>
          <w:p w14:paraId="5E0746AA">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5</w:t>
            </w:r>
          </w:p>
        </w:tc>
        <w:tc>
          <w:tcPr>
            <w:tcW w:w="934" w:type="dxa"/>
            <w:tcBorders>
              <w:right w:val="single" w:color="auto" w:sz="4" w:space="0"/>
            </w:tcBorders>
            <w:noWrap w:val="0"/>
            <w:vAlign w:val="center"/>
          </w:tcPr>
          <w:p w14:paraId="0DD544B4">
            <w:pPr>
              <w:pStyle w:val="13"/>
              <w:spacing w:line="360" w:lineRule="auto"/>
              <w:ind w:firstLine="0" w:firstLineChars="0"/>
              <w:jc w:val="center"/>
              <w:rPr>
                <w:rFonts w:hint="eastAsia" w:ascii="宋体" w:hAnsi="宋体" w:eastAsia="宋体" w:cs="宋体"/>
                <w:kern w:val="2"/>
                <w:sz w:val="24"/>
                <w:szCs w:val="24"/>
              </w:rPr>
            </w:pPr>
          </w:p>
        </w:tc>
        <w:tc>
          <w:tcPr>
            <w:tcW w:w="3103" w:type="dxa"/>
            <w:tcBorders>
              <w:left w:val="single" w:color="auto" w:sz="4" w:space="0"/>
            </w:tcBorders>
            <w:noWrap w:val="0"/>
            <w:vAlign w:val="center"/>
          </w:tcPr>
          <w:p w14:paraId="05381587">
            <w:pPr>
              <w:pStyle w:val="13"/>
              <w:spacing w:line="360" w:lineRule="auto"/>
              <w:ind w:firstLine="0" w:firstLineChars="0"/>
              <w:jc w:val="center"/>
              <w:rPr>
                <w:rFonts w:hint="eastAsia" w:ascii="宋体" w:hAnsi="宋体" w:eastAsia="宋体" w:cs="宋体"/>
                <w:kern w:val="2"/>
                <w:sz w:val="24"/>
                <w:szCs w:val="24"/>
              </w:rPr>
            </w:pPr>
          </w:p>
        </w:tc>
        <w:tc>
          <w:tcPr>
            <w:tcW w:w="2792" w:type="dxa"/>
            <w:noWrap w:val="0"/>
            <w:vAlign w:val="center"/>
          </w:tcPr>
          <w:p w14:paraId="1B8E3875">
            <w:pPr>
              <w:pStyle w:val="13"/>
              <w:spacing w:line="360" w:lineRule="auto"/>
              <w:ind w:firstLine="0" w:firstLineChars="0"/>
              <w:jc w:val="center"/>
              <w:rPr>
                <w:rFonts w:hint="eastAsia" w:ascii="宋体" w:hAnsi="宋体" w:eastAsia="宋体" w:cs="宋体"/>
                <w:kern w:val="2"/>
                <w:sz w:val="24"/>
                <w:szCs w:val="24"/>
              </w:rPr>
            </w:pPr>
          </w:p>
        </w:tc>
        <w:tc>
          <w:tcPr>
            <w:tcW w:w="1524" w:type="dxa"/>
            <w:noWrap w:val="0"/>
            <w:vAlign w:val="center"/>
          </w:tcPr>
          <w:p w14:paraId="4A6748EA">
            <w:pPr>
              <w:pStyle w:val="13"/>
              <w:spacing w:line="360" w:lineRule="auto"/>
              <w:ind w:firstLine="0" w:firstLineChars="0"/>
              <w:jc w:val="center"/>
              <w:rPr>
                <w:rFonts w:hint="eastAsia" w:ascii="宋体" w:hAnsi="宋体" w:eastAsia="宋体" w:cs="宋体"/>
                <w:kern w:val="2"/>
                <w:sz w:val="24"/>
                <w:szCs w:val="24"/>
              </w:rPr>
            </w:pPr>
          </w:p>
        </w:tc>
      </w:tr>
      <w:tr w14:paraId="0E3E21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934" w:type="dxa"/>
            <w:noWrap w:val="0"/>
            <w:vAlign w:val="center"/>
          </w:tcPr>
          <w:p w14:paraId="2176D860">
            <w:pPr>
              <w:pStyle w:val="13"/>
              <w:spacing w:line="360" w:lineRule="auto"/>
              <w:ind w:firstLine="0" w:firstLineChars="0"/>
              <w:jc w:val="center"/>
              <w:rPr>
                <w:rFonts w:hint="eastAsia" w:ascii="宋体" w:hAnsi="宋体" w:eastAsia="宋体" w:cs="宋体"/>
                <w:kern w:val="2"/>
                <w:sz w:val="24"/>
                <w:szCs w:val="24"/>
              </w:rPr>
            </w:pPr>
            <w:r>
              <w:rPr>
                <w:rFonts w:hint="eastAsia" w:ascii="宋体" w:hAnsi="宋体" w:eastAsia="宋体" w:cs="宋体"/>
                <w:kern w:val="2"/>
                <w:sz w:val="24"/>
                <w:szCs w:val="24"/>
              </w:rPr>
              <w:t>…</w:t>
            </w:r>
          </w:p>
        </w:tc>
        <w:tc>
          <w:tcPr>
            <w:tcW w:w="934" w:type="dxa"/>
            <w:tcBorders>
              <w:right w:val="single" w:color="auto" w:sz="4" w:space="0"/>
            </w:tcBorders>
            <w:noWrap w:val="0"/>
            <w:vAlign w:val="center"/>
          </w:tcPr>
          <w:p w14:paraId="661D4C50">
            <w:pPr>
              <w:pStyle w:val="13"/>
              <w:spacing w:line="360" w:lineRule="auto"/>
              <w:ind w:firstLine="0" w:firstLineChars="0"/>
              <w:jc w:val="center"/>
              <w:rPr>
                <w:rFonts w:hint="eastAsia" w:ascii="宋体" w:hAnsi="宋体" w:eastAsia="宋体" w:cs="宋体"/>
                <w:kern w:val="2"/>
                <w:sz w:val="24"/>
                <w:szCs w:val="24"/>
              </w:rPr>
            </w:pPr>
          </w:p>
        </w:tc>
        <w:tc>
          <w:tcPr>
            <w:tcW w:w="3103" w:type="dxa"/>
            <w:tcBorders>
              <w:left w:val="single" w:color="auto" w:sz="4" w:space="0"/>
            </w:tcBorders>
            <w:noWrap w:val="0"/>
            <w:vAlign w:val="center"/>
          </w:tcPr>
          <w:p w14:paraId="6011003F">
            <w:pPr>
              <w:pStyle w:val="13"/>
              <w:spacing w:line="360" w:lineRule="auto"/>
              <w:ind w:firstLine="0" w:firstLineChars="0"/>
              <w:jc w:val="center"/>
              <w:rPr>
                <w:rFonts w:hint="eastAsia" w:ascii="宋体" w:hAnsi="宋体" w:eastAsia="宋体" w:cs="宋体"/>
                <w:kern w:val="2"/>
                <w:sz w:val="24"/>
                <w:szCs w:val="24"/>
              </w:rPr>
            </w:pPr>
          </w:p>
        </w:tc>
        <w:tc>
          <w:tcPr>
            <w:tcW w:w="2792" w:type="dxa"/>
            <w:noWrap w:val="0"/>
            <w:vAlign w:val="center"/>
          </w:tcPr>
          <w:p w14:paraId="46BD8F7F">
            <w:pPr>
              <w:pStyle w:val="13"/>
              <w:spacing w:line="360" w:lineRule="auto"/>
              <w:ind w:firstLine="0" w:firstLineChars="0"/>
              <w:jc w:val="center"/>
              <w:rPr>
                <w:rFonts w:hint="eastAsia" w:ascii="宋体" w:hAnsi="宋体" w:eastAsia="宋体" w:cs="宋体"/>
                <w:kern w:val="2"/>
                <w:sz w:val="24"/>
                <w:szCs w:val="24"/>
              </w:rPr>
            </w:pPr>
          </w:p>
        </w:tc>
        <w:tc>
          <w:tcPr>
            <w:tcW w:w="1524" w:type="dxa"/>
            <w:tcBorders>
              <w:right w:val="single" w:color="auto" w:sz="4" w:space="0"/>
            </w:tcBorders>
            <w:noWrap w:val="0"/>
            <w:vAlign w:val="center"/>
          </w:tcPr>
          <w:p w14:paraId="55CCBFCB">
            <w:pPr>
              <w:pStyle w:val="13"/>
              <w:spacing w:line="360" w:lineRule="auto"/>
              <w:ind w:firstLine="0" w:firstLineChars="0"/>
              <w:jc w:val="center"/>
              <w:rPr>
                <w:rFonts w:hint="eastAsia" w:ascii="宋体" w:hAnsi="宋体" w:eastAsia="宋体" w:cs="宋体"/>
                <w:kern w:val="2"/>
                <w:sz w:val="24"/>
                <w:szCs w:val="24"/>
              </w:rPr>
            </w:pPr>
          </w:p>
        </w:tc>
      </w:tr>
    </w:tbl>
    <w:p w14:paraId="744B8EFA">
      <w:pPr>
        <w:pStyle w:val="13"/>
        <w:spacing w:line="360" w:lineRule="auto"/>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注：</w:t>
      </w:r>
    </w:p>
    <w:p w14:paraId="2618C0AC">
      <w:pPr>
        <w:pStyle w:val="13"/>
        <w:spacing w:line="360" w:lineRule="auto"/>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1. 说明：应对照谈判文件“第三章 采购需求”中的技术要求逐条实质性响应，并作出偏离说明。</w:t>
      </w:r>
    </w:p>
    <w:p w14:paraId="30252B4C">
      <w:pPr>
        <w:pStyle w:val="13"/>
        <w:spacing w:line="360" w:lineRule="auto"/>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2.供应商应根据竞标设备的性能指标，对照谈判文件要求，在“偏离说明”中注明“正偏离</w:t>
      </w:r>
      <w:r>
        <w:rPr>
          <w:rFonts w:hint="eastAsia" w:ascii="宋体" w:hAnsi="宋体" w:eastAsia="宋体" w:cs="宋体"/>
          <w:sz w:val="24"/>
          <w:szCs w:val="24"/>
          <w:lang w:eastAsia="zh-CN"/>
        </w:rPr>
        <w:t>”“</w:t>
      </w:r>
      <w:r>
        <w:rPr>
          <w:rFonts w:hint="eastAsia" w:ascii="宋体" w:hAnsi="宋体" w:eastAsia="宋体" w:cs="宋体"/>
          <w:sz w:val="24"/>
          <w:szCs w:val="24"/>
        </w:rPr>
        <w:t>负偏离”或者“无偏离”。既不属于“正偏离”也不属于“负偏离”即为“无偏离”。</w:t>
      </w:r>
    </w:p>
    <w:p w14:paraId="2DA76BA3">
      <w:pPr>
        <w:pStyle w:val="13"/>
        <w:spacing w:line="360" w:lineRule="auto"/>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3.供应商认为其竞标响应有正偏离的，请在技术偏离表中列明，且在响应文件中提供竞标产品的彩页或国家认可有资质的第三方检测机构出具的检测报告</w:t>
      </w:r>
      <w:r>
        <w:rPr>
          <w:rFonts w:hint="eastAsia" w:ascii="宋体" w:hAnsi="宋体" w:eastAsia="宋体" w:cs="宋体"/>
          <w:sz w:val="24"/>
          <w:szCs w:val="24"/>
          <w:lang w:val="en-US" w:eastAsia="zh-CN"/>
        </w:rPr>
        <w:t>扫描件</w:t>
      </w:r>
      <w:r>
        <w:rPr>
          <w:rFonts w:hint="eastAsia" w:ascii="宋体" w:hAnsi="宋体" w:eastAsia="宋体" w:cs="宋体"/>
          <w:sz w:val="24"/>
          <w:szCs w:val="24"/>
        </w:rPr>
        <w:t>或产品生产厂家出具的技术参数说明证明作为佐证，以上佐证材料均需加盖生产厂家或代理商（附生产厂家授权资料）公章。</w:t>
      </w:r>
    </w:p>
    <w:p w14:paraId="489FD515">
      <w:pPr>
        <w:pStyle w:val="13"/>
        <w:spacing w:line="360" w:lineRule="auto"/>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4. 如技术偏离表中的竞标响应与佐证材料不一致的，以佐证材料为准。</w:t>
      </w:r>
    </w:p>
    <w:p w14:paraId="7FF4C47F">
      <w:pPr>
        <w:pStyle w:val="13"/>
        <w:spacing w:line="360" w:lineRule="auto"/>
        <w:ind w:firstLine="0" w:firstLineChars="0"/>
        <w:contextualSpacing/>
        <w:rPr>
          <w:rFonts w:hint="eastAsia" w:ascii="宋体" w:hAnsi="宋体" w:eastAsia="宋体" w:cs="宋体"/>
          <w:sz w:val="24"/>
          <w:szCs w:val="24"/>
        </w:rPr>
      </w:pPr>
    </w:p>
    <w:p w14:paraId="068101C9">
      <w:pPr>
        <w:spacing w:line="360" w:lineRule="auto"/>
        <w:ind w:right="-817" w:rightChars="-389"/>
        <w:contextualSpacing/>
        <w:rPr>
          <w:rFonts w:hint="eastAsia" w:ascii="宋体" w:hAnsi="宋体" w:cs="宋体"/>
          <w:sz w:val="24"/>
        </w:rPr>
      </w:pPr>
    </w:p>
    <w:p w14:paraId="5BF17F58">
      <w:pPr>
        <w:spacing w:line="360" w:lineRule="auto"/>
        <w:ind w:firstLine="4320" w:firstLineChars="1800"/>
        <w:contextualSpacing/>
        <w:rPr>
          <w:rFonts w:hint="eastAsia"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lang w:val="en-US" w:eastAsia="zh-CN"/>
        </w:rPr>
        <w:t>电子签章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p>
    <w:p w14:paraId="7B4EEC81">
      <w:pPr>
        <w:spacing w:line="240" w:lineRule="auto"/>
        <w:ind w:right="0" w:firstLine="0" w:firstLineChars="0"/>
        <w:contextualSpacing/>
        <w:jc w:val="center"/>
        <w:rPr>
          <w:rFonts w:hint="eastAsia" w:ascii="宋体" w:hAnsi="宋体" w:cs="宋体"/>
          <w:szCs w:val="21"/>
        </w:rPr>
      </w:pPr>
      <w:r>
        <w:rPr>
          <w:rFonts w:hint="eastAsia" w:ascii="宋体" w:hAnsi="宋体" w:cs="宋体"/>
          <w:sz w:val="24"/>
          <w:szCs w:val="24"/>
        </w:rPr>
        <w:t xml:space="preserve">                  </w:t>
      </w:r>
      <w:r>
        <w:rPr>
          <w:rFonts w:hint="eastAsia" w:ascii="宋体" w:hAnsi="宋体" w:cs="宋体"/>
          <w:sz w:val="24"/>
          <w:szCs w:val="24"/>
          <w:lang w:val="en-US" w:eastAsia="zh-CN"/>
        </w:rPr>
        <w:t xml:space="preserve">                             日期：   </w:t>
      </w:r>
      <w:r>
        <w:rPr>
          <w:rFonts w:hint="eastAsia" w:ascii="宋体" w:hAnsi="宋体" w:cs="宋体"/>
          <w:sz w:val="24"/>
          <w:szCs w:val="24"/>
        </w:rPr>
        <w:t>年    月    日</w:t>
      </w:r>
      <w:r>
        <w:rPr>
          <w:rFonts w:hint="eastAsia" w:ascii="宋体" w:hAnsi="宋体" w:cs="宋体"/>
        </w:rPr>
        <w:t xml:space="preserve"> </w:t>
      </w:r>
    </w:p>
    <w:p w14:paraId="3ED6E11D">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30" w:beforeAutospacing="0" w:after="30" w:afterAutospacing="0" w:line="360" w:lineRule="auto"/>
        <w:ind w:leftChars="0" w:right="0" w:rightChars="0"/>
        <w:jc w:val="both"/>
        <w:outlineLvl w:val="2"/>
        <w:rPr>
          <w:rFonts w:hint="eastAsia" w:ascii="宋体" w:hAnsi="宋体" w:eastAsia="宋体" w:cs="宋体"/>
          <w:i w:val="0"/>
          <w:iCs w:val="0"/>
          <w:caps w:val="0"/>
          <w:color w:val="auto"/>
          <w:spacing w:val="0"/>
          <w:kern w:val="2"/>
          <w:sz w:val="24"/>
          <w:szCs w:val="24"/>
          <w:highlight w:val="none"/>
          <w:shd w:val="clear" w:color="auto" w:fill="auto"/>
        </w:rPr>
      </w:pPr>
      <w:r>
        <w:rPr>
          <w:rFonts w:hint="eastAsia" w:ascii="宋体" w:hAnsi="宋体" w:cs="宋体"/>
          <w:b/>
          <w:bCs/>
          <w:sz w:val="24"/>
        </w:rPr>
        <w:br w:type="page"/>
      </w:r>
      <w:r>
        <w:rPr>
          <w:rFonts w:hint="eastAsia" w:ascii="宋体" w:hAnsi="宋体" w:eastAsia="宋体" w:cs="宋体"/>
          <w:b/>
          <w:bCs/>
          <w:i w:val="0"/>
          <w:iCs w:val="0"/>
          <w:caps w:val="0"/>
          <w:color w:val="auto"/>
          <w:spacing w:val="0"/>
          <w:kern w:val="2"/>
          <w:sz w:val="30"/>
          <w:szCs w:val="30"/>
          <w:highlight w:val="none"/>
          <w:shd w:val="clear" w:color="auto" w:fill="auto"/>
        </w:rPr>
        <w:t>关于符合本国产品标准的声明函</w:t>
      </w:r>
    </w:p>
    <w:p w14:paraId="7E5C2F4F">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 w:beforeAutospacing="0" w:after="30" w:afterAutospacing="0" w:line="360" w:lineRule="auto"/>
        <w:ind w:left="0" w:right="0" w:firstLine="0"/>
        <w:jc w:val="center"/>
        <w:rPr>
          <w:rStyle w:val="33"/>
          <w:rFonts w:hint="eastAsia" w:ascii="宋体" w:hAnsi="宋体" w:eastAsia="宋体" w:cs="宋体"/>
          <w:i w:val="0"/>
          <w:iCs w:val="0"/>
          <w:caps w:val="0"/>
          <w:color w:val="auto"/>
          <w:spacing w:val="0"/>
          <w:sz w:val="30"/>
          <w:szCs w:val="30"/>
          <w:highlight w:val="none"/>
          <w:shd w:val="clear" w:color="auto" w:fill="FFFFFF"/>
        </w:rPr>
      </w:pPr>
    </w:p>
    <w:p w14:paraId="09BEB819">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 w:beforeAutospacing="0" w:after="30" w:afterAutospacing="0" w:line="360" w:lineRule="auto"/>
        <w:ind w:left="0" w:right="0" w:firstLine="0"/>
        <w:jc w:val="center"/>
        <w:rPr>
          <w:rFonts w:hint="eastAsia" w:ascii="宋体" w:hAnsi="宋体" w:eastAsia="宋体" w:cs="宋体"/>
          <w:i w:val="0"/>
          <w:iCs w:val="0"/>
          <w:caps w:val="0"/>
          <w:color w:val="auto"/>
          <w:spacing w:val="0"/>
          <w:sz w:val="30"/>
          <w:szCs w:val="30"/>
          <w:highlight w:val="none"/>
        </w:rPr>
      </w:pPr>
      <w:r>
        <w:rPr>
          <w:rStyle w:val="33"/>
          <w:rFonts w:hint="eastAsia" w:ascii="宋体" w:hAnsi="宋体" w:eastAsia="宋体" w:cs="宋体"/>
          <w:i w:val="0"/>
          <w:iCs w:val="0"/>
          <w:caps w:val="0"/>
          <w:color w:val="auto"/>
          <w:spacing w:val="0"/>
          <w:sz w:val="30"/>
          <w:szCs w:val="30"/>
          <w:highlight w:val="none"/>
          <w:shd w:val="clear" w:color="auto" w:fill="FFFFFF"/>
        </w:rPr>
        <w:t>关于符合本国产品标准的声明函</w:t>
      </w:r>
    </w:p>
    <w:p w14:paraId="725D6BA5">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 w:beforeAutospacing="0" w:after="30" w:afterAutospacing="0" w:line="360" w:lineRule="auto"/>
        <w:ind w:left="0" w:right="0" w:firstLine="0"/>
        <w:rPr>
          <w:rFonts w:hint="eastAsia" w:ascii="宋体" w:hAnsi="宋体" w:eastAsia="宋体" w:cs="宋体"/>
          <w:i w:val="0"/>
          <w:iCs w:val="0"/>
          <w:caps w:val="0"/>
          <w:color w:val="auto"/>
          <w:spacing w:val="0"/>
          <w:sz w:val="24"/>
          <w:szCs w:val="24"/>
          <w:highlight w:val="none"/>
        </w:rPr>
      </w:pPr>
    </w:p>
    <w:p w14:paraId="30AD77EB">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本公司（单位）郑重声明，根据《国务院办公厅关于在政府采购中实施本国产品标准及相关政策的通知》（国办发〔2025〕34号）的规定，本公司（单位）提供的以下产品属于本国产品。具体情况如下：</w:t>
      </w:r>
    </w:p>
    <w:p w14:paraId="6A409F25">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1.</w:t>
      </w:r>
      <w:r>
        <w:rPr>
          <w:rStyle w:val="35"/>
          <w:rFonts w:hint="eastAsia" w:ascii="宋体" w:hAnsi="宋体" w:eastAsia="宋体" w:cs="宋体"/>
          <w:i w:val="0"/>
          <w:iCs w:val="0"/>
          <w:caps w:val="0"/>
          <w:color w:val="auto"/>
          <w:spacing w:val="0"/>
          <w:sz w:val="21"/>
          <w:szCs w:val="21"/>
          <w:highlight w:val="none"/>
          <w:u w:val="single"/>
          <w:shd w:val="clear" w:color="auto" w:fill="FFFFFF"/>
        </w:rPr>
        <w:t>（产品名称1）</w:t>
      </w:r>
      <w:r>
        <w:rPr>
          <w:rStyle w:val="35"/>
          <w:rFonts w:hint="eastAsia" w:ascii="宋体" w:hAnsi="宋体" w:eastAsia="宋体" w:cs="宋体"/>
          <w:i w:val="0"/>
          <w:iCs w:val="0"/>
          <w:caps w:val="0"/>
          <w:color w:val="auto"/>
          <w:spacing w:val="0"/>
          <w:sz w:val="21"/>
          <w:szCs w:val="21"/>
          <w:highlight w:val="none"/>
          <w:u w:val="none"/>
          <w:shd w:val="clear" w:color="auto" w:fill="FFFFFF"/>
          <w:vertAlign w:val="superscript"/>
        </w:rPr>
        <w:t>1</w:t>
      </w:r>
      <w:r>
        <w:rPr>
          <w:rFonts w:hint="eastAsia" w:ascii="宋体" w:hAnsi="宋体" w:eastAsia="宋体" w:cs="宋体"/>
          <w:i w:val="0"/>
          <w:iCs w:val="0"/>
          <w:caps w:val="0"/>
          <w:color w:val="auto"/>
          <w:spacing w:val="0"/>
          <w:sz w:val="21"/>
          <w:szCs w:val="21"/>
          <w:highlight w:val="none"/>
          <w:shd w:val="clear" w:color="auto" w:fill="FFFFFF"/>
        </w:rPr>
        <w:t>，生产厂为</w:t>
      </w:r>
      <w:r>
        <w:rPr>
          <w:rStyle w:val="35"/>
          <w:rFonts w:hint="eastAsia" w:ascii="宋体" w:hAnsi="宋体" w:eastAsia="宋体" w:cs="宋体"/>
          <w:i w:val="0"/>
          <w:iCs w:val="0"/>
          <w:caps w:val="0"/>
          <w:color w:val="auto"/>
          <w:spacing w:val="0"/>
          <w:sz w:val="21"/>
          <w:szCs w:val="21"/>
          <w:highlight w:val="none"/>
          <w:u w:val="single"/>
          <w:shd w:val="clear" w:color="auto" w:fill="FFFFFF"/>
        </w:rPr>
        <w:t>（厂名）</w:t>
      </w:r>
      <w:r>
        <w:rPr>
          <w:rStyle w:val="35"/>
          <w:rFonts w:hint="eastAsia" w:ascii="宋体" w:hAnsi="宋体" w:eastAsia="宋体" w:cs="宋体"/>
          <w:i w:val="0"/>
          <w:iCs w:val="0"/>
          <w:caps w:val="0"/>
          <w:color w:val="auto"/>
          <w:spacing w:val="0"/>
          <w:sz w:val="21"/>
          <w:szCs w:val="21"/>
          <w:highlight w:val="none"/>
          <w:u w:val="none"/>
          <w:shd w:val="clear" w:color="auto" w:fill="FFFFFF"/>
          <w:vertAlign w:val="superscript"/>
        </w:rPr>
        <w:t>2</w:t>
      </w:r>
      <w:r>
        <w:rPr>
          <w:rFonts w:hint="eastAsia" w:ascii="宋体" w:hAnsi="宋体" w:eastAsia="宋体" w:cs="宋体"/>
          <w:i w:val="0"/>
          <w:iCs w:val="0"/>
          <w:caps w:val="0"/>
          <w:color w:val="auto"/>
          <w:spacing w:val="0"/>
          <w:sz w:val="21"/>
          <w:szCs w:val="21"/>
          <w:highlight w:val="none"/>
          <w:shd w:val="clear" w:color="auto" w:fill="FFFFFF"/>
        </w:rPr>
        <w:t>，厂址为</w:t>
      </w:r>
      <w:r>
        <w:rPr>
          <w:rStyle w:val="35"/>
          <w:rFonts w:hint="eastAsia" w:ascii="宋体" w:hAnsi="宋体" w:eastAsia="宋体" w:cs="宋体"/>
          <w:i w:val="0"/>
          <w:iCs w:val="0"/>
          <w:caps w:val="0"/>
          <w:color w:val="auto"/>
          <w:spacing w:val="0"/>
          <w:sz w:val="21"/>
          <w:szCs w:val="21"/>
          <w:highlight w:val="none"/>
          <w:u w:val="single"/>
          <w:shd w:val="clear" w:color="auto" w:fill="FFFFFF"/>
        </w:rPr>
        <w:t>（生产厂址）</w:t>
      </w:r>
      <w:r>
        <w:rPr>
          <w:rFonts w:hint="eastAsia" w:ascii="宋体" w:hAnsi="宋体" w:eastAsia="宋体" w:cs="宋体"/>
          <w:i w:val="0"/>
          <w:iCs w:val="0"/>
          <w:caps w:val="0"/>
          <w:color w:val="auto"/>
          <w:spacing w:val="0"/>
          <w:sz w:val="21"/>
          <w:szCs w:val="21"/>
          <w:highlight w:val="none"/>
          <w:shd w:val="clear" w:color="auto" w:fill="FFFFFF"/>
        </w:rPr>
        <w:t>。</w:t>
      </w:r>
      <w:r>
        <w:rPr>
          <w:rStyle w:val="35"/>
          <w:rFonts w:hint="eastAsia" w:ascii="宋体" w:hAnsi="宋体" w:eastAsia="宋体" w:cs="宋体"/>
          <w:i w:val="0"/>
          <w:iCs w:val="0"/>
          <w:caps w:val="0"/>
          <w:color w:val="auto"/>
          <w:spacing w:val="0"/>
          <w:sz w:val="21"/>
          <w:szCs w:val="21"/>
          <w:highlight w:val="none"/>
          <w:u w:val="single"/>
          <w:shd w:val="clear" w:color="auto" w:fill="FFFFFF"/>
        </w:rPr>
        <w:t>（产品名称1）</w:t>
      </w:r>
      <w:r>
        <w:rPr>
          <w:rFonts w:hint="eastAsia" w:ascii="宋体" w:hAnsi="宋体" w:eastAsia="宋体" w:cs="宋体"/>
          <w:i w:val="0"/>
          <w:iCs w:val="0"/>
          <w:caps w:val="0"/>
          <w:color w:val="auto"/>
          <w:spacing w:val="0"/>
          <w:sz w:val="21"/>
          <w:szCs w:val="21"/>
          <w:highlight w:val="none"/>
          <w:shd w:val="clear" w:color="auto" w:fill="FFFFFF"/>
        </w:rPr>
        <w:t>的中国境内生产的组件成本占比≥</w:t>
      </w:r>
      <w:r>
        <w:rPr>
          <w:rStyle w:val="35"/>
          <w:rFonts w:hint="eastAsia" w:ascii="宋体" w:hAnsi="宋体" w:eastAsia="宋体" w:cs="宋体"/>
          <w:i w:val="0"/>
          <w:iCs w:val="0"/>
          <w:caps w:val="0"/>
          <w:color w:val="auto"/>
          <w:spacing w:val="0"/>
          <w:sz w:val="21"/>
          <w:szCs w:val="21"/>
          <w:highlight w:val="none"/>
          <w:u w:val="single"/>
          <w:shd w:val="clear" w:color="auto" w:fill="FFFFFF"/>
        </w:rPr>
        <w:t>（规定比例）</w:t>
      </w:r>
      <w:r>
        <w:rPr>
          <w:rStyle w:val="35"/>
          <w:rFonts w:hint="eastAsia" w:ascii="宋体" w:hAnsi="宋体" w:eastAsia="宋体" w:cs="宋体"/>
          <w:i w:val="0"/>
          <w:iCs w:val="0"/>
          <w:caps w:val="0"/>
          <w:color w:val="auto"/>
          <w:spacing w:val="0"/>
          <w:sz w:val="21"/>
          <w:szCs w:val="21"/>
          <w:highlight w:val="none"/>
          <w:u w:val="none"/>
          <w:shd w:val="clear" w:color="auto" w:fill="FFFFFF"/>
          <w:vertAlign w:val="superscript"/>
        </w:rPr>
        <w:t>3</w:t>
      </w:r>
      <w:r>
        <w:rPr>
          <w:rFonts w:hint="eastAsia" w:ascii="宋体" w:hAnsi="宋体" w:eastAsia="宋体" w:cs="宋体"/>
          <w:i w:val="0"/>
          <w:iCs w:val="0"/>
          <w:caps w:val="0"/>
          <w:color w:val="auto"/>
          <w:spacing w:val="0"/>
          <w:sz w:val="21"/>
          <w:szCs w:val="21"/>
          <w:highlight w:val="none"/>
          <w:shd w:val="clear" w:color="auto" w:fill="FFFFFF"/>
        </w:rPr>
        <w:t>。</w:t>
      </w:r>
      <w:r>
        <w:rPr>
          <w:rStyle w:val="35"/>
          <w:rFonts w:hint="eastAsia" w:ascii="宋体" w:hAnsi="宋体" w:eastAsia="宋体" w:cs="宋体"/>
          <w:i w:val="0"/>
          <w:iCs w:val="0"/>
          <w:caps w:val="0"/>
          <w:color w:val="auto"/>
          <w:spacing w:val="0"/>
          <w:sz w:val="21"/>
          <w:szCs w:val="21"/>
          <w:highlight w:val="none"/>
          <w:u w:val="single"/>
          <w:shd w:val="clear" w:color="auto" w:fill="FFFFFF"/>
        </w:rPr>
        <w:t>（产品名称1）</w:t>
      </w:r>
      <w:r>
        <w:rPr>
          <w:rFonts w:hint="eastAsia" w:ascii="宋体" w:hAnsi="宋体" w:eastAsia="宋体" w:cs="宋体"/>
          <w:i w:val="0"/>
          <w:iCs w:val="0"/>
          <w:caps w:val="0"/>
          <w:color w:val="auto"/>
          <w:spacing w:val="0"/>
          <w:sz w:val="21"/>
          <w:szCs w:val="21"/>
          <w:highlight w:val="none"/>
          <w:shd w:val="clear" w:color="auto" w:fill="FFFFFF"/>
        </w:rPr>
        <w:t>的</w:t>
      </w:r>
      <w:r>
        <w:rPr>
          <w:rStyle w:val="35"/>
          <w:rFonts w:hint="eastAsia" w:ascii="宋体" w:hAnsi="宋体" w:eastAsia="宋体" w:cs="宋体"/>
          <w:i w:val="0"/>
          <w:iCs w:val="0"/>
          <w:caps w:val="0"/>
          <w:color w:val="auto"/>
          <w:spacing w:val="0"/>
          <w:sz w:val="21"/>
          <w:szCs w:val="21"/>
          <w:highlight w:val="none"/>
          <w:u w:val="single"/>
          <w:shd w:val="clear" w:color="auto" w:fill="FFFFFF"/>
        </w:rPr>
        <w:t>（关键组件）</w:t>
      </w:r>
      <w:r>
        <w:rPr>
          <w:rStyle w:val="35"/>
          <w:rFonts w:hint="eastAsia" w:ascii="宋体" w:hAnsi="宋体" w:eastAsia="宋体" w:cs="宋体"/>
          <w:i w:val="0"/>
          <w:iCs w:val="0"/>
          <w:caps w:val="0"/>
          <w:color w:val="auto"/>
          <w:spacing w:val="0"/>
          <w:sz w:val="21"/>
          <w:szCs w:val="21"/>
          <w:highlight w:val="none"/>
          <w:u w:val="none"/>
          <w:shd w:val="clear" w:color="auto" w:fill="FFFFFF"/>
          <w:vertAlign w:val="superscript"/>
        </w:rPr>
        <w:t>4</w:t>
      </w:r>
      <w:r>
        <w:rPr>
          <w:rFonts w:hint="eastAsia" w:ascii="宋体" w:hAnsi="宋体" w:eastAsia="宋体" w:cs="宋体"/>
          <w:i w:val="0"/>
          <w:iCs w:val="0"/>
          <w:caps w:val="0"/>
          <w:color w:val="auto"/>
          <w:spacing w:val="0"/>
          <w:sz w:val="21"/>
          <w:szCs w:val="21"/>
          <w:highlight w:val="none"/>
          <w:shd w:val="clear" w:color="auto" w:fill="FFFFFF"/>
        </w:rPr>
        <w:t>在中国境内生产。</w:t>
      </w:r>
      <w:r>
        <w:rPr>
          <w:rStyle w:val="35"/>
          <w:rFonts w:hint="eastAsia" w:ascii="宋体" w:hAnsi="宋体" w:eastAsia="宋体" w:cs="宋体"/>
          <w:i w:val="0"/>
          <w:iCs w:val="0"/>
          <w:caps w:val="0"/>
          <w:color w:val="auto"/>
          <w:spacing w:val="0"/>
          <w:sz w:val="21"/>
          <w:szCs w:val="21"/>
          <w:highlight w:val="none"/>
          <w:u w:val="single"/>
          <w:shd w:val="clear" w:color="auto" w:fill="FFFFFF"/>
        </w:rPr>
        <w:t>（产品名称1）</w:t>
      </w:r>
      <w:r>
        <w:rPr>
          <w:rFonts w:hint="eastAsia" w:ascii="宋体" w:hAnsi="宋体" w:eastAsia="宋体" w:cs="宋体"/>
          <w:i w:val="0"/>
          <w:iCs w:val="0"/>
          <w:caps w:val="0"/>
          <w:color w:val="auto"/>
          <w:spacing w:val="0"/>
          <w:sz w:val="21"/>
          <w:szCs w:val="21"/>
          <w:highlight w:val="none"/>
          <w:shd w:val="clear" w:color="auto" w:fill="FFFFFF"/>
        </w:rPr>
        <w:t>的</w:t>
      </w:r>
      <w:r>
        <w:rPr>
          <w:rStyle w:val="35"/>
          <w:rFonts w:hint="eastAsia" w:ascii="宋体" w:hAnsi="宋体" w:eastAsia="宋体" w:cs="宋体"/>
          <w:i w:val="0"/>
          <w:iCs w:val="0"/>
          <w:caps w:val="0"/>
          <w:color w:val="auto"/>
          <w:spacing w:val="0"/>
          <w:sz w:val="21"/>
          <w:szCs w:val="21"/>
          <w:highlight w:val="none"/>
          <w:u w:val="single"/>
          <w:shd w:val="clear" w:color="auto" w:fill="FFFFFF"/>
        </w:rPr>
        <w:t>（关键工序）</w:t>
      </w:r>
      <w:r>
        <w:rPr>
          <w:rStyle w:val="35"/>
          <w:rFonts w:hint="eastAsia" w:ascii="宋体" w:hAnsi="宋体" w:eastAsia="宋体" w:cs="宋体"/>
          <w:i w:val="0"/>
          <w:iCs w:val="0"/>
          <w:caps w:val="0"/>
          <w:color w:val="auto"/>
          <w:spacing w:val="0"/>
          <w:sz w:val="21"/>
          <w:szCs w:val="21"/>
          <w:highlight w:val="none"/>
          <w:u w:val="none"/>
          <w:shd w:val="clear" w:color="auto" w:fill="FFFFFF"/>
          <w:vertAlign w:val="superscript"/>
        </w:rPr>
        <w:t>5</w:t>
      </w:r>
      <w:r>
        <w:rPr>
          <w:rFonts w:hint="eastAsia" w:ascii="宋体" w:hAnsi="宋体" w:eastAsia="宋体" w:cs="宋体"/>
          <w:i w:val="0"/>
          <w:iCs w:val="0"/>
          <w:caps w:val="0"/>
          <w:color w:val="auto"/>
          <w:spacing w:val="0"/>
          <w:sz w:val="21"/>
          <w:szCs w:val="21"/>
          <w:highlight w:val="none"/>
          <w:shd w:val="clear" w:color="auto" w:fill="FFFFFF"/>
        </w:rPr>
        <w:t>在中国境内完成。</w:t>
      </w:r>
    </w:p>
    <w:p w14:paraId="6D00AC8D">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2.</w:t>
      </w:r>
      <w:r>
        <w:rPr>
          <w:rStyle w:val="35"/>
          <w:rFonts w:hint="eastAsia" w:ascii="宋体" w:hAnsi="宋体" w:eastAsia="宋体" w:cs="宋体"/>
          <w:i w:val="0"/>
          <w:iCs w:val="0"/>
          <w:caps w:val="0"/>
          <w:color w:val="auto"/>
          <w:spacing w:val="0"/>
          <w:sz w:val="21"/>
          <w:szCs w:val="21"/>
          <w:highlight w:val="none"/>
          <w:u w:val="single"/>
          <w:shd w:val="clear" w:color="auto" w:fill="FFFFFF"/>
        </w:rPr>
        <w:t>（产品名称2）</w:t>
      </w:r>
      <w:r>
        <w:rPr>
          <w:rFonts w:hint="eastAsia" w:ascii="宋体" w:hAnsi="宋体" w:eastAsia="宋体" w:cs="宋体"/>
          <w:i w:val="0"/>
          <w:iCs w:val="0"/>
          <w:caps w:val="0"/>
          <w:color w:val="auto"/>
          <w:spacing w:val="0"/>
          <w:sz w:val="21"/>
          <w:szCs w:val="21"/>
          <w:highlight w:val="none"/>
          <w:shd w:val="clear" w:color="auto" w:fill="FFFFFF"/>
        </w:rPr>
        <w:t>，生产厂为</w:t>
      </w:r>
      <w:r>
        <w:rPr>
          <w:rStyle w:val="35"/>
          <w:rFonts w:hint="eastAsia" w:ascii="宋体" w:hAnsi="宋体" w:eastAsia="宋体" w:cs="宋体"/>
          <w:i w:val="0"/>
          <w:iCs w:val="0"/>
          <w:caps w:val="0"/>
          <w:color w:val="auto"/>
          <w:spacing w:val="0"/>
          <w:sz w:val="21"/>
          <w:szCs w:val="21"/>
          <w:highlight w:val="none"/>
          <w:u w:val="single"/>
          <w:shd w:val="clear" w:color="auto" w:fill="FFFFFF"/>
        </w:rPr>
        <w:t>（厂名）</w:t>
      </w:r>
      <w:r>
        <w:rPr>
          <w:rFonts w:hint="eastAsia" w:ascii="宋体" w:hAnsi="宋体" w:eastAsia="宋体" w:cs="宋体"/>
          <w:i w:val="0"/>
          <w:iCs w:val="0"/>
          <w:caps w:val="0"/>
          <w:color w:val="auto"/>
          <w:spacing w:val="0"/>
          <w:sz w:val="21"/>
          <w:szCs w:val="21"/>
          <w:highlight w:val="none"/>
          <w:shd w:val="clear" w:color="auto" w:fill="FFFFFF"/>
        </w:rPr>
        <w:t>，厂址为</w:t>
      </w:r>
      <w:r>
        <w:rPr>
          <w:rStyle w:val="35"/>
          <w:rFonts w:hint="eastAsia" w:ascii="宋体" w:hAnsi="宋体" w:eastAsia="宋体" w:cs="宋体"/>
          <w:i w:val="0"/>
          <w:iCs w:val="0"/>
          <w:caps w:val="0"/>
          <w:color w:val="auto"/>
          <w:spacing w:val="0"/>
          <w:sz w:val="21"/>
          <w:szCs w:val="21"/>
          <w:highlight w:val="none"/>
          <w:u w:val="single"/>
          <w:shd w:val="clear" w:color="auto" w:fill="FFFFFF"/>
        </w:rPr>
        <w:t>（生产厂址）</w:t>
      </w:r>
      <w:r>
        <w:rPr>
          <w:rFonts w:hint="eastAsia" w:ascii="宋体" w:hAnsi="宋体" w:eastAsia="宋体" w:cs="宋体"/>
          <w:i w:val="0"/>
          <w:iCs w:val="0"/>
          <w:caps w:val="0"/>
          <w:color w:val="auto"/>
          <w:spacing w:val="0"/>
          <w:sz w:val="21"/>
          <w:szCs w:val="21"/>
          <w:highlight w:val="none"/>
          <w:shd w:val="clear" w:color="auto" w:fill="FFFFFF"/>
        </w:rPr>
        <w:t>。</w:t>
      </w:r>
      <w:r>
        <w:rPr>
          <w:rStyle w:val="35"/>
          <w:rFonts w:hint="eastAsia" w:ascii="宋体" w:hAnsi="宋体" w:eastAsia="宋体" w:cs="宋体"/>
          <w:i w:val="0"/>
          <w:iCs w:val="0"/>
          <w:caps w:val="0"/>
          <w:color w:val="auto"/>
          <w:spacing w:val="0"/>
          <w:sz w:val="21"/>
          <w:szCs w:val="21"/>
          <w:highlight w:val="none"/>
          <w:u w:val="single"/>
          <w:shd w:val="clear" w:color="auto" w:fill="FFFFFF"/>
        </w:rPr>
        <w:t>（产品名称2）</w:t>
      </w:r>
      <w:r>
        <w:rPr>
          <w:rFonts w:hint="eastAsia" w:ascii="宋体" w:hAnsi="宋体" w:eastAsia="宋体" w:cs="宋体"/>
          <w:i w:val="0"/>
          <w:iCs w:val="0"/>
          <w:caps w:val="0"/>
          <w:color w:val="auto"/>
          <w:spacing w:val="0"/>
          <w:sz w:val="21"/>
          <w:szCs w:val="21"/>
          <w:highlight w:val="none"/>
          <w:shd w:val="clear" w:color="auto" w:fill="FFFFFF"/>
        </w:rPr>
        <w:t>的中国境内生产的组件成本占比≥</w:t>
      </w:r>
      <w:r>
        <w:rPr>
          <w:rStyle w:val="35"/>
          <w:rFonts w:hint="eastAsia" w:ascii="宋体" w:hAnsi="宋体" w:eastAsia="宋体" w:cs="宋体"/>
          <w:i w:val="0"/>
          <w:iCs w:val="0"/>
          <w:caps w:val="0"/>
          <w:color w:val="auto"/>
          <w:spacing w:val="0"/>
          <w:sz w:val="21"/>
          <w:szCs w:val="21"/>
          <w:highlight w:val="none"/>
          <w:u w:val="single"/>
          <w:shd w:val="clear" w:color="auto" w:fill="FFFFFF"/>
        </w:rPr>
        <w:t>（规定比例）</w:t>
      </w:r>
      <w:r>
        <w:rPr>
          <w:rFonts w:hint="eastAsia" w:ascii="宋体" w:hAnsi="宋体" w:eastAsia="宋体" w:cs="宋体"/>
          <w:i w:val="0"/>
          <w:iCs w:val="0"/>
          <w:caps w:val="0"/>
          <w:color w:val="auto"/>
          <w:spacing w:val="0"/>
          <w:sz w:val="21"/>
          <w:szCs w:val="21"/>
          <w:highlight w:val="none"/>
          <w:shd w:val="clear" w:color="auto" w:fill="FFFFFF"/>
        </w:rPr>
        <w:t>。</w:t>
      </w:r>
      <w:r>
        <w:rPr>
          <w:rStyle w:val="35"/>
          <w:rFonts w:hint="eastAsia" w:ascii="宋体" w:hAnsi="宋体" w:eastAsia="宋体" w:cs="宋体"/>
          <w:i w:val="0"/>
          <w:iCs w:val="0"/>
          <w:caps w:val="0"/>
          <w:color w:val="auto"/>
          <w:spacing w:val="0"/>
          <w:sz w:val="21"/>
          <w:szCs w:val="21"/>
          <w:highlight w:val="none"/>
          <w:u w:val="single"/>
          <w:shd w:val="clear" w:color="auto" w:fill="FFFFFF"/>
        </w:rPr>
        <w:t>（产品名称2）</w:t>
      </w:r>
      <w:r>
        <w:rPr>
          <w:rFonts w:hint="eastAsia" w:ascii="宋体" w:hAnsi="宋体" w:eastAsia="宋体" w:cs="宋体"/>
          <w:i w:val="0"/>
          <w:iCs w:val="0"/>
          <w:caps w:val="0"/>
          <w:color w:val="auto"/>
          <w:spacing w:val="0"/>
          <w:sz w:val="21"/>
          <w:szCs w:val="21"/>
          <w:highlight w:val="none"/>
          <w:shd w:val="clear" w:color="auto" w:fill="FFFFFF"/>
        </w:rPr>
        <w:t>的</w:t>
      </w:r>
      <w:r>
        <w:rPr>
          <w:rStyle w:val="35"/>
          <w:rFonts w:hint="eastAsia" w:ascii="宋体" w:hAnsi="宋体" w:eastAsia="宋体" w:cs="宋体"/>
          <w:i w:val="0"/>
          <w:iCs w:val="0"/>
          <w:caps w:val="0"/>
          <w:color w:val="auto"/>
          <w:spacing w:val="0"/>
          <w:sz w:val="21"/>
          <w:szCs w:val="21"/>
          <w:highlight w:val="none"/>
          <w:u w:val="single"/>
          <w:shd w:val="clear" w:color="auto" w:fill="FFFFFF"/>
        </w:rPr>
        <w:t>（关键组件）</w:t>
      </w:r>
      <w:r>
        <w:rPr>
          <w:rFonts w:hint="eastAsia" w:ascii="宋体" w:hAnsi="宋体" w:eastAsia="宋体" w:cs="宋体"/>
          <w:i w:val="0"/>
          <w:iCs w:val="0"/>
          <w:caps w:val="0"/>
          <w:color w:val="auto"/>
          <w:spacing w:val="0"/>
          <w:sz w:val="21"/>
          <w:szCs w:val="21"/>
          <w:highlight w:val="none"/>
          <w:shd w:val="clear" w:color="auto" w:fill="FFFFFF"/>
        </w:rPr>
        <w:t>在中国境内生产。</w:t>
      </w:r>
      <w:r>
        <w:rPr>
          <w:rStyle w:val="35"/>
          <w:rFonts w:hint="eastAsia" w:ascii="宋体" w:hAnsi="宋体" w:eastAsia="宋体" w:cs="宋体"/>
          <w:i w:val="0"/>
          <w:iCs w:val="0"/>
          <w:caps w:val="0"/>
          <w:color w:val="auto"/>
          <w:spacing w:val="0"/>
          <w:sz w:val="21"/>
          <w:szCs w:val="21"/>
          <w:highlight w:val="none"/>
          <w:u w:val="single"/>
          <w:shd w:val="clear" w:color="auto" w:fill="FFFFFF"/>
        </w:rPr>
        <w:t>（产品名称2）</w:t>
      </w:r>
      <w:r>
        <w:rPr>
          <w:rFonts w:hint="eastAsia" w:ascii="宋体" w:hAnsi="宋体" w:eastAsia="宋体" w:cs="宋体"/>
          <w:i w:val="0"/>
          <w:iCs w:val="0"/>
          <w:caps w:val="0"/>
          <w:color w:val="auto"/>
          <w:spacing w:val="0"/>
          <w:sz w:val="21"/>
          <w:szCs w:val="21"/>
          <w:highlight w:val="none"/>
          <w:shd w:val="clear" w:color="auto" w:fill="FFFFFF"/>
        </w:rPr>
        <w:t>的</w:t>
      </w:r>
      <w:r>
        <w:rPr>
          <w:rStyle w:val="35"/>
          <w:rFonts w:hint="eastAsia" w:ascii="宋体" w:hAnsi="宋体" w:eastAsia="宋体" w:cs="宋体"/>
          <w:i w:val="0"/>
          <w:iCs w:val="0"/>
          <w:caps w:val="0"/>
          <w:color w:val="auto"/>
          <w:spacing w:val="0"/>
          <w:sz w:val="21"/>
          <w:szCs w:val="21"/>
          <w:highlight w:val="none"/>
          <w:u w:val="single"/>
          <w:shd w:val="clear" w:color="auto" w:fill="FFFFFF"/>
        </w:rPr>
        <w:t>（关键工序）</w:t>
      </w:r>
      <w:r>
        <w:rPr>
          <w:rFonts w:hint="eastAsia" w:ascii="宋体" w:hAnsi="宋体" w:eastAsia="宋体" w:cs="宋体"/>
          <w:i w:val="0"/>
          <w:iCs w:val="0"/>
          <w:caps w:val="0"/>
          <w:color w:val="auto"/>
          <w:spacing w:val="0"/>
          <w:sz w:val="21"/>
          <w:szCs w:val="21"/>
          <w:highlight w:val="none"/>
          <w:shd w:val="clear" w:color="auto" w:fill="FFFFFF"/>
        </w:rPr>
        <w:t>在中国境内完成。</w:t>
      </w:r>
    </w:p>
    <w:p w14:paraId="60B48FD9">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w:t>
      </w:r>
    </w:p>
    <w:p w14:paraId="6ACF2606">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本公司（单位）对上述声明内容的真实性负责。如有虚假，愿承担相应法律责任。</w:t>
      </w:r>
    </w:p>
    <w:p w14:paraId="517DCE4F">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0"/>
        <w:rPr>
          <w:rFonts w:hint="eastAsia" w:ascii="宋体" w:hAnsi="宋体" w:eastAsia="宋体" w:cs="宋体"/>
          <w:i w:val="0"/>
          <w:iCs w:val="0"/>
          <w:caps w:val="0"/>
          <w:color w:val="auto"/>
          <w:spacing w:val="0"/>
          <w:sz w:val="21"/>
          <w:szCs w:val="21"/>
          <w:highlight w:val="none"/>
        </w:rPr>
      </w:pPr>
    </w:p>
    <w:p w14:paraId="737BFDC4">
      <w:pPr>
        <w:autoSpaceDE w:val="0"/>
        <w:autoSpaceDN w:val="0"/>
        <w:spacing w:line="360" w:lineRule="exact"/>
        <w:ind w:firstLine="3360" w:firstLineChars="1600"/>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供应商名称（电子签章）</w:t>
      </w:r>
      <w:r>
        <w:rPr>
          <w:rFonts w:hint="eastAsia" w:ascii="宋体" w:hAnsi="宋体" w:cs="宋体"/>
          <w:color w:val="auto"/>
          <w:kern w:val="0"/>
          <w:szCs w:val="21"/>
          <w:highlight w:val="none"/>
          <w:lang w:eastAsia="zh-CN"/>
        </w:rPr>
        <w:t>：</w:t>
      </w:r>
    </w:p>
    <w:p w14:paraId="7E3BE2EF">
      <w:pPr>
        <w:spacing w:line="360" w:lineRule="exact"/>
        <w:ind w:right="-817" w:rightChars="-389"/>
        <w:contextualSpacing/>
        <w:jc w:val="center"/>
        <w:rPr>
          <w:rFonts w:hint="eastAsia" w:ascii="宋体" w:hAnsi="宋体" w:eastAsia="宋体" w:cs="仿宋_GB2312"/>
          <w:color w:val="auto"/>
          <w:szCs w:val="21"/>
          <w:highlight w:val="none"/>
          <w:lang w:eastAsia="zh-CN"/>
        </w:rPr>
      </w:pPr>
      <w:r>
        <w:rPr>
          <w:rFonts w:hint="eastAsia" w:ascii="宋体" w:hAnsi="宋体" w:cs="宋体"/>
          <w:color w:val="auto"/>
          <w:kern w:val="0"/>
          <w:szCs w:val="21"/>
          <w:highlight w:val="none"/>
        </w:rPr>
        <w:t xml:space="preserve">                    </w:t>
      </w:r>
      <w:r>
        <w:rPr>
          <w:rFonts w:hint="eastAsia" w:ascii="宋体" w:hAnsi="宋体" w:cs="仿宋_GB2312"/>
          <w:color w:val="auto"/>
          <w:szCs w:val="21"/>
          <w:highlight w:val="none"/>
        </w:rPr>
        <w:t>法定代表人或者委托代理人（</w:t>
      </w:r>
      <w:r>
        <w:rPr>
          <w:rFonts w:hint="eastAsia" w:ascii="宋体" w:hAnsi="宋体" w:cs="仿宋_GB2312"/>
          <w:color w:val="auto"/>
          <w:szCs w:val="21"/>
          <w:highlight w:val="none"/>
          <w:lang w:eastAsia="zh-CN"/>
        </w:rPr>
        <w:t>签字</w:t>
      </w:r>
      <w:r>
        <w:rPr>
          <w:rFonts w:hint="eastAsia" w:ascii="宋体" w:hAnsi="宋体" w:cs="仿宋_GB2312"/>
          <w:color w:val="auto"/>
          <w:szCs w:val="21"/>
          <w:highlight w:val="none"/>
        </w:rPr>
        <w:t>或者电子签名）</w:t>
      </w:r>
      <w:r>
        <w:rPr>
          <w:rFonts w:hint="eastAsia" w:ascii="宋体" w:hAnsi="宋体" w:cs="仿宋_GB2312"/>
          <w:color w:val="auto"/>
          <w:szCs w:val="21"/>
          <w:highlight w:val="none"/>
          <w:lang w:eastAsia="zh-CN"/>
        </w:rPr>
        <w:t>：</w:t>
      </w:r>
    </w:p>
    <w:p w14:paraId="4C5D5359">
      <w:pPr>
        <w:autoSpaceDE w:val="0"/>
        <w:autoSpaceDN w:val="0"/>
        <w:spacing w:line="360" w:lineRule="exact"/>
        <w:ind w:firstLine="3360" w:firstLineChars="1600"/>
        <w:rPr>
          <w:rFonts w:hint="eastAsia" w:ascii="宋体" w:hAnsi="宋体" w:cs="宋体"/>
          <w:color w:val="auto"/>
          <w:kern w:val="0"/>
          <w:szCs w:val="21"/>
          <w:highlight w:val="none"/>
          <w:lang w:val="zh-CN"/>
        </w:rPr>
      </w:pPr>
      <w:r>
        <w:rPr>
          <w:rFonts w:hint="eastAsia" w:ascii="宋体" w:hAnsi="宋体" w:cs="宋体"/>
          <w:color w:val="auto"/>
          <w:kern w:val="0"/>
          <w:szCs w:val="21"/>
          <w:highlight w:val="none"/>
          <w:lang w:val="zh-CN"/>
        </w:rPr>
        <w:t>日期：  年  月   日</w:t>
      </w:r>
    </w:p>
    <w:p w14:paraId="449FEC39">
      <w:pPr>
        <w:autoSpaceDE w:val="0"/>
        <w:autoSpaceDN w:val="0"/>
        <w:spacing w:line="360" w:lineRule="exact"/>
        <w:ind w:firstLine="3360" w:firstLineChars="1600"/>
        <w:rPr>
          <w:rFonts w:hint="eastAsia" w:ascii="宋体" w:hAnsi="宋体" w:cs="宋体"/>
          <w:color w:val="auto"/>
          <w:kern w:val="0"/>
          <w:szCs w:val="21"/>
          <w:highlight w:val="none"/>
          <w:lang w:val="zh-CN"/>
        </w:rPr>
      </w:pPr>
    </w:p>
    <w:p w14:paraId="41F59CD2">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firstLineChars="200"/>
        <w:jc w:val="both"/>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1.产品如有型号，请在“产品名称”栏一并填写。</w:t>
      </w:r>
    </w:p>
    <w:p w14:paraId="5E024D5C">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2.生产厂名与厂址应与生产厂营业执照载明的相关信息保持一致。</w:t>
      </w:r>
    </w:p>
    <w:p w14:paraId="4FF05BCD">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3.该产品的中国境内生产的组件成本占比相关要求实施前，“规定比例”栏可不填，下同。</w:t>
      </w:r>
    </w:p>
    <w:p w14:paraId="595DCE57">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Lines="0" w:beforeAutospacing="0" w:after="0" w:afterAutospacing="0" w:line="360" w:lineRule="auto"/>
        <w:ind w:left="0" w:right="0" w:firstLine="420"/>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4.该产品的关键组件要求实施前，“关键组件”栏可不填，下同。</w:t>
      </w:r>
    </w:p>
    <w:p w14:paraId="17539BE5">
      <w:pPr>
        <w:widowControl/>
        <w:spacing w:after="262" w:line="380" w:lineRule="exact"/>
        <w:ind w:firstLine="420" w:firstLineChars="200"/>
        <w:jc w:val="both"/>
        <w:rPr>
          <w:rFonts w:hint="eastAsia" w:ascii="宋体" w:hAnsi="宋体" w:cs="宋体"/>
          <w:b/>
          <w:bCs/>
          <w:color w:val="auto"/>
          <w:sz w:val="24"/>
        </w:rPr>
        <w:sectPr>
          <w:pgSz w:w="11906" w:h="16838"/>
          <w:pgMar w:top="1134" w:right="1134" w:bottom="1134" w:left="1701" w:header="851" w:footer="992" w:gutter="0"/>
          <w:cols w:space="720" w:num="1"/>
          <w:docGrid w:type="lines" w:linePitch="312" w:charSpace="0"/>
        </w:sectPr>
      </w:pPr>
      <w:r>
        <w:rPr>
          <w:rFonts w:hint="eastAsia" w:ascii="宋体" w:hAnsi="宋体" w:eastAsia="宋体" w:cs="宋体"/>
          <w:i w:val="0"/>
          <w:iCs w:val="0"/>
          <w:caps w:val="0"/>
          <w:color w:val="auto"/>
          <w:spacing w:val="0"/>
          <w:sz w:val="21"/>
          <w:szCs w:val="21"/>
          <w:highlight w:val="none"/>
          <w:shd w:val="clear" w:color="auto" w:fill="FFFFFF"/>
        </w:rPr>
        <w:t>5.该产品的关键工序要求实施前，“关键工序”栏可不填，下同。</w:t>
      </w:r>
    </w:p>
    <w:p w14:paraId="5DD6A1AA">
      <w:pPr>
        <w:widowControl/>
        <w:spacing w:after="262" w:line="380" w:lineRule="exact"/>
        <w:ind w:firstLine="562" w:firstLineChars="200"/>
        <w:jc w:val="center"/>
        <w:rPr>
          <w:rFonts w:hint="eastAsia" w:ascii="宋体" w:hAnsi="宋体" w:cs="宋体"/>
          <w:b/>
          <w:sz w:val="28"/>
          <w:szCs w:val="28"/>
        </w:rPr>
      </w:pPr>
      <w:r>
        <w:rPr>
          <w:rFonts w:hint="eastAsia" w:ascii="宋体" w:hAnsi="宋体" w:cs="宋体"/>
          <w:b/>
          <w:sz w:val="28"/>
          <w:szCs w:val="28"/>
        </w:rPr>
        <w:t>中小企业声明函（货物）（如有）</w:t>
      </w:r>
    </w:p>
    <w:p w14:paraId="17C07B7F">
      <w:pPr>
        <w:widowControl/>
        <w:spacing w:line="360" w:lineRule="auto"/>
        <w:ind w:firstLine="480" w:firstLineChars="200"/>
        <w:rPr>
          <w:rFonts w:hint="eastAsia" w:ascii="宋体" w:hAnsi="宋体" w:cs="宋体"/>
          <w:sz w:val="24"/>
        </w:rPr>
      </w:pPr>
      <w:r>
        <w:rPr>
          <w:rFonts w:hint="eastAsia" w:ascii="宋体" w:hAnsi="宋体" w:cs="宋体"/>
          <w:sz w:val="24"/>
        </w:rPr>
        <w:t>本公司（联合体）郑重声明，根据《政府采购促进中小企业发展管理办法》</w:t>
      </w:r>
      <w:r>
        <w:rPr>
          <w:rFonts w:hint="eastAsia" w:ascii="宋体" w:hAnsi="宋体" w:cs="宋体"/>
          <w:sz w:val="24"/>
          <w:lang w:eastAsia="zh-CN"/>
        </w:rPr>
        <w:t>（</w:t>
      </w:r>
      <w:r>
        <w:rPr>
          <w:rFonts w:hint="eastAsia" w:ascii="宋体" w:hAnsi="宋体" w:cs="宋体"/>
          <w:sz w:val="24"/>
        </w:rPr>
        <w:t>财库〔2020〕46号</w:t>
      </w:r>
      <w:r>
        <w:rPr>
          <w:rFonts w:hint="eastAsia" w:ascii="宋体" w:hAnsi="宋体" w:cs="宋体"/>
          <w:sz w:val="24"/>
          <w:lang w:eastAsia="zh-CN"/>
        </w:rPr>
        <w:t>）</w:t>
      </w:r>
      <w:r>
        <w:rPr>
          <w:rFonts w:hint="eastAsia" w:ascii="宋体" w:hAnsi="宋体" w:cs="宋体"/>
          <w:sz w:val="24"/>
        </w:rPr>
        <w:t>的规定，本公司（联合体）参加（</w:t>
      </w:r>
      <w:r>
        <w:rPr>
          <w:rFonts w:hint="eastAsia" w:ascii="宋体" w:hAnsi="宋体" w:cs="宋体"/>
          <w:sz w:val="24"/>
          <w:u w:val="single"/>
        </w:rPr>
        <w:t>单位名称</w:t>
      </w:r>
      <w:r>
        <w:rPr>
          <w:rFonts w:hint="eastAsia" w:ascii="宋体" w:hAnsi="宋体" w:cs="宋体"/>
          <w:sz w:val="24"/>
        </w:rPr>
        <w:t>）的（</w:t>
      </w:r>
      <w:r>
        <w:rPr>
          <w:rFonts w:hint="eastAsia" w:ascii="宋体" w:hAnsi="宋体" w:cs="宋体"/>
          <w:sz w:val="24"/>
          <w:u w:val="single"/>
        </w:rPr>
        <w:t>项目名称</w:t>
      </w:r>
      <w:r>
        <w:rPr>
          <w:rFonts w:hint="eastAsia" w:ascii="宋体" w:hAnsi="宋体" w:cs="宋体"/>
          <w:sz w:val="24"/>
        </w:rPr>
        <w:t>）采购活动，提供的货物全部由符合政策要求的中小企业制造。相关企业（含联合体中的中小企业、签订分包意向协议的中小企业）的具体情况如下：</w:t>
      </w:r>
    </w:p>
    <w:p w14:paraId="0D725996">
      <w:pPr>
        <w:widowControl/>
        <w:spacing w:line="360" w:lineRule="auto"/>
        <w:ind w:firstLine="480" w:firstLineChars="200"/>
        <w:rPr>
          <w:rFonts w:hint="eastAsia" w:ascii="宋体" w:hAnsi="宋体" w:cs="宋体"/>
          <w:sz w:val="24"/>
        </w:rPr>
      </w:pPr>
      <w:r>
        <w:rPr>
          <w:rFonts w:hint="eastAsia" w:ascii="宋体" w:hAnsi="宋体" w:cs="宋体"/>
          <w:sz w:val="24"/>
        </w:rPr>
        <w:t>1.（标的名称），属于（采购文件中明确的所属行业）行业；制造商为（企业名称），从业人员________人，营业收入为_________万元，资产总额为________万元，属于</w:t>
      </w:r>
      <w:r>
        <w:rPr>
          <w:rFonts w:hint="eastAsia" w:ascii="宋体" w:hAnsi="宋体" w:cs="宋体"/>
          <w:sz w:val="24"/>
          <w:lang w:eastAsia="zh-CN"/>
        </w:rPr>
        <w:t>（</w:t>
      </w:r>
      <w:r>
        <w:rPr>
          <w:rFonts w:hint="eastAsia" w:ascii="宋体" w:hAnsi="宋体" w:cs="宋体"/>
          <w:sz w:val="24"/>
        </w:rPr>
        <w:t>中型企业、小型企业、微型企业</w:t>
      </w:r>
      <w:r>
        <w:rPr>
          <w:rFonts w:hint="eastAsia" w:ascii="宋体" w:hAnsi="宋体" w:cs="宋体"/>
          <w:sz w:val="24"/>
          <w:lang w:eastAsia="zh-CN"/>
        </w:rPr>
        <w:t>）</w:t>
      </w:r>
      <w:r>
        <w:rPr>
          <w:rFonts w:hint="eastAsia" w:ascii="宋体" w:hAnsi="宋体" w:cs="宋体"/>
          <w:sz w:val="24"/>
        </w:rPr>
        <w:t>；</w:t>
      </w:r>
    </w:p>
    <w:p w14:paraId="084DDAB2">
      <w:pPr>
        <w:widowControl/>
        <w:spacing w:line="360" w:lineRule="auto"/>
        <w:ind w:firstLine="480" w:firstLineChars="200"/>
        <w:rPr>
          <w:rFonts w:hint="eastAsia" w:ascii="宋体" w:hAnsi="宋体" w:cs="宋体"/>
          <w:sz w:val="24"/>
        </w:rPr>
      </w:pPr>
      <w:r>
        <w:rPr>
          <w:rFonts w:hint="eastAsia" w:ascii="宋体" w:hAnsi="宋体" w:cs="宋体"/>
          <w:sz w:val="24"/>
        </w:rPr>
        <w:t>2.（标的名称），属于（采购文件中明确的所属行业）行业；制造商为（企业名称），从业人员________人，营业收入为_________万元，资产总额为________万元，属于</w:t>
      </w:r>
      <w:r>
        <w:rPr>
          <w:rFonts w:hint="eastAsia" w:ascii="宋体" w:hAnsi="宋体" w:cs="宋体"/>
          <w:sz w:val="24"/>
          <w:lang w:eastAsia="zh-CN"/>
        </w:rPr>
        <w:t>（</w:t>
      </w:r>
      <w:r>
        <w:rPr>
          <w:rFonts w:hint="eastAsia" w:ascii="宋体" w:hAnsi="宋体" w:cs="宋体"/>
          <w:sz w:val="24"/>
        </w:rPr>
        <w:t>中型企业、小型企业、微型企业</w:t>
      </w:r>
      <w:r>
        <w:rPr>
          <w:rFonts w:hint="eastAsia" w:ascii="宋体" w:hAnsi="宋体" w:cs="宋体"/>
          <w:sz w:val="24"/>
          <w:lang w:eastAsia="zh-CN"/>
        </w:rPr>
        <w:t>）</w:t>
      </w:r>
      <w:r>
        <w:rPr>
          <w:rFonts w:hint="eastAsia" w:ascii="宋体" w:hAnsi="宋体" w:cs="宋体"/>
          <w:sz w:val="24"/>
        </w:rPr>
        <w:t>；</w:t>
      </w:r>
    </w:p>
    <w:p w14:paraId="74188C6B">
      <w:pPr>
        <w:widowControl/>
        <w:spacing w:line="360" w:lineRule="auto"/>
        <w:ind w:firstLine="480" w:firstLineChars="200"/>
        <w:rPr>
          <w:rFonts w:hint="eastAsia" w:ascii="宋体" w:hAnsi="宋体" w:cs="宋体"/>
          <w:sz w:val="24"/>
        </w:rPr>
      </w:pPr>
      <w:r>
        <w:rPr>
          <w:rFonts w:hint="eastAsia" w:ascii="宋体" w:hAnsi="宋体" w:cs="宋体"/>
          <w:sz w:val="24"/>
        </w:rPr>
        <w:t>……</w:t>
      </w:r>
    </w:p>
    <w:p w14:paraId="4A4808E8">
      <w:pPr>
        <w:widowControl/>
        <w:spacing w:line="360" w:lineRule="auto"/>
        <w:ind w:firstLine="480" w:firstLineChars="200"/>
        <w:rPr>
          <w:rFonts w:hint="eastAsia" w:ascii="宋体" w:hAnsi="宋体" w:cs="宋体"/>
          <w:sz w:val="24"/>
        </w:rPr>
      </w:pPr>
      <w:r>
        <w:rPr>
          <w:rFonts w:hint="eastAsia" w:ascii="宋体" w:hAnsi="宋体" w:cs="宋体"/>
          <w:sz w:val="24"/>
        </w:rPr>
        <w:t>以上企业，不属于大企业的分支机构，不存在控股股东为大企业的情形，也不存在与大企业的负责人为同一人的情形。</w:t>
      </w:r>
    </w:p>
    <w:p w14:paraId="6CDE03F5">
      <w:pPr>
        <w:widowControl/>
        <w:spacing w:line="360" w:lineRule="auto"/>
        <w:ind w:firstLine="480" w:firstLineChars="200"/>
        <w:rPr>
          <w:rFonts w:hint="eastAsia" w:ascii="宋体" w:hAnsi="宋体" w:cs="宋体"/>
          <w:sz w:val="24"/>
        </w:rPr>
      </w:pPr>
      <w:r>
        <w:rPr>
          <w:rFonts w:hint="eastAsia" w:ascii="宋体" w:hAnsi="宋体" w:cs="宋体"/>
          <w:sz w:val="24"/>
        </w:rPr>
        <w:t>本企业对上述声明内容的真实性负责。如有虚假，将依法承担相应责任。</w:t>
      </w:r>
    </w:p>
    <w:p w14:paraId="5CCC0717">
      <w:pPr>
        <w:widowControl/>
        <w:spacing w:line="360" w:lineRule="auto"/>
        <w:ind w:firstLine="480" w:firstLineChars="200"/>
        <w:rPr>
          <w:rFonts w:hint="eastAsia" w:ascii="宋体" w:hAnsi="宋体" w:cs="宋体"/>
          <w:sz w:val="24"/>
        </w:rPr>
      </w:pPr>
      <w:r>
        <w:rPr>
          <w:rFonts w:hint="eastAsia" w:ascii="宋体" w:hAnsi="宋体" w:cs="宋体"/>
          <w:sz w:val="24"/>
        </w:rPr>
        <w:t xml:space="preserve">                                                  企业名称（盖章）：</w:t>
      </w:r>
    </w:p>
    <w:p w14:paraId="14AFF931">
      <w:pPr>
        <w:widowControl/>
        <w:spacing w:line="360" w:lineRule="auto"/>
        <w:ind w:firstLine="480" w:firstLineChars="200"/>
        <w:rPr>
          <w:rFonts w:hint="eastAsia" w:ascii="宋体" w:hAnsi="宋体" w:cs="宋体"/>
          <w:sz w:val="24"/>
        </w:rPr>
      </w:pPr>
      <w:r>
        <w:rPr>
          <w:rFonts w:hint="eastAsia" w:ascii="宋体" w:hAnsi="宋体" w:cs="宋体"/>
          <w:sz w:val="24"/>
        </w:rPr>
        <w:t xml:space="preserve">                                                  日    期：</w:t>
      </w:r>
    </w:p>
    <w:p w14:paraId="466EA7A4">
      <w:pPr>
        <w:widowControl/>
        <w:spacing w:line="360" w:lineRule="auto"/>
        <w:ind w:firstLine="420" w:firstLineChars="200"/>
        <w:rPr>
          <w:rFonts w:hint="eastAsia" w:ascii="宋体" w:hAnsi="宋体" w:cs="宋体"/>
        </w:rPr>
      </w:pPr>
      <w:r>
        <w:rPr>
          <w:rFonts w:hint="eastAsia" w:ascii="宋体" w:hAnsi="宋体" w:cs="宋体"/>
        </w:rPr>
        <w:t>填写注意事项：</w:t>
      </w:r>
    </w:p>
    <w:p w14:paraId="6D37E9F0">
      <w:pPr>
        <w:widowControl/>
        <w:spacing w:line="360" w:lineRule="auto"/>
        <w:ind w:firstLine="420" w:firstLineChars="200"/>
        <w:rPr>
          <w:rFonts w:hint="eastAsia" w:ascii="宋体" w:hAnsi="宋体" w:cs="宋体"/>
        </w:rPr>
      </w:pPr>
      <w:r>
        <w:rPr>
          <w:rFonts w:hint="eastAsia" w:ascii="宋体" w:hAnsi="宋体" w:cs="宋体"/>
        </w:rPr>
        <w:t>（1）从业人员、营业收入、资产总额填报上一年度数据，无上一年度数据的新成立企业可不填报。</w:t>
      </w:r>
    </w:p>
    <w:p w14:paraId="68AEC4B7">
      <w:pPr>
        <w:widowControl/>
        <w:spacing w:line="360" w:lineRule="auto"/>
        <w:ind w:firstLine="420" w:firstLineChars="200"/>
        <w:rPr>
          <w:rFonts w:hint="eastAsia" w:ascii="宋体" w:hAnsi="宋体" w:cs="宋体"/>
          <w:szCs w:val="21"/>
          <w:shd w:val="clear" w:color="auto" w:fill="FFFFFF"/>
        </w:rPr>
      </w:pPr>
      <w:r>
        <w:rPr>
          <w:rFonts w:hint="eastAsia" w:ascii="宋体" w:hAnsi="宋体" w:cs="宋体"/>
          <w:szCs w:val="21"/>
          <w:shd w:val="clear" w:color="auto" w:fill="FFFFFF"/>
        </w:rPr>
        <w:t>（2）供应商按照本办法规定提供声明函内容不实的，属于提供虚假材料谋取中标、成交，依照《中华人民共和国政府采购法》等国家有关规定追究相应责任。</w:t>
      </w:r>
    </w:p>
    <w:p w14:paraId="2B468829">
      <w:pPr>
        <w:widowControl/>
        <w:spacing w:line="360" w:lineRule="auto"/>
        <w:ind w:firstLine="420" w:firstLineChars="200"/>
        <w:rPr>
          <w:rFonts w:hint="eastAsia" w:ascii="宋体" w:hAnsi="宋体" w:cs="宋体"/>
          <w:szCs w:val="21"/>
          <w:shd w:val="clear" w:color="auto" w:fill="FFFFFF"/>
        </w:rPr>
      </w:pPr>
      <w:r>
        <w:rPr>
          <w:rFonts w:hint="eastAsia" w:ascii="宋体" w:hAnsi="宋体" w:cs="宋体"/>
          <w:szCs w:val="21"/>
          <w:shd w:val="clear" w:color="auto" w:fill="FFFFFF"/>
        </w:rPr>
        <w:t>（3）政府采购监督检查、投诉处理及政府采购行政处罚中对中小企业的认定，由货物制造商或者工程、服务供应商注册登记所在地的县级以上人民政府中小企业主管部门负责。</w:t>
      </w:r>
    </w:p>
    <w:p w14:paraId="3A0C2F27">
      <w:pPr>
        <w:spacing w:line="360" w:lineRule="auto"/>
        <w:ind w:firstLine="420" w:firstLineChars="200"/>
        <w:rPr>
          <w:rFonts w:hint="eastAsia" w:ascii="宋体" w:hAnsi="宋体" w:cs="宋体"/>
        </w:rPr>
      </w:pPr>
      <w:r>
        <w:rPr>
          <w:rFonts w:hint="eastAsia" w:ascii="宋体" w:hAnsi="宋体" w:cs="宋体"/>
          <w:szCs w:val="21"/>
          <w:shd w:val="clear" w:color="auto" w:fill="FFFFFF"/>
        </w:rPr>
        <w:t>（4）</w:t>
      </w:r>
      <w:r>
        <w:rPr>
          <w:rFonts w:hint="eastAsia" w:ascii="宋体" w:hAnsi="宋体" w:cs="宋体"/>
        </w:rPr>
        <w:t>提供的货物有多项的</w:t>
      </w:r>
      <w:r>
        <w:rPr>
          <w:rFonts w:hint="eastAsia" w:ascii="宋体" w:hAnsi="宋体" w:cs="宋体"/>
          <w:szCs w:val="21"/>
          <w:shd w:val="clear" w:color="auto" w:fill="FFFFFF"/>
        </w:rPr>
        <w:t>，应将每项</w:t>
      </w:r>
      <w:r>
        <w:rPr>
          <w:rFonts w:hint="eastAsia" w:ascii="宋体" w:hAnsi="宋体" w:cs="宋体"/>
        </w:rPr>
        <w:t>标的的企业具体情况</w:t>
      </w:r>
      <w:r>
        <w:rPr>
          <w:rFonts w:hint="eastAsia" w:ascii="宋体" w:hAnsi="宋体" w:cs="宋体"/>
          <w:szCs w:val="21"/>
          <w:shd w:val="clear" w:color="auto" w:fill="FFFFFF"/>
        </w:rPr>
        <w:t>均</w:t>
      </w:r>
      <w:r>
        <w:rPr>
          <w:rFonts w:hint="eastAsia" w:ascii="宋体" w:hAnsi="宋体" w:cs="宋体"/>
        </w:rPr>
        <w:t>列明。多项货物由同一企业生产的，可以合并填写在一条情况说明中。</w:t>
      </w:r>
    </w:p>
    <w:p w14:paraId="5A5332C7">
      <w:pPr>
        <w:spacing w:line="360" w:lineRule="auto"/>
        <w:contextualSpacing/>
        <w:rPr>
          <w:rFonts w:hint="eastAsia" w:ascii="宋体" w:hAnsi="宋体" w:cs="宋体"/>
          <w:sz w:val="44"/>
          <w:szCs w:val="44"/>
        </w:rPr>
      </w:pPr>
    </w:p>
    <w:p w14:paraId="43C172DA">
      <w:pPr>
        <w:pStyle w:val="29"/>
        <w:ind w:firstLine="640"/>
        <w:rPr>
          <w:rFonts w:hint="eastAsia" w:ascii="宋体" w:hAnsi="宋体" w:eastAsia="宋体" w:cs="宋体"/>
        </w:rPr>
      </w:pPr>
    </w:p>
    <w:p w14:paraId="0DEDAD2D">
      <w:pPr>
        <w:rPr>
          <w:rFonts w:hint="eastAsia"/>
        </w:rPr>
      </w:pPr>
    </w:p>
    <w:p w14:paraId="1C1C3567">
      <w:pPr>
        <w:rPr>
          <w:rFonts w:hint="eastAsia"/>
        </w:rPr>
      </w:pPr>
    </w:p>
    <w:p w14:paraId="276EE0E0">
      <w:pPr>
        <w:spacing w:line="360" w:lineRule="auto"/>
        <w:contextualSpacing/>
        <w:jc w:val="center"/>
        <w:rPr>
          <w:rFonts w:hint="eastAsia" w:ascii="宋体" w:hAnsi="宋体" w:cs="宋体"/>
          <w:sz w:val="44"/>
          <w:szCs w:val="44"/>
        </w:rPr>
      </w:pPr>
    </w:p>
    <w:p w14:paraId="489417EE">
      <w:pPr>
        <w:spacing w:line="360" w:lineRule="auto"/>
        <w:contextualSpacing/>
        <w:jc w:val="center"/>
        <w:rPr>
          <w:rFonts w:hint="eastAsia" w:ascii="宋体" w:hAnsi="宋体" w:cs="宋体"/>
          <w:b/>
          <w:bCs/>
          <w:sz w:val="32"/>
          <w:szCs w:val="32"/>
        </w:rPr>
      </w:pPr>
      <w:r>
        <w:rPr>
          <w:rFonts w:hint="eastAsia" w:ascii="宋体" w:hAnsi="宋体" w:cs="宋体"/>
          <w:sz w:val="44"/>
          <w:szCs w:val="44"/>
        </w:rPr>
        <w:t>质疑函（格式）</w:t>
      </w:r>
    </w:p>
    <w:p w14:paraId="62356DAD">
      <w:pPr>
        <w:spacing w:line="360" w:lineRule="auto"/>
        <w:jc w:val="center"/>
        <w:rPr>
          <w:rFonts w:hint="eastAsia" w:ascii="宋体" w:hAnsi="宋体" w:cs="宋体"/>
          <w:b/>
          <w:bCs/>
          <w:sz w:val="32"/>
          <w:szCs w:val="32"/>
        </w:rPr>
      </w:pPr>
    </w:p>
    <w:p w14:paraId="4EFF9849">
      <w:pPr>
        <w:pStyle w:val="17"/>
        <w:spacing w:line="360" w:lineRule="auto"/>
        <w:ind w:firstLine="482" w:firstLineChars="200"/>
        <w:contextualSpacing/>
        <w:rPr>
          <w:rFonts w:hint="eastAsia" w:hAnsi="宋体" w:cs="宋体"/>
          <w:b/>
          <w:bCs/>
          <w:sz w:val="24"/>
          <w:szCs w:val="24"/>
        </w:rPr>
      </w:pPr>
      <w:r>
        <w:rPr>
          <w:rFonts w:hint="eastAsia" w:hAnsi="宋体" w:cs="宋体"/>
          <w:b/>
          <w:bCs/>
          <w:sz w:val="24"/>
          <w:szCs w:val="24"/>
        </w:rPr>
        <w:t>一、质疑供应商基本信息：</w:t>
      </w:r>
    </w:p>
    <w:p w14:paraId="3AFA9B9D">
      <w:pPr>
        <w:pStyle w:val="17"/>
        <w:spacing w:line="360" w:lineRule="auto"/>
        <w:ind w:firstLine="480" w:firstLineChars="200"/>
        <w:contextualSpacing/>
        <w:rPr>
          <w:rFonts w:hint="eastAsia" w:hAnsi="宋体" w:cs="宋体"/>
          <w:bCs/>
          <w:sz w:val="24"/>
          <w:szCs w:val="24"/>
          <w:u w:val="single"/>
        </w:rPr>
      </w:pPr>
      <w:r>
        <w:rPr>
          <w:rFonts w:hint="eastAsia" w:hAnsi="宋体" w:cs="宋体"/>
          <w:bCs/>
          <w:sz w:val="24"/>
          <w:szCs w:val="24"/>
        </w:rPr>
        <w:t>质疑供应商：</w:t>
      </w:r>
      <w:r>
        <w:rPr>
          <w:rFonts w:hint="eastAsia" w:hAnsi="宋体" w:cs="宋体"/>
          <w:bCs/>
          <w:sz w:val="24"/>
          <w:szCs w:val="24"/>
          <w:u w:val="single"/>
        </w:rPr>
        <w:t xml:space="preserve">                                       </w:t>
      </w:r>
      <w:r>
        <w:rPr>
          <w:rFonts w:hint="eastAsia" w:hAnsi="宋体" w:cs="宋体"/>
          <w:bCs/>
          <w:sz w:val="24"/>
          <w:szCs w:val="24"/>
        </w:rPr>
        <w:t xml:space="preserve">                 </w:t>
      </w:r>
    </w:p>
    <w:p w14:paraId="3349A8F6">
      <w:pPr>
        <w:pStyle w:val="17"/>
        <w:spacing w:line="360" w:lineRule="auto"/>
        <w:ind w:firstLine="480" w:firstLineChars="200"/>
        <w:contextualSpacing/>
        <w:rPr>
          <w:rFonts w:hint="eastAsia" w:hAnsi="宋体" w:cs="宋体"/>
          <w:bCs/>
          <w:sz w:val="24"/>
          <w:szCs w:val="24"/>
        </w:rPr>
      </w:pPr>
      <w:r>
        <w:rPr>
          <w:rFonts w:hint="eastAsia" w:hAnsi="宋体" w:cs="宋体"/>
          <w:bCs/>
          <w:sz w:val="24"/>
          <w:szCs w:val="24"/>
        </w:rPr>
        <w:t>地址：</w:t>
      </w:r>
      <w:r>
        <w:rPr>
          <w:rFonts w:hint="eastAsia" w:hAnsi="宋体" w:cs="宋体"/>
          <w:bCs/>
          <w:sz w:val="24"/>
          <w:szCs w:val="24"/>
          <w:u w:val="single"/>
        </w:rPr>
        <w:t xml:space="preserve">                                          </w:t>
      </w:r>
      <w:r>
        <w:rPr>
          <w:rFonts w:hint="eastAsia" w:hAnsi="宋体" w:cs="宋体"/>
          <w:bCs/>
          <w:sz w:val="24"/>
          <w:szCs w:val="24"/>
        </w:rPr>
        <w:t>邮编：</w:t>
      </w:r>
      <w:r>
        <w:rPr>
          <w:rFonts w:hint="eastAsia" w:hAnsi="宋体" w:cs="宋体"/>
          <w:bCs/>
          <w:sz w:val="24"/>
          <w:szCs w:val="24"/>
          <w:u w:val="single"/>
        </w:rPr>
        <w:t xml:space="preserve">                  </w:t>
      </w:r>
      <w:r>
        <w:rPr>
          <w:rFonts w:hint="eastAsia" w:hAnsi="宋体" w:cs="宋体"/>
          <w:bCs/>
          <w:sz w:val="24"/>
          <w:szCs w:val="24"/>
        </w:rPr>
        <w:t xml:space="preserve">                 </w:t>
      </w:r>
    </w:p>
    <w:p w14:paraId="6BB94D7A">
      <w:pPr>
        <w:pStyle w:val="17"/>
        <w:spacing w:line="360" w:lineRule="auto"/>
        <w:ind w:firstLine="480" w:firstLineChars="200"/>
        <w:contextualSpacing/>
        <w:rPr>
          <w:rFonts w:hint="eastAsia" w:hAnsi="宋体" w:cs="宋体"/>
          <w:bCs/>
          <w:sz w:val="24"/>
          <w:szCs w:val="24"/>
        </w:rPr>
      </w:pPr>
      <w:r>
        <w:rPr>
          <w:rFonts w:hint="eastAsia" w:hAnsi="宋体" w:cs="宋体"/>
          <w:bCs/>
          <w:sz w:val="24"/>
          <w:szCs w:val="24"/>
        </w:rPr>
        <w:t>联系人：</w:t>
      </w:r>
      <w:r>
        <w:rPr>
          <w:rFonts w:hint="eastAsia" w:hAnsi="宋体" w:cs="宋体"/>
          <w:bCs/>
          <w:sz w:val="24"/>
          <w:szCs w:val="24"/>
          <w:u w:val="single"/>
        </w:rPr>
        <w:t xml:space="preserve">                     </w:t>
      </w:r>
      <w:r>
        <w:rPr>
          <w:rFonts w:hint="eastAsia" w:hAnsi="宋体" w:cs="宋体"/>
          <w:bCs/>
          <w:sz w:val="24"/>
          <w:szCs w:val="24"/>
        </w:rPr>
        <w:t>联系电话：</w:t>
      </w:r>
      <w:r>
        <w:rPr>
          <w:rFonts w:hint="eastAsia" w:hAnsi="宋体" w:cs="宋体"/>
          <w:bCs/>
          <w:sz w:val="24"/>
          <w:szCs w:val="24"/>
          <w:u w:val="single"/>
        </w:rPr>
        <w:t xml:space="preserve">                 </w:t>
      </w:r>
    </w:p>
    <w:p w14:paraId="62DFD2F8">
      <w:pPr>
        <w:pStyle w:val="17"/>
        <w:spacing w:line="360" w:lineRule="auto"/>
        <w:ind w:firstLine="480" w:firstLineChars="200"/>
        <w:contextualSpacing/>
        <w:rPr>
          <w:rFonts w:hint="eastAsia" w:hAnsi="宋体" w:cs="宋体"/>
          <w:bCs/>
          <w:sz w:val="24"/>
          <w:szCs w:val="24"/>
        </w:rPr>
      </w:pPr>
      <w:r>
        <w:rPr>
          <w:rFonts w:hint="eastAsia" w:hAnsi="宋体" w:cs="宋体"/>
          <w:bCs/>
          <w:sz w:val="24"/>
          <w:szCs w:val="24"/>
        </w:rPr>
        <w:t>授权代表：</w:t>
      </w:r>
      <w:r>
        <w:rPr>
          <w:rFonts w:hint="eastAsia" w:hAnsi="宋体" w:cs="宋体"/>
          <w:bCs/>
          <w:sz w:val="24"/>
          <w:szCs w:val="24"/>
          <w:u w:val="single"/>
        </w:rPr>
        <w:t xml:space="preserve">                      </w:t>
      </w:r>
    </w:p>
    <w:p w14:paraId="1402B839">
      <w:pPr>
        <w:pStyle w:val="17"/>
        <w:spacing w:line="360" w:lineRule="auto"/>
        <w:ind w:firstLine="480" w:firstLineChars="200"/>
        <w:contextualSpacing/>
        <w:rPr>
          <w:rFonts w:hint="eastAsia" w:hAnsi="宋体" w:cs="宋体"/>
          <w:bCs/>
          <w:sz w:val="24"/>
          <w:szCs w:val="24"/>
          <w:u w:val="single"/>
        </w:rPr>
      </w:pPr>
      <w:r>
        <w:rPr>
          <w:rFonts w:hint="eastAsia" w:hAnsi="宋体" w:cs="宋体"/>
          <w:bCs/>
          <w:sz w:val="24"/>
          <w:szCs w:val="24"/>
        </w:rPr>
        <w:t>联系电话：</w:t>
      </w:r>
      <w:r>
        <w:rPr>
          <w:rFonts w:hint="eastAsia" w:hAnsi="宋体" w:cs="宋体"/>
          <w:bCs/>
          <w:sz w:val="24"/>
          <w:szCs w:val="24"/>
          <w:u w:val="single"/>
        </w:rPr>
        <w:t xml:space="preserve">                      </w:t>
      </w:r>
    </w:p>
    <w:p w14:paraId="7CDCE30A">
      <w:pPr>
        <w:pStyle w:val="17"/>
        <w:spacing w:line="360" w:lineRule="auto"/>
        <w:ind w:firstLine="480" w:firstLineChars="200"/>
        <w:contextualSpacing/>
        <w:rPr>
          <w:rFonts w:hint="eastAsia" w:hAnsi="宋体" w:cs="宋体"/>
          <w:bCs/>
          <w:sz w:val="24"/>
          <w:szCs w:val="24"/>
        </w:rPr>
      </w:pPr>
      <w:r>
        <w:rPr>
          <w:rFonts w:hint="eastAsia" w:hAnsi="宋体" w:cs="宋体"/>
          <w:bCs/>
          <w:sz w:val="24"/>
          <w:szCs w:val="24"/>
        </w:rPr>
        <w:t>地址：</w:t>
      </w:r>
      <w:r>
        <w:rPr>
          <w:rFonts w:hint="eastAsia" w:hAnsi="宋体" w:cs="宋体"/>
          <w:bCs/>
          <w:sz w:val="24"/>
          <w:szCs w:val="24"/>
          <w:u w:val="single"/>
        </w:rPr>
        <w:t xml:space="preserve">                 </w:t>
      </w:r>
      <w:r>
        <w:rPr>
          <w:rFonts w:hint="eastAsia" w:hAnsi="宋体" w:cs="宋体"/>
          <w:bCs/>
          <w:sz w:val="24"/>
          <w:szCs w:val="24"/>
        </w:rPr>
        <w:t>邮编：</w:t>
      </w:r>
      <w:r>
        <w:rPr>
          <w:rFonts w:hint="eastAsia" w:hAnsi="宋体" w:cs="宋体"/>
          <w:bCs/>
          <w:sz w:val="24"/>
          <w:szCs w:val="24"/>
          <w:u w:val="single"/>
        </w:rPr>
        <w:t xml:space="preserve">                  </w:t>
      </w:r>
      <w:r>
        <w:rPr>
          <w:rFonts w:hint="eastAsia" w:hAnsi="宋体" w:cs="宋体"/>
          <w:bCs/>
          <w:sz w:val="24"/>
          <w:szCs w:val="24"/>
        </w:rPr>
        <w:t xml:space="preserve">     </w:t>
      </w:r>
    </w:p>
    <w:p w14:paraId="7514CC92">
      <w:pPr>
        <w:pStyle w:val="17"/>
        <w:spacing w:line="360" w:lineRule="auto"/>
        <w:ind w:firstLine="482" w:firstLineChars="200"/>
        <w:contextualSpacing/>
        <w:rPr>
          <w:rFonts w:hint="eastAsia" w:hAnsi="宋体" w:cs="宋体"/>
          <w:b/>
          <w:bCs/>
          <w:sz w:val="24"/>
          <w:szCs w:val="24"/>
        </w:rPr>
      </w:pPr>
      <w:r>
        <w:rPr>
          <w:rFonts w:hint="eastAsia" w:hAnsi="宋体" w:cs="宋体"/>
          <w:b/>
          <w:bCs/>
          <w:sz w:val="24"/>
          <w:szCs w:val="24"/>
        </w:rPr>
        <w:t>二、质疑项目基本情况：</w:t>
      </w:r>
    </w:p>
    <w:p w14:paraId="4DF66D92">
      <w:pPr>
        <w:pStyle w:val="17"/>
        <w:spacing w:line="360" w:lineRule="auto"/>
        <w:ind w:left="25" w:leftChars="12" w:firstLine="472" w:firstLineChars="197"/>
        <w:contextualSpacing/>
        <w:rPr>
          <w:rFonts w:hint="eastAsia" w:hAnsi="宋体" w:cs="宋体"/>
          <w:sz w:val="24"/>
          <w:szCs w:val="24"/>
        </w:rPr>
      </w:pPr>
      <w:r>
        <w:rPr>
          <w:rFonts w:hint="eastAsia" w:hAnsi="宋体" w:cs="宋体"/>
          <w:bCs/>
          <w:sz w:val="24"/>
          <w:szCs w:val="24"/>
        </w:rPr>
        <w:t>质疑</w:t>
      </w:r>
      <w:r>
        <w:rPr>
          <w:rFonts w:hint="eastAsia" w:hAnsi="宋体" w:cs="宋体"/>
          <w:sz w:val="24"/>
          <w:szCs w:val="24"/>
        </w:rPr>
        <w:t>项目的名称：</w:t>
      </w:r>
      <w:r>
        <w:rPr>
          <w:rFonts w:hint="eastAsia" w:hAnsi="宋体" w:cs="宋体"/>
          <w:bCs/>
          <w:sz w:val="24"/>
          <w:szCs w:val="24"/>
          <w:u w:val="single"/>
        </w:rPr>
        <w:t xml:space="preserve">                                     </w:t>
      </w:r>
    </w:p>
    <w:p w14:paraId="76B29AAD">
      <w:pPr>
        <w:pStyle w:val="17"/>
        <w:spacing w:line="360" w:lineRule="auto"/>
        <w:ind w:left="25" w:leftChars="12" w:firstLine="472" w:firstLineChars="197"/>
        <w:contextualSpacing/>
        <w:rPr>
          <w:rFonts w:hint="eastAsia" w:hAnsi="宋体" w:cs="宋体"/>
          <w:sz w:val="24"/>
          <w:szCs w:val="24"/>
        </w:rPr>
      </w:pPr>
      <w:r>
        <w:rPr>
          <w:rFonts w:hint="eastAsia" w:hAnsi="宋体" w:cs="宋体"/>
          <w:bCs/>
          <w:sz w:val="24"/>
          <w:szCs w:val="24"/>
        </w:rPr>
        <w:t>质疑</w:t>
      </w:r>
      <w:r>
        <w:rPr>
          <w:rFonts w:hint="eastAsia" w:hAnsi="宋体" w:cs="宋体"/>
          <w:sz w:val="24"/>
          <w:szCs w:val="24"/>
        </w:rPr>
        <w:t>项目的编号：</w:t>
      </w:r>
      <w:r>
        <w:rPr>
          <w:rFonts w:hint="eastAsia" w:hAnsi="宋体" w:cs="宋体"/>
          <w:bCs/>
          <w:sz w:val="24"/>
          <w:szCs w:val="24"/>
          <w:u w:val="single"/>
        </w:rPr>
        <w:t xml:space="preserve">                                     </w:t>
      </w:r>
    </w:p>
    <w:p w14:paraId="311AF81F">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采购人名称：</w:t>
      </w:r>
      <w:r>
        <w:rPr>
          <w:rFonts w:hint="eastAsia" w:hAnsi="宋体" w:cs="宋体"/>
          <w:bCs/>
          <w:sz w:val="24"/>
          <w:szCs w:val="24"/>
          <w:u w:val="single"/>
        </w:rPr>
        <w:t xml:space="preserve">                                         </w:t>
      </w:r>
    </w:p>
    <w:p w14:paraId="4E350FA3">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质疑事项：</w:t>
      </w:r>
    </w:p>
    <w:p w14:paraId="1043E403">
      <w:pPr>
        <w:pStyle w:val="17"/>
        <w:spacing w:line="360" w:lineRule="auto"/>
        <w:ind w:left="25" w:leftChars="12" w:firstLine="352" w:firstLineChars="147"/>
        <w:contextualSpacing/>
        <w:rPr>
          <w:rFonts w:hint="eastAsia" w:hAnsi="宋体" w:cs="宋体"/>
          <w:sz w:val="24"/>
          <w:szCs w:val="24"/>
        </w:rPr>
      </w:pPr>
      <w:r>
        <w:rPr>
          <w:rFonts w:hint="eastAsia" w:hAnsi="宋体" w:cs="宋体"/>
          <w:sz w:val="24"/>
          <w:szCs w:val="24"/>
        </w:rPr>
        <w:t>□采购文件   采购文件获取日期：</w:t>
      </w:r>
      <w:r>
        <w:rPr>
          <w:rFonts w:hint="eastAsia" w:hAnsi="宋体" w:cs="宋体"/>
          <w:bCs/>
          <w:sz w:val="24"/>
          <w:szCs w:val="24"/>
          <w:u w:val="single"/>
        </w:rPr>
        <w:t xml:space="preserve">                                   </w:t>
      </w:r>
    </w:p>
    <w:p w14:paraId="483A490A">
      <w:pPr>
        <w:pStyle w:val="17"/>
        <w:spacing w:line="360" w:lineRule="auto"/>
        <w:ind w:left="25" w:leftChars="12" w:firstLine="352" w:firstLineChars="147"/>
        <w:contextualSpacing/>
        <w:rPr>
          <w:rFonts w:hint="eastAsia" w:hAnsi="宋体" w:cs="宋体"/>
          <w:sz w:val="24"/>
          <w:szCs w:val="24"/>
        </w:rPr>
      </w:pPr>
      <w:r>
        <w:rPr>
          <w:rFonts w:hint="eastAsia" w:hAnsi="宋体" w:cs="宋体"/>
          <w:sz w:val="24"/>
          <w:szCs w:val="24"/>
        </w:rPr>
        <w:t xml:space="preserve">□采购过程   </w:t>
      </w:r>
    </w:p>
    <w:p w14:paraId="37F46C99">
      <w:pPr>
        <w:pStyle w:val="17"/>
        <w:spacing w:line="360" w:lineRule="auto"/>
        <w:ind w:left="25" w:leftChars="12" w:firstLine="352" w:firstLineChars="147"/>
        <w:contextualSpacing/>
        <w:rPr>
          <w:rFonts w:hint="eastAsia" w:hAnsi="宋体" w:cs="宋体"/>
          <w:bCs/>
          <w:sz w:val="24"/>
          <w:szCs w:val="24"/>
          <w:u w:val="single"/>
        </w:rPr>
      </w:pPr>
      <w:r>
        <w:rPr>
          <w:rFonts w:hint="eastAsia" w:hAnsi="宋体" w:cs="宋体"/>
          <w:sz w:val="24"/>
          <w:szCs w:val="24"/>
        </w:rPr>
        <w:t xml:space="preserve">□成交结果   </w:t>
      </w:r>
    </w:p>
    <w:p w14:paraId="49AC6140">
      <w:pPr>
        <w:pStyle w:val="17"/>
        <w:spacing w:line="360" w:lineRule="auto"/>
        <w:ind w:left="25" w:leftChars="12" w:firstLine="472" w:firstLineChars="196"/>
        <w:contextualSpacing/>
        <w:rPr>
          <w:rFonts w:hint="eastAsia" w:hAnsi="宋体" w:cs="宋体"/>
          <w:b/>
          <w:sz w:val="24"/>
          <w:szCs w:val="24"/>
        </w:rPr>
      </w:pPr>
      <w:r>
        <w:rPr>
          <w:rFonts w:hint="eastAsia" w:hAnsi="宋体" w:cs="宋体"/>
          <w:b/>
          <w:sz w:val="24"/>
          <w:szCs w:val="24"/>
        </w:rPr>
        <w:t>三、质疑事项具体内容</w:t>
      </w:r>
    </w:p>
    <w:p w14:paraId="34B8FFB7">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质疑事项1：</w:t>
      </w:r>
      <w:r>
        <w:rPr>
          <w:rFonts w:hint="eastAsia" w:hAnsi="宋体" w:cs="宋体"/>
          <w:bCs/>
          <w:sz w:val="24"/>
          <w:szCs w:val="24"/>
          <w:u w:val="single"/>
        </w:rPr>
        <w:t xml:space="preserve">                                                                    </w:t>
      </w:r>
    </w:p>
    <w:p w14:paraId="25D5C563">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事实依据：</w:t>
      </w:r>
      <w:r>
        <w:rPr>
          <w:rFonts w:hint="eastAsia" w:hAnsi="宋体" w:cs="宋体"/>
          <w:bCs/>
          <w:sz w:val="24"/>
          <w:szCs w:val="24"/>
          <w:u w:val="single"/>
        </w:rPr>
        <w:t xml:space="preserve">                                                                      </w:t>
      </w:r>
    </w:p>
    <w:p w14:paraId="00BF26F7">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法律依据：</w:t>
      </w:r>
      <w:r>
        <w:rPr>
          <w:rFonts w:hint="eastAsia" w:hAnsi="宋体" w:cs="宋体"/>
          <w:sz w:val="24"/>
          <w:szCs w:val="24"/>
          <w:u w:val="single"/>
        </w:rPr>
        <w:t xml:space="preserve">                                                        </w:t>
      </w:r>
      <w:r>
        <w:rPr>
          <w:rFonts w:hint="eastAsia" w:hAnsi="宋体" w:cs="宋体"/>
          <w:bCs/>
          <w:sz w:val="24"/>
          <w:szCs w:val="24"/>
          <w:u w:val="single"/>
        </w:rPr>
        <w:t xml:space="preserve">               </w:t>
      </w:r>
    </w:p>
    <w:p w14:paraId="6D27CD3B">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质疑事项2</w:t>
      </w:r>
    </w:p>
    <w:p w14:paraId="726FF095">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w:t>
      </w:r>
    </w:p>
    <w:p w14:paraId="2162B75F">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四、与质疑事项相关的质疑请求：</w:t>
      </w:r>
    </w:p>
    <w:p w14:paraId="167E653E">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请求：</w:t>
      </w:r>
      <w:r>
        <w:rPr>
          <w:rFonts w:hint="eastAsia" w:hAnsi="宋体" w:cs="宋体"/>
          <w:bCs/>
          <w:sz w:val="24"/>
          <w:szCs w:val="24"/>
          <w:u w:val="single"/>
        </w:rPr>
        <w:t xml:space="preserve">                                                                </w:t>
      </w:r>
    </w:p>
    <w:p w14:paraId="6DCA235F">
      <w:pPr>
        <w:pStyle w:val="17"/>
        <w:spacing w:line="360" w:lineRule="auto"/>
        <w:ind w:left="25" w:leftChars="12" w:firstLine="352" w:firstLineChars="147"/>
        <w:contextualSpacing/>
        <w:rPr>
          <w:rFonts w:hint="eastAsia" w:hAnsi="宋体" w:cs="宋体"/>
          <w:sz w:val="24"/>
          <w:szCs w:val="24"/>
        </w:rPr>
      </w:pPr>
    </w:p>
    <w:p w14:paraId="3397EB94">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签字（签章）：                                       公章：</w:t>
      </w:r>
    </w:p>
    <w:p w14:paraId="69CFBF4F">
      <w:pPr>
        <w:pStyle w:val="17"/>
        <w:spacing w:line="360" w:lineRule="auto"/>
        <w:ind w:left="25" w:leftChars="12" w:firstLine="352" w:firstLineChars="147"/>
        <w:contextualSpacing/>
        <w:rPr>
          <w:rFonts w:hint="eastAsia" w:hAnsi="宋体" w:cs="宋体"/>
          <w:sz w:val="24"/>
          <w:szCs w:val="24"/>
        </w:rPr>
      </w:pPr>
    </w:p>
    <w:p w14:paraId="11D5F27F">
      <w:pPr>
        <w:pStyle w:val="17"/>
        <w:spacing w:line="360" w:lineRule="auto"/>
        <w:ind w:left="25" w:leftChars="12" w:firstLine="472" w:firstLineChars="197"/>
        <w:contextualSpacing/>
        <w:rPr>
          <w:rFonts w:hint="eastAsia" w:hAnsi="宋体" w:cs="宋体"/>
          <w:sz w:val="24"/>
          <w:szCs w:val="24"/>
        </w:rPr>
      </w:pPr>
      <w:r>
        <w:rPr>
          <w:rFonts w:hint="eastAsia" w:hAnsi="宋体" w:cs="宋体"/>
          <w:sz w:val="24"/>
          <w:szCs w:val="24"/>
        </w:rPr>
        <w:t>日期：</w:t>
      </w:r>
    </w:p>
    <w:p w14:paraId="1BC53927">
      <w:pPr>
        <w:pStyle w:val="7"/>
        <w:rPr>
          <w:rFonts w:hint="eastAsia" w:ascii="宋体" w:hAnsi="宋体" w:cs="宋体"/>
          <w:b/>
          <w:sz w:val="24"/>
          <w:szCs w:val="24"/>
        </w:rPr>
      </w:pPr>
    </w:p>
    <w:p w14:paraId="6BCCFF7D">
      <w:pPr>
        <w:pStyle w:val="17"/>
        <w:spacing w:line="360" w:lineRule="auto"/>
        <w:contextualSpacing/>
        <w:rPr>
          <w:rFonts w:hint="eastAsia" w:hAnsi="宋体" w:cs="宋体"/>
          <w:b/>
          <w:sz w:val="24"/>
          <w:szCs w:val="24"/>
        </w:rPr>
      </w:pPr>
      <w:r>
        <w:rPr>
          <w:rFonts w:hint="eastAsia" w:hAnsi="宋体" w:cs="宋体"/>
          <w:b/>
          <w:sz w:val="24"/>
          <w:szCs w:val="24"/>
        </w:rPr>
        <w:t>说明：</w:t>
      </w:r>
    </w:p>
    <w:p w14:paraId="17B44C21">
      <w:pPr>
        <w:pStyle w:val="17"/>
        <w:spacing w:line="360" w:lineRule="auto"/>
        <w:ind w:left="25" w:leftChars="12" w:firstLine="354" w:firstLineChars="147"/>
        <w:contextualSpacing/>
        <w:rPr>
          <w:rFonts w:hint="eastAsia" w:hAnsi="宋体" w:cs="宋体"/>
          <w:b/>
          <w:bCs/>
          <w:sz w:val="24"/>
          <w:szCs w:val="24"/>
        </w:rPr>
      </w:pPr>
      <w:r>
        <w:rPr>
          <w:rFonts w:hint="eastAsia" w:hAnsi="宋体" w:cs="宋体"/>
          <w:b/>
          <w:sz w:val="24"/>
          <w:szCs w:val="24"/>
        </w:rPr>
        <w:t>1.供应商提出质疑时，应提交质疑函和必要的证明材料</w:t>
      </w:r>
      <w:r>
        <w:rPr>
          <w:rFonts w:hint="eastAsia" w:hAnsi="宋体" w:cs="宋体"/>
          <w:b/>
          <w:bCs/>
          <w:sz w:val="24"/>
          <w:szCs w:val="24"/>
        </w:rPr>
        <w:t>。</w:t>
      </w:r>
    </w:p>
    <w:p w14:paraId="389BB2D6">
      <w:pPr>
        <w:pStyle w:val="17"/>
        <w:spacing w:line="360" w:lineRule="auto"/>
        <w:ind w:left="25" w:leftChars="12" w:firstLine="354" w:firstLineChars="147"/>
        <w:contextualSpacing/>
        <w:rPr>
          <w:rFonts w:hint="eastAsia" w:hAnsi="宋体" w:cs="宋体"/>
          <w:b/>
          <w:sz w:val="24"/>
          <w:szCs w:val="24"/>
        </w:rPr>
      </w:pPr>
      <w:r>
        <w:rPr>
          <w:rFonts w:hint="eastAsia" w:hAnsi="宋体" w:cs="宋体"/>
          <w:b/>
          <w:sz w:val="24"/>
          <w:szCs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77C98447">
      <w:pPr>
        <w:pStyle w:val="17"/>
        <w:spacing w:line="360" w:lineRule="auto"/>
        <w:ind w:left="25" w:leftChars="12" w:firstLine="354" w:firstLineChars="147"/>
        <w:contextualSpacing/>
        <w:rPr>
          <w:rFonts w:hint="eastAsia" w:hAnsi="宋体" w:cs="宋体"/>
          <w:b/>
          <w:sz w:val="24"/>
          <w:szCs w:val="24"/>
        </w:rPr>
      </w:pPr>
      <w:r>
        <w:rPr>
          <w:rFonts w:hint="eastAsia" w:hAnsi="宋体" w:cs="宋体"/>
          <w:b/>
          <w:sz w:val="24"/>
          <w:szCs w:val="24"/>
        </w:rPr>
        <w:t>3.质疑函的质疑事项应具体、明确，并有必要的事实依据和法律依据。</w:t>
      </w:r>
    </w:p>
    <w:p w14:paraId="3C990454">
      <w:pPr>
        <w:pStyle w:val="17"/>
        <w:spacing w:line="360" w:lineRule="auto"/>
        <w:ind w:left="25" w:leftChars="12" w:firstLine="354" w:firstLineChars="147"/>
        <w:contextualSpacing/>
        <w:rPr>
          <w:rFonts w:hint="eastAsia" w:hAnsi="宋体" w:cs="宋体"/>
          <w:b/>
          <w:sz w:val="24"/>
          <w:szCs w:val="24"/>
        </w:rPr>
      </w:pPr>
      <w:r>
        <w:rPr>
          <w:rFonts w:hint="eastAsia" w:hAnsi="宋体" w:cs="宋体"/>
          <w:b/>
          <w:sz w:val="24"/>
          <w:szCs w:val="24"/>
        </w:rPr>
        <w:t>4.质疑函的质疑请求应与质疑事项相关。</w:t>
      </w:r>
    </w:p>
    <w:p w14:paraId="7E0A5CDA">
      <w:pPr>
        <w:pStyle w:val="17"/>
        <w:spacing w:line="360" w:lineRule="auto"/>
        <w:ind w:left="25" w:leftChars="12" w:firstLine="354" w:firstLineChars="147"/>
        <w:contextualSpacing/>
        <w:rPr>
          <w:rFonts w:hint="eastAsia" w:hAnsi="宋体" w:cs="宋体"/>
          <w:b/>
        </w:rPr>
      </w:pPr>
      <w:r>
        <w:rPr>
          <w:rFonts w:hint="eastAsia" w:hAnsi="宋体" w:cs="宋体"/>
          <w:b/>
          <w:sz w:val="24"/>
          <w:szCs w:val="24"/>
        </w:rPr>
        <w:t>5.质疑供应商为法人或者其他组织的，质疑函应由法定代表人、主要负责人，或者其授权代表签字或者盖章，并加盖公章。</w:t>
      </w:r>
    </w:p>
    <w:p w14:paraId="3DEC3197">
      <w:pPr>
        <w:pStyle w:val="17"/>
        <w:snapToGrid w:val="0"/>
        <w:rPr>
          <w:rFonts w:hint="eastAsia" w:hAnsi="宋体" w:cs="宋体"/>
          <w:b/>
          <w:sz w:val="24"/>
          <w:szCs w:val="24"/>
        </w:rPr>
      </w:pPr>
    </w:p>
    <w:p w14:paraId="7CC22B92">
      <w:pPr>
        <w:jc w:val="center"/>
        <w:rPr>
          <w:rFonts w:hint="eastAsia" w:ascii="宋体" w:hAnsi="宋体" w:cs="宋体"/>
          <w:sz w:val="44"/>
          <w:szCs w:val="44"/>
        </w:rPr>
      </w:pPr>
      <w:r>
        <w:rPr>
          <w:rFonts w:hint="eastAsia" w:ascii="宋体" w:hAnsi="宋体" w:cs="宋体"/>
        </w:rPr>
        <w:br w:type="page"/>
      </w:r>
      <w:r>
        <w:rPr>
          <w:rFonts w:hint="eastAsia" w:ascii="宋体" w:hAnsi="宋体" w:cs="宋体"/>
          <w:sz w:val="44"/>
          <w:szCs w:val="44"/>
        </w:rPr>
        <w:t>投诉书（格式）</w:t>
      </w:r>
    </w:p>
    <w:p w14:paraId="0FEB286A">
      <w:pPr>
        <w:pStyle w:val="17"/>
        <w:snapToGrid w:val="0"/>
        <w:spacing w:line="360" w:lineRule="auto"/>
        <w:ind w:firstLine="482" w:firstLineChars="200"/>
        <w:rPr>
          <w:rFonts w:hint="eastAsia" w:hAnsi="宋体" w:cs="宋体"/>
          <w:b/>
          <w:bCs/>
          <w:sz w:val="24"/>
          <w:szCs w:val="24"/>
        </w:rPr>
      </w:pPr>
      <w:r>
        <w:rPr>
          <w:rFonts w:hint="eastAsia" w:hAnsi="宋体" w:cs="宋体"/>
          <w:b/>
          <w:bCs/>
          <w:sz w:val="24"/>
          <w:szCs w:val="24"/>
        </w:rPr>
        <w:t>一、投诉相关主体基本情况：</w:t>
      </w:r>
    </w:p>
    <w:p w14:paraId="45F0AED1">
      <w:pPr>
        <w:pStyle w:val="17"/>
        <w:snapToGrid w:val="0"/>
        <w:spacing w:line="360" w:lineRule="auto"/>
        <w:ind w:firstLine="480" w:firstLineChars="200"/>
        <w:rPr>
          <w:rFonts w:hint="eastAsia" w:hAnsi="宋体" w:cs="宋体"/>
          <w:bCs/>
          <w:sz w:val="24"/>
          <w:szCs w:val="24"/>
          <w:u w:val="single"/>
        </w:rPr>
      </w:pPr>
      <w:r>
        <w:rPr>
          <w:rFonts w:hint="eastAsia" w:hAnsi="宋体" w:cs="宋体"/>
          <w:bCs/>
          <w:sz w:val="24"/>
          <w:szCs w:val="24"/>
        </w:rPr>
        <w:t>供应商：</w:t>
      </w:r>
      <w:r>
        <w:rPr>
          <w:rFonts w:hint="eastAsia" w:hAnsi="宋体" w:cs="宋体"/>
          <w:bCs/>
          <w:sz w:val="24"/>
          <w:szCs w:val="24"/>
          <w:u w:val="single"/>
        </w:rPr>
        <w:t xml:space="preserve">                                                                        </w:t>
      </w:r>
      <w:r>
        <w:rPr>
          <w:rFonts w:hint="eastAsia" w:hAnsi="宋体" w:cs="宋体"/>
          <w:bCs/>
          <w:sz w:val="24"/>
          <w:szCs w:val="24"/>
        </w:rPr>
        <w:t xml:space="preserve">                 </w:t>
      </w:r>
    </w:p>
    <w:p w14:paraId="16BE05F2">
      <w:pPr>
        <w:pStyle w:val="17"/>
        <w:snapToGrid w:val="0"/>
        <w:spacing w:line="360" w:lineRule="auto"/>
        <w:ind w:firstLine="480" w:firstLineChars="200"/>
        <w:rPr>
          <w:rFonts w:hint="eastAsia" w:hAnsi="宋体" w:cs="宋体"/>
          <w:bCs/>
          <w:sz w:val="24"/>
          <w:szCs w:val="24"/>
        </w:rPr>
      </w:pPr>
      <w:r>
        <w:rPr>
          <w:rFonts w:hint="eastAsia" w:hAnsi="宋体" w:cs="宋体"/>
          <w:bCs/>
          <w:sz w:val="24"/>
          <w:szCs w:val="24"/>
        </w:rPr>
        <w:t>地址：</w:t>
      </w:r>
      <w:r>
        <w:rPr>
          <w:rFonts w:hint="eastAsia" w:hAnsi="宋体" w:cs="宋体"/>
          <w:bCs/>
          <w:sz w:val="24"/>
          <w:szCs w:val="24"/>
          <w:u w:val="single"/>
        </w:rPr>
        <w:t xml:space="preserve">                                          </w:t>
      </w:r>
      <w:r>
        <w:rPr>
          <w:rFonts w:hint="eastAsia" w:hAnsi="宋体" w:cs="宋体"/>
          <w:bCs/>
          <w:sz w:val="24"/>
          <w:szCs w:val="24"/>
        </w:rPr>
        <w:t>邮编：</w:t>
      </w:r>
      <w:r>
        <w:rPr>
          <w:rFonts w:hint="eastAsia" w:hAnsi="宋体" w:cs="宋体"/>
          <w:bCs/>
          <w:sz w:val="24"/>
          <w:szCs w:val="24"/>
          <w:u w:val="single"/>
        </w:rPr>
        <w:t xml:space="preserve">                          </w:t>
      </w:r>
      <w:r>
        <w:rPr>
          <w:rFonts w:hint="eastAsia" w:hAnsi="宋体" w:cs="宋体"/>
          <w:bCs/>
          <w:sz w:val="24"/>
          <w:szCs w:val="24"/>
        </w:rPr>
        <w:t xml:space="preserve">                 </w:t>
      </w:r>
    </w:p>
    <w:p w14:paraId="5B087CAA">
      <w:pPr>
        <w:pStyle w:val="17"/>
        <w:snapToGrid w:val="0"/>
        <w:spacing w:line="360" w:lineRule="auto"/>
        <w:ind w:firstLine="480" w:firstLineChars="200"/>
        <w:rPr>
          <w:rFonts w:hint="eastAsia" w:hAnsi="宋体" w:cs="宋体"/>
          <w:bCs/>
          <w:sz w:val="24"/>
          <w:szCs w:val="24"/>
          <w:u w:val="single"/>
        </w:rPr>
      </w:pPr>
      <w:r>
        <w:rPr>
          <w:rFonts w:hint="eastAsia" w:hAnsi="宋体" w:cs="宋体"/>
          <w:bCs/>
          <w:sz w:val="24"/>
          <w:szCs w:val="24"/>
        </w:rPr>
        <w:t>法定代表人/主要负责人：</w:t>
      </w:r>
      <w:r>
        <w:rPr>
          <w:rFonts w:hint="eastAsia" w:hAnsi="宋体" w:cs="宋体"/>
          <w:bCs/>
          <w:sz w:val="24"/>
          <w:szCs w:val="24"/>
          <w:u w:val="single"/>
        </w:rPr>
        <w:t xml:space="preserve">                                                         </w:t>
      </w:r>
    </w:p>
    <w:p w14:paraId="58F7A046">
      <w:pPr>
        <w:pStyle w:val="17"/>
        <w:snapToGrid w:val="0"/>
        <w:spacing w:line="360" w:lineRule="auto"/>
        <w:ind w:firstLine="480" w:firstLineChars="200"/>
        <w:rPr>
          <w:rFonts w:hint="eastAsia" w:hAnsi="宋体" w:cs="宋体"/>
          <w:bCs/>
          <w:sz w:val="24"/>
          <w:szCs w:val="24"/>
        </w:rPr>
      </w:pPr>
      <w:r>
        <w:rPr>
          <w:rFonts w:hint="eastAsia" w:hAnsi="宋体" w:cs="宋体"/>
          <w:bCs/>
          <w:sz w:val="24"/>
          <w:szCs w:val="24"/>
        </w:rPr>
        <w:t>联系电话：</w:t>
      </w:r>
      <w:r>
        <w:rPr>
          <w:rFonts w:hint="eastAsia" w:hAnsi="宋体" w:cs="宋体"/>
          <w:bCs/>
          <w:sz w:val="24"/>
          <w:szCs w:val="24"/>
          <w:u w:val="single"/>
        </w:rPr>
        <w:t xml:space="preserve">                                         </w:t>
      </w:r>
    </w:p>
    <w:p w14:paraId="393C53B6">
      <w:pPr>
        <w:pStyle w:val="17"/>
        <w:snapToGrid w:val="0"/>
        <w:spacing w:line="360" w:lineRule="auto"/>
        <w:ind w:firstLine="480" w:firstLineChars="200"/>
        <w:rPr>
          <w:rFonts w:hint="eastAsia" w:hAnsi="宋体" w:cs="宋体"/>
          <w:bCs/>
          <w:sz w:val="24"/>
          <w:szCs w:val="24"/>
          <w:u w:val="single"/>
        </w:rPr>
      </w:pPr>
      <w:r>
        <w:rPr>
          <w:rFonts w:hint="eastAsia" w:hAnsi="宋体" w:cs="宋体"/>
          <w:bCs/>
          <w:sz w:val="24"/>
          <w:szCs w:val="24"/>
        </w:rPr>
        <w:t>授权代表：</w:t>
      </w:r>
      <w:r>
        <w:rPr>
          <w:rFonts w:hint="eastAsia" w:hAnsi="宋体" w:cs="宋体"/>
          <w:bCs/>
          <w:sz w:val="24"/>
          <w:szCs w:val="24"/>
          <w:u w:val="single"/>
        </w:rPr>
        <w:t xml:space="preserve">                                         </w:t>
      </w:r>
      <w:r>
        <w:rPr>
          <w:rFonts w:hint="eastAsia" w:hAnsi="宋体" w:cs="宋体"/>
          <w:bCs/>
          <w:sz w:val="24"/>
          <w:szCs w:val="24"/>
        </w:rPr>
        <w:t>联系电话：</w:t>
      </w:r>
      <w:r>
        <w:rPr>
          <w:rFonts w:hint="eastAsia" w:hAnsi="宋体" w:cs="宋体"/>
          <w:bCs/>
          <w:sz w:val="24"/>
          <w:szCs w:val="24"/>
          <w:u w:val="single"/>
        </w:rPr>
        <w:t xml:space="preserve">                   </w:t>
      </w:r>
    </w:p>
    <w:p w14:paraId="46D39661">
      <w:pPr>
        <w:pStyle w:val="17"/>
        <w:snapToGrid w:val="0"/>
        <w:spacing w:line="360" w:lineRule="auto"/>
        <w:ind w:firstLine="480" w:firstLineChars="200"/>
        <w:rPr>
          <w:rFonts w:hint="eastAsia" w:hAnsi="宋体" w:cs="宋体"/>
          <w:bCs/>
          <w:sz w:val="24"/>
          <w:szCs w:val="24"/>
          <w:u w:val="single"/>
        </w:rPr>
      </w:pPr>
      <w:r>
        <w:rPr>
          <w:rFonts w:hint="eastAsia" w:hAnsi="宋体" w:cs="宋体"/>
          <w:bCs/>
          <w:sz w:val="24"/>
          <w:szCs w:val="24"/>
        </w:rPr>
        <w:t>地址：</w:t>
      </w:r>
      <w:r>
        <w:rPr>
          <w:rFonts w:hint="eastAsia" w:hAnsi="宋体" w:cs="宋体"/>
          <w:bCs/>
          <w:sz w:val="24"/>
          <w:szCs w:val="24"/>
          <w:u w:val="single"/>
        </w:rPr>
        <w:t xml:space="preserve">                                                            </w:t>
      </w:r>
    </w:p>
    <w:p w14:paraId="7B784B7C">
      <w:pPr>
        <w:pStyle w:val="17"/>
        <w:snapToGrid w:val="0"/>
        <w:spacing w:line="360" w:lineRule="auto"/>
        <w:ind w:firstLine="480" w:firstLineChars="200"/>
        <w:rPr>
          <w:rFonts w:hint="eastAsia" w:hAnsi="宋体" w:cs="宋体"/>
          <w:bCs/>
          <w:sz w:val="24"/>
          <w:szCs w:val="24"/>
        </w:rPr>
      </w:pPr>
      <w:r>
        <w:rPr>
          <w:rFonts w:hint="eastAsia" w:hAnsi="宋体" w:cs="宋体"/>
          <w:bCs/>
          <w:sz w:val="24"/>
          <w:szCs w:val="24"/>
        </w:rPr>
        <w:t>邮编：</w:t>
      </w:r>
      <w:r>
        <w:rPr>
          <w:rFonts w:hint="eastAsia" w:hAnsi="宋体" w:cs="宋体"/>
          <w:bCs/>
          <w:sz w:val="24"/>
          <w:szCs w:val="24"/>
          <w:u w:val="single"/>
        </w:rPr>
        <w:t xml:space="preserve">         </w:t>
      </w:r>
      <w:r>
        <w:rPr>
          <w:rFonts w:hint="eastAsia" w:hAnsi="宋体" w:cs="宋体"/>
          <w:bCs/>
          <w:sz w:val="24"/>
          <w:szCs w:val="24"/>
        </w:rPr>
        <w:t xml:space="preserve">   </w:t>
      </w:r>
    </w:p>
    <w:p w14:paraId="600BF368">
      <w:pPr>
        <w:pStyle w:val="17"/>
        <w:snapToGrid w:val="0"/>
        <w:spacing w:line="360" w:lineRule="auto"/>
        <w:ind w:firstLine="480" w:firstLineChars="200"/>
        <w:rPr>
          <w:rFonts w:hint="eastAsia" w:hAnsi="宋体" w:cs="宋体"/>
          <w:bCs/>
          <w:sz w:val="24"/>
          <w:szCs w:val="24"/>
        </w:rPr>
      </w:pPr>
      <w:r>
        <w:rPr>
          <w:rFonts w:hint="eastAsia" w:hAnsi="宋体" w:cs="宋体"/>
          <w:bCs/>
          <w:sz w:val="24"/>
          <w:szCs w:val="24"/>
        </w:rPr>
        <w:t>被投诉人1：</w:t>
      </w:r>
    </w:p>
    <w:p w14:paraId="038D86C0">
      <w:pPr>
        <w:pStyle w:val="17"/>
        <w:snapToGrid w:val="0"/>
        <w:spacing w:line="360" w:lineRule="auto"/>
        <w:ind w:firstLine="480" w:firstLineChars="200"/>
        <w:rPr>
          <w:rFonts w:hint="eastAsia" w:hAnsi="宋体" w:cs="宋体"/>
          <w:bCs/>
          <w:sz w:val="24"/>
          <w:szCs w:val="24"/>
          <w:u w:val="single"/>
        </w:rPr>
      </w:pPr>
      <w:r>
        <w:rPr>
          <w:rFonts w:hint="eastAsia" w:hAnsi="宋体" w:cs="宋体"/>
          <w:bCs/>
          <w:sz w:val="24"/>
          <w:szCs w:val="24"/>
        </w:rPr>
        <w:t>地址：</w:t>
      </w:r>
      <w:r>
        <w:rPr>
          <w:rFonts w:hint="eastAsia" w:hAnsi="宋体" w:cs="宋体"/>
          <w:bCs/>
          <w:sz w:val="24"/>
          <w:szCs w:val="24"/>
          <w:u w:val="single"/>
        </w:rPr>
        <w:t xml:space="preserve">                                                            </w:t>
      </w:r>
    </w:p>
    <w:p w14:paraId="0180B8EF">
      <w:pPr>
        <w:pStyle w:val="17"/>
        <w:snapToGrid w:val="0"/>
        <w:spacing w:line="360" w:lineRule="auto"/>
        <w:ind w:firstLine="480" w:firstLineChars="200"/>
        <w:rPr>
          <w:rFonts w:hint="eastAsia" w:hAnsi="宋体" w:cs="宋体"/>
          <w:bCs/>
          <w:sz w:val="24"/>
          <w:szCs w:val="24"/>
        </w:rPr>
      </w:pPr>
      <w:r>
        <w:rPr>
          <w:rFonts w:hint="eastAsia" w:hAnsi="宋体" w:cs="宋体"/>
          <w:bCs/>
          <w:sz w:val="24"/>
          <w:szCs w:val="24"/>
        </w:rPr>
        <w:t>邮编：</w:t>
      </w:r>
      <w:r>
        <w:rPr>
          <w:rFonts w:hint="eastAsia" w:hAnsi="宋体" w:cs="宋体"/>
          <w:bCs/>
          <w:sz w:val="24"/>
          <w:szCs w:val="24"/>
          <w:u w:val="single"/>
        </w:rPr>
        <w:t xml:space="preserve">         </w:t>
      </w:r>
      <w:r>
        <w:rPr>
          <w:rFonts w:hint="eastAsia" w:hAnsi="宋体" w:cs="宋体"/>
          <w:bCs/>
          <w:sz w:val="24"/>
          <w:szCs w:val="24"/>
        </w:rPr>
        <w:t xml:space="preserve">  </w:t>
      </w:r>
    </w:p>
    <w:p w14:paraId="47049B66">
      <w:pPr>
        <w:pStyle w:val="17"/>
        <w:snapToGrid w:val="0"/>
        <w:spacing w:line="360" w:lineRule="auto"/>
        <w:ind w:firstLine="480" w:firstLineChars="200"/>
        <w:rPr>
          <w:rFonts w:hint="eastAsia" w:hAnsi="宋体" w:cs="宋体"/>
          <w:bCs/>
          <w:sz w:val="24"/>
          <w:szCs w:val="24"/>
          <w:u w:val="single"/>
        </w:rPr>
      </w:pPr>
      <w:r>
        <w:rPr>
          <w:rFonts w:hint="eastAsia" w:hAnsi="宋体" w:cs="宋体"/>
          <w:bCs/>
          <w:sz w:val="24"/>
          <w:szCs w:val="24"/>
        </w:rPr>
        <w:t>联系人：</w:t>
      </w:r>
      <w:r>
        <w:rPr>
          <w:rFonts w:hint="eastAsia" w:hAnsi="宋体" w:cs="宋体"/>
          <w:bCs/>
          <w:sz w:val="24"/>
          <w:szCs w:val="24"/>
          <w:u w:val="single"/>
        </w:rPr>
        <w:t xml:space="preserve">                                                </w:t>
      </w:r>
      <w:r>
        <w:rPr>
          <w:rFonts w:hint="eastAsia" w:hAnsi="宋体" w:cs="宋体"/>
          <w:bCs/>
          <w:sz w:val="24"/>
          <w:szCs w:val="24"/>
        </w:rPr>
        <w:t>联系电话：</w:t>
      </w:r>
      <w:r>
        <w:rPr>
          <w:rFonts w:hint="eastAsia" w:hAnsi="宋体" w:cs="宋体"/>
          <w:bCs/>
          <w:sz w:val="24"/>
          <w:szCs w:val="24"/>
          <w:u w:val="single"/>
        </w:rPr>
        <w:t xml:space="preserve">                </w:t>
      </w:r>
    </w:p>
    <w:p w14:paraId="31FA7027">
      <w:pPr>
        <w:pStyle w:val="17"/>
        <w:snapToGrid w:val="0"/>
        <w:spacing w:line="360" w:lineRule="auto"/>
        <w:ind w:firstLine="480" w:firstLineChars="200"/>
        <w:rPr>
          <w:rFonts w:hint="eastAsia" w:hAnsi="宋体" w:cs="宋体"/>
          <w:bCs/>
          <w:sz w:val="24"/>
          <w:szCs w:val="24"/>
        </w:rPr>
      </w:pPr>
      <w:r>
        <w:rPr>
          <w:rFonts w:hint="eastAsia" w:hAnsi="宋体" w:cs="宋体"/>
          <w:bCs/>
          <w:sz w:val="24"/>
          <w:szCs w:val="24"/>
        </w:rPr>
        <w:t>被投诉人2：</w:t>
      </w:r>
    </w:p>
    <w:p w14:paraId="732D9988">
      <w:pPr>
        <w:pStyle w:val="17"/>
        <w:snapToGrid w:val="0"/>
        <w:spacing w:line="360" w:lineRule="auto"/>
        <w:ind w:firstLine="480" w:firstLineChars="200"/>
        <w:rPr>
          <w:rFonts w:hint="eastAsia" w:hAnsi="宋体" w:cs="宋体"/>
          <w:bCs/>
          <w:sz w:val="24"/>
          <w:szCs w:val="24"/>
        </w:rPr>
      </w:pPr>
      <w:r>
        <w:rPr>
          <w:rFonts w:hint="eastAsia" w:hAnsi="宋体" w:cs="宋体"/>
          <w:bCs/>
          <w:sz w:val="24"/>
          <w:szCs w:val="24"/>
        </w:rPr>
        <w:t>……</w:t>
      </w:r>
    </w:p>
    <w:p w14:paraId="7EF514BD">
      <w:pPr>
        <w:pStyle w:val="17"/>
        <w:snapToGrid w:val="0"/>
        <w:spacing w:line="360" w:lineRule="auto"/>
        <w:ind w:firstLine="480" w:firstLineChars="200"/>
        <w:rPr>
          <w:rFonts w:hint="eastAsia" w:hAnsi="宋体" w:cs="宋体"/>
          <w:bCs/>
          <w:sz w:val="24"/>
          <w:szCs w:val="24"/>
          <w:u w:val="single"/>
        </w:rPr>
      </w:pPr>
      <w:r>
        <w:rPr>
          <w:rFonts w:hint="eastAsia" w:hAnsi="宋体" w:cs="宋体"/>
          <w:bCs/>
          <w:sz w:val="24"/>
          <w:szCs w:val="24"/>
        </w:rPr>
        <w:t>相关供应商：</w:t>
      </w:r>
      <w:r>
        <w:rPr>
          <w:rFonts w:hint="eastAsia" w:hAnsi="宋体" w:cs="宋体"/>
          <w:bCs/>
          <w:sz w:val="24"/>
          <w:szCs w:val="24"/>
          <w:u w:val="single"/>
        </w:rPr>
        <w:t xml:space="preserve">                                                                       </w:t>
      </w:r>
    </w:p>
    <w:p w14:paraId="648E615F">
      <w:pPr>
        <w:pStyle w:val="17"/>
        <w:snapToGrid w:val="0"/>
        <w:spacing w:line="360" w:lineRule="auto"/>
        <w:ind w:firstLine="480" w:firstLineChars="200"/>
        <w:rPr>
          <w:rFonts w:hint="eastAsia" w:hAnsi="宋体" w:cs="宋体"/>
          <w:bCs/>
          <w:sz w:val="24"/>
          <w:szCs w:val="24"/>
          <w:u w:val="single"/>
        </w:rPr>
      </w:pPr>
      <w:r>
        <w:rPr>
          <w:rFonts w:hint="eastAsia" w:hAnsi="宋体" w:cs="宋体"/>
          <w:bCs/>
          <w:sz w:val="24"/>
          <w:szCs w:val="24"/>
        </w:rPr>
        <w:t>地址：</w:t>
      </w:r>
      <w:r>
        <w:rPr>
          <w:rFonts w:hint="eastAsia" w:hAnsi="宋体" w:cs="宋体"/>
          <w:bCs/>
          <w:sz w:val="24"/>
          <w:szCs w:val="24"/>
          <w:u w:val="single"/>
        </w:rPr>
        <w:t xml:space="preserve">                                              </w:t>
      </w:r>
      <w:r>
        <w:rPr>
          <w:rFonts w:hint="eastAsia" w:hAnsi="宋体" w:cs="宋体"/>
          <w:bCs/>
          <w:sz w:val="24"/>
          <w:szCs w:val="24"/>
        </w:rPr>
        <w:t>邮编：</w:t>
      </w:r>
      <w:r>
        <w:rPr>
          <w:rFonts w:hint="eastAsia" w:hAnsi="宋体" w:cs="宋体"/>
          <w:bCs/>
          <w:sz w:val="24"/>
          <w:szCs w:val="24"/>
          <w:u w:val="single"/>
        </w:rPr>
        <w:t xml:space="preserve">                         </w:t>
      </w:r>
    </w:p>
    <w:p w14:paraId="6B41BAD4">
      <w:pPr>
        <w:pStyle w:val="17"/>
        <w:snapToGrid w:val="0"/>
        <w:spacing w:line="360" w:lineRule="auto"/>
        <w:ind w:firstLine="480" w:firstLineChars="200"/>
        <w:rPr>
          <w:rFonts w:hint="eastAsia" w:hAnsi="宋体" w:cs="宋体"/>
          <w:bCs/>
          <w:sz w:val="24"/>
          <w:szCs w:val="24"/>
        </w:rPr>
      </w:pPr>
      <w:r>
        <w:rPr>
          <w:rFonts w:hint="eastAsia" w:hAnsi="宋体" w:cs="宋体"/>
          <w:bCs/>
          <w:sz w:val="24"/>
          <w:szCs w:val="24"/>
        </w:rPr>
        <w:t>联系人：</w:t>
      </w:r>
      <w:r>
        <w:rPr>
          <w:rFonts w:hint="eastAsia" w:hAnsi="宋体" w:cs="宋体"/>
          <w:bCs/>
          <w:sz w:val="24"/>
          <w:szCs w:val="24"/>
          <w:u w:val="single"/>
        </w:rPr>
        <w:t xml:space="preserve">                                            </w:t>
      </w:r>
      <w:r>
        <w:rPr>
          <w:rFonts w:hint="eastAsia" w:hAnsi="宋体" w:cs="宋体"/>
          <w:bCs/>
          <w:sz w:val="24"/>
          <w:szCs w:val="24"/>
        </w:rPr>
        <w:t>联系电话：</w:t>
      </w:r>
      <w:r>
        <w:rPr>
          <w:rFonts w:hint="eastAsia" w:hAnsi="宋体" w:cs="宋体"/>
          <w:bCs/>
          <w:sz w:val="24"/>
          <w:szCs w:val="24"/>
          <w:u w:val="single"/>
        </w:rPr>
        <w:t xml:space="preserve">                     </w:t>
      </w:r>
      <w:r>
        <w:rPr>
          <w:rFonts w:hint="eastAsia" w:hAnsi="宋体" w:cs="宋体"/>
          <w:bCs/>
          <w:sz w:val="24"/>
          <w:szCs w:val="24"/>
        </w:rPr>
        <w:t xml:space="preserve">                </w:t>
      </w:r>
    </w:p>
    <w:p w14:paraId="6198D914">
      <w:pPr>
        <w:pStyle w:val="17"/>
        <w:snapToGrid w:val="0"/>
        <w:spacing w:line="360" w:lineRule="auto"/>
        <w:ind w:firstLine="482" w:firstLineChars="200"/>
        <w:rPr>
          <w:rFonts w:hint="eastAsia" w:hAnsi="宋体" w:cs="宋体"/>
          <w:b/>
          <w:bCs/>
          <w:sz w:val="24"/>
          <w:szCs w:val="24"/>
        </w:rPr>
      </w:pPr>
      <w:r>
        <w:rPr>
          <w:rFonts w:hint="eastAsia" w:hAnsi="宋体" w:cs="宋体"/>
          <w:b/>
          <w:bCs/>
          <w:sz w:val="24"/>
          <w:szCs w:val="24"/>
        </w:rPr>
        <w:t>二、投诉项目基本情况：</w:t>
      </w:r>
    </w:p>
    <w:p w14:paraId="2A560FC9">
      <w:pPr>
        <w:pStyle w:val="17"/>
        <w:spacing w:line="360" w:lineRule="auto"/>
        <w:ind w:left="25" w:leftChars="12" w:firstLine="472" w:firstLineChars="197"/>
        <w:rPr>
          <w:rFonts w:hint="eastAsia" w:hAnsi="宋体" w:cs="宋体"/>
          <w:sz w:val="24"/>
          <w:szCs w:val="24"/>
        </w:rPr>
      </w:pPr>
      <w:r>
        <w:rPr>
          <w:rFonts w:hint="eastAsia" w:hAnsi="宋体" w:cs="宋体"/>
          <w:bCs/>
          <w:sz w:val="24"/>
          <w:szCs w:val="24"/>
        </w:rPr>
        <w:t>采购</w:t>
      </w:r>
      <w:r>
        <w:rPr>
          <w:rFonts w:hint="eastAsia" w:hAnsi="宋体" w:cs="宋体"/>
          <w:sz w:val="24"/>
          <w:szCs w:val="24"/>
        </w:rPr>
        <w:t>项目的名称：</w:t>
      </w:r>
      <w:r>
        <w:rPr>
          <w:rFonts w:hint="eastAsia" w:hAnsi="宋体" w:cs="宋体"/>
          <w:bCs/>
          <w:sz w:val="24"/>
          <w:szCs w:val="24"/>
          <w:u w:val="single"/>
        </w:rPr>
        <w:t xml:space="preserve">                                                                   </w:t>
      </w:r>
    </w:p>
    <w:p w14:paraId="15CA9095">
      <w:pPr>
        <w:pStyle w:val="17"/>
        <w:spacing w:line="360" w:lineRule="auto"/>
        <w:ind w:left="25" w:leftChars="12" w:firstLine="472" w:firstLineChars="197"/>
        <w:rPr>
          <w:rFonts w:hint="eastAsia" w:hAnsi="宋体" w:cs="宋体"/>
          <w:sz w:val="24"/>
          <w:szCs w:val="24"/>
        </w:rPr>
      </w:pPr>
      <w:r>
        <w:rPr>
          <w:rFonts w:hint="eastAsia" w:hAnsi="宋体" w:cs="宋体"/>
          <w:bCs/>
          <w:sz w:val="24"/>
          <w:szCs w:val="24"/>
        </w:rPr>
        <w:t>采购</w:t>
      </w:r>
      <w:r>
        <w:rPr>
          <w:rFonts w:hint="eastAsia" w:hAnsi="宋体" w:cs="宋体"/>
          <w:sz w:val="24"/>
          <w:szCs w:val="24"/>
        </w:rPr>
        <w:t>项目的编号：</w:t>
      </w:r>
      <w:r>
        <w:rPr>
          <w:rFonts w:hint="eastAsia" w:hAnsi="宋体" w:cs="宋体"/>
          <w:bCs/>
          <w:sz w:val="24"/>
          <w:szCs w:val="24"/>
          <w:u w:val="single"/>
        </w:rPr>
        <w:t xml:space="preserve">                                          </w:t>
      </w:r>
    </w:p>
    <w:p w14:paraId="06F7543D">
      <w:pPr>
        <w:pStyle w:val="17"/>
        <w:spacing w:line="360" w:lineRule="auto"/>
        <w:ind w:left="25" w:leftChars="12" w:firstLine="472" w:firstLineChars="197"/>
        <w:rPr>
          <w:rFonts w:hint="eastAsia" w:hAnsi="宋体" w:cs="宋体"/>
          <w:bCs/>
          <w:sz w:val="24"/>
          <w:szCs w:val="24"/>
          <w:u w:val="single"/>
        </w:rPr>
      </w:pPr>
      <w:r>
        <w:rPr>
          <w:rFonts w:hint="eastAsia" w:hAnsi="宋体" w:cs="宋体"/>
          <w:sz w:val="24"/>
          <w:szCs w:val="24"/>
        </w:rPr>
        <w:t>采购人名称：</w:t>
      </w:r>
      <w:r>
        <w:rPr>
          <w:rFonts w:hint="eastAsia" w:hAnsi="宋体" w:cs="宋体"/>
          <w:bCs/>
          <w:sz w:val="24"/>
          <w:szCs w:val="24"/>
          <w:u w:val="single"/>
        </w:rPr>
        <w:t xml:space="preserve">                                                                        </w:t>
      </w:r>
    </w:p>
    <w:p w14:paraId="6C00F9AA">
      <w:pPr>
        <w:pStyle w:val="17"/>
        <w:spacing w:line="360" w:lineRule="auto"/>
        <w:ind w:left="25" w:leftChars="12" w:firstLine="472" w:firstLineChars="197"/>
        <w:rPr>
          <w:rFonts w:hint="eastAsia" w:hAnsi="宋体" w:cs="宋体"/>
          <w:bCs/>
          <w:sz w:val="24"/>
          <w:szCs w:val="24"/>
          <w:u w:val="single"/>
        </w:rPr>
      </w:pPr>
      <w:r>
        <w:rPr>
          <w:rFonts w:hint="eastAsia" w:hAnsi="宋体" w:cs="宋体"/>
          <w:sz w:val="24"/>
          <w:szCs w:val="24"/>
        </w:rPr>
        <w:t>代理机构名称：</w:t>
      </w:r>
      <w:r>
        <w:rPr>
          <w:rFonts w:hint="eastAsia" w:hAnsi="宋体" w:cs="宋体"/>
          <w:bCs/>
          <w:sz w:val="24"/>
          <w:szCs w:val="24"/>
          <w:u w:val="single"/>
        </w:rPr>
        <w:t xml:space="preserve">                                                                      </w:t>
      </w:r>
    </w:p>
    <w:p w14:paraId="17C1B369">
      <w:pPr>
        <w:pStyle w:val="17"/>
        <w:spacing w:line="360" w:lineRule="auto"/>
        <w:ind w:left="25" w:leftChars="12" w:firstLine="472" w:firstLineChars="197"/>
        <w:rPr>
          <w:rFonts w:hint="eastAsia" w:hAnsi="宋体" w:cs="宋体"/>
          <w:bCs/>
          <w:sz w:val="24"/>
          <w:szCs w:val="24"/>
          <w:u w:val="single"/>
        </w:rPr>
      </w:pPr>
      <w:r>
        <w:rPr>
          <w:rFonts w:hint="eastAsia" w:hAnsi="宋体" w:cs="宋体"/>
          <w:bCs/>
          <w:sz w:val="24"/>
          <w:szCs w:val="24"/>
        </w:rPr>
        <w:t>采购文件公告：</w:t>
      </w:r>
      <w:r>
        <w:rPr>
          <w:rFonts w:hint="eastAsia" w:hAnsi="宋体" w:cs="宋体"/>
          <w:bCs/>
          <w:sz w:val="24"/>
          <w:szCs w:val="24"/>
          <w:u w:val="single"/>
        </w:rPr>
        <w:t>是/否</w:t>
      </w:r>
      <w:r>
        <w:rPr>
          <w:rFonts w:hint="eastAsia" w:hAnsi="宋体" w:cs="宋体"/>
          <w:bCs/>
          <w:sz w:val="24"/>
          <w:szCs w:val="24"/>
        </w:rPr>
        <w:t>公告期限：</w:t>
      </w:r>
      <w:r>
        <w:rPr>
          <w:rFonts w:hint="eastAsia" w:hAnsi="宋体" w:cs="宋体"/>
          <w:bCs/>
          <w:sz w:val="24"/>
          <w:szCs w:val="24"/>
          <w:u w:val="single"/>
        </w:rPr>
        <w:t xml:space="preserve">                                                       </w:t>
      </w:r>
    </w:p>
    <w:p w14:paraId="31EF41B3">
      <w:pPr>
        <w:pStyle w:val="17"/>
        <w:spacing w:line="360" w:lineRule="auto"/>
        <w:ind w:left="25" w:leftChars="12" w:firstLine="472" w:firstLineChars="197"/>
        <w:rPr>
          <w:rFonts w:hint="eastAsia" w:hAnsi="宋体" w:cs="宋体"/>
          <w:b/>
          <w:sz w:val="24"/>
          <w:szCs w:val="24"/>
        </w:rPr>
      </w:pPr>
      <w:r>
        <w:rPr>
          <w:rFonts w:hint="eastAsia" w:hAnsi="宋体" w:cs="宋体"/>
          <w:bCs/>
          <w:sz w:val="24"/>
          <w:szCs w:val="24"/>
        </w:rPr>
        <w:t>采购结果公告：</w:t>
      </w:r>
      <w:r>
        <w:rPr>
          <w:rFonts w:hint="eastAsia" w:hAnsi="宋体" w:cs="宋体"/>
          <w:bCs/>
          <w:sz w:val="24"/>
          <w:szCs w:val="24"/>
          <w:u w:val="single"/>
        </w:rPr>
        <w:t>是/否</w:t>
      </w:r>
      <w:r>
        <w:rPr>
          <w:rFonts w:hint="eastAsia" w:hAnsi="宋体" w:cs="宋体"/>
          <w:bCs/>
          <w:sz w:val="24"/>
          <w:szCs w:val="24"/>
        </w:rPr>
        <w:t>公告期限：</w:t>
      </w:r>
      <w:r>
        <w:rPr>
          <w:rFonts w:hint="eastAsia" w:hAnsi="宋体" w:cs="宋体"/>
          <w:bCs/>
          <w:sz w:val="24"/>
          <w:szCs w:val="24"/>
          <w:u w:val="single"/>
        </w:rPr>
        <w:t xml:space="preserve">                                                       </w:t>
      </w:r>
    </w:p>
    <w:p w14:paraId="3CC4E913">
      <w:pPr>
        <w:pStyle w:val="17"/>
        <w:spacing w:line="360" w:lineRule="auto"/>
        <w:ind w:left="25" w:leftChars="12" w:firstLine="472" w:firstLineChars="196"/>
        <w:rPr>
          <w:rFonts w:hint="eastAsia" w:hAnsi="宋体" w:cs="宋体"/>
          <w:b/>
          <w:sz w:val="24"/>
          <w:szCs w:val="24"/>
        </w:rPr>
      </w:pPr>
      <w:r>
        <w:rPr>
          <w:rFonts w:hint="eastAsia" w:hAnsi="宋体" w:cs="宋体"/>
          <w:b/>
          <w:sz w:val="24"/>
          <w:szCs w:val="24"/>
        </w:rPr>
        <w:t>三、质疑基本情况</w:t>
      </w:r>
    </w:p>
    <w:p w14:paraId="0E914020">
      <w:pPr>
        <w:pStyle w:val="17"/>
        <w:spacing w:line="360" w:lineRule="auto"/>
        <w:ind w:left="23" w:leftChars="11" w:firstLine="540" w:firstLineChars="225"/>
        <w:rPr>
          <w:rFonts w:hint="eastAsia" w:hAnsi="宋体" w:cs="宋体"/>
          <w:bCs/>
          <w:sz w:val="24"/>
          <w:szCs w:val="24"/>
          <w:u w:val="single"/>
        </w:rPr>
      </w:pPr>
      <w:r>
        <w:rPr>
          <w:rFonts w:hint="eastAsia" w:hAnsi="宋体" w:cs="宋体"/>
          <w:sz w:val="24"/>
          <w:szCs w:val="24"/>
        </w:rPr>
        <w:t>投诉人于</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日，向</w:t>
      </w:r>
      <w:r>
        <w:rPr>
          <w:rFonts w:hint="eastAsia" w:hAnsi="宋体" w:cs="宋体"/>
          <w:sz w:val="24"/>
          <w:szCs w:val="24"/>
          <w:u w:val="single"/>
        </w:rPr>
        <w:t xml:space="preserve">                                </w:t>
      </w:r>
      <w:r>
        <w:rPr>
          <w:rFonts w:hint="eastAsia" w:hAnsi="宋体" w:cs="宋体"/>
          <w:sz w:val="24"/>
          <w:szCs w:val="24"/>
        </w:rPr>
        <w:t>提出质疑，质疑事项为：</w:t>
      </w:r>
      <w:r>
        <w:rPr>
          <w:rFonts w:hint="eastAsia" w:hAnsi="宋体" w:cs="宋体"/>
          <w:bCs/>
          <w:sz w:val="24"/>
          <w:szCs w:val="24"/>
          <w:u w:val="single"/>
        </w:rPr>
        <w:t xml:space="preserve">                                                                                      </w:t>
      </w:r>
    </w:p>
    <w:p w14:paraId="728F89CF">
      <w:pPr>
        <w:pStyle w:val="17"/>
        <w:spacing w:line="360" w:lineRule="auto"/>
        <w:ind w:left="23" w:leftChars="11" w:firstLine="540" w:firstLineChars="225"/>
        <w:rPr>
          <w:rFonts w:hint="eastAsia" w:hAnsi="宋体" w:cs="宋体"/>
          <w:bCs/>
          <w:sz w:val="24"/>
          <w:szCs w:val="24"/>
          <w:u w:val="single"/>
        </w:rPr>
      </w:pPr>
      <w:r>
        <w:rPr>
          <w:rFonts w:hint="eastAsia" w:hAnsi="宋体" w:cs="宋体"/>
          <w:bCs/>
          <w:sz w:val="24"/>
          <w:szCs w:val="24"/>
        </w:rPr>
        <w:t xml:space="preserve">    </w:t>
      </w:r>
      <w:r>
        <w:rPr>
          <w:rFonts w:hint="eastAsia" w:hAnsi="宋体" w:cs="宋体"/>
          <w:bCs/>
          <w:sz w:val="24"/>
          <w:szCs w:val="24"/>
          <w:u w:val="single"/>
        </w:rPr>
        <w:t xml:space="preserve">                                                                                      </w:t>
      </w:r>
    </w:p>
    <w:p w14:paraId="52BD096E">
      <w:pPr>
        <w:pStyle w:val="17"/>
        <w:spacing w:line="360" w:lineRule="auto"/>
        <w:ind w:left="23" w:leftChars="11" w:firstLine="540" w:firstLineChars="225"/>
        <w:rPr>
          <w:rFonts w:hint="eastAsia" w:hAnsi="宋体" w:cs="宋体"/>
          <w:sz w:val="24"/>
          <w:szCs w:val="24"/>
        </w:rPr>
      </w:pPr>
      <w:r>
        <w:rPr>
          <w:rFonts w:hint="eastAsia" w:hAnsi="宋体" w:cs="宋体"/>
          <w:bCs/>
          <w:sz w:val="24"/>
          <w:szCs w:val="24"/>
          <w:u w:val="single"/>
        </w:rPr>
        <w:t>采购人/代理机构</w:t>
      </w:r>
      <w:r>
        <w:rPr>
          <w:rFonts w:hint="eastAsia" w:hAnsi="宋体" w:cs="宋体"/>
          <w:bCs/>
          <w:sz w:val="24"/>
          <w:szCs w:val="24"/>
        </w:rPr>
        <w:t>于</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r>
        <w:rPr>
          <w:rFonts w:hint="eastAsia" w:hAnsi="宋体" w:cs="宋体"/>
          <w:bCs/>
          <w:sz w:val="24"/>
          <w:szCs w:val="24"/>
        </w:rPr>
        <w:t xml:space="preserve">就质疑事项作出了答复/没有在法定期限内作出答复。                                                                                             </w:t>
      </w:r>
    </w:p>
    <w:p w14:paraId="6092AA09">
      <w:pPr>
        <w:pStyle w:val="17"/>
        <w:spacing w:line="360" w:lineRule="auto"/>
        <w:ind w:left="25" w:leftChars="12" w:firstLine="472" w:firstLineChars="196"/>
        <w:rPr>
          <w:rFonts w:hint="eastAsia" w:hAnsi="宋体" w:cs="宋体"/>
          <w:b/>
          <w:sz w:val="24"/>
          <w:szCs w:val="24"/>
        </w:rPr>
      </w:pPr>
      <w:r>
        <w:rPr>
          <w:rFonts w:hint="eastAsia" w:hAnsi="宋体" w:cs="宋体"/>
          <w:b/>
          <w:sz w:val="24"/>
          <w:szCs w:val="24"/>
        </w:rPr>
        <w:t>四、投诉事项具体内容</w:t>
      </w:r>
    </w:p>
    <w:p w14:paraId="40E37881">
      <w:pPr>
        <w:pStyle w:val="17"/>
        <w:spacing w:line="360" w:lineRule="auto"/>
        <w:ind w:left="25" w:leftChars="12" w:firstLine="472" w:firstLineChars="197"/>
        <w:rPr>
          <w:rFonts w:hint="eastAsia" w:hAnsi="宋体" w:cs="宋体"/>
          <w:bCs/>
          <w:sz w:val="24"/>
          <w:szCs w:val="24"/>
          <w:u w:val="single"/>
        </w:rPr>
      </w:pPr>
      <w:r>
        <w:rPr>
          <w:rFonts w:hint="eastAsia" w:hAnsi="宋体" w:cs="宋体"/>
          <w:sz w:val="24"/>
          <w:szCs w:val="24"/>
        </w:rPr>
        <w:t>投诉事项1：</w:t>
      </w:r>
      <w:r>
        <w:rPr>
          <w:rFonts w:hint="eastAsia" w:hAnsi="宋体" w:cs="宋体"/>
          <w:bCs/>
          <w:sz w:val="24"/>
          <w:szCs w:val="24"/>
          <w:u w:val="single"/>
        </w:rPr>
        <w:t xml:space="preserve">                                                                           </w:t>
      </w:r>
    </w:p>
    <w:p w14:paraId="33D95DE0">
      <w:pPr>
        <w:pStyle w:val="17"/>
        <w:spacing w:line="360" w:lineRule="auto"/>
        <w:ind w:firstLine="480" w:firstLineChars="200"/>
        <w:rPr>
          <w:rFonts w:hint="eastAsia" w:hAnsi="宋体" w:cs="宋体"/>
          <w:bCs/>
          <w:sz w:val="24"/>
          <w:szCs w:val="24"/>
          <w:u w:val="single"/>
        </w:rPr>
      </w:pPr>
      <w:r>
        <w:rPr>
          <w:rFonts w:hint="eastAsia" w:hAnsi="宋体" w:cs="宋体"/>
          <w:bCs/>
          <w:sz w:val="24"/>
          <w:szCs w:val="24"/>
        </w:rPr>
        <w:t>事实依据：</w:t>
      </w:r>
      <w:r>
        <w:rPr>
          <w:rFonts w:hint="eastAsia" w:hAnsi="宋体" w:cs="宋体"/>
          <w:sz w:val="24"/>
          <w:szCs w:val="24"/>
        </w:rPr>
        <w:t xml:space="preserve"> </w:t>
      </w:r>
      <w:r>
        <w:rPr>
          <w:rFonts w:hint="eastAsia" w:hAnsi="宋体" w:cs="宋体"/>
          <w:bCs/>
          <w:sz w:val="24"/>
          <w:szCs w:val="24"/>
          <w:u w:val="single"/>
        </w:rPr>
        <w:t xml:space="preserve">                                                                                      </w:t>
      </w:r>
    </w:p>
    <w:p w14:paraId="723C6EDC">
      <w:pPr>
        <w:pStyle w:val="17"/>
        <w:spacing w:line="360" w:lineRule="auto"/>
        <w:ind w:left="25" w:leftChars="12" w:firstLine="472" w:firstLineChars="197"/>
        <w:rPr>
          <w:rFonts w:hint="eastAsia" w:hAnsi="宋体" w:cs="宋体"/>
          <w:sz w:val="24"/>
          <w:szCs w:val="24"/>
        </w:rPr>
      </w:pPr>
      <w:r>
        <w:rPr>
          <w:rFonts w:hint="eastAsia" w:hAnsi="宋体" w:cs="宋体"/>
          <w:bCs/>
          <w:sz w:val="24"/>
          <w:szCs w:val="24"/>
          <w:u w:val="single"/>
        </w:rPr>
        <w:t xml:space="preserve">                                                                                        </w:t>
      </w:r>
    </w:p>
    <w:p w14:paraId="1D82F398">
      <w:pPr>
        <w:pStyle w:val="17"/>
        <w:spacing w:line="360" w:lineRule="auto"/>
        <w:ind w:firstLine="480" w:firstLineChars="200"/>
        <w:rPr>
          <w:rFonts w:hint="eastAsia" w:hAnsi="宋体" w:cs="宋体"/>
          <w:bCs/>
          <w:sz w:val="24"/>
          <w:szCs w:val="24"/>
          <w:u w:val="single"/>
        </w:rPr>
      </w:pPr>
      <w:r>
        <w:rPr>
          <w:rFonts w:hint="eastAsia" w:hAnsi="宋体" w:cs="宋体"/>
          <w:bCs/>
          <w:sz w:val="24"/>
          <w:szCs w:val="24"/>
        </w:rPr>
        <w:t>法律依据：</w:t>
      </w:r>
      <w:r>
        <w:rPr>
          <w:rFonts w:hint="eastAsia" w:hAnsi="宋体" w:cs="宋体"/>
          <w:sz w:val="24"/>
          <w:szCs w:val="24"/>
        </w:rPr>
        <w:t xml:space="preserve"> </w:t>
      </w:r>
      <w:r>
        <w:rPr>
          <w:rFonts w:hint="eastAsia" w:hAnsi="宋体" w:cs="宋体"/>
          <w:bCs/>
          <w:sz w:val="24"/>
          <w:szCs w:val="24"/>
          <w:u w:val="single"/>
        </w:rPr>
        <w:t xml:space="preserve">                                                                                      </w:t>
      </w:r>
    </w:p>
    <w:p w14:paraId="73E574E8">
      <w:pPr>
        <w:pStyle w:val="17"/>
        <w:spacing w:line="360" w:lineRule="auto"/>
        <w:ind w:left="25" w:leftChars="12" w:firstLine="352" w:firstLineChars="147"/>
        <w:rPr>
          <w:rFonts w:hint="eastAsia" w:hAnsi="宋体" w:cs="宋体"/>
          <w:bCs/>
          <w:sz w:val="24"/>
          <w:szCs w:val="24"/>
          <w:u w:val="single"/>
        </w:rPr>
      </w:pPr>
      <w:r>
        <w:rPr>
          <w:rFonts w:hint="eastAsia" w:hAnsi="宋体" w:cs="宋体"/>
          <w:bCs/>
          <w:sz w:val="24"/>
          <w:szCs w:val="24"/>
        </w:rPr>
        <w:t xml:space="preserve"> </w:t>
      </w:r>
      <w:r>
        <w:rPr>
          <w:rFonts w:hint="eastAsia" w:hAnsi="宋体" w:cs="宋体"/>
          <w:bCs/>
          <w:sz w:val="24"/>
          <w:szCs w:val="24"/>
          <w:u w:val="single"/>
        </w:rPr>
        <w:t xml:space="preserve">                                                                                        </w:t>
      </w:r>
    </w:p>
    <w:p w14:paraId="3F698378">
      <w:pPr>
        <w:pStyle w:val="17"/>
        <w:spacing w:line="360" w:lineRule="auto"/>
        <w:ind w:left="25" w:leftChars="12" w:firstLine="472" w:firstLineChars="197"/>
        <w:rPr>
          <w:rFonts w:hint="eastAsia" w:hAnsi="宋体" w:cs="宋体"/>
          <w:bCs/>
          <w:sz w:val="24"/>
          <w:szCs w:val="24"/>
        </w:rPr>
      </w:pPr>
      <w:r>
        <w:rPr>
          <w:rFonts w:hint="eastAsia" w:hAnsi="宋体" w:cs="宋体"/>
          <w:sz w:val="24"/>
          <w:szCs w:val="24"/>
        </w:rPr>
        <w:t xml:space="preserve">投诉事项2  </w:t>
      </w:r>
      <w:r>
        <w:rPr>
          <w:rFonts w:hint="eastAsia" w:hAnsi="宋体" w:cs="宋体"/>
          <w:bCs/>
          <w:sz w:val="24"/>
          <w:szCs w:val="24"/>
        </w:rPr>
        <w:t xml:space="preserve">   </w:t>
      </w:r>
    </w:p>
    <w:p w14:paraId="72F0C1FE">
      <w:pPr>
        <w:pStyle w:val="17"/>
        <w:spacing w:line="360" w:lineRule="auto"/>
        <w:ind w:left="25" w:leftChars="12" w:firstLine="472" w:firstLineChars="197"/>
        <w:rPr>
          <w:rFonts w:hint="eastAsia" w:hAnsi="宋体" w:cs="宋体"/>
          <w:bCs/>
          <w:sz w:val="24"/>
          <w:szCs w:val="24"/>
        </w:rPr>
      </w:pPr>
      <w:r>
        <w:rPr>
          <w:rFonts w:hint="eastAsia" w:hAnsi="宋体" w:cs="宋体"/>
          <w:bCs/>
          <w:sz w:val="24"/>
          <w:szCs w:val="24"/>
        </w:rPr>
        <w:t>……</w:t>
      </w:r>
    </w:p>
    <w:p w14:paraId="4903F5B1">
      <w:pPr>
        <w:pStyle w:val="17"/>
        <w:spacing w:line="360" w:lineRule="auto"/>
        <w:ind w:left="25" w:leftChars="12" w:firstLine="472" w:firstLineChars="196"/>
        <w:rPr>
          <w:rFonts w:hint="eastAsia" w:hAnsi="宋体" w:cs="宋体"/>
          <w:b/>
          <w:sz w:val="24"/>
          <w:szCs w:val="24"/>
        </w:rPr>
      </w:pPr>
      <w:r>
        <w:rPr>
          <w:rFonts w:hint="eastAsia" w:hAnsi="宋体" w:cs="宋体"/>
          <w:b/>
          <w:sz w:val="24"/>
          <w:szCs w:val="24"/>
        </w:rPr>
        <w:t>五、与投诉事项相关的投诉请求：</w:t>
      </w:r>
    </w:p>
    <w:p w14:paraId="024727D0">
      <w:pPr>
        <w:pStyle w:val="17"/>
        <w:spacing w:line="360" w:lineRule="auto"/>
        <w:ind w:left="25" w:leftChars="12" w:firstLine="472" w:firstLineChars="197"/>
        <w:rPr>
          <w:rFonts w:hint="eastAsia" w:hAnsi="宋体" w:cs="宋体"/>
          <w:sz w:val="24"/>
          <w:szCs w:val="24"/>
        </w:rPr>
      </w:pPr>
      <w:r>
        <w:rPr>
          <w:rFonts w:hint="eastAsia" w:hAnsi="宋体" w:cs="宋体"/>
          <w:sz w:val="24"/>
          <w:szCs w:val="24"/>
        </w:rPr>
        <w:t>请求：</w:t>
      </w:r>
      <w:r>
        <w:rPr>
          <w:rFonts w:hint="eastAsia" w:hAnsi="宋体" w:cs="宋体"/>
          <w:bCs/>
          <w:sz w:val="24"/>
          <w:szCs w:val="24"/>
          <w:u w:val="single"/>
        </w:rPr>
        <w:t xml:space="preserve">                                                                                 </w:t>
      </w:r>
    </w:p>
    <w:p w14:paraId="62D272CD">
      <w:pPr>
        <w:pStyle w:val="17"/>
        <w:spacing w:line="360" w:lineRule="auto"/>
        <w:ind w:left="25" w:leftChars="12" w:firstLine="352" w:firstLineChars="147"/>
        <w:rPr>
          <w:rFonts w:hint="eastAsia" w:hAnsi="宋体" w:cs="宋体"/>
          <w:sz w:val="24"/>
          <w:szCs w:val="24"/>
        </w:rPr>
      </w:pPr>
    </w:p>
    <w:p w14:paraId="51A31FBD">
      <w:pPr>
        <w:pStyle w:val="17"/>
        <w:spacing w:line="360" w:lineRule="auto"/>
        <w:ind w:left="25" w:leftChars="12" w:firstLine="472" w:firstLineChars="197"/>
        <w:rPr>
          <w:rFonts w:hint="eastAsia" w:hAnsi="宋体" w:cs="宋体"/>
          <w:sz w:val="24"/>
          <w:szCs w:val="24"/>
        </w:rPr>
      </w:pPr>
      <w:r>
        <w:rPr>
          <w:rFonts w:hint="eastAsia" w:hAnsi="宋体" w:cs="宋体"/>
          <w:sz w:val="24"/>
          <w:szCs w:val="24"/>
        </w:rPr>
        <w:t>签字（签章）：                                       公章：</w:t>
      </w:r>
    </w:p>
    <w:p w14:paraId="70153470">
      <w:pPr>
        <w:pStyle w:val="17"/>
        <w:spacing w:line="360" w:lineRule="auto"/>
        <w:ind w:left="25" w:leftChars="12" w:firstLine="352" w:firstLineChars="147"/>
        <w:rPr>
          <w:rFonts w:hint="eastAsia" w:hAnsi="宋体" w:cs="宋体"/>
          <w:sz w:val="24"/>
          <w:szCs w:val="24"/>
        </w:rPr>
      </w:pPr>
    </w:p>
    <w:p w14:paraId="15F1E8D2">
      <w:pPr>
        <w:pStyle w:val="17"/>
        <w:spacing w:line="360" w:lineRule="auto"/>
        <w:ind w:left="25" w:leftChars="12" w:firstLine="472" w:firstLineChars="197"/>
        <w:rPr>
          <w:rFonts w:hint="eastAsia" w:hAnsi="宋体" w:cs="宋体"/>
          <w:sz w:val="24"/>
          <w:szCs w:val="24"/>
        </w:rPr>
      </w:pPr>
      <w:r>
        <w:rPr>
          <w:rFonts w:hint="eastAsia" w:hAnsi="宋体" w:cs="宋体"/>
          <w:sz w:val="24"/>
          <w:szCs w:val="24"/>
        </w:rPr>
        <w:t>日期：</w:t>
      </w:r>
    </w:p>
    <w:p w14:paraId="0233A39E">
      <w:pPr>
        <w:pStyle w:val="17"/>
        <w:spacing w:line="360" w:lineRule="auto"/>
        <w:ind w:left="25" w:leftChars="12" w:firstLine="472" w:firstLineChars="197"/>
        <w:rPr>
          <w:rFonts w:hint="eastAsia" w:hAnsi="宋体" w:cs="宋体"/>
          <w:b/>
          <w:sz w:val="24"/>
          <w:szCs w:val="24"/>
        </w:rPr>
      </w:pPr>
      <w:r>
        <w:rPr>
          <w:rFonts w:hint="eastAsia" w:hAnsi="宋体" w:cs="宋体"/>
          <w:bCs/>
          <w:sz w:val="24"/>
          <w:szCs w:val="24"/>
        </w:rPr>
        <w:t xml:space="preserve">                                                                                 </w:t>
      </w:r>
    </w:p>
    <w:p w14:paraId="51F65734">
      <w:pPr>
        <w:pStyle w:val="17"/>
        <w:snapToGrid w:val="0"/>
        <w:spacing w:line="360" w:lineRule="auto"/>
        <w:rPr>
          <w:rFonts w:hint="eastAsia" w:hAnsi="宋体" w:cs="宋体"/>
          <w:b/>
          <w:sz w:val="24"/>
          <w:szCs w:val="24"/>
        </w:rPr>
      </w:pPr>
      <w:r>
        <w:rPr>
          <w:rFonts w:hint="eastAsia" w:hAnsi="宋体" w:cs="宋体"/>
          <w:b/>
          <w:sz w:val="24"/>
          <w:szCs w:val="24"/>
        </w:rPr>
        <w:t>说明：</w:t>
      </w:r>
    </w:p>
    <w:p w14:paraId="3F406235">
      <w:pPr>
        <w:pStyle w:val="17"/>
        <w:adjustRightInd w:val="0"/>
        <w:snapToGrid w:val="0"/>
        <w:spacing w:line="360" w:lineRule="auto"/>
        <w:ind w:firstLine="482" w:firstLineChars="200"/>
        <w:jc w:val="left"/>
        <w:rPr>
          <w:rFonts w:hint="eastAsia" w:hAnsi="宋体" w:cs="宋体"/>
          <w:b/>
          <w:bCs/>
          <w:sz w:val="24"/>
          <w:szCs w:val="24"/>
        </w:rPr>
      </w:pPr>
      <w:r>
        <w:rPr>
          <w:rFonts w:hint="eastAsia" w:hAnsi="宋体" w:cs="宋体"/>
          <w:b/>
          <w:sz w:val="24"/>
          <w:szCs w:val="24"/>
        </w:rPr>
        <w:t>1.投诉人提起投诉时，应当提交投诉书和必要的证明材料，并按照被投诉人和与投诉事项有关的供应商数量提供投诉书副本</w:t>
      </w:r>
      <w:r>
        <w:rPr>
          <w:rFonts w:hint="eastAsia" w:hAnsi="宋体" w:cs="宋体"/>
          <w:b/>
          <w:bCs/>
          <w:sz w:val="24"/>
          <w:szCs w:val="24"/>
        </w:rPr>
        <w:t>。</w:t>
      </w:r>
    </w:p>
    <w:p w14:paraId="435D7CF0">
      <w:pPr>
        <w:pStyle w:val="17"/>
        <w:adjustRightInd w:val="0"/>
        <w:snapToGrid w:val="0"/>
        <w:spacing w:line="360" w:lineRule="auto"/>
        <w:ind w:firstLine="482" w:firstLineChars="200"/>
        <w:jc w:val="left"/>
        <w:rPr>
          <w:rFonts w:hint="eastAsia" w:hAnsi="宋体" w:cs="宋体"/>
          <w:b/>
          <w:sz w:val="24"/>
          <w:szCs w:val="24"/>
        </w:rPr>
      </w:pPr>
      <w:r>
        <w:rPr>
          <w:rFonts w:hint="eastAsia" w:hAnsi="宋体" w:cs="宋体"/>
          <w:b/>
          <w:sz w:val="24"/>
          <w:szCs w:val="24"/>
        </w:rPr>
        <w:t>2.投诉人若委托代理人进行投诉的，投诉书应按要求列明“授权代表”的有关内容，并在附件中提交由投诉人签署的授权委托书。授权委托书应当载明代理人的姓名或者名称、代理事项、具体权限、期限和相关事项。</w:t>
      </w:r>
    </w:p>
    <w:p w14:paraId="182C6F2C">
      <w:pPr>
        <w:pStyle w:val="17"/>
        <w:adjustRightInd w:val="0"/>
        <w:snapToGrid w:val="0"/>
        <w:spacing w:line="360" w:lineRule="auto"/>
        <w:ind w:firstLine="482" w:firstLineChars="200"/>
        <w:jc w:val="left"/>
        <w:rPr>
          <w:rFonts w:hint="eastAsia" w:hAnsi="宋体" w:cs="宋体"/>
          <w:b/>
          <w:sz w:val="24"/>
          <w:szCs w:val="24"/>
        </w:rPr>
      </w:pPr>
      <w:r>
        <w:rPr>
          <w:rFonts w:hint="eastAsia" w:hAnsi="宋体" w:cs="宋体"/>
          <w:b/>
          <w:sz w:val="24"/>
          <w:szCs w:val="24"/>
        </w:rPr>
        <w:t>3.投诉书应简要列明质疑事项，质疑函、质疑答复等作为附件材料提供。</w:t>
      </w:r>
    </w:p>
    <w:p w14:paraId="26F90F70">
      <w:pPr>
        <w:pStyle w:val="17"/>
        <w:adjustRightInd w:val="0"/>
        <w:snapToGrid w:val="0"/>
        <w:spacing w:line="360" w:lineRule="auto"/>
        <w:ind w:firstLine="482" w:firstLineChars="200"/>
        <w:jc w:val="left"/>
        <w:rPr>
          <w:rFonts w:hint="eastAsia" w:hAnsi="宋体" w:cs="宋体"/>
          <w:b/>
          <w:sz w:val="24"/>
          <w:szCs w:val="24"/>
        </w:rPr>
      </w:pPr>
      <w:r>
        <w:rPr>
          <w:rFonts w:hint="eastAsia" w:hAnsi="宋体" w:cs="宋体"/>
          <w:b/>
          <w:sz w:val="24"/>
          <w:szCs w:val="24"/>
        </w:rPr>
        <w:t>4.投诉书的投诉事项应具体、明确，并有必要的事实依据和法律依据。</w:t>
      </w:r>
    </w:p>
    <w:p w14:paraId="7C5562A8">
      <w:pPr>
        <w:pStyle w:val="17"/>
        <w:adjustRightInd w:val="0"/>
        <w:snapToGrid w:val="0"/>
        <w:spacing w:line="360" w:lineRule="auto"/>
        <w:ind w:firstLine="482" w:firstLineChars="200"/>
        <w:jc w:val="left"/>
        <w:rPr>
          <w:rFonts w:hint="eastAsia" w:hAnsi="宋体" w:cs="宋体"/>
          <w:b/>
          <w:sz w:val="24"/>
          <w:szCs w:val="24"/>
        </w:rPr>
      </w:pPr>
      <w:r>
        <w:rPr>
          <w:rFonts w:hint="eastAsia" w:hAnsi="宋体" w:cs="宋体"/>
          <w:b/>
          <w:sz w:val="24"/>
          <w:szCs w:val="24"/>
        </w:rPr>
        <w:t>5.投诉书的投诉请求应与投诉事项相关。</w:t>
      </w:r>
    </w:p>
    <w:p w14:paraId="5B6640A6">
      <w:pPr>
        <w:pStyle w:val="17"/>
        <w:adjustRightInd w:val="0"/>
        <w:snapToGrid w:val="0"/>
        <w:spacing w:line="360" w:lineRule="auto"/>
        <w:ind w:firstLine="482" w:firstLineChars="200"/>
        <w:jc w:val="left"/>
        <w:rPr>
          <w:rFonts w:hint="eastAsia" w:hAnsi="宋体" w:cs="宋体"/>
          <w:b/>
          <w:sz w:val="24"/>
          <w:szCs w:val="24"/>
        </w:rPr>
      </w:pPr>
      <w:r>
        <w:rPr>
          <w:rFonts w:hint="eastAsia" w:hAnsi="宋体" w:cs="宋体"/>
          <w:b/>
          <w:sz w:val="24"/>
          <w:szCs w:val="24"/>
        </w:rPr>
        <w:t>6.投诉人为法人或者其他组织的，投诉书应由法定代表人、主要负责人，或者其授权代表签字或者盖章，并加盖公章。</w:t>
      </w:r>
    </w:p>
    <w:p w14:paraId="3655D4F0">
      <w:pPr>
        <w:spacing w:line="400" w:lineRule="exact"/>
        <w:jc w:val="center"/>
        <w:rPr>
          <w:rFonts w:ascii="宋体" w:hAnsi="宋体"/>
          <w:b/>
          <w:sz w:val="32"/>
          <w:szCs w:val="32"/>
        </w:rPr>
      </w:pPr>
      <w:r>
        <w:rPr>
          <w:rFonts w:hint="eastAsia" w:ascii="宋体" w:hAnsi="宋体" w:cs="宋体"/>
        </w:rPr>
        <w:br w:type="page"/>
      </w:r>
      <w:bookmarkStart w:id="73" w:name="_Toc32215"/>
      <w:r>
        <w:rPr>
          <w:rStyle w:val="47"/>
          <w:rFonts w:hint="eastAsia" w:ascii="宋体" w:hAnsi="宋体" w:cs="宋体"/>
        </w:rPr>
        <w:t xml:space="preserve">第六章   </w:t>
      </w:r>
      <w:bookmarkEnd w:id="73"/>
      <w:bookmarkStart w:id="74" w:name="_Toc20223"/>
      <w:bookmarkStart w:id="75" w:name="_Toc13546"/>
      <w:r>
        <w:rPr>
          <w:rFonts w:hint="eastAsia" w:ascii="宋体" w:hAnsi="宋体"/>
          <w:b/>
          <w:sz w:val="32"/>
          <w:szCs w:val="32"/>
        </w:rPr>
        <w:t>广西壮族自治区政府采购合同（格式）</w:t>
      </w:r>
    </w:p>
    <w:p w14:paraId="1C4ABAA5">
      <w:pPr>
        <w:spacing w:line="300" w:lineRule="exact"/>
        <w:jc w:val="center"/>
        <w:rPr>
          <w:rFonts w:ascii="宋体" w:hAnsi="宋体" w:cs="宋体"/>
          <w:sz w:val="22"/>
        </w:rPr>
      </w:pPr>
      <w:r>
        <w:rPr>
          <w:rFonts w:hint="eastAsia" w:ascii="宋体" w:hAnsi="宋体" w:cs="宋体"/>
          <w:sz w:val="22"/>
        </w:rPr>
        <w:t>（钦州市第一人民医院货物采购合同范本）</w:t>
      </w:r>
    </w:p>
    <w:p w14:paraId="641AF906">
      <w:pPr>
        <w:spacing w:line="400" w:lineRule="exact"/>
        <w:rPr>
          <w:rFonts w:ascii="宋体" w:hAnsi="宋体" w:cs="宋体"/>
          <w:sz w:val="22"/>
        </w:rPr>
      </w:pPr>
      <w:r>
        <w:rPr>
          <w:rFonts w:hint="eastAsia" w:ascii="宋体" w:hAnsi="宋体" w:cs="宋体"/>
          <w:sz w:val="22"/>
        </w:rPr>
        <w:t>合同编号：</w:t>
      </w:r>
    </w:p>
    <w:p w14:paraId="7D8B0F38">
      <w:pPr>
        <w:spacing w:line="400" w:lineRule="exact"/>
        <w:rPr>
          <w:rFonts w:ascii="宋体" w:hAnsi="宋体" w:cs="宋体"/>
          <w:sz w:val="22"/>
        </w:rPr>
      </w:pPr>
      <w:r>
        <w:rPr>
          <w:rFonts w:hint="eastAsia" w:ascii="宋体" w:hAnsi="宋体" w:cs="宋体"/>
          <w:sz w:val="22"/>
        </w:rPr>
        <w:t xml:space="preserve">采购人（甲方）：                                  采 购 计 划 号：                         </w:t>
      </w:r>
    </w:p>
    <w:p w14:paraId="5FD36FCD">
      <w:pPr>
        <w:spacing w:line="400" w:lineRule="exact"/>
        <w:rPr>
          <w:rFonts w:ascii="宋体" w:hAnsi="宋体" w:cs="宋体"/>
          <w:sz w:val="22"/>
        </w:rPr>
      </w:pPr>
      <w:r>
        <w:rPr>
          <w:rFonts w:hint="eastAsia" w:ascii="宋体" w:hAnsi="宋体" w:cs="宋体"/>
          <w:sz w:val="22"/>
        </w:rPr>
        <w:t xml:space="preserve">供应商（乙方）：                                  采购项目名称和编号：                       </w:t>
      </w:r>
    </w:p>
    <w:p w14:paraId="3DFC532E">
      <w:pPr>
        <w:spacing w:line="400" w:lineRule="exact"/>
        <w:rPr>
          <w:rFonts w:ascii="宋体" w:hAnsi="宋体" w:cs="宋体"/>
          <w:sz w:val="22"/>
        </w:rPr>
      </w:pPr>
      <w:r>
        <w:rPr>
          <w:rFonts w:hint="eastAsia" w:ascii="宋体" w:hAnsi="宋体" w:cs="宋体"/>
          <w:sz w:val="22"/>
        </w:rPr>
        <w:t xml:space="preserve">签  订  地  点：                                  签 订 时 间：                       </w:t>
      </w:r>
    </w:p>
    <w:p w14:paraId="0552D0FC">
      <w:pPr>
        <w:spacing w:line="400" w:lineRule="exact"/>
        <w:ind w:left="798"/>
        <w:rPr>
          <w:rFonts w:ascii="宋体" w:hAnsi="宋体" w:cs="宋体"/>
          <w:sz w:val="22"/>
        </w:rPr>
      </w:pPr>
    </w:p>
    <w:p w14:paraId="5C47DAEB">
      <w:pPr>
        <w:spacing w:line="440" w:lineRule="exact"/>
        <w:rPr>
          <w:rFonts w:ascii="宋体" w:hAnsi="宋体" w:cs="宋体"/>
          <w:sz w:val="22"/>
        </w:rPr>
      </w:pPr>
      <w:r>
        <w:rPr>
          <w:rFonts w:hint="eastAsia" w:ascii="宋体" w:hAnsi="宋体" w:cs="宋体"/>
          <w:sz w:val="22"/>
        </w:rPr>
        <w:t xml:space="preserve"> 根据《中华人民共和国政府采购法》、《中华人民共和国民法典》之合同编等法律、法规规定，按照竞争性谈判文件（以下简称“谈判文件”）规定条款和乙方竞争性谈判响应文件（以下简称“响应文件”）及其承诺，甲乙双方签订本合同。</w:t>
      </w:r>
    </w:p>
    <w:p w14:paraId="3620AB91">
      <w:pPr>
        <w:spacing w:line="440" w:lineRule="exact"/>
        <w:rPr>
          <w:rFonts w:ascii="宋体" w:hAnsi="宋体" w:cs="宋体"/>
          <w:sz w:val="22"/>
        </w:rPr>
      </w:pPr>
      <w:r>
        <w:rPr>
          <w:rFonts w:hint="eastAsia" w:ascii="宋体" w:hAnsi="宋体" w:cs="宋体"/>
          <w:sz w:val="22"/>
        </w:rPr>
        <w:t xml:space="preserve"> 第一条　合同标的</w:t>
      </w:r>
    </w:p>
    <w:p w14:paraId="1C677C84">
      <w:pPr>
        <w:spacing w:line="440" w:lineRule="exact"/>
        <w:ind w:left="798"/>
        <w:rPr>
          <w:rFonts w:ascii="宋体" w:hAnsi="宋体" w:cs="宋体"/>
          <w:sz w:val="22"/>
        </w:rPr>
      </w:pPr>
      <w:r>
        <w:rPr>
          <w:rFonts w:hint="eastAsia" w:ascii="宋体" w:hAnsi="宋体" w:cs="宋体"/>
          <w:sz w:val="22"/>
        </w:rPr>
        <w:t>供货一览表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555"/>
        <w:gridCol w:w="992"/>
        <w:gridCol w:w="1276"/>
        <w:gridCol w:w="745"/>
        <w:gridCol w:w="531"/>
        <w:gridCol w:w="567"/>
        <w:gridCol w:w="850"/>
        <w:gridCol w:w="851"/>
        <w:gridCol w:w="1436"/>
      </w:tblGrid>
      <w:tr w14:paraId="1C14B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0" w:hRule="atLeast"/>
          <w:jc w:val="center"/>
        </w:trPr>
        <w:tc>
          <w:tcPr>
            <w:tcW w:w="654" w:type="dxa"/>
            <w:noWrap w:val="0"/>
            <w:vAlign w:val="center"/>
          </w:tcPr>
          <w:p w14:paraId="34BB3083">
            <w:pPr>
              <w:spacing w:line="440" w:lineRule="exact"/>
              <w:jc w:val="center"/>
              <w:rPr>
                <w:rFonts w:ascii="宋体" w:hAnsi="宋体" w:cs="宋体"/>
                <w:sz w:val="22"/>
              </w:rPr>
            </w:pPr>
            <w:r>
              <w:rPr>
                <w:rFonts w:hint="eastAsia" w:ascii="宋体" w:hAnsi="宋体" w:cs="宋体"/>
                <w:sz w:val="22"/>
              </w:rPr>
              <w:t>序号</w:t>
            </w:r>
          </w:p>
        </w:tc>
        <w:tc>
          <w:tcPr>
            <w:tcW w:w="1555" w:type="dxa"/>
            <w:noWrap w:val="0"/>
            <w:vAlign w:val="center"/>
          </w:tcPr>
          <w:p w14:paraId="43384C44">
            <w:pPr>
              <w:spacing w:line="440" w:lineRule="exact"/>
              <w:ind w:left="210" w:leftChars="100"/>
              <w:jc w:val="center"/>
              <w:rPr>
                <w:rFonts w:ascii="宋体" w:hAnsi="宋体" w:cs="宋体"/>
                <w:sz w:val="22"/>
              </w:rPr>
            </w:pPr>
            <w:r>
              <w:rPr>
                <w:rFonts w:hint="eastAsia" w:ascii="宋体" w:hAnsi="宋体" w:cs="宋体"/>
                <w:sz w:val="22"/>
              </w:rPr>
              <w:t>产品名称</w:t>
            </w:r>
          </w:p>
        </w:tc>
        <w:tc>
          <w:tcPr>
            <w:tcW w:w="992" w:type="dxa"/>
            <w:noWrap w:val="0"/>
            <w:vAlign w:val="center"/>
          </w:tcPr>
          <w:p w14:paraId="71F06E54">
            <w:pPr>
              <w:spacing w:line="440" w:lineRule="exact"/>
              <w:ind w:left="210" w:leftChars="100"/>
              <w:jc w:val="center"/>
              <w:rPr>
                <w:rFonts w:ascii="宋体" w:hAnsi="宋体" w:cs="宋体"/>
                <w:sz w:val="22"/>
              </w:rPr>
            </w:pPr>
            <w:r>
              <w:rPr>
                <w:rFonts w:hint="eastAsia" w:ascii="宋体" w:hAnsi="宋体" w:cs="宋体"/>
                <w:sz w:val="22"/>
              </w:rPr>
              <w:t>商标品牌</w:t>
            </w:r>
          </w:p>
        </w:tc>
        <w:tc>
          <w:tcPr>
            <w:tcW w:w="1276" w:type="dxa"/>
            <w:noWrap w:val="0"/>
            <w:vAlign w:val="center"/>
          </w:tcPr>
          <w:p w14:paraId="78125C4A">
            <w:pPr>
              <w:spacing w:line="440" w:lineRule="exact"/>
              <w:ind w:left="210" w:leftChars="100"/>
              <w:jc w:val="center"/>
              <w:rPr>
                <w:rFonts w:ascii="宋体" w:hAnsi="宋体" w:cs="宋体"/>
                <w:sz w:val="22"/>
              </w:rPr>
            </w:pPr>
            <w:r>
              <w:rPr>
                <w:rFonts w:hint="eastAsia" w:ascii="宋体" w:hAnsi="宋体" w:cs="宋体"/>
                <w:sz w:val="22"/>
              </w:rPr>
              <w:t>规格型号</w:t>
            </w:r>
          </w:p>
        </w:tc>
        <w:tc>
          <w:tcPr>
            <w:tcW w:w="745" w:type="dxa"/>
            <w:noWrap w:val="0"/>
            <w:vAlign w:val="center"/>
          </w:tcPr>
          <w:p w14:paraId="28B24D2C">
            <w:pPr>
              <w:spacing w:line="440" w:lineRule="exact"/>
              <w:jc w:val="center"/>
              <w:rPr>
                <w:rFonts w:ascii="宋体" w:hAnsi="宋体" w:cs="宋体"/>
                <w:sz w:val="22"/>
              </w:rPr>
            </w:pPr>
            <w:r>
              <w:rPr>
                <w:rFonts w:hint="eastAsia" w:ascii="宋体" w:hAnsi="宋体" w:cs="宋体"/>
                <w:sz w:val="22"/>
              </w:rPr>
              <w:t>生产厂家</w:t>
            </w:r>
          </w:p>
        </w:tc>
        <w:tc>
          <w:tcPr>
            <w:tcW w:w="531" w:type="dxa"/>
            <w:noWrap w:val="0"/>
            <w:vAlign w:val="center"/>
          </w:tcPr>
          <w:p w14:paraId="37A98F4F">
            <w:pPr>
              <w:spacing w:line="440" w:lineRule="exact"/>
              <w:jc w:val="center"/>
              <w:rPr>
                <w:rFonts w:ascii="宋体" w:hAnsi="宋体" w:cs="宋体"/>
                <w:sz w:val="22"/>
              </w:rPr>
            </w:pPr>
            <w:r>
              <w:rPr>
                <w:rFonts w:hint="eastAsia" w:ascii="宋体" w:hAnsi="宋体" w:cs="宋体"/>
                <w:sz w:val="22"/>
              </w:rPr>
              <w:t>数量</w:t>
            </w:r>
          </w:p>
        </w:tc>
        <w:tc>
          <w:tcPr>
            <w:tcW w:w="567" w:type="dxa"/>
            <w:noWrap w:val="0"/>
            <w:vAlign w:val="center"/>
          </w:tcPr>
          <w:p w14:paraId="0A696494">
            <w:pPr>
              <w:spacing w:line="440" w:lineRule="exact"/>
              <w:jc w:val="center"/>
              <w:rPr>
                <w:rFonts w:ascii="宋体" w:hAnsi="宋体" w:cs="宋体"/>
                <w:sz w:val="22"/>
              </w:rPr>
            </w:pPr>
            <w:r>
              <w:rPr>
                <w:rFonts w:hint="eastAsia" w:ascii="宋体" w:hAnsi="宋体" w:cs="宋体"/>
                <w:sz w:val="22"/>
              </w:rPr>
              <w:t>单位</w:t>
            </w:r>
          </w:p>
        </w:tc>
        <w:tc>
          <w:tcPr>
            <w:tcW w:w="850" w:type="dxa"/>
            <w:noWrap w:val="0"/>
            <w:vAlign w:val="center"/>
          </w:tcPr>
          <w:p w14:paraId="493911D6">
            <w:pPr>
              <w:spacing w:line="440" w:lineRule="exact"/>
              <w:jc w:val="center"/>
              <w:rPr>
                <w:rFonts w:ascii="宋体" w:hAnsi="宋体" w:cs="宋体"/>
                <w:sz w:val="22"/>
              </w:rPr>
            </w:pPr>
            <w:r>
              <w:rPr>
                <w:rFonts w:hint="eastAsia" w:ascii="宋体" w:hAnsi="宋体" w:cs="宋体"/>
                <w:sz w:val="22"/>
              </w:rPr>
              <w:t>单价（元）</w:t>
            </w:r>
          </w:p>
        </w:tc>
        <w:tc>
          <w:tcPr>
            <w:tcW w:w="851" w:type="dxa"/>
            <w:noWrap w:val="0"/>
            <w:vAlign w:val="center"/>
          </w:tcPr>
          <w:p w14:paraId="4A600587">
            <w:pPr>
              <w:spacing w:line="440" w:lineRule="exact"/>
              <w:jc w:val="center"/>
              <w:rPr>
                <w:rFonts w:ascii="宋体" w:hAnsi="宋体" w:cs="宋体"/>
                <w:sz w:val="22"/>
              </w:rPr>
            </w:pPr>
            <w:r>
              <w:rPr>
                <w:rFonts w:hint="eastAsia" w:ascii="宋体" w:hAnsi="宋体" w:cs="宋体"/>
                <w:sz w:val="22"/>
              </w:rPr>
              <w:t>金额（元）</w:t>
            </w:r>
          </w:p>
        </w:tc>
        <w:tc>
          <w:tcPr>
            <w:tcW w:w="1436" w:type="dxa"/>
            <w:noWrap w:val="0"/>
            <w:vAlign w:val="center"/>
          </w:tcPr>
          <w:p w14:paraId="43D6AA05">
            <w:pPr>
              <w:spacing w:line="440" w:lineRule="exact"/>
              <w:jc w:val="center"/>
              <w:rPr>
                <w:rFonts w:ascii="宋体" w:hAnsi="宋体" w:cs="宋体"/>
                <w:sz w:val="22"/>
              </w:rPr>
            </w:pPr>
            <w:r>
              <w:rPr>
                <w:rFonts w:ascii="宋体" w:hAnsi="宋体" w:cs="宋体"/>
                <w:sz w:val="22"/>
              </w:rPr>
              <w:t>产品医疗设备注册证号</w:t>
            </w:r>
          </w:p>
        </w:tc>
      </w:tr>
      <w:tr w14:paraId="587E2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4" w:type="dxa"/>
            <w:noWrap w:val="0"/>
            <w:vAlign w:val="center"/>
          </w:tcPr>
          <w:p w14:paraId="4A962F6D">
            <w:pPr>
              <w:spacing w:line="440" w:lineRule="exact"/>
              <w:ind w:left="798"/>
              <w:jc w:val="center"/>
              <w:rPr>
                <w:rFonts w:ascii="宋体" w:hAnsi="宋体" w:cs="宋体"/>
                <w:sz w:val="22"/>
              </w:rPr>
            </w:pPr>
            <w:r>
              <w:rPr>
                <w:rFonts w:hint="eastAsia" w:ascii="宋体" w:hAnsi="宋体" w:cs="宋体"/>
                <w:sz w:val="22"/>
              </w:rPr>
              <w:t>1</w:t>
            </w:r>
          </w:p>
        </w:tc>
        <w:tc>
          <w:tcPr>
            <w:tcW w:w="1555" w:type="dxa"/>
            <w:noWrap w:val="0"/>
            <w:vAlign w:val="center"/>
          </w:tcPr>
          <w:p w14:paraId="43274D0A">
            <w:pPr>
              <w:spacing w:line="440" w:lineRule="exact"/>
              <w:rPr>
                <w:rFonts w:ascii="宋体" w:hAnsi="宋体" w:cs="宋体"/>
                <w:sz w:val="22"/>
              </w:rPr>
            </w:pPr>
            <w:r>
              <w:rPr>
                <w:rFonts w:ascii="宋体" w:hAnsi="宋体" w:cs="宋体"/>
                <w:sz w:val="22"/>
              </w:rPr>
              <w:t>招标货物名称</w:t>
            </w:r>
            <w:r>
              <w:rPr>
                <w:rFonts w:hint="eastAsia" w:ascii="宋体" w:hAnsi="宋体" w:cs="宋体"/>
                <w:sz w:val="22"/>
              </w:rPr>
              <w:t>（货物注册证名称）</w:t>
            </w:r>
          </w:p>
        </w:tc>
        <w:tc>
          <w:tcPr>
            <w:tcW w:w="992" w:type="dxa"/>
            <w:noWrap w:val="0"/>
            <w:vAlign w:val="center"/>
          </w:tcPr>
          <w:p w14:paraId="5F8042D7">
            <w:pPr>
              <w:spacing w:line="440" w:lineRule="exact"/>
              <w:ind w:left="798"/>
              <w:rPr>
                <w:rFonts w:ascii="宋体" w:hAnsi="宋体" w:cs="宋体"/>
                <w:sz w:val="22"/>
              </w:rPr>
            </w:pPr>
          </w:p>
        </w:tc>
        <w:tc>
          <w:tcPr>
            <w:tcW w:w="1276" w:type="dxa"/>
            <w:noWrap w:val="0"/>
            <w:vAlign w:val="center"/>
          </w:tcPr>
          <w:p w14:paraId="25F987FC">
            <w:pPr>
              <w:spacing w:line="440" w:lineRule="exact"/>
              <w:ind w:left="798"/>
              <w:rPr>
                <w:rFonts w:ascii="宋体" w:hAnsi="宋体" w:cs="宋体"/>
                <w:sz w:val="22"/>
              </w:rPr>
            </w:pPr>
          </w:p>
        </w:tc>
        <w:tc>
          <w:tcPr>
            <w:tcW w:w="745" w:type="dxa"/>
            <w:noWrap w:val="0"/>
            <w:vAlign w:val="center"/>
          </w:tcPr>
          <w:p w14:paraId="220BE5EA">
            <w:pPr>
              <w:spacing w:line="440" w:lineRule="exact"/>
              <w:ind w:left="798"/>
              <w:rPr>
                <w:rFonts w:ascii="宋体" w:hAnsi="宋体" w:cs="宋体"/>
                <w:sz w:val="22"/>
              </w:rPr>
            </w:pPr>
          </w:p>
        </w:tc>
        <w:tc>
          <w:tcPr>
            <w:tcW w:w="531" w:type="dxa"/>
            <w:noWrap w:val="0"/>
            <w:vAlign w:val="center"/>
          </w:tcPr>
          <w:p w14:paraId="401BA7DC">
            <w:pPr>
              <w:spacing w:line="440" w:lineRule="exact"/>
              <w:ind w:left="798"/>
              <w:rPr>
                <w:rFonts w:ascii="宋体" w:hAnsi="宋体" w:cs="宋体"/>
                <w:sz w:val="22"/>
              </w:rPr>
            </w:pPr>
          </w:p>
        </w:tc>
        <w:tc>
          <w:tcPr>
            <w:tcW w:w="567" w:type="dxa"/>
            <w:noWrap w:val="0"/>
            <w:vAlign w:val="center"/>
          </w:tcPr>
          <w:p w14:paraId="1C943CCB">
            <w:pPr>
              <w:spacing w:line="440" w:lineRule="exact"/>
              <w:ind w:left="798"/>
              <w:rPr>
                <w:rFonts w:ascii="宋体" w:hAnsi="宋体" w:cs="宋体"/>
                <w:sz w:val="22"/>
              </w:rPr>
            </w:pPr>
          </w:p>
        </w:tc>
        <w:tc>
          <w:tcPr>
            <w:tcW w:w="850" w:type="dxa"/>
            <w:noWrap w:val="0"/>
            <w:vAlign w:val="center"/>
          </w:tcPr>
          <w:p w14:paraId="686DAF61">
            <w:pPr>
              <w:spacing w:line="440" w:lineRule="exact"/>
              <w:ind w:left="798"/>
              <w:rPr>
                <w:rFonts w:ascii="宋体" w:hAnsi="宋体" w:cs="宋体"/>
                <w:sz w:val="22"/>
              </w:rPr>
            </w:pPr>
          </w:p>
        </w:tc>
        <w:tc>
          <w:tcPr>
            <w:tcW w:w="851" w:type="dxa"/>
            <w:noWrap w:val="0"/>
            <w:vAlign w:val="center"/>
          </w:tcPr>
          <w:p w14:paraId="409CCE1F">
            <w:pPr>
              <w:spacing w:line="440" w:lineRule="exact"/>
              <w:ind w:left="798"/>
              <w:rPr>
                <w:rFonts w:ascii="宋体" w:hAnsi="宋体" w:cs="宋体"/>
                <w:sz w:val="22"/>
              </w:rPr>
            </w:pPr>
          </w:p>
        </w:tc>
        <w:tc>
          <w:tcPr>
            <w:tcW w:w="1436" w:type="dxa"/>
            <w:noWrap w:val="0"/>
            <w:vAlign w:val="center"/>
          </w:tcPr>
          <w:p w14:paraId="5E3C3154">
            <w:pPr>
              <w:spacing w:line="440" w:lineRule="exact"/>
              <w:ind w:left="798"/>
              <w:rPr>
                <w:rFonts w:ascii="宋体" w:hAnsi="宋体" w:cs="宋体"/>
                <w:sz w:val="22"/>
              </w:rPr>
            </w:pPr>
          </w:p>
        </w:tc>
      </w:tr>
      <w:tr w14:paraId="15B0E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 w:hRule="atLeast"/>
          <w:jc w:val="center"/>
        </w:trPr>
        <w:tc>
          <w:tcPr>
            <w:tcW w:w="654" w:type="dxa"/>
            <w:noWrap w:val="0"/>
            <w:vAlign w:val="center"/>
          </w:tcPr>
          <w:p w14:paraId="15DAF7E3">
            <w:pPr>
              <w:spacing w:line="440" w:lineRule="exact"/>
              <w:ind w:left="798"/>
              <w:rPr>
                <w:rFonts w:ascii="宋体" w:hAnsi="宋体" w:cs="宋体"/>
                <w:sz w:val="22"/>
              </w:rPr>
            </w:pPr>
          </w:p>
        </w:tc>
        <w:tc>
          <w:tcPr>
            <w:tcW w:w="1555" w:type="dxa"/>
            <w:noWrap w:val="0"/>
            <w:vAlign w:val="center"/>
          </w:tcPr>
          <w:p w14:paraId="177DF328">
            <w:pPr>
              <w:spacing w:line="440" w:lineRule="exact"/>
              <w:ind w:left="798"/>
              <w:rPr>
                <w:rFonts w:ascii="宋体" w:hAnsi="宋体" w:cs="宋体"/>
                <w:sz w:val="22"/>
              </w:rPr>
            </w:pPr>
          </w:p>
        </w:tc>
        <w:tc>
          <w:tcPr>
            <w:tcW w:w="992" w:type="dxa"/>
            <w:noWrap w:val="0"/>
            <w:vAlign w:val="center"/>
          </w:tcPr>
          <w:p w14:paraId="00C0A324">
            <w:pPr>
              <w:spacing w:line="440" w:lineRule="exact"/>
              <w:ind w:left="798"/>
              <w:rPr>
                <w:rFonts w:ascii="宋体" w:hAnsi="宋体" w:cs="宋体"/>
                <w:sz w:val="22"/>
              </w:rPr>
            </w:pPr>
          </w:p>
        </w:tc>
        <w:tc>
          <w:tcPr>
            <w:tcW w:w="1276" w:type="dxa"/>
            <w:noWrap w:val="0"/>
            <w:vAlign w:val="center"/>
          </w:tcPr>
          <w:p w14:paraId="141F89AE">
            <w:pPr>
              <w:spacing w:line="440" w:lineRule="exact"/>
              <w:ind w:left="798"/>
              <w:rPr>
                <w:rFonts w:ascii="宋体" w:hAnsi="宋体" w:cs="宋体"/>
                <w:sz w:val="22"/>
              </w:rPr>
            </w:pPr>
          </w:p>
        </w:tc>
        <w:tc>
          <w:tcPr>
            <w:tcW w:w="745" w:type="dxa"/>
            <w:noWrap w:val="0"/>
            <w:vAlign w:val="center"/>
          </w:tcPr>
          <w:p w14:paraId="014305C4">
            <w:pPr>
              <w:spacing w:line="440" w:lineRule="exact"/>
              <w:ind w:left="798"/>
              <w:rPr>
                <w:rFonts w:ascii="宋体" w:hAnsi="宋体" w:cs="宋体"/>
                <w:sz w:val="22"/>
              </w:rPr>
            </w:pPr>
          </w:p>
        </w:tc>
        <w:tc>
          <w:tcPr>
            <w:tcW w:w="531" w:type="dxa"/>
            <w:noWrap w:val="0"/>
            <w:vAlign w:val="center"/>
          </w:tcPr>
          <w:p w14:paraId="74B3F0FF">
            <w:pPr>
              <w:spacing w:line="440" w:lineRule="exact"/>
              <w:ind w:left="798"/>
              <w:rPr>
                <w:rFonts w:ascii="宋体" w:hAnsi="宋体" w:cs="宋体"/>
                <w:sz w:val="22"/>
              </w:rPr>
            </w:pPr>
          </w:p>
        </w:tc>
        <w:tc>
          <w:tcPr>
            <w:tcW w:w="567" w:type="dxa"/>
            <w:noWrap w:val="0"/>
            <w:vAlign w:val="center"/>
          </w:tcPr>
          <w:p w14:paraId="26027A62">
            <w:pPr>
              <w:spacing w:line="440" w:lineRule="exact"/>
              <w:ind w:left="798"/>
              <w:rPr>
                <w:rFonts w:ascii="宋体" w:hAnsi="宋体" w:cs="宋体"/>
                <w:sz w:val="22"/>
              </w:rPr>
            </w:pPr>
          </w:p>
        </w:tc>
        <w:tc>
          <w:tcPr>
            <w:tcW w:w="850" w:type="dxa"/>
            <w:noWrap w:val="0"/>
            <w:vAlign w:val="center"/>
          </w:tcPr>
          <w:p w14:paraId="3A563C89">
            <w:pPr>
              <w:spacing w:line="440" w:lineRule="exact"/>
              <w:ind w:left="798"/>
              <w:rPr>
                <w:rFonts w:ascii="宋体" w:hAnsi="宋体" w:cs="宋体"/>
                <w:sz w:val="22"/>
              </w:rPr>
            </w:pPr>
          </w:p>
        </w:tc>
        <w:tc>
          <w:tcPr>
            <w:tcW w:w="851" w:type="dxa"/>
            <w:noWrap w:val="0"/>
            <w:vAlign w:val="center"/>
          </w:tcPr>
          <w:p w14:paraId="5235ADCE">
            <w:pPr>
              <w:spacing w:line="440" w:lineRule="exact"/>
              <w:ind w:left="798"/>
              <w:rPr>
                <w:rFonts w:ascii="宋体" w:hAnsi="宋体" w:cs="宋体"/>
                <w:sz w:val="22"/>
              </w:rPr>
            </w:pPr>
          </w:p>
        </w:tc>
        <w:tc>
          <w:tcPr>
            <w:tcW w:w="1436" w:type="dxa"/>
            <w:noWrap w:val="0"/>
            <w:vAlign w:val="center"/>
          </w:tcPr>
          <w:p w14:paraId="691CC0B0">
            <w:pPr>
              <w:spacing w:line="440" w:lineRule="exact"/>
              <w:ind w:left="798"/>
              <w:rPr>
                <w:rFonts w:ascii="宋体" w:hAnsi="宋体" w:cs="宋体"/>
                <w:sz w:val="22"/>
              </w:rPr>
            </w:pPr>
          </w:p>
        </w:tc>
      </w:tr>
      <w:tr w14:paraId="1B0BD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654" w:type="dxa"/>
            <w:noWrap w:val="0"/>
            <w:vAlign w:val="center"/>
          </w:tcPr>
          <w:p w14:paraId="2A9C8864">
            <w:pPr>
              <w:spacing w:line="440" w:lineRule="exact"/>
              <w:ind w:left="798"/>
              <w:rPr>
                <w:rFonts w:ascii="宋体" w:hAnsi="宋体" w:cs="宋体"/>
                <w:sz w:val="22"/>
              </w:rPr>
            </w:pPr>
          </w:p>
        </w:tc>
        <w:tc>
          <w:tcPr>
            <w:tcW w:w="1555" w:type="dxa"/>
            <w:noWrap w:val="0"/>
            <w:vAlign w:val="center"/>
          </w:tcPr>
          <w:p w14:paraId="0F3B8710">
            <w:pPr>
              <w:spacing w:line="440" w:lineRule="exact"/>
              <w:ind w:left="798"/>
              <w:rPr>
                <w:rFonts w:ascii="宋体" w:hAnsi="宋体" w:cs="宋体"/>
                <w:sz w:val="22"/>
              </w:rPr>
            </w:pPr>
          </w:p>
        </w:tc>
        <w:tc>
          <w:tcPr>
            <w:tcW w:w="992" w:type="dxa"/>
            <w:noWrap w:val="0"/>
            <w:vAlign w:val="center"/>
          </w:tcPr>
          <w:p w14:paraId="11F037FA">
            <w:pPr>
              <w:spacing w:line="440" w:lineRule="exact"/>
              <w:ind w:left="798"/>
              <w:rPr>
                <w:rFonts w:ascii="宋体" w:hAnsi="宋体" w:cs="宋体"/>
                <w:sz w:val="22"/>
              </w:rPr>
            </w:pPr>
          </w:p>
        </w:tc>
        <w:tc>
          <w:tcPr>
            <w:tcW w:w="1276" w:type="dxa"/>
            <w:noWrap w:val="0"/>
            <w:vAlign w:val="center"/>
          </w:tcPr>
          <w:p w14:paraId="78823DB2">
            <w:pPr>
              <w:spacing w:line="440" w:lineRule="exact"/>
              <w:ind w:left="798"/>
              <w:rPr>
                <w:rFonts w:ascii="宋体" w:hAnsi="宋体" w:cs="宋体"/>
                <w:sz w:val="22"/>
              </w:rPr>
            </w:pPr>
          </w:p>
        </w:tc>
        <w:tc>
          <w:tcPr>
            <w:tcW w:w="745" w:type="dxa"/>
            <w:noWrap w:val="0"/>
            <w:vAlign w:val="center"/>
          </w:tcPr>
          <w:p w14:paraId="691FF947">
            <w:pPr>
              <w:spacing w:line="440" w:lineRule="exact"/>
              <w:ind w:left="798"/>
              <w:rPr>
                <w:rFonts w:ascii="宋体" w:hAnsi="宋体" w:cs="宋体"/>
                <w:sz w:val="22"/>
              </w:rPr>
            </w:pPr>
          </w:p>
        </w:tc>
        <w:tc>
          <w:tcPr>
            <w:tcW w:w="531" w:type="dxa"/>
            <w:noWrap w:val="0"/>
            <w:vAlign w:val="center"/>
          </w:tcPr>
          <w:p w14:paraId="5B6953B1">
            <w:pPr>
              <w:spacing w:line="440" w:lineRule="exact"/>
              <w:ind w:left="798"/>
              <w:rPr>
                <w:rFonts w:ascii="宋体" w:hAnsi="宋体" w:cs="宋体"/>
                <w:sz w:val="22"/>
              </w:rPr>
            </w:pPr>
          </w:p>
        </w:tc>
        <w:tc>
          <w:tcPr>
            <w:tcW w:w="567" w:type="dxa"/>
            <w:noWrap w:val="0"/>
            <w:vAlign w:val="center"/>
          </w:tcPr>
          <w:p w14:paraId="6C9DFD03">
            <w:pPr>
              <w:spacing w:line="440" w:lineRule="exact"/>
              <w:ind w:left="798"/>
              <w:rPr>
                <w:rFonts w:ascii="宋体" w:hAnsi="宋体" w:cs="宋体"/>
                <w:sz w:val="22"/>
              </w:rPr>
            </w:pPr>
          </w:p>
        </w:tc>
        <w:tc>
          <w:tcPr>
            <w:tcW w:w="850" w:type="dxa"/>
            <w:noWrap w:val="0"/>
            <w:vAlign w:val="center"/>
          </w:tcPr>
          <w:p w14:paraId="195CBBAC">
            <w:pPr>
              <w:spacing w:line="440" w:lineRule="exact"/>
              <w:ind w:left="798"/>
              <w:rPr>
                <w:rFonts w:ascii="宋体" w:hAnsi="宋体" w:cs="宋体"/>
                <w:sz w:val="22"/>
              </w:rPr>
            </w:pPr>
          </w:p>
        </w:tc>
        <w:tc>
          <w:tcPr>
            <w:tcW w:w="851" w:type="dxa"/>
            <w:noWrap w:val="0"/>
            <w:vAlign w:val="center"/>
          </w:tcPr>
          <w:p w14:paraId="38378048">
            <w:pPr>
              <w:spacing w:line="440" w:lineRule="exact"/>
              <w:ind w:left="798"/>
              <w:rPr>
                <w:rFonts w:ascii="宋体" w:hAnsi="宋体" w:cs="宋体"/>
                <w:sz w:val="22"/>
              </w:rPr>
            </w:pPr>
          </w:p>
        </w:tc>
        <w:tc>
          <w:tcPr>
            <w:tcW w:w="1436" w:type="dxa"/>
            <w:noWrap w:val="0"/>
            <w:vAlign w:val="center"/>
          </w:tcPr>
          <w:p w14:paraId="419C72E7">
            <w:pPr>
              <w:spacing w:line="440" w:lineRule="exact"/>
              <w:ind w:left="798"/>
              <w:rPr>
                <w:rFonts w:ascii="宋体" w:hAnsi="宋体" w:cs="宋体"/>
                <w:sz w:val="22"/>
              </w:rPr>
            </w:pPr>
          </w:p>
        </w:tc>
      </w:tr>
      <w:tr w14:paraId="5C0C6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457" w:type="dxa"/>
            <w:gridSpan w:val="10"/>
            <w:noWrap w:val="0"/>
            <w:vAlign w:val="center"/>
          </w:tcPr>
          <w:p w14:paraId="726E30B5">
            <w:pPr>
              <w:spacing w:line="440" w:lineRule="exact"/>
              <w:ind w:left="798"/>
              <w:rPr>
                <w:rFonts w:ascii="宋体" w:hAnsi="宋体" w:cs="宋体"/>
                <w:sz w:val="22"/>
              </w:rPr>
            </w:pPr>
            <w:r>
              <w:rPr>
                <w:rFonts w:hint="eastAsia" w:ascii="宋体" w:hAnsi="宋体" w:cs="宋体"/>
                <w:sz w:val="22"/>
              </w:rPr>
              <w:t xml:space="preserve">人民币合计金额（大写）                          （小写）                 </w:t>
            </w:r>
          </w:p>
        </w:tc>
      </w:tr>
    </w:tbl>
    <w:p w14:paraId="2B13963F">
      <w:pPr>
        <w:spacing w:line="440" w:lineRule="exact"/>
        <w:rPr>
          <w:rFonts w:ascii="宋体" w:hAnsi="宋体" w:cs="宋体"/>
          <w:sz w:val="22"/>
        </w:rPr>
      </w:pPr>
      <w:r>
        <w:rPr>
          <w:rFonts w:hint="eastAsia" w:ascii="宋体" w:hAnsi="宋体" w:cs="宋体"/>
          <w:sz w:val="22"/>
        </w:rPr>
        <w:t xml:space="preserve"> 2、合同合计金额包括货物价款，备件、专用工具、安装、调试、检验、技术培训及技术资料和包装、运输等全部费用。</w:t>
      </w:r>
    </w:p>
    <w:p w14:paraId="2741C276">
      <w:pPr>
        <w:pStyle w:val="78"/>
        <w:rPr>
          <w:rFonts w:eastAsia="仿宋_GB2312"/>
          <w:szCs w:val="20"/>
        </w:rPr>
      </w:pPr>
      <w:r>
        <w:rPr>
          <w:rFonts w:hint="eastAsia"/>
        </w:rPr>
        <w:t>3、</w:t>
      </w:r>
      <w:r>
        <w:rPr>
          <w:rFonts w:hint="eastAsia" w:ascii="宋体" w:hAnsi="宋体" w:cs="宋体"/>
          <w:color w:val="000000"/>
          <w:spacing w:val="0"/>
          <w:kern w:val="2"/>
          <w:sz w:val="22"/>
          <w:szCs w:val="22"/>
        </w:rPr>
        <w:t>设备如需接入</w:t>
      </w:r>
      <w:r>
        <w:rPr>
          <w:rFonts w:hint="eastAsia" w:ascii="宋体" w:hAnsi="宋体" w:cs="宋体"/>
          <w:color w:val="000000"/>
          <w:spacing w:val="0"/>
          <w:kern w:val="2"/>
          <w:sz w:val="22"/>
          <w:szCs w:val="22"/>
          <w:lang w:val="en-US" w:eastAsia="zh-CN"/>
        </w:rPr>
        <w:t>甲方</w:t>
      </w:r>
      <w:r>
        <w:rPr>
          <w:rFonts w:hint="eastAsia" w:ascii="宋体" w:hAnsi="宋体" w:cs="宋体"/>
          <w:color w:val="000000"/>
          <w:spacing w:val="0"/>
          <w:kern w:val="2"/>
          <w:sz w:val="22"/>
          <w:szCs w:val="22"/>
        </w:rPr>
        <w:t>HIS、LIS、PACS系统或互联互通平台，相关费用由</w:t>
      </w:r>
      <w:r>
        <w:rPr>
          <w:rFonts w:hint="eastAsia" w:ascii="宋体" w:hAnsi="宋体" w:cs="宋体"/>
          <w:color w:val="000000"/>
          <w:spacing w:val="0"/>
          <w:kern w:val="2"/>
          <w:sz w:val="22"/>
          <w:szCs w:val="22"/>
          <w:lang w:val="en-US" w:eastAsia="zh-CN"/>
        </w:rPr>
        <w:t>乙方</w:t>
      </w:r>
      <w:r>
        <w:rPr>
          <w:rFonts w:hint="eastAsia" w:ascii="宋体" w:hAnsi="宋体" w:cs="宋体"/>
          <w:color w:val="000000"/>
          <w:spacing w:val="0"/>
          <w:kern w:val="2"/>
          <w:sz w:val="22"/>
          <w:szCs w:val="22"/>
        </w:rPr>
        <w:t>负责。</w:t>
      </w:r>
    </w:p>
    <w:p w14:paraId="7B40EB21">
      <w:pPr>
        <w:spacing w:line="440" w:lineRule="exact"/>
        <w:ind w:firstLine="418" w:firstLineChars="190"/>
        <w:rPr>
          <w:rFonts w:ascii="宋体" w:hAnsi="宋体" w:cs="宋体"/>
          <w:sz w:val="22"/>
        </w:rPr>
      </w:pPr>
      <w:r>
        <w:rPr>
          <w:rFonts w:hint="eastAsia" w:ascii="宋体" w:hAnsi="宋体" w:cs="宋体"/>
          <w:sz w:val="22"/>
        </w:rPr>
        <w:t>第二条　质量保证</w:t>
      </w:r>
    </w:p>
    <w:p w14:paraId="66B51977">
      <w:pPr>
        <w:spacing w:line="440" w:lineRule="exact"/>
        <w:rPr>
          <w:rFonts w:ascii="宋体" w:hAnsi="宋体" w:cs="宋体"/>
          <w:sz w:val="22"/>
        </w:rPr>
      </w:pPr>
      <w:r>
        <w:rPr>
          <w:rFonts w:hint="eastAsia" w:ascii="宋体" w:hAnsi="宋体" w:cs="宋体"/>
          <w:sz w:val="22"/>
        </w:rPr>
        <w:t xml:space="preserve">    1、乙方所提供的货物型号、技术规格、技术参数等质量必须与谈判文件、响应文件和承诺相一致。乙方提供的节能和环保产品必须是列入政府采购清单的产品。</w:t>
      </w:r>
    </w:p>
    <w:p w14:paraId="55464F99">
      <w:pPr>
        <w:spacing w:line="440" w:lineRule="exact"/>
        <w:ind w:firstLine="220" w:firstLineChars="100"/>
        <w:rPr>
          <w:rFonts w:ascii="宋体" w:hAnsi="宋体" w:cs="宋体"/>
          <w:sz w:val="22"/>
        </w:rPr>
      </w:pPr>
      <w:r>
        <w:rPr>
          <w:rFonts w:hint="eastAsia" w:ascii="宋体" w:hAnsi="宋体" w:cs="宋体"/>
          <w:sz w:val="22"/>
        </w:rPr>
        <w:t xml:space="preserve">  2、乙方所提供的货物必须是全新、未经使用的原装产品，且在正常安装、使用和保养条件下，其使用寿命期内各项指标均达到质量要求。</w:t>
      </w:r>
    </w:p>
    <w:p w14:paraId="2FAA7522">
      <w:pPr>
        <w:spacing w:line="440" w:lineRule="exact"/>
        <w:ind w:firstLine="418" w:firstLineChars="190"/>
        <w:rPr>
          <w:rFonts w:ascii="宋体" w:hAnsi="宋体" w:cs="宋体"/>
          <w:sz w:val="22"/>
        </w:rPr>
      </w:pPr>
      <w:r>
        <w:rPr>
          <w:rFonts w:hint="eastAsia" w:ascii="宋体" w:hAnsi="宋体" w:cs="宋体"/>
          <w:sz w:val="22"/>
        </w:rPr>
        <w:t>第三条　权利保证</w:t>
      </w:r>
    </w:p>
    <w:p w14:paraId="2B9222D6">
      <w:pPr>
        <w:spacing w:line="440" w:lineRule="exact"/>
        <w:ind w:firstLine="528" w:firstLineChars="240"/>
        <w:rPr>
          <w:rFonts w:ascii="宋体" w:hAnsi="宋体" w:cs="宋体"/>
          <w:sz w:val="22"/>
        </w:rPr>
      </w:pPr>
      <w:r>
        <w:rPr>
          <w:rFonts w:hint="eastAsia" w:ascii="宋体" w:hAnsi="宋体" w:cs="宋体"/>
          <w:sz w:val="22"/>
        </w:rPr>
        <w:t>乙方应保证所提供货物在使用时不会侵犯任何第三方的专利权、商标权、工业设计权或其他权利。</w:t>
      </w:r>
    </w:p>
    <w:p w14:paraId="3A989DFB">
      <w:pPr>
        <w:spacing w:line="440" w:lineRule="exact"/>
        <w:ind w:firstLine="528" w:firstLineChars="240"/>
        <w:rPr>
          <w:rFonts w:ascii="宋体" w:hAnsi="宋体" w:cs="宋体"/>
          <w:sz w:val="22"/>
        </w:rPr>
      </w:pPr>
      <w:r>
        <w:rPr>
          <w:rFonts w:hint="eastAsia" w:ascii="宋体" w:hAnsi="宋体" w:cs="宋体"/>
          <w:sz w:val="22"/>
        </w:rPr>
        <w:t>乙方应按谈判文件规定的时间或响应文件承诺的时间向甲方提供使用货物的有关技术资料。</w:t>
      </w:r>
    </w:p>
    <w:p w14:paraId="16D5AB00">
      <w:pPr>
        <w:spacing w:line="440" w:lineRule="exact"/>
        <w:ind w:firstLine="418" w:firstLineChars="190"/>
        <w:rPr>
          <w:rFonts w:ascii="宋体" w:hAnsi="宋体" w:cs="宋体"/>
          <w:sz w:val="22"/>
        </w:rPr>
      </w:pPr>
      <w:r>
        <w:rPr>
          <w:rFonts w:hint="eastAsia" w:ascii="宋体" w:hAnsi="宋体" w:cs="宋体"/>
          <w:sz w:val="22"/>
        </w:rPr>
        <w:t xml:space="preserve">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49E85400">
      <w:pPr>
        <w:spacing w:line="440" w:lineRule="exact"/>
        <w:ind w:firstLine="308" w:firstLineChars="140"/>
        <w:rPr>
          <w:rFonts w:ascii="宋体" w:hAnsi="宋体" w:cs="宋体"/>
          <w:sz w:val="22"/>
        </w:rPr>
      </w:pPr>
      <w:r>
        <w:rPr>
          <w:rFonts w:hint="eastAsia" w:ascii="宋体" w:hAnsi="宋体" w:cs="宋体"/>
          <w:sz w:val="22"/>
        </w:rPr>
        <w:t xml:space="preserve"> 乙方保证所交付的货物的所有权完全属于乙方且无任何抵押、质押、查封等产权瑕疵。</w:t>
      </w:r>
    </w:p>
    <w:p w14:paraId="6584BE7F">
      <w:pPr>
        <w:spacing w:line="440" w:lineRule="exact"/>
        <w:ind w:firstLine="418" w:firstLineChars="190"/>
        <w:rPr>
          <w:rFonts w:ascii="宋体" w:hAnsi="宋体" w:cs="宋体"/>
          <w:sz w:val="22"/>
        </w:rPr>
      </w:pPr>
      <w:r>
        <w:rPr>
          <w:rFonts w:hint="eastAsia" w:ascii="宋体" w:hAnsi="宋体" w:cs="宋体"/>
          <w:sz w:val="22"/>
        </w:rPr>
        <w:t xml:space="preserve"> 第四条　包装和运输</w:t>
      </w:r>
    </w:p>
    <w:p w14:paraId="3221D07D">
      <w:pPr>
        <w:spacing w:line="440" w:lineRule="exact"/>
        <w:rPr>
          <w:rFonts w:ascii="宋体" w:hAnsi="宋体" w:cs="宋体"/>
          <w:sz w:val="22"/>
        </w:rPr>
      </w:pPr>
      <w:r>
        <w:rPr>
          <w:rFonts w:hint="eastAsia" w:ascii="宋体" w:hAnsi="宋体" w:cs="宋体"/>
          <w:sz w:val="22"/>
        </w:rPr>
        <w:t xml:space="preserve"> 1、乙方提供的货物均应按谈判文件、响应文件要求的包装材料、包装标准、包装方式进行包装，每一包装单元内应附详细的装箱单和质量合格证。</w:t>
      </w:r>
    </w:p>
    <w:p w14:paraId="373FF512">
      <w:pPr>
        <w:spacing w:line="440" w:lineRule="exact"/>
        <w:rPr>
          <w:rFonts w:ascii="宋体" w:hAnsi="宋体" w:cs="宋体"/>
          <w:sz w:val="22"/>
        </w:rPr>
      </w:pPr>
      <w:r>
        <w:rPr>
          <w:rFonts w:hint="eastAsia" w:ascii="宋体" w:hAnsi="宋体" w:cs="宋体"/>
          <w:sz w:val="22"/>
        </w:rPr>
        <w:t xml:space="preserve"> 2、货物的运输方式：</w:t>
      </w:r>
      <w:r>
        <w:rPr>
          <w:rFonts w:hint="eastAsia" w:ascii="宋体" w:hAnsi="宋体" w:cs="宋体"/>
          <w:sz w:val="22"/>
          <w:u w:val="single"/>
        </w:rPr>
        <w:t xml:space="preserve">                                   </w:t>
      </w:r>
      <w:r>
        <w:rPr>
          <w:rFonts w:hint="eastAsia" w:ascii="宋体" w:hAnsi="宋体" w:cs="宋体"/>
          <w:sz w:val="22"/>
        </w:rPr>
        <w:t>。</w:t>
      </w:r>
    </w:p>
    <w:p w14:paraId="4D33DF53">
      <w:pPr>
        <w:spacing w:line="440" w:lineRule="exact"/>
        <w:rPr>
          <w:rFonts w:ascii="宋体" w:hAnsi="宋体" w:cs="宋体"/>
          <w:sz w:val="22"/>
        </w:rPr>
      </w:pPr>
      <w:r>
        <w:rPr>
          <w:rFonts w:hint="eastAsia" w:ascii="宋体" w:hAnsi="宋体" w:cs="宋体"/>
          <w:sz w:val="22"/>
        </w:rPr>
        <w:t xml:space="preserve"> 3、乙方负责货物运输，货物运输合理损耗及计算方法：</w:t>
      </w:r>
      <w:r>
        <w:rPr>
          <w:rFonts w:hint="eastAsia" w:ascii="宋体" w:hAnsi="宋体" w:cs="宋体"/>
          <w:sz w:val="22"/>
          <w:u w:val="single"/>
        </w:rPr>
        <w:t xml:space="preserve">            </w:t>
      </w:r>
      <w:r>
        <w:rPr>
          <w:rFonts w:hint="eastAsia" w:ascii="宋体" w:hAnsi="宋体" w:cs="宋体"/>
          <w:sz w:val="22"/>
        </w:rPr>
        <w:t>。</w:t>
      </w:r>
    </w:p>
    <w:p w14:paraId="60830670">
      <w:pPr>
        <w:spacing w:line="440" w:lineRule="exact"/>
        <w:ind w:firstLine="638" w:firstLineChars="290"/>
        <w:rPr>
          <w:rFonts w:ascii="宋体" w:hAnsi="宋体" w:cs="宋体"/>
          <w:sz w:val="22"/>
        </w:rPr>
      </w:pPr>
      <w:r>
        <w:rPr>
          <w:rFonts w:hint="eastAsia" w:ascii="宋体" w:hAnsi="宋体" w:cs="宋体"/>
          <w:sz w:val="22"/>
        </w:rPr>
        <w:t>第五条　交付和验收</w:t>
      </w:r>
    </w:p>
    <w:p w14:paraId="1FF6DF32">
      <w:pPr>
        <w:spacing w:line="440" w:lineRule="exact"/>
        <w:ind w:firstLine="330" w:firstLineChars="150"/>
        <w:rPr>
          <w:rFonts w:ascii="宋体" w:hAnsi="宋体" w:cs="宋体"/>
          <w:sz w:val="22"/>
        </w:rPr>
      </w:pPr>
      <w:r>
        <w:rPr>
          <w:rFonts w:hint="eastAsia" w:ascii="宋体" w:hAnsi="宋体" w:cs="宋体"/>
          <w:sz w:val="22"/>
        </w:rPr>
        <w:t>1、交付使用时间：</w:t>
      </w:r>
      <w:r>
        <w:rPr>
          <w:rFonts w:hint="eastAsia" w:ascii="宋体" w:hAnsi="宋体" w:cs="宋体"/>
          <w:sz w:val="22"/>
          <w:u w:val="single"/>
        </w:rPr>
        <w:t>按乙方响应文件中所承诺的时间；地点：采购人指定地点 。</w:t>
      </w:r>
    </w:p>
    <w:p w14:paraId="0C4B3663">
      <w:pPr>
        <w:spacing w:line="440" w:lineRule="exact"/>
        <w:ind w:firstLine="308" w:firstLineChars="140"/>
        <w:rPr>
          <w:rFonts w:ascii="宋体" w:hAnsi="宋体" w:cs="宋体"/>
          <w:sz w:val="22"/>
        </w:rPr>
      </w:pPr>
      <w:r>
        <w:rPr>
          <w:rFonts w:hint="eastAsia" w:ascii="宋体" w:hAnsi="宋体" w:cs="宋体"/>
          <w:sz w:val="22"/>
        </w:rPr>
        <w:t>2、乙方提供不符合谈判文件、响应文件和本合同规定的货物，甲方有权拒绝接受。</w:t>
      </w:r>
    </w:p>
    <w:p w14:paraId="27382604">
      <w:pPr>
        <w:spacing w:line="440" w:lineRule="exact"/>
        <w:ind w:firstLine="308" w:firstLineChars="140"/>
        <w:rPr>
          <w:rFonts w:ascii="宋体" w:hAnsi="宋体" w:cs="宋体"/>
          <w:sz w:val="22"/>
        </w:rPr>
      </w:pPr>
      <w:r>
        <w:rPr>
          <w:rFonts w:hint="eastAsia" w:ascii="宋体" w:hAnsi="宋体" w:cs="宋体"/>
          <w:sz w:val="22"/>
        </w:rPr>
        <w:t>3、乙方应将所提供货物的装箱清单、用户手册、原厂保修卡、随机资料、工具和备品、备件等交付给甲方，如有缺失应及时补齐，否则视为逾期交货。</w:t>
      </w:r>
    </w:p>
    <w:p w14:paraId="0C3D5E4F">
      <w:pPr>
        <w:spacing w:line="440" w:lineRule="exact"/>
        <w:rPr>
          <w:rFonts w:ascii="宋体" w:hAnsi="宋体" w:cs="宋体"/>
          <w:sz w:val="22"/>
        </w:rPr>
      </w:pPr>
      <w:r>
        <w:rPr>
          <w:rFonts w:hint="eastAsia" w:ascii="宋体" w:hAnsi="宋体" w:cs="宋体"/>
          <w:sz w:val="22"/>
        </w:rPr>
        <w:t xml:space="preserve"> 4、甲方应当在到货（安装、调试完）后</w:t>
      </w:r>
      <w:r>
        <w:rPr>
          <w:rFonts w:hint="eastAsia" w:ascii="宋体" w:hAnsi="宋体" w:cs="宋体"/>
          <w:sz w:val="22"/>
          <w:lang w:val="en-US" w:eastAsia="zh-CN"/>
        </w:rPr>
        <w:t>30</w:t>
      </w:r>
      <w:r>
        <w:rPr>
          <w:rFonts w:hint="eastAsia" w:ascii="宋体" w:hAnsi="宋体" w:cs="宋体"/>
          <w:sz w:val="22"/>
        </w:rPr>
        <w:t>个工作日内进行验收，逾期不验收的，乙方可视同验收合格。验收合格后由甲乙双方签署货物验收单并加盖采购人公章，甲乙双方各执一份。</w:t>
      </w:r>
    </w:p>
    <w:p w14:paraId="2EBD5898">
      <w:pPr>
        <w:spacing w:line="440" w:lineRule="exact"/>
        <w:rPr>
          <w:rFonts w:ascii="宋体" w:hAnsi="宋体" w:cs="宋体"/>
          <w:sz w:val="22"/>
        </w:rPr>
      </w:pPr>
      <w:r>
        <w:rPr>
          <w:rFonts w:hint="eastAsia" w:ascii="宋体" w:hAnsi="宋体" w:cs="宋体"/>
          <w:sz w:val="22"/>
        </w:rPr>
        <w:t xml:space="preserve"> 5、采购人委托采购代理机构组织的验收项目，其验收时间以该项目验收方案确定的验收时间为准，验收结果以该项目验收报告结论为准。在验收过程中发现乙方有违约问题，可暂缓资金结算，待违约问题解决后，方可办理资金结算事宜。</w:t>
      </w:r>
    </w:p>
    <w:p w14:paraId="39A2AB5E">
      <w:pPr>
        <w:spacing w:line="440" w:lineRule="exact"/>
        <w:rPr>
          <w:rFonts w:hint="eastAsia" w:ascii="宋体" w:hAnsi="宋体" w:cs="宋体"/>
          <w:sz w:val="22"/>
        </w:rPr>
      </w:pPr>
      <w:r>
        <w:rPr>
          <w:rFonts w:hint="eastAsia" w:ascii="宋体" w:hAnsi="宋体" w:cs="宋体"/>
          <w:sz w:val="22"/>
        </w:rPr>
        <w:t xml:space="preserve"> 6、甲方对验收有异议的，在验收后五个工作日内以书面形式向乙方提出，乙方应自收到甲方书面异议后</w:t>
      </w:r>
      <w:r>
        <w:rPr>
          <w:rFonts w:hint="eastAsia" w:ascii="宋体" w:hAnsi="宋体" w:cs="宋体"/>
          <w:sz w:val="22"/>
          <w:u w:val="single"/>
        </w:rPr>
        <w:t xml:space="preserve">     </w:t>
      </w:r>
      <w:r>
        <w:rPr>
          <w:rFonts w:hint="eastAsia" w:ascii="宋体" w:hAnsi="宋体" w:cs="宋体"/>
          <w:sz w:val="22"/>
        </w:rPr>
        <w:t>日内及时予以解决。</w:t>
      </w:r>
    </w:p>
    <w:p w14:paraId="57C9D8E2">
      <w:pPr>
        <w:keepNext w:val="0"/>
        <w:keepLines w:val="0"/>
        <w:pageBreakBefore w:val="0"/>
        <w:kinsoku/>
        <w:wordWrap/>
        <w:overflowPunct/>
        <w:topLinePunct w:val="0"/>
        <w:autoSpaceDE/>
        <w:autoSpaceDN/>
        <w:bidi w:val="0"/>
        <w:spacing w:line="440" w:lineRule="exact"/>
        <w:ind w:firstLine="220" w:firstLineChars="100"/>
        <w:outlineLvl w:val="9"/>
        <w:rPr>
          <w:rFonts w:hint="default" w:ascii="宋体" w:hAnsi="宋体" w:eastAsia="宋体" w:cs="宋体"/>
          <w:color w:val="auto"/>
          <w:sz w:val="22"/>
          <w:highlight w:val="none"/>
          <w:lang w:val="en-US" w:eastAsia="zh-CN"/>
        </w:rPr>
      </w:pPr>
      <w:r>
        <w:rPr>
          <w:rFonts w:hint="eastAsia" w:ascii="宋体" w:hAnsi="宋体" w:cs="宋体"/>
          <w:color w:val="auto"/>
          <w:sz w:val="22"/>
          <w:highlight w:val="none"/>
          <w:lang w:val="en-US" w:eastAsia="zh-CN"/>
        </w:rPr>
        <w:t>7、甲方验收设备时逐项核对《技术偏离表》，对安装的设备参数不符合偏离表所描述的偏离情况，乙方应出具书面说明，经甲方认可后方可继续验收。</w:t>
      </w:r>
    </w:p>
    <w:p w14:paraId="3E960CAF">
      <w:pPr>
        <w:spacing w:line="440" w:lineRule="exact"/>
        <w:ind w:firstLine="220" w:firstLineChars="100"/>
        <w:rPr>
          <w:rFonts w:ascii="宋体" w:hAnsi="宋体" w:cs="宋体"/>
          <w:sz w:val="22"/>
        </w:rPr>
      </w:pPr>
      <w:r>
        <w:rPr>
          <w:rFonts w:hint="eastAsia" w:ascii="宋体" w:hAnsi="宋体" w:cs="宋体"/>
          <w:sz w:val="22"/>
        </w:rPr>
        <w:t xml:space="preserve"> 第六条　安装和培训</w:t>
      </w:r>
    </w:p>
    <w:p w14:paraId="65B661D5">
      <w:pPr>
        <w:spacing w:line="440" w:lineRule="exact"/>
        <w:ind w:firstLine="418" w:firstLineChars="190"/>
        <w:rPr>
          <w:rFonts w:ascii="宋体" w:hAnsi="宋体" w:cs="宋体"/>
          <w:sz w:val="22"/>
        </w:rPr>
      </w:pPr>
      <w:r>
        <w:rPr>
          <w:rFonts w:hint="eastAsia" w:ascii="宋体" w:hAnsi="宋体" w:cs="宋体"/>
          <w:sz w:val="22"/>
        </w:rPr>
        <w:t>1、甲方应提供必要安装条件（如场地、电源、水源等）。</w:t>
      </w:r>
    </w:p>
    <w:p w14:paraId="30A38A65">
      <w:pPr>
        <w:spacing w:line="440" w:lineRule="exact"/>
        <w:ind w:firstLine="110" w:firstLineChars="50"/>
        <w:rPr>
          <w:rFonts w:ascii="宋体" w:hAnsi="宋体" w:cs="宋体"/>
          <w:sz w:val="22"/>
          <w:u w:val="single"/>
        </w:rPr>
      </w:pPr>
      <w:r>
        <w:rPr>
          <w:rFonts w:hint="eastAsia" w:ascii="宋体" w:hAnsi="宋体" w:cs="宋体"/>
          <w:sz w:val="22"/>
        </w:rPr>
        <w:t xml:space="preserve">   2、乙方负责甲方有关人员的培训。培训时间、地点</w:t>
      </w:r>
      <w:r>
        <w:rPr>
          <w:rFonts w:hint="eastAsia" w:ascii="宋体" w:hAnsi="宋体" w:cs="宋体"/>
          <w:sz w:val="22"/>
          <w:u w:val="single"/>
        </w:rPr>
        <w:t xml:space="preserve">：由甲方根据情况合理安排 </w:t>
      </w:r>
      <w:r>
        <w:rPr>
          <w:rFonts w:hint="eastAsia" w:ascii="宋体" w:hAnsi="宋体" w:cs="宋体"/>
          <w:sz w:val="22"/>
        </w:rPr>
        <w:t>。</w:t>
      </w:r>
    </w:p>
    <w:p w14:paraId="36905A3B">
      <w:pPr>
        <w:spacing w:line="440" w:lineRule="exact"/>
        <w:ind w:firstLine="418" w:firstLineChars="190"/>
        <w:rPr>
          <w:rFonts w:ascii="宋体" w:hAnsi="宋体" w:cs="宋体"/>
          <w:sz w:val="22"/>
        </w:rPr>
      </w:pPr>
      <w:r>
        <w:rPr>
          <w:rFonts w:hint="eastAsia" w:ascii="宋体" w:hAnsi="宋体" w:cs="宋体"/>
          <w:sz w:val="22"/>
        </w:rPr>
        <w:t>第七条  售后服务、保修期</w:t>
      </w:r>
    </w:p>
    <w:p w14:paraId="271743A7">
      <w:pPr>
        <w:spacing w:line="440" w:lineRule="exact"/>
        <w:rPr>
          <w:rFonts w:ascii="宋体" w:hAnsi="宋体" w:cs="宋体"/>
          <w:sz w:val="22"/>
        </w:rPr>
      </w:pPr>
      <w:r>
        <w:rPr>
          <w:rFonts w:hint="eastAsia" w:ascii="宋体" w:hAnsi="宋体" w:cs="宋体"/>
          <w:sz w:val="22"/>
        </w:rPr>
        <w:t xml:space="preserve">    1、乙方应按照国家有关法律法规和“三包”规定以及谈判文件、响应文件和本合同所附的《服务承诺》，为甲方提供售后服务。</w:t>
      </w:r>
    </w:p>
    <w:p w14:paraId="77019BA7">
      <w:pPr>
        <w:spacing w:line="440" w:lineRule="exact"/>
        <w:ind w:firstLine="330" w:firstLineChars="150"/>
        <w:rPr>
          <w:rFonts w:ascii="宋体" w:hAnsi="宋体" w:cs="宋体"/>
          <w:sz w:val="22"/>
        </w:rPr>
      </w:pPr>
      <w:r>
        <w:rPr>
          <w:rFonts w:hint="eastAsia" w:ascii="宋体" w:hAnsi="宋体" w:cs="宋体"/>
          <w:sz w:val="22"/>
        </w:rPr>
        <w:t xml:space="preserve"> 2、货物保修期：</w:t>
      </w:r>
      <w:r>
        <w:rPr>
          <w:rFonts w:hint="eastAsia" w:ascii="宋体" w:hAnsi="宋体" w:cs="宋体"/>
          <w:sz w:val="22"/>
          <w:u w:val="single"/>
        </w:rPr>
        <w:t xml:space="preserve">按响应文件的承诺  </w:t>
      </w:r>
      <w:r>
        <w:rPr>
          <w:rFonts w:hint="eastAsia" w:ascii="宋体" w:hAnsi="宋体" w:cs="宋体"/>
          <w:sz w:val="22"/>
        </w:rPr>
        <w:t>。</w:t>
      </w:r>
    </w:p>
    <w:p w14:paraId="010990C6">
      <w:pPr>
        <w:spacing w:line="440" w:lineRule="exact"/>
        <w:rPr>
          <w:rFonts w:ascii="宋体" w:hAnsi="宋体" w:cs="宋体"/>
          <w:sz w:val="22"/>
        </w:rPr>
      </w:pPr>
      <w:r>
        <w:rPr>
          <w:rFonts w:hint="eastAsia" w:ascii="宋体" w:hAnsi="宋体" w:cs="宋体"/>
          <w:sz w:val="22"/>
        </w:rPr>
        <w:t xml:space="preserve">  3、乙方提供的服务承诺和售后服务及保修期责任等其它具体约定事项。（见合同附件）</w:t>
      </w:r>
    </w:p>
    <w:p w14:paraId="20D0B2D9">
      <w:pPr>
        <w:spacing w:line="440" w:lineRule="exact"/>
        <w:ind w:firstLine="418" w:firstLineChars="190"/>
        <w:rPr>
          <w:rFonts w:ascii="宋体" w:hAnsi="宋体" w:cs="宋体"/>
          <w:sz w:val="22"/>
        </w:rPr>
      </w:pPr>
      <w:r>
        <w:rPr>
          <w:rFonts w:hint="eastAsia" w:ascii="宋体" w:hAnsi="宋体" w:cs="宋体"/>
          <w:sz w:val="22"/>
        </w:rPr>
        <w:t>第八条　付款方式和保证金</w:t>
      </w:r>
    </w:p>
    <w:p w14:paraId="337ED257">
      <w:pPr>
        <w:spacing w:line="440" w:lineRule="exact"/>
        <w:rPr>
          <w:rFonts w:ascii="宋体" w:hAnsi="宋体" w:cs="宋体"/>
          <w:sz w:val="22"/>
        </w:rPr>
      </w:pPr>
      <w:r>
        <w:rPr>
          <w:rFonts w:hint="eastAsia" w:ascii="宋体" w:hAnsi="宋体" w:cs="宋体"/>
          <w:sz w:val="22"/>
        </w:rPr>
        <w:t xml:space="preserve">  1、当采购数量与实际使用数量不一致时，乙方应根据实际使用量供货，合同的最终结算金额按实际使用量乘以成交单价进行计算。</w:t>
      </w:r>
    </w:p>
    <w:p w14:paraId="272B5657">
      <w:pPr>
        <w:spacing w:line="440" w:lineRule="exact"/>
        <w:ind w:firstLine="418" w:firstLineChars="190"/>
        <w:rPr>
          <w:rFonts w:ascii="宋体" w:hAnsi="宋体" w:cs="宋体"/>
          <w:sz w:val="22"/>
        </w:rPr>
      </w:pPr>
      <w:r>
        <w:rPr>
          <w:rFonts w:hint="eastAsia" w:ascii="宋体" w:hAnsi="宋体" w:cs="宋体"/>
          <w:sz w:val="22"/>
        </w:rPr>
        <w:t>2、资金性质：</w:t>
      </w:r>
      <w:r>
        <w:rPr>
          <w:rFonts w:hint="eastAsia" w:ascii="宋体" w:hAnsi="宋体" w:cs="宋体"/>
          <w:sz w:val="22"/>
          <w:u w:val="single"/>
        </w:rPr>
        <w:t xml:space="preserve">  </w:t>
      </w:r>
      <w:r>
        <w:rPr>
          <w:rFonts w:hint="eastAsia" w:ascii="宋体" w:hAnsi="宋体" w:cs="宋体"/>
          <w:sz w:val="22"/>
          <w:u w:val="single"/>
          <w:lang w:val="en-US" w:eastAsia="zh-CN"/>
        </w:rPr>
        <w:t xml:space="preserve">            </w:t>
      </w:r>
      <w:r>
        <w:rPr>
          <w:rFonts w:hint="eastAsia" w:ascii="宋体" w:hAnsi="宋体" w:cs="宋体"/>
          <w:sz w:val="22"/>
          <w:u w:val="single"/>
        </w:rPr>
        <w:t xml:space="preserve">   </w:t>
      </w:r>
      <w:r>
        <w:rPr>
          <w:rFonts w:hint="eastAsia" w:ascii="宋体" w:hAnsi="宋体" w:cs="宋体"/>
          <w:sz w:val="22"/>
        </w:rPr>
        <w:t xml:space="preserve"> 。</w:t>
      </w:r>
    </w:p>
    <w:p w14:paraId="4E479BA4">
      <w:pPr>
        <w:spacing w:line="440" w:lineRule="exact"/>
        <w:ind w:firstLine="418" w:firstLineChars="190"/>
        <w:rPr>
          <w:rFonts w:hint="eastAsia" w:ascii="宋体" w:hAnsi="宋体" w:cs="宋体"/>
          <w:color w:val="auto"/>
          <w:sz w:val="22"/>
        </w:rPr>
      </w:pPr>
      <w:r>
        <w:rPr>
          <w:rFonts w:hint="eastAsia" w:ascii="宋体" w:hAnsi="宋体" w:cs="宋体"/>
          <w:sz w:val="22"/>
        </w:rPr>
        <w:t>3、付款</w:t>
      </w:r>
      <w:r>
        <w:rPr>
          <w:rFonts w:hint="eastAsia" w:ascii="宋体" w:hAnsi="宋体" w:cs="宋体"/>
          <w:color w:val="auto"/>
          <w:sz w:val="22"/>
        </w:rPr>
        <w:t>方式：</w:t>
      </w:r>
    </w:p>
    <w:p w14:paraId="4527D1DF">
      <w:pPr>
        <w:spacing w:line="440" w:lineRule="exact"/>
        <w:ind w:firstLine="418" w:firstLineChars="190"/>
        <w:rPr>
          <w:rFonts w:hint="eastAsia" w:ascii="宋体" w:hAnsi="宋体" w:cs="宋体"/>
          <w:color w:val="auto"/>
          <w:sz w:val="22"/>
        </w:rPr>
      </w:pPr>
      <w:r>
        <w:rPr>
          <w:rFonts w:hint="eastAsia" w:ascii="宋体" w:hAnsi="宋体" w:cs="宋体"/>
          <w:color w:val="auto"/>
          <w:sz w:val="22"/>
          <w:lang w:val="en-US" w:eastAsia="zh-CN"/>
        </w:rPr>
        <w:t>甲方</w:t>
      </w:r>
      <w:r>
        <w:rPr>
          <w:rFonts w:hint="eastAsia" w:ascii="宋体" w:hAnsi="宋体" w:cs="宋体"/>
          <w:color w:val="auto"/>
          <w:sz w:val="22"/>
        </w:rPr>
        <w:t>、</w:t>
      </w:r>
      <w:r>
        <w:rPr>
          <w:rFonts w:hint="eastAsia" w:ascii="宋体" w:hAnsi="宋体" w:cs="宋体"/>
          <w:color w:val="auto"/>
          <w:sz w:val="22"/>
          <w:lang w:val="en-US" w:eastAsia="zh-CN"/>
        </w:rPr>
        <w:t>乙方</w:t>
      </w:r>
      <w:r>
        <w:rPr>
          <w:rFonts w:hint="eastAsia" w:ascii="宋体" w:hAnsi="宋体" w:cs="宋体"/>
          <w:color w:val="auto"/>
          <w:sz w:val="22"/>
        </w:rPr>
        <w:t>双方签订合同后，送货到</w:t>
      </w:r>
      <w:r>
        <w:rPr>
          <w:rFonts w:hint="eastAsia" w:ascii="宋体" w:hAnsi="宋体" w:cs="宋体"/>
          <w:color w:val="auto"/>
          <w:sz w:val="22"/>
          <w:lang w:val="en-US" w:eastAsia="zh-CN"/>
        </w:rPr>
        <w:t>甲方</w:t>
      </w:r>
      <w:r>
        <w:rPr>
          <w:rFonts w:hint="eastAsia" w:ascii="宋体" w:hAnsi="宋体" w:cs="宋体"/>
          <w:color w:val="auto"/>
          <w:sz w:val="22"/>
        </w:rPr>
        <w:t>指定地点安装调试验收合格后</w:t>
      </w:r>
      <w:r>
        <w:rPr>
          <w:rFonts w:hint="eastAsia" w:ascii="宋体" w:hAnsi="宋体" w:cs="宋体"/>
          <w:color w:val="auto"/>
          <w:sz w:val="22"/>
          <w:lang w:val="en-US" w:eastAsia="zh-CN"/>
        </w:rPr>
        <w:t>乙方</w:t>
      </w:r>
      <w:r>
        <w:rPr>
          <w:rFonts w:hint="eastAsia" w:ascii="宋体" w:hAnsi="宋体" w:cs="宋体"/>
          <w:color w:val="auto"/>
          <w:sz w:val="22"/>
        </w:rPr>
        <w:t>开具全额发票，</w:t>
      </w:r>
      <w:r>
        <w:rPr>
          <w:rFonts w:hint="eastAsia" w:ascii="宋体" w:hAnsi="宋体" w:cs="宋体"/>
          <w:color w:val="auto"/>
          <w:sz w:val="22"/>
          <w:lang w:val="en-US" w:eastAsia="zh-CN"/>
        </w:rPr>
        <w:t>甲方</w:t>
      </w:r>
      <w:r>
        <w:rPr>
          <w:rFonts w:hint="eastAsia" w:ascii="宋体" w:hAnsi="宋体" w:cs="宋体"/>
          <w:color w:val="auto"/>
          <w:sz w:val="22"/>
        </w:rPr>
        <w:t>即付合同金额的30%给</w:t>
      </w:r>
      <w:r>
        <w:rPr>
          <w:rFonts w:hint="eastAsia" w:ascii="宋体" w:hAnsi="宋体" w:cs="宋体"/>
          <w:color w:val="auto"/>
          <w:sz w:val="22"/>
          <w:lang w:val="en-US" w:eastAsia="zh-CN"/>
        </w:rPr>
        <w:t>乙方</w:t>
      </w:r>
      <w:r>
        <w:rPr>
          <w:rFonts w:hint="eastAsia" w:ascii="宋体" w:hAnsi="宋体" w:cs="宋体"/>
          <w:color w:val="auto"/>
          <w:sz w:val="22"/>
        </w:rPr>
        <w:t>，第二笔款在验收后6个月支付35%给</w:t>
      </w:r>
      <w:r>
        <w:rPr>
          <w:rFonts w:hint="eastAsia" w:ascii="宋体" w:hAnsi="宋体" w:cs="宋体"/>
          <w:color w:val="auto"/>
          <w:sz w:val="22"/>
          <w:lang w:val="en-US" w:eastAsia="zh-CN"/>
        </w:rPr>
        <w:t>乙方</w:t>
      </w:r>
      <w:r>
        <w:rPr>
          <w:rFonts w:hint="eastAsia" w:ascii="宋体" w:hAnsi="宋体" w:cs="宋体"/>
          <w:color w:val="auto"/>
          <w:sz w:val="22"/>
        </w:rPr>
        <w:t>，第三笔款在验收后9个月支付30%给</w:t>
      </w:r>
      <w:r>
        <w:rPr>
          <w:rFonts w:hint="eastAsia" w:ascii="宋体" w:hAnsi="宋体" w:cs="宋体"/>
          <w:color w:val="auto"/>
          <w:sz w:val="22"/>
          <w:lang w:val="en-US" w:eastAsia="zh-CN"/>
        </w:rPr>
        <w:t>乙方</w:t>
      </w:r>
      <w:r>
        <w:rPr>
          <w:rFonts w:hint="eastAsia" w:ascii="宋体" w:hAnsi="宋体" w:cs="宋体"/>
          <w:color w:val="auto"/>
          <w:sz w:val="22"/>
        </w:rPr>
        <w:t>，第四笔由</w:t>
      </w:r>
      <w:r>
        <w:rPr>
          <w:rFonts w:hint="eastAsia" w:ascii="宋体" w:hAnsi="宋体" w:cs="宋体"/>
          <w:color w:val="auto"/>
          <w:sz w:val="22"/>
          <w:lang w:val="en-US" w:eastAsia="zh-CN"/>
        </w:rPr>
        <w:t>甲方</w:t>
      </w:r>
      <w:r>
        <w:rPr>
          <w:rFonts w:hint="eastAsia" w:ascii="宋体" w:hAnsi="宋体" w:cs="宋体"/>
          <w:color w:val="auto"/>
          <w:sz w:val="22"/>
        </w:rPr>
        <w:t>在质保期满即向</w:t>
      </w:r>
      <w:r>
        <w:rPr>
          <w:rFonts w:hint="eastAsia" w:ascii="宋体" w:hAnsi="宋体" w:cs="宋体"/>
          <w:color w:val="auto"/>
          <w:sz w:val="22"/>
          <w:lang w:val="en-US" w:eastAsia="zh-CN"/>
        </w:rPr>
        <w:t>乙方</w:t>
      </w:r>
      <w:r>
        <w:rPr>
          <w:rFonts w:hint="eastAsia" w:ascii="宋体" w:hAnsi="宋体" w:cs="宋体"/>
          <w:color w:val="auto"/>
          <w:sz w:val="22"/>
        </w:rPr>
        <w:t>支付合同总金额的5%尾款。（包括银行转账和其他融资方式支付；特殊设备除外，具体以双方协商为准）</w:t>
      </w:r>
    </w:p>
    <w:p w14:paraId="6B8D57B8">
      <w:pPr>
        <w:spacing w:line="440" w:lineRule="exact"/>
        <w:ind w:firstLine="528" w:firstLineChars="240"/>
        <w:rPr>
          <w:rFonts w:ascii="宋体" w:hAnsi="宋体" w:cs="宋体"/>
          <w:color w:val="auto"/>
          <w:sz w:val="22"/>
        </w:rPr>
      </w:pPr>
      <w:r>
        <w:rPr>
          <w:rFonts w:hint="eastAsia" w:ascii="宋体" w:hAnsi="宋体" w:cs="宋体"/>
          <w:color w:val="auto"/>
          <w:sz w:val="22"/>
        </w:rPr>
        <w:t>第九条　履约保证金</w:t>
      </w:r>
    </w:p>
    <w:p w14:paraId="4A99EE08">
      <w:pPr>
        <w:spacing w:line="440" w:lineRule="exact"/>
        <w:ind w:left="798"/>
        <w:rPr>
          <w:rFonts w:ascii="宋体" w:hAnsi="宋体" w:cs="宋体"/>
          <w:sz w:val="22"/>
        </w:rPr>
      </w:pPr>
      <w:r>
        <w:rPr>
          <w:rFonts w:hint="eastAsia" w:ascii="宋体" w:hAnsi="宋体" w:cs="宋体"/>
          <w:sz w:val="22"/>
        </w:rPr>
        <w:t xml:space="preserve">    无。</w:t>
      </w:r>
    </w:p>
    <w:p w14:paraId="120EBBD1">
      <w:pPr>
        <w:spacing w:line="440" w:lineRule="exact"/>
        <w:ind w:firstLine="528" w:firstLineChars="240"/>
        <w:rPr>
          <w:rFonts w:ascii="宋体" w:hAnsi="宋体" w:cs="宋体"/>
          <w:sz w:val="22"/>
        </w:rPr>
      </w:pPr>
      <w:r>
        <w:rPr>
          <w:rFonts w:hint="eastAsia" w:ascii="宋体" w:hAnsi="宋体" w:cs="宋体"/>
          <w:sz w:val="22"/>
        </w:rPr>
        <w:t>第十条  税费</w:t>
      </w:r>
    </w:p>
    <w:p w14:paraId="31A972C3">
      <w:pPr>
        <w:pStyle w:val="84"/>
        <w:numPr>
          <w:ilvl w:val="0"/>
          <w:numId w:val="15"/>
        </w:numPr>
        <w:spacing w:line="440" w:lineRule="exact"/>
        <w:ind w:firstLineChars="0"/>
        <w:jc w:val="left"/>
        <w:rPr>
          <w:rFonts w:ascii="宋体" w:hAnsi="宋体" w:cs="宋体"/>
          <w:sz w:val="22"/>
        </w:rPr>
      </w:pPr>
      <w:r>
        <w:rPr>
          <w:rFonts w:hint="eastAsia" w:ascii="宋体" w:hAnsi="宋体" w:cs="宋体"/>
          <w:sz w:val="22"/>
        </w:rPr>
        <w:t>本合同执行中相关的一切税费均由乙方负担。</w:t>
      </w:r>
    </w:p>
    <w:p w14:paraId="2F30501B">
      <w:pPr>
        <w:spacing w:line="440" w:lineRule="exact"/>
        <w:ind w:firstLine="418" w:firstLineChars="190"/>
        <w:rPr>
          <w:rFonts w:ascii="宋体" w:hAnsi="宋体" w:cs="宋体"/>
          <w:sz w:val="22"/>
        </w:rPr>
      </w:pPr>
      <w:r>
        <w:rPr>
          <w:rFonts w:hint="eastAsia" w:ascii="宋体" w:hAnsi="宋体" w:cs="宋体"/>
          <w:sz w:val="22"/>
        </w:rPr>
        <w:t>第十一条  质量保证及售后服务</w:t>
      </w:r>
    </w:p>
    <w:p w14:paraId="11A890ED">
      <w:pPr>
        <w:spacing w:line="440" w:lineRule="exact"/>
        <w:ind w:firstLine="418" w:firstLineChars="190"/>
        <w:rPr>
          <w:rFonts w:ascii="宋体" w:hAnsi="宋体" w:cs="宋体"/>
          <w:sz w:val="22"/>
        </w:rPr>
      </w:pPr>
      <w:r>
        <w:rPr>
          <w:rFonts w:hint="eastAsia" w:ascii="宋体" w:hAnsi="宋体" w:cs="宋体"/>
          <w:sz w:val="22"/>
        </w:rPr>
        <w:t xml:space="preserve"> 1、乙方应按谈判文件规定及响应文件承诺的货物性能、技术要求、质量标准向甲方提供未经使用的全新产品。乙方提供货物的质量保证期按交货验收合格之日起计（期限见《采购需求》中的要求）。在保证期内因货物本身的质量问题发生故障，乙方应负责免费修理和更换零部件。对达不到技术要求者，根据实际情况，经双方协商，可按以下办法处理：</w:t>
      </w:r>
    </w:p>
    <w:p w14:paraId="4448C35B">
      <w:pPr>
        <w:spacing w:line="440" w:lineRule="exact"/>
        <w:ind w:left="798"/>
        <w:rPr>
          <w:rFonts w:ascii="宋体" w:hAnsi="宋体" w:cs="宋体"/>
          <w:sz w:val="22"/>
        </w:rPr>
      </w:pPr>
      <w:r>
        <w:rPr>
          <w:rFonts w:hint="eastAsia" w:ascii="宋体" w:hAnsi="宋体" w:cs="宋体"/>
          <w:sz w:val="22"/>
        </w:rPr>
        <w:t xml:space="preserve">    （1）更换：由乙方承担所发生的全部费用。</w:t>
      </w:r>
    </w:p>
    <w:p w14:paraId="0FFF9AC2">
      <w:pPr>
        <w:spacing w:line="440" w:lineRule="exact"/>
        <w:ind w:left="798"/>
        <w:rPr>
          <w:rFonts w:ascii="宋体" w:hAnsi="宋体" w:cs="宋体"/>
          <w:sz w:val="22"/>
        </w:rPr>
      </w:pPr>
      <w:r>
        <w:rPr>
          <w:rFonts w:hint="eastAsia" w:ascii="宋体" w:hAnsi="宋体" w:cs="宋体"/>
          <w:sz w:val="22"/>
        </w:rPr>
        <w:t xml:space="preserve">    （2）贬值处理：由甲乙双方合议定价。</w:t>
      </w:r>
    </w:p>
    <w:p w14:paraId="45E20E89">
      <w:pPr>
        <w:spacing w:line="440" w:lineRule="exact"/>
        <w:ind w:left="798"/>
        <w:rPr>
          <w:rFonts w:ascii="宋体" w:hAnsi="宋体" w:cs="宋体"/>
          <w:sz w:val="22"/>
        </w:rPr>
      </w:pPr>
      <w:r>
        <w:rPr>
          <w:rFonts w:hint="eastAsia" w:ascii="宋体" w:hAnsi="宋体" w:cs="宋体"/>
          <w:sz w:val="22"/>
        </w:rPr>
        <w:t xml:space="preserve">    （3）退货处理：乙方应退还甲方支付的合同款，同时应承担该货物的直接费用（运输、保险、检验、货款利息及银行手续费等）。</w:t>
      </w:r>
    </w:p>
    <w:p w14:paraId="3057B88D">
      <w:pPr>
        <w:spacing w:line="440" w:lineRule="exact"/>
        <w:ind w:firstLine="418" w:firstLineChars="190"/>
        <w:rPr>
          <w:rFonts w:ascii="宋体" w:hAnsi="宋体" w:cs="宋体"/>
          <w:sz w:val="22"/>
        </w:rPr>
      </w:pPr>
      <w:r>
        <w:rPr>
          <w:rFonts w:hint="eastAsia" w:ascii="宋体" w:hAnsi="宋体" w:cs="宋体"/>
          <w:sz w:val="22"/>
        </w:rPr>
        <w:t xml:space="preserve"> 2、如在使用过程中发生质量问题，乙方在接到甲方通知后在</w:t>
      </w:r>
      <w:r>
        <w:rPr>
          <w:rFonts w:hint="eastAsia" w:ascii="宋体" w:hAnsi="宋体" w:cs="宋体"/>
          <w:sz w:val="22"/>
          <w:u w:val="single"/>
        </w:rPr>
        <w:t xml:space="preserve">    </w:t>
      </w:r>
      <w:r>
        <w:rPr>
          <w:rFonts w:hint="eastAsia" w:ascii="宋体" w:hAnsi="宋体" w:cs="宋体"/>
          <w:sz w:val="22"/>
        </w:rPr>
        <w:t>小时内到达甲方现场。</w:t>
      </w:r>
    </w:p>
    <w:p w14:paraId="773502A8">
      <w:pPr>
        <w:spacing w:line="440" w:lineRule="exact"/>
        <w:ind w:firstLine="308" w:firstLineChars="140"/>
        <w:rPr>
          <w:rFonts w:ascii="宋体" w:hAnsi="宋体" w:cs="宋体"/>
          <w:sz w:val="22"/>
        </w:rPr>
      </w:pPr>
      <w:r>
        <w:rPr>
          <w:rFonts w:hint="eastAsia" w:ascii="宋体" w:hAnsi="宋体" w:cs="宋体"/>
          <w:sz w:val="22"/>
        </w:rPr>
        <w:t xml:space="preserve"> 3、在质保期内，乙方应对货物出现的质量及安全问题负责处理解决并承担一切费用。</w:t>
      </w:r>
    </w:p>
    <w:p w14:paraId="171A8A91">
      <w:pPr>
        <w:spacing w:line="440" w:lineRule="exact"/>
        <w:ind w:firstLine="418" w:firstLineChars="190"/>
        <w:rPr>
          <w:rFonts w:ascii="宋体" w:hAnsi="宋体" w:cs="宋体"/>
          <w:sz w:val="22"/>
        </w:rPr>
      </w:pPr>
      <w:r>
        <w:rPr>
          <w:rFonts w:hint="eastAsia" w:ascii="宋体" w:hAnsi="宋体" w:cs="宋体"/>
          <w:sz w:val="22"/>
        </w:rPr>
        <w:t>4、产品质量保证期应当包括但不限于：质保期不少于1年，质保期内，乙方负责对其提供的设备进行上门维修，不收取额外费用，所涉及的小件部分质保期内免费更换。</w:t>
      </w:r>
    </w:p>
    <w:p w14:paraId="1D830A66">
      <w:pPr>
        <w:spacing w:line="440" w:lineRule="exact"/>
        <w:ind w:firstLine="418" w:firstLineChars="190"/>
        <w:rPr>
          <w:rFonts w:ascii="宋体" w:hAnsi="宋体" w:cs="宋体"/>
          <w:sz w:val="22"/>
        </w:rPr>
      </w:pPr>
      <w:r>
        <w:rPr>
          <w:rFonts w:hint="eastAsia" w:ascii="宋体" w:hAnsi="宋体" w:cs="宋体"/>
          <w:sz w:val="22"/>
        </w:rPr>
        <w:t>第十二条  调试和验收</w:t>
      </w:r>
    </w:p>
    <w:p w14:paraId="6A5892E8">
      <w:pPr>
        <w:spacing w:line="440" w:lineRule="exact"/>
        <w:ind w:firstLine="528" w:firstLineChars="240"/>
        <w:rPr>
          <w:rFonts w:ascii="宋体" w:hAnsi="宋体" w:cs="宋体"/>
          <w:sz w:val="22"/>
        </w:rPr>
      </w:pPr>
      <w:r>
        <w:rPr>
          <w:rFonts w:hint="eastAsia" w:ascii="宋体" w:hAnsi="宋体" w:cs="宋体"/>
          <w:sz w:val="22"/>
        </w:rPr>
        <w:t>1、甲方对乙方提交的货物依据谈判文件上的技术规格要求和国家有关质量标准进行现场初步验收，外观、说明书符合谈判文件技术要求的，给予签收，初步验收不合格的不予签收。货到后，甲方应当在到货（安装、调试完）后七个工作日内进行验收。</w:t>
      </w:r>
    </w:p>
    <w:p w14:paraId="36383E65">
      <w:pPr>
        <w:spacing w:line="440" w:lineRule="exact"/>
        <w:ind w:firstLine="440" w:firstLineChars="200"/>
        <w:rPr>
          <w:rFonts w:ascii="宋体" w:hAnsi="宋体" w:cs="宋体"/>
          <w:sz w:val="22"/>
        </w:rPr>
      </w:pPr>
      <w:r>
        <w:rPr>
          <w:rFonts w:hint="eastAsia" w:ascii="宋体" w:hAnsi="宋体" w:cs="宋体"/>
          <w:sz w:val="22"/>
        </w:rPr>
        <w:t>2、乙方交货前应对产品作出全面检查和对验收文件进行整理，并列出清单，作为甲方收货验收和使用的技术条件依据，检验的结果应随货物交甲方。</w:t>
      </w:r>
    </w:p>
    <w:p w14:paraId="13390B1E">
      <w:pPr>
        <w:spacing w:line="440" w:lineRule="exact"/>
        <w:rPr>
          <w:rFonts w:ascii="宋体" w:hAnsi="宋体" w:cs="宋体"/>
          <w:sz w:val="22"/>
        </w:rPr>
      </w:pPr>
      <w:r>
        <w:rPr>
          <w:rFonts w:hint="eastAsia" w:ascii="宋体" w:hAnsi="宋体" w:cs="宋体"/>
          <w:sz w:val="22"/>
        </w:rPr>
        <w:t xml:space="preserve">  3、甲方对乙方提供的货物在使用前进行调试时，乙方需负责安装并培训甲方的使用操作人员，并协助甲方一起调试，直到符合技术要求，甲方才做最终验收。</w:t>
      </w:r>
    </w:p>
    <w:p w14:paraId="293AE917">
      <w:pPr>
        <w:spacing w:line="440" w:lineRule="exact"/>
        <w:rPr>
          <w:rFonts w:ascii="宋体" w:hAnsi="宋体" w:cs="宋体"/>
          <w:sz w:val="22"/>
        </w:rPr>
      </w:pPr>
      <w:r>
        <w:rPr>
          <w:rFonts w:hint="eastAsia" w:ascii="宋体" w:hAnsi="宋体" w:cs="宋体"/>
          <w:sz w:val="22"/>
        </w:rPr>
        <w:t xml:space="preserve">  4、对技术复杂的货物，甲方应请国家认可的专业检测机构参与初步验收及最终验收，并由其出具质量检测报告。</w:t>
      </w:r>
    </w:p>
    <w:p w14:paraId="4D108A63">
      <w:pPr>
        <w:spacing w:line="440" w:lineRule="exact"/>
        <w:rPr>
          <w:rFonts w:ascii="宋体" w:hAnsi="宋体" w:cs="宋体"/>
          <w:sz w:val="22"/>
        </w:rPr>
      </w:pPr>
      <w:r>
        <w:rPr>
          <w:rFonts w:hint="eastAsia" w:ascii="宋体" w:hAnsi="宋体" w:cs="宋体"/>
          <w:sz w:val="22"/>
        </w:rPr>
        <w:t xml:space="preserve">  5、验收时乙方必须在现场，验收完毕后作出验收结果报告；验收费用由乙方负责。</w:t>
      </w:r>
    </w:p>
    <w:p w14:paraId="4D15588A">
      <w:pPr>
        <w:spacing w:line="440" w:lineRule="exact"/>
        <w:rPr>
          <w:rFonts w:ascii="宋体" w:hAnsi="宋体" w:cs="宋体"/>
          <w:sz w:val="22"/>
        </w:rPr>
      </w:pPr>
      <w:r>
        <w:rPr>
          <w:rFonts w:hint="eastAsia" w:ascii="宋体" w:hAnsi="宋体" w:cs="宋体"/>
          <w:sz w:val="22"/>
        </w:rPr>
        <w:t xml:space="preserve"> 第十三条  货物包装、发运及运输</w:t>
      </w:r>
    </w:p>
    <w:p w14:paraId="389DD319">
      <w:pPr>
        <w:spacing w:line="440" w:lineRule="exact"/>
        <w:ind w:firstLine="418" w:firstLineChars="190"/>
        <w:rPr>
          <w:rFonts w:ascii="宋体" w:hAnsi="宋体" w:cs="宋体"/>
          <w:sz w:val="22"/>
        </w:rPr>
      </w:pPr>
      <w:r>
        <w:rPr>
          <w:rFonts w:hint="eastAsia" w:ascii="宋体" w:hAnsi="宋体" w:cs="宋体"/>
          <w:sz w:val="22"/>
        </w:rPr>
        <w:t>1、乙方应在货物发运前对其进行满足运输距离、防潮、防震、防锈和防破损装卸等要求包装，以保证货物安全运达甲方指定地点。</w:t>
      </w:r>
    </w:p>
    <w:p w14:paraId="3E6732B9">
      <w:pPr>
        <w:spacing w:line="440" w:lineRule="exact"/>
        <w:ind w:firstLine="330" w:firstLineChars="150"/>
        <w:rPr>
          <w:rFonts w:ascii="宋体" w:hAnsi="宋体" w:cs="宋体"/>
          <w:sz w:val="22"/>
        </w:rPr>
      </w:pPr>
      <w:r>
        <w:rPr>
          <w:rFonts w:hint="eastAsia" w:ascii="宋体" w:hAnsi="宋体" w:cs="宋体"/>
          <w:sz w:val="22"/>
        </w:rPr>
        <w:t xml:space="preserve"> 2、乙方应提供设备的随机附件、技术资料，可包括相应的安装配件、图纸、操作手册、维护手册、质量保证文件、服务指南、清单等一并附于货物内。</w:t>
      </w:r>
    </w:p>
    <w:p w14:paraId="372E40E5">
      <w:pPr>
        <w:spacing w:line="440" w:lineRule="exact"/>
        <w:ind w:firstLine="418" w:firstLineChars="190"/>
        <w:rPr>
          <w:rFonts w:ascii="宋体" w:hAnsi="宋体" w:cs="宋体"/>
          <w:sz w:val="22"/>
        </w:rPr>
      </w:pPr>
      <w:r>
        <w:rPr>
          <w:rFonts w:hint="eastAsia" w:ascii="宋体" w:hAnsi="宋体" w:cs="宋体"/>
          <w:sz w:val="22"/>
        </w:rPr>
        <w:t>3、乙方在货物发运手续办理完毕后二十四小时内或货到甲方四十八小时前通知甲方，以准备接货。</w:t>
      </w:r>
    </w:p>
    <w:p w14:paraId="5B0AD77E">
      <w:pPr>
        <w:spacing w:line="440" w:lineRule="exact"/>
        <w:ind w:firstLine="418" w:firstLineChars="190"/>
        <w:rPr>
          <w:rFonts w:ascii="宋体" w:hAnsi="宋体" w:cs="宋体"/>
          <w:sz w:val="22"/>
        </w:rPr>
      </w:pPr>
      <w:r>
        <w:rPr>
          <w:rFonts w:hint="eastAsia" w:ascii="宋体" w:hAnsi="宋体" w:cs="宋体"/>
          <w:sz w:val="22"/>
        </w:rPr>
        <w:t>4、货物在交付甲方前发生的损毁、灭失等风险均由乙方负责。</w:t>
      </w:r>
    </w:p>
    <w:p w14:paraId="75CC490A">
      <w:pPr>
        <w:spacing w:line="440" w:lineRule="exact"/>
        <w:ind w:firstLine="308" w:firstLineChars="140"/>
        <w:rPr>
          <w:rFonts w:ascii="宋体" w:hAnsi="宋体" w:cs="宋体"/>
          <w:sz w:val="22"/>
        </w:rPr>
      </w:pPr>
      <w:r>
        <w:rPr>
          <w:rFonts w:hint="eastAsia" w:ascii="宋体" w:hAnsi="宋体" w:cs="宋体"/>
          <w:sz w:val="22"/>
        </w:rPr>
        <w:t xml:space="preserve"> 5、货物在规定的交付期限内由乙方送达甲方指定的地点视为交付，乙方同时需通知甲方货物已送达。</w:t>
      </w:r>
    </w:p>
    <w:p w14:paraId="59A20AB4">
      <w:pPr>
        <w:spacing w:line="440" w:lineRule="exact"/>
        <w:rPr>
          <w:rFonts w:ascii="宋体" w:hAnsi="宋体" w:cs="宋体"/>
          <w:sz w:val="22"/>
        </w:rPr>
      </w:pPr>
      <w:r>
        <w:rPr>
          <w:rFonts w:hint="eastAsia" w:ascii="宋体" w:hAnsi="宋体" w:cs="宋体"/>
          <w:sz w:val="22"/>
        </w:rPr>
        <w:t xml:space="preserve"> 第十四条　 违约责任</w:t>
      </w:r>
    </w:p>
    <w:p w14:paraId="190637FC">
      <w:pPr>
        <w:spacing w:line="440" w:lineRule="exact"/>
        <w:ind w:firstLine="418" w:firstLineChars="190"/>
        <w:rPr>
          <w:rFonts w:ascii="宋体" w:hAnsi="宋体" w:cs="宋体"/>
          <w:sz w:val="22"/>
        </w:rPr>
      </w:pPr>
      <w:r>
        <w:rPr>
          <w:rFonts w:hint="eastAsia" w:ascii="宋体" w:hAnsi="宋体" w:cs="宋体"/>
          <w:sz w:val="22"/>
        </w:rPr>
        <w:t>1、乙方所提供的货物规格、技术标准、材料等质量不合格的，应及时更换，更换不及时的按逾期交货处理；因质量问题甲方不同意接收的或特殊情况甲方同意接收的，乙方应向甲方支付违约货款额 5%违约金并赔偿甲方经济损失。</w:t>
      </w:r>
    </w:p>
    <w:p w14:paraId="079F495C">
      <w:pPr>
        <w:spacing w:line="440" w:lineRule="exact"/>
        <w:rPr>
          <w:rFonts w:ascii="宋体" w:hAnsi="宋体" w:cs="宋体"/>
          <w:sz w:val="22"/>
        </w:rPr>
      </w:pPr>
      <w:r>
        <w:rPr>
          <w:rFonts w:hint="eastAsia" w:ascii="宋体" w:hAnsi="宋体" w:cs="宋体"/>
          <w:sz w:val="22"/>
        </w:rPr>
        <w:t xml:space="preserve">  2、乙方提供的货物如侵犯了第三方合法权益而引发的任何纠纷或诉讼，均由乙方负责交涉并承担全部责任，且乙方须按合同总额的5%向甲方支付违约金。</w:t>
      </w:r>
    </w:p>
    <w:p w14:paraId="5B0B8731">
      <w:pPr>
        <w:spacing w:line="440" w:lineRule="exact"/>
        <w:ind w:firstLine="308" w:firstLineChars="140"/>
        <w:rPr>
          <w:rFonts w:ascii="宋体" w:hAnsi="宋体" w:cs="宋体"/>
          <w:sz w:val="22"/>
        </w:rPr>
      </w:pPr>
      <w:r>
        <w:rPr>
          <w:rFonts w:hint="eastAsia" w:ascii="宋体" w:hAnsi="宋体" w:cs="宋体"/>
          <w:sz w:val="22"/>
        </w:rPr>
        <w:t xml:space="preserve"> 3、因包装、运输引起的货物损坏，按质量不合格处理。</w:t>
      </w:r>
    </w:p>
    <w:p w14:paraId="38844AF0">
      <w:pPr>
        <w:spacing w:line="440" w:lineRule="exact"/>
        <w:ind w:firstLine="418" w:firstLineChars="190"/>
        <w:rPr>
          <w:rFonts w:ascii="宋体" w:hAnsi="宋体" w:cs="宋体"/>
          <w:sz w:val="22"/>
        </w:rPr>
      </w:pPr>
      <w:r>
        <w:rPr>
          <w:rFonts w:hint="eastAsia" w:ascii="宋体" w:hAnsi="宋体" w:cs="宋体"/>
          <w:sz w:val="22"/>
        </w:rPr>
        <w:t>4、甲方无故延期接收货物、乙方逾期交货的，每天向对方偿付违约货款额3‰违约金，超过</w:t>
      </w:r>
      <w:r>
        <w:rPr>
          <w:rFonts w:hint="eastAsia" w:ascii="宋体" w:hAnsi="宋体" w:cs="宋体"/>
          <w:sz w:val="22"/>
          <w:u w:val="single"/>
        </w:rPr>
        <w:t xml:space="preserve">   </w:t>
      </w:r>
      <w:r>
        <w:rPr>
          <w:rFonts w:hint="eastAsia" w:ascii="宋体" w:hAnsi="宋体" w:cs="宋体"/>
          <w:sz w:val="22"/>
        </w:rPr>
        <w:t>天对方有权解除合同，违约方承担因此给对方造成经济损失；甲方延期付货款的，每天向乙方偿付延期货款额</w:t>
      </w:r>
      <w:r>
        <w:rPr>
          <w:rFonts w:hint="eastAsia" w:ascii="宋体" w:hAnsi="宋体" w:cs="宋体"/>
          <w:sz w:val="22"/>
          <w:lang w:val="en-US" w:eastAsia="zh-CN"/>
        </w:rPr>
        <w:t>万分之一</w:t>
      </w:r>
      <w:r>
        <w:rPr>
          <w:rFonts w:hint="eastAsia" w:ascii="宋体" w:hAnsi="宋体" w:cs="宋体"/>
          <w:sz w:val="22"/>
        </w:rPr>
        <w:t>违约金，但违约金累计不得超过延期货款额5%。</w:t>
      </w:r>
    </w:p>
    <w:p w14:paraId="2EAD8DEB">
      <w:pPr>
        <w:spacing w:line="440" w:lineRule="exact"/>
        <w:ind w:firstLine="330" w:firstLineChars="150"/>
        <w:rPr>
          <w:rFonts w:ascii="宋体" w:hAnsi="宋体" w:cs="宋体"/>
          <w:sz w:val="22"/>
        </w:rPr>
      </w:pPr>
      <w:r>
        <w:rPr>
          <w:rFonts w:hint="eastAsia" w:ascii="宋体" w:hAnsi="宋体" w:cs="宋体"/>
          <w:sz w:val="22"/>
        </w:rPr>
        <w:t xml:space="preserve"> 5、乙方未按本合同和响应文件中规定的服务承诺提供服务的，乙方应按本合同合计金额 5%向甲方支付违约金，甲方有权解除合同。</w:t>
      </w:r>
    </w:p>
    <w:p w14:paraId="0E78864D">
      <w:pPr>
        <w:spacing w:line="440" w:lineRule="exact"/>
        <w:ind w:firstLine="330" w:firstLineChars="150"/>
        <w:rPr>
          <w:rFonts w:ascii="宋体" w:hAnsi="宋体" w:cs="宋体"/>
          <w:sz w:val="22"/>
        </w:rPr>
      </w:pPr>
      <w:r>
        <w:rPr>
          <w:rFonts w:hint="eastAsia" w:ascii="宋体" w:hAnsi="宋体" w:cs="宋体"/>
          <w:sz w:val="22"/>
        </w:rPr>
        <w:t xml:space="preserve"> 6、乙方提供的货物在质量保证期内，因设计、工艺或材料的缺陷和其它质量原因造成的问题，由乙方负责，费用从履约保证金中扣除，不足另补。</w:t>
      </w:r>
    </w:p>
    <w:p w14:paraId="440E4F55">
      <w:pPr>
        <w:spacing w:line="440" w:lineRule="exact"/>
        <w:ind w:firstLine="440" w:firstLineChars="200"/>
        <w:rPr>
          <w:rFonts w:ascii="宋体" w:hAnsi="宋体" w:cs="宋体"/>
          <w:sz w:val="22"/>
        </w:rPr>
      </w:pPr>
      <w:r>
        <w:rPr>
          <w:rFonts w:hint="eastAsia" w:ascii="宋体" w:hAnsi="宋体" w:cs="宋体"/>
          <w:sz w:val="22"/>
        </w:rPr>
        <w:t>7、其它违约行为按合同金额5%收取违约金。</w:t>
      </w:r>
    </w:p>
    <w:p w14:paraId="08E616F0">
      <w:pPr>
        <w:spacing w:line="440" w:lineRule="exact"/>
        <w:ind w:firstLine="418" w:firstLineChars="190"/>
        <w:rPr>
          <w:rFonts w:ascii="宋体" w:hAnsi="宋体" w:cs="宋体"/>
          <w:sz w:val="22"/>
        </w:rPr>
      </w:pPr>
      <w:r>
        <w:rPr>
          <w:rFonts w:hint="eastAsia" w:ascii="宋体" w:hAnsi="宋体" w:cs="宋体"/>
          <w:sz w:val="22"/>
        </w:rPr>
        <w:t>8、乙方支付的违约金不足以弥补甲方损失的，还应承担赔偿责任。</w:t>
      </w:r>
    </w:p>
    <w:p w14:paraId="1E03E54F">
      <w:pPr>
        <w:spacing w:line="440" w:lineRule="exact"/>
        <w:ind w:firstLine="308" w:firstLineChars="140"/>
        <w:rPr>
          <w:rFonts w:ascii="宋体" w:hAnsi="宋体" w:cs="宋体"/>
          <w:sz w:val="22"/>
        </w:rPr>
      </w:pPr>
      <w:r>
        <w:rPr>
          <w:rFonts w:hint="eastAsia" w:ascii="宋体" w:hAnsi="宋体" w:cs="宋体"/>
          <w:sz w:val="22"/>
        </w:rPr>
        <w:t xml:space="preserve"> 第十五条  不可抗力事件处理</w:t>
      </w:r>
    </w:p>
    <w:p w14:paraId="6B3E7F2A">
      <w:pPr>
        <w:spacing w:line="440" w:lineRule="exact"/>
        <w:ind w:firstLine="308" w:firstLineChars="140"/>
        <w:rPr>
          <w:rFonts w:ascii="宋体" w:hAnsi="宋体" w:cs="宋体"/>
          <w:sz w:val="22"/>
        </w:rPr>
      </w:pPr>
      <w:r>
        <w:rPr>
          <w:rFonts w:hint="eastAsia" w:ascii="宋体" w:hAnsi="宋体" w:cs="宋体"/>
          <w:sz w:val="22"/>
        </w:rPr>
        <w:t xml:space="preserve"> 1、在合同有效期内，任何一方因不可抗力事件导致不能履行合同，则合同履行期可延长，其延长期与不可抗力影响期相同。</w:t>
      </w:r>
    </w:p>
    <w:p w14:paraId="13D3CA11">
      <w:pPr>
        <w:spacing w:line="440" w:lineRule="exact"/>
        <w:ind w:firstLine="440" w:firstLineChars="200"/>
        <w:rPr>
          <w:rFonts w:ascii="宋体" w:hAnsi="宋体" w:cs="宋体"/>
          <w:sz w:val="22"/>
        </w:rPr>
      </w:pPr>
      <w:r>
        <w:rPr>
          <w:rFonts w:hint="eastAsia" w:ascii="宋体" w:hAnsi="宋体" w:cs="宋体"/>
          <w:sz w:val="22"/>
        </w:rPr>
        <w:t>2、不可抗力事件发生后，应立即通知对方，并寄送有关权威机构出具的证明。</w:t>
      </w:r>
    </w:p>
    <w:p w14:paraId="7EE1F6BF">
      <w:pPr>
        <w:spacing w:line="440" w:lineRule="exact"/>
        <w:ind w:firstLine="418" w:firstLineChars="190"/>
        <w:rPr>
          <w:rFonts w:ascii="宋体" w:hAnsi="宋体" w:cs="宋体"/>
          <w:sz w:val="22"/>
        </w:rPr>
      </w:pPr>
      <w:r>
        <w:rPr>
          <w:rFonts w:hint="eastAsia" w:ascii="宋体" w:hAnsi="宋体" w:cs="宋体"/>
          <w:sz w:val="22"/>
        </w:rPr>
        <w:t>3、不可抗力事件延续一百二十天以上，双方应通过友好协商，确定是否继续履行合同。</w:t>
      </w:r>
    </w:p>
    <w:p w14:paraId="7E899877">
      <w:pPr>
        <w:spacing w:line="440" w:lineRule="exact"/>
        <w:ind w:firstLine="418" w:firstLineChars="190"/>
        <w:rPr>
          <w:rFonts w:ascii="宋体" w:hAnsi="宋体" w:cs="宋体"/>
          <w:sz w:val="22"/>
        </w:rPr>
      </w:pPr>
      <w:r>
        <w:rPr>
          <w:rFonts w:hint="eastAsia" w:ascii="宋体" w:hAnsi="宋体" w:cs="宋体"/>
          <w:sz w:val="22"/>
        </w:rPr>
        <w:t>第十六条  合同争议解决</w:t>
      </w:r>
    </w:p>
    <w:p w14:paraId="345F8755">
      <w:pPr>
        <w:spacing w:line="440" w:lineRule="exact"/>
        <w:ind w:firstLine="440" w:firstLineChars="200"/>
        <w:rPr>
          <w:rFonts w:ascii="宋体" w:hAnsi="宋体" w:cs="宋体"/>
          <w:sz w:val="22"/>
        </w:rPr>
      </w:pPr>
      <w:r>
        <w:rPr>
          <w:rFonts w:hint="eastAsia" w:ascii="宋体" w:hAnsi="宋体" w:cs="宋体"/>
          <w:sz w:val="22"/>
        </w:rPr>
        <w:t>1、因货物质量问题发生争议的，应邀请国家认可的质量检测机构对货物质量进行鉴定。货物符合标准的，鉴定费由甲方承担；货物不符合标准的，鉴定费由乙方承担。</w:t>
      </w:r>
    </w:p>
    <w:p w14:paraId="67011B46">
      <w:pPr>
        <w:spacing w:line="440" w:lineRule="exact"/>
        <w:ind w:firstLine="308" w:firstLineChars="140"/>
        <w:rPr>
          <w:rFonts w:ascii="宋体" w:hAnsi="宋体" w:cs="宋体"/>
          <w:sz w:val="22"/>
        </w:rPr>
      </w:pPr>
      <w:r>
        <w:rPr>
          <w:rFonts w:hint="eastAsia" w:ascii="宋体" w:hAnsi="宋体" w:cs="宋体"/>
          <w:sz w:val="22"/>
        </w:rPr>
        <w:t xml:space="preserve"> 2、因履行本合同引起的或与本合同有关的争议，甲乙双方应首先通过友好协商解决，如果协商不能解决，向甲方所在地人民法院提起诉讼。</w:t>
      </w:r>
    </w:p>
    <w:p w14:paraId="7A3ED203">
      <w:pPr>
        <w:spacing w:line="440" w:lineRule="exact"/>
        <w:ind w:firstLine="418" w:firstLineChars="190"/>
        <w:rPr>
          <w:rFonts w:ascii="宋体" w:hAnsi="宋体" w:cs="宋体"/>
          <w:sz w:val="22"/>
        </w:rPr>
      </w:pPr>
      <w:r>
        <w:rPr>
          <w:rFonts w:hint="eastAsia" w:ascii="宋体" w:hAnsi="宋体" w:cs="宋体"/>
          <w:sz w:val="22"/>
        </w:rPr>
        <w:t>3、诉讼期间，本合同继续履行。</w:t>
      </w:r>
    </w:p>
    <w:p w14:paraId="06BB74BA">
      <w:pPr>
        <w:spacing w:line="440" w:lineRule="exact"/>
        <w:ind w:firstLine="418" w:firstLineChars="190"/>
        <w:rPr>
          <w:rFonts w:ascii="宋体" w:hAnsi="宋体" w:cs="宋体"/>
          <w:sz w:val="22"/>
        </w:rPr>
      </w:pPr>
      <w:r>
        <w:rPr>
          <w:rFonts w:hint="eastAsia" w:ascii="宋体" w:hAnsi="宋体" w:cs="宋体"/>
          <w:sz w:val="22"/>
        </w:rPr>
        <w:t>第十七条  合同生效及其它</w:t>
      </w:r>
    </w:p>
    <w:p w14:paraId="6EF39520">
      <w:pPr>
        <w:spacing w:line="440" w:lineRule="exact"/>
        <w:ind w:firstLine="440" w:firstLineChars="200"/>
        <w:rPr>
          <w:rFonts w:ascii="宋体" w:hAnsi="宋体" w:cs="宋体"/>
          <w:sz w:val="22"/>
        </w:rPr>
      </w:pPr>
      <w:r>
        <w:rPr>
          <w:rFonts w:hint="eastAsia" w:ascii="宋体" w:hAnsi="宋体" w:cs="宋体"/>
          <w:sz w:val="22"/>
        </w:rPr>
        <w:t>1、合同经双方法定代表人或授权代表（委托代理人）签字并加盖单位公章</w:t>
      </w:r>
      <w:r>
        <w:rPr>
          <w:rFonts w:hint="eastAsia" w:ascii="宋体" w:hAnsi="宋体" w:cs="宋体"/>
          <w:sz w:val="22"/>
          <w:lang w:val="en-US" w:eastAsia="zh-CN"/>
        </w:rPr>
        <w:t>或合同专用章</w:t>
      </w:r>
      <w:r>
        <w:rPr>
          <w:rFonts w:hint="eastAsia" w:ascii="宋体" w:hAnsi="宋体" w:cs="宋体"/>
          <w:sz w:val="22"/>
        </w:rPr>
        <w:t>后生效。</w:t>
      </w:r>
    </w:p>
    <w:p w14:paraId="1ADB6ABC">
      <w:pPr>
        <w:spacing w:line="440" w:lineRule="exact"/>
        <w:ind w:firstLine="418" w:firstLineChars="190"/>
        <w:rPr>
          <w:rFonts w:ascii="宋体" w:hAnsi="宋体" w:cs="宋体"/>
          <w:sz w:val="22"/>
        </w:rPr>
      </w:pPr>
      <w:r>
        <w:rPr>
          <w:rFonts w:hint="eastAsia" w:ascii="宋体" w:hAnsi="宋体" w:cs="宋体"/>
          <w:sz w:val="22"/>
        </w:rPr>
        <w:t>2、合同执行中涉及采购资金和采购内容修改或补充的，须经同级政府采购监督管理办公室审批，并签书面补充协议报同级政府采购监督管理办公室备案，方可作为本合同不可分割的一部分。</w:t>
      </w:r>
    </w:p>
    <w:p w14:paraId="1917059B">
      <w:pPr>
        <w:spacing w:line="440" w:lineRule="exact"/>
        <w:ind w:firstLine="418" w:firstLineChars="190"/>
        <w:rPr>
          <w:rFonts w:ascii="宋体" w:hAnsi="宋体" w:cs="宋体"/>
          <w:sz w:val="22"/>
        </w:rPr>
      </w:pPr>
      <w:r>
        <w:rPr>
          <w:rFonts w:hint="eastAsia" w:ascii="宋体" w:hAnsi="宋体" w:cs="宋体"/>
          <w:sz w:val="22"/>
        </w:rPr>
        <w:t>3、本合同未尽事宜，遵照《中华人民共和国民法典》之合同编的有关条文执行。</w:t>
      </w:r>
    </w:p>
    <w:p w14:paraId="501040E1">
      <w:pPr>
        <w:spacing w:line="440" w:lineRule="exact"/>
        <w:rPr>
          <w:rFonts w:ascii="宋体" w:hAnsi="宋体" w:cs="宋体"/>
          <w:sz w:val="22"/>
        </w:rPr>
      </w:pPr>
      <w:r>
        <w:rPr>
          <w:rFonts w:hint="eastAsia" w:ascii="宋体" w:hAnsi="宋体" w:cs="宋体"/>
          <w:sz w:val="22"/>
        </w:rPr>
        <w:t xml:space="preserve"> 第十八条　 合同的变更、终止与转让</w:t>
      </w:r>
    </w:p>
    <w:p w14:paraId="23A9DC9A">
      <w:pPr>
        <w:spacing w:line="440" w:lineRule="exact"/>
        <w:ind w:firstLine="418" w:firstLineChars="190"/>
        <w:rPr>
          <w:rFonts w:ascii="宋体" w:hAnsi="宋体" w:cs="宋体"/>
          <w:sz w:val="22"/>
        </w:rPr>
      </w:pPr>
      <w:r>
        <w:rPr>
          <w:rFonts w:hint="eastAsia" w:ascii="宋体" w:hAnsi="宋体" w:cs="宋体"/>
          <w:sz w:val="22"/>
        </w:rPr>
        <w:t>1、除《中华人民共和国政府采购法》第五十条规定的情形外，本合同一经签订，甲乙双方不得擅自变更、中止或终止。</w:t>
      </w:r>
    </w:p>
    <w:p w14:paraId="1083D1AC">
      <w:pPr>
        <w:spacing w:line="440" w:lineRule="exact"/>
        <w:ind w:firstLine="418" w:firstLineChars="190"/>
        <w:rPr>
          <w:rFonts w:ascii="宋体" w:hAnsi="宋体" w:cs="宋体"/>
          <w:sz w:val="22"/>
        </w:rPr>
      </w:pPr>
      <w:r>
        <w:rPr>
          <w:rFonts w:hint="eastAsia" w:ascii="宋体" w:hAnsi="宋体" w:cs="宋体"/>
          <w:sz w:val="22"/>
        </w:rPr>
        <w:t>2、乙方不得擅自转让（无进口资格的供应商委托进口货物除外）其应履行的合同义务。</w:t>
      </w:r>
    </w:p>
    <w:p w14:paraId="21EE5F31">
      <w:pPr>
        <w:spacing w:line="440" w:lineRule="exact"/>
        <w:ind w:firstLine="418" w:firstLineChars="190"/>
        <w:rPr>
          <w:rFonts w:ascii="宋体" w:hAnsi="宋体" w:cs="宋体"/>
          <w:sz w:val="22"/>
        </w:rPr>
      </w:pPr>
      <w:r>
        <w:rPr>
          <w:rFonts w:hint="eastAsia" w:ascii="宋体" w:hAnsi="宋体" w:cs="宋体"/>
          <w:sz w:val="22"/>
        </w:rPr>
        <w:t>第十九条　 签订本合同依据</w:t>
      </w:r>
    </w:p>
    <w:p w14:paraId="6843E52A">
      <w:pPr>
        <w:spacing w:line="440" w:lineRule="exact"/>
        <w:ind w:firstLine="418" w:firstLineChars="190"/>
        <w:rPr>
          <w:rFonts w:ascii="宋体" w:hAnsi="宋体" w:cs="宋体"/>
          <w:sz w:val="22"/>
        </w:rPr>
      </w:pPr>
      <w:r>
        <w:rPr>
          <w:rFonts w:hint="eastAsia" w:ascii="宋体" w:hAnsi="宋体" w:cs="宋体"/>
          <w:sz w:val="22"/>
        </w:rPr>
        <w:t>1、谈判文件；</w:t>
      </w:r>
    </w:p>
    <w:p w14:paraId="01770289">
      <w:pPr>
        <w:spacing w:line="440" w:lineRule="exact"/>
        <w:ind w:firstLine="418" w:firstLineChars="190"/>
        <w:rPr>
          <w:rFonts w:ascii="宋体" w:hAnsi="宋体" w:cs="宋体"/>
          <w:sz w:val="22"/>
        </w:rPr>
      </w:pPr>
      <w:r>
        <w:rPr>
          <w:rFonts w:hint="eastAsia" w:ascii="宋体" w:hAnsi="宋体" w:cs="宋体"/>
          <w:sz w:val="22"/>
        </w:rPr>
        <w:t>2、乙方提供的响应文件；</w:t>
      </w:r>
    </w:p>
    <w:p w14:paraId="6484C541">
      <w:pPr>
        <w:spacing w:line="440" w:lineRule="exact"/>
        <w:ind w:firstLine="418" w:firstLineChars="190"/>
        <w:rPr>
          <w:rFonts w:ascii="宋体" w:hAnsi="宋体" w:cs="宋体"/>
          <w:sz w:val="22"/>
        </w:rPr>
      </w:pPr>
      <w:r>
        <w:rPr>
          <w:rFonts w:hint="eastAsia" w:ascii="宋体" w:hAnsi="宋体" w:cs="宋体"/>
          <w:sz w:val="22"/>
        </w:rPr>
        <w:t xml:space="preserve">3、谈判书； </w:t>
      </w:r>
    </w:p>
    <w:p w14:paraId="64A14D4B">
      <w:pPr>
        <w:spacing w:line="440" w:lineRule="exact"/>
        <w:ind w:firstLine="418" w:firstLineChars="190"/>
        <w:rPr>
          <w:rFonts w:ascii="宋体" w:hAnsi="宋体" w:cs="宋体"/>
          <w:sz w:val="22"/>
        </w:rPr>
      </w:pPr>
      <w:r>
        <w:rPr>
          <w:rFonts w:hint="eastAsia" w:ascii="宋体" w:hAnsi="宋体" w:cs="宋体"/>
          <w:sz w:val="22"/>
        </w:rPr>
        <w:t>4、成交通知书。</w:t>
      </w:r>
    </w:p>
    <w:p w14:paraId="1C12E37E">
      <w:pPr>
        <w:spacing w:line="440" w:lineRule="exact"/>
        <w:ind w:firstLine="418" w:firstLineChars="190"/>
        <w:rPr>
          <w:rFonts w:ascii="宋体" w:hAnsi="宋体" w:cs="宋体"/>
          <w:sz w:val="22"/>
        </w:rPr>
      </w:pPr>
      <w:r>
        <w:rPr>
          <w:rFonts w:hint="eastAsia" w:ascii="宋体" w:hAnsi="宋体" w:cs="宋体"/>
          <w:sz w:val="22"/>
        </w:rPr>
        <w:t>第二十条　本合同一式伍份，具有同等法律效力，甲肆份，乙方壹份。</w:t>
      </w:r>
    </w:p>
    <w:p w14:paraId="37FC8D88">
      <w:pPr>
        <w:spacing w:line="440" w:lineRule="exact"/>
        <w:ind w:firstLine="440" w:firstLineChars="200"/>
        <w:rPr>
          <w:rFonts w:ascii="宋体" w:hAnsi="宋体" w:cs="宋体"/>
          <w:sz w:val="22"/>
        </w:rPr>
      </w:pPr>
      <w:r>
        <w:rPr>
          <w:rFonts w:hint="eastAsia" w:ascii="宋体" w:hAnsi="宋体" w:cs="宋体"/>
          <w:sz w:val="22"/>
        </w:rPr>
        <w:t>第二十一条  本合同甲乙双方签字盖章后生效，自签订之日起七个工作日内，采购人或采购代理机构应当将合同副本报同级政府采购监督管理办公室备案。</w:t>
      </w:r>
    </w:p>
    <w:p w14:paraId="7204343D">
      <w:pPr>
        <w:pStyle w:val="78"/>
      </w:pPr>
    </w:p>
    <w:p w14:paraId="5ECD2E35">
      <w:pPr>
        <w:pStyle w:val="78"/>
      </w:pPr>
    </w:p>
    <w:p w14:paraId="19FA61A1">
      <w:pPr>
        <w:pStyle w:val="78"/>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9"/>
        <w:gridCol w:w="4690"/>
      </w:tblGrid>
      <w:tr w14:paraId="76662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7" w:hRule="atLeast"/>
          <w:jc w:val="center"/>
        </w:trPr>
        <w:tc>
          <w:tcPr>
            <w:tcW w:w="4689" w:type="dxa"/>
            <w:noWrap w:val="0"/>
            <w:vAlign w:val="center"/>
          </w:tcPr>
          <w:p w14:paraId="2C438254">
            <w:pPr>
              <w:spacing w:line="440" w:lineRule="exact"/>
              <w:rPr>
                <w:rFonts w:ascii="宋体" w:hAnsi="宋体" w:cs="宋体"/>
                <w:sz w:val="22"/>
              </w:rPr>
            </w:pPr>
            <w:r>
              <w:rPr>
                <w:rFonts w:hint="eastAsia" w:ascii="宋体" w:hAnsi="宋体" w:cs="宋体"/>
                <w:sz w:val="22"/>
              </w:rPr>
              <w:t xml:space="preserve">甲方（章）           </w:t>
            </w:r>
          </w:p>
          <w:p w14:paraId="59A0B89C">
            <w:pPr>
              <w:spacing w:line="440" w:lineRule="exact"/>
              <w:rPr>
                <w:rFonts w:ascii="宋体" w:hAnsi="宋体" w:cs="宋体"/>
                <w:sz w:val="22"/>
              </w:rPr>
            </w:pPr>
            <w:r>
              <w:rPr>
                <w:rFonts w:hint="eastAsia" w:ascii="宋体" w:hAnsi="宋体" w:cs="宋体"/>
                <w:sz w:val="22"/>
                <w:lang w:eastAsia="zh-CN"/>
              </w:rPr>
              <w:t>钦州市第一人民医院</w:t>
            </w:r>
          </w:p>
          <w:p w14:paraId="47DBA3E9">
            <w:pPr>
              <w:spacing w:line="440" w:lineRule="exact"/>
              <w:ind w:left="798" w:firstLine="2200" w:firstLineChars="1000"/>
              <w:rPr>
                <w:rFonts w:ascii="宋体" w:hAnsi="宋体" w:cs="宋体"/>
                <w:sz w:val="22"/>
              </w:rPr>
            </w:pPr>
            <w:r>
              <w:rPr>
                <w:rFonts w:hint="eastAsia" w:ascii="宋体" w:hAnsi="宋体" w:cs="宋体"/>
                <w:sz w:val="22"/>
              </w:rPr>
              <w:t>年   月   日</w:t>
            </w:r>
          </w:p>
        </w:tc>
        <w:tc>
          <w:tcPr>
            <w:tcW w:w="4690" w:type="dxa"/>
            <w:noWrap w:val="0"/>
            <w:vAlign w:val="center"/>
          </w:tcPr>
          <w:p w14:paraId="346EA128">
            <w:pPr>
              <w:spacing w:line="440" w:lineRule="exact"/>
              <w:ind w:left="798"/>
              <w:rPr>
                <w:rFonts w:ascii="宋体" w:hAnsi="宋体" w:cs="宋体"/>
                <w:sz w:val="22"/>
              </w:rPr>
            </w:pPr>
            <w:r>
              <w:rPr>
                <w:rFonts w:hint="eastAsia" w:ascii="宋体" w:hAnsi="宋体" w:cs="宋体"/>
                <w:sz w:val="22"/>
              </w:rPr>
              <w:t xml:space="preserve">乙方（章）              </w:t>
            </w:r>
          </w:p>
          <w:p w14:paraId="1BCCF96A">
            <w:pPr>
              <w:spacing w:line="440" w:lineRule="exact"/>
              <w:ind w:left="798"/>
              <w:rPr>
                <w:rFonts w:ascii="宋体" w:hAnsi="宋体" w:cs="宋体"/>
                <w:sz w:val="22"/>
              </w:rPr>
            </w:pPr>
          </w:p>
          <w:p w14:paraId="2C470062">
            <w:pPr>
              <w:spacing w:line="440" w:lineRule="exact"/>
              <w:ind w:left="798"/>
              <w:rPr>
                <w:rFonts w:ascii="宋体" w:hAnsi="宋体" w:cs="宋体"/>
                <w:sz w:val="22"/>
              </w:rPr>
            </w:pPr>
            <w:r>
              <w:rPr>
                <w:rFonts w:hint="eastAsia" w:ascii="宋体" w:hAnsi="宋体" w:cs="宋体"/>
                <w:sz w:val="22"/>
              </w:rPr>
              <w:t xml:space="preserve"> </w:t>
            </w:r>
            <w:r>
              <w:rPr>
                <w:rFonts w:hint="eastAsia" w:ascii="宋体" w:hAnsi="宋体" w:cs="宋体"/>
                <w:sz w:val="22"/>
                <w:lang w:val="en-US" w:eastAsia="zh-CN"/>
              </w:rPr>
              <w:t xml:space="preserve">                    </w:t>
            </w:r>
            <w:r>
              <w:rPr>
                <w:rFonts w:hint="eastAsia" w:ascii="宋体" w:hAnsi="宋体" w:cs="宋体"/>
                <w:sz w:val="22"/>
              </w:rPr>
              <w:t>年   月   日</w:t>
            </w:r>
          </w:p>
        </w:tc>
      </w:tr>
      <w:tr w14:paraId="4522B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4689" w:type="dxa"/>
            <w:noWrap w:val="0"/>
            <w:vAlign w:val="top"/>
          </w:tcPr>
          <w:p w14:paraId="16E589DD">
            <w:pPr>
              <w:spacing w:line="440" w:lineRule="exact"/>
              <w:rPr>
                <w:rFonts w:ascii="宋体" w:hAnsi="宋体" w:cs="宋体"/>
                <w:sz w:val="22"/>
              </w:rPr>
            </w:pPr>
            <w:r>
              <w:rPr>
                <w:rFonts w:hint="eastAsia" w:ascii="宋体" w:hAnsi="宋体" w:cs="宋体"/>
                <w:sz w:val="22"/>
              </w:rPr>
              <w:t>单位地址：</w:t>
            </w:r>
            <w:r>
              <w:rPr>
                <w:rFonts w:hint="eastAsia" w:ascii="宋体" w:hAnsi="宋体" w:cs="宋体"/>
                <w:sz w:val="22"/>
                <w:lang w:eastAsia="zh-CN"/>
              </w:rPr>
              <w:t>广西钦州市钦南区明阳路</w:t>
            </w:r>
            <w:r>
              <w:rPr>
                <w:rFonts w:hint="eastAsia" w:ascii="宋体" w:hAnsi="宋体" w:cs="宋体"/>
                <w:sz w:val="22"/>
                <w:lang w:val="en-US" w:eastAsia="zh-CN"/>
              </w:rPr>
              <w:t>8号</w:t>
            </w:r>
          </w:p>
        </w:tc>
        <w:tc>
          <w:tcPr>
            <w:tcW w:w="4690" w:type="dxa"/>
            <w:noWrap w:val="0"/>
            <w:vAlign w:val="top"/>
          </w:tcPr>
          <w:p w14:paraId="47999DC6">
            <w:pPr>
              <w:spacing w:line="440" w:lineRule="exact"/>
              <w:rPr>
                <w:rFonts w:ascii="宋体" w:hAnsi="宋体" w:cs="宋体"/>
                <w:sz w:val="22"/>
              </w:rPr>
            </w:pPr>
            <w:r>
              <w:rPr>
                <w:rFonts w:hint="eastAsia" w:ascii="宋体" w:hAnsi="宋体" w:cs="宋体"/>
                <w:sz w:val="22"/>
              </w:rPr>
              <w:t>单位地址：</w:t>
            </w:r>
          </w:p>
        </w:tc>
      </w:tr>
      <w:tr w14:paraId="33DF4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4689" w:type="dxa"/>
            <w:noWrap w:val="0"/>
            <w:vAlign w:val="top"/>
          </w:tcPr>
          <w:p w14:paraId="758CD587">
            <w:pPr>
              <w:spacing w:line="440" w:lineRule="exact"/>
              <w:rPr>
                <w:rFonts w:ascii="宋体" w:hAnsi="宋体" w:cs="宋体"/>
                <w:sz w:val="22"/>
              </w:rPr>
            </w:pPr>
            <w:r>
              <w:rPr>
                <w:rFonts w:hint="eastAsia" w:ascii="宋体" w:hAnsi="宋体" w:cs="宋体"/>
                <w:sz w:val="22"/>
              </w:rPr>
              <w:t>法定代表人：</w:t>
            </w:r>
          </w:p>
        </w:tc>
        <w:tc>
          <w:tcPr>
            <w:tcW w:w="4690" w:type="dxa"/>
            <w:noWrap w:val="0"/>
            <w:vAlign w:val="top"/>
          </w:tcPr>
          <w:p w14:paraId="1E1881FE">
            <w:pPr>
              <w:spacing w:line="440" w:lineRule="exact"/>
              <w:rPr>
                <w:rFonts w:ascii="宋体" w:hAnsi="宋体" w:cs="宋体"/>
                <w:sz w:val="22"/>
              </w:rPr>
            </w:pPr>
            <w:r>
              <w:rPr>
                <w:rFonts w:hint="eastAsia" w:ascii="宋体" w:hAnsi="宋体" w:cs="宋体"/>
                <w:sz w:val="22"/>
              </w:rPr>
              <w:t>法定代表人：</w:t>
            </w:r>
          </w:p>
        </w:tc>
      </w:tr>
      <w:tr w14:paraId="4ED73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4689" w:type="dxa"/>
            <w:noWrap w:val="0"/>
            <w:vAlign w:val="top"/>
          </w:tcPr>
          <w:p w14:paraId="2BF7C60F">
            <w:pPr>
              <w:spacing w:line="440" w:lineRule="exact"/>
              <w:rPr>
                <w:rFonts w:ascii="宋体" w:hAnsi="宋体" w:cs="宋体"/>
                <w:sz w:val="22"/>
              </w:rPr>
            </w:pPr>
            <w:r>
              <w:rPr>
                <w:rFonts w:hint="eastAsia" w:ascii="宋体" w:hAnsi="宋体" w:cs="宋体"/>
                <w:sz w:val="22"/>
              </w:rPr>
              <w:t>委托代理人：</w:t>
            </w:r>
          </w:p>
        </w:tc>
        <w:tc>
          <w:tcPr>
            <w:tcW w:w="4690" w:type="dxa"/>
            <w:noWrap w:val="0"/>
            <w:vAlign w:val="top"/>
          </w:tcPr>
          <w:p w14:paraId="5CBC49F8">
            <w:pPr>
              <w:spacing w:line="440" w:lineRule="exact"/>
              <w:rPr>
                <w:rFonts w:ascii="宋体" w:hAnsi="宋体" w:cs="宋体"/>
                <w:sz w:val="22"/>
              </w:rPr>
            </w:pPr>
            <w:r>
              <w:rPr>
                <w:rFonts w:hint="eastAsia" w:ascii="宋体" w:hAnsi="宋体" w:cs="宋体"/>
                <w:sz w:val="22"/>
              </w:rPr>
              <w:t>委托代理人：</w:t>
            </w:r>
          </w:p>
        </w:tc>
      </w:tr>
      <w:tr w14:paraId="54F49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4689" w:type="dxa"/>
            <w:noWrap w:val="0"/>
            <w:vAlign w:val="top"/>
          </w:tcPr>
          <w:p w14:paraId="006224DA">
            <w:pPr>
              <w:spacing w:line="440" w:lineRule="exact"/>
              <w:rPr>
                <w:rFonts w:ascii="宋体" w:hAnsi="宋体" w:cs="宋体"/>
                <w:sz w:val="22"/>
              </w:rPr>
            </w:pPr>
            <w:r>
              <w:rPr>
                <w:rFonts w:hint="eastAsia" w:ascii="宋体" w:hAnsi="宋体" w:cs="宋体"/>
                <w:sz w:val="22"/>
              </w:rPr>
              <w:t>电话：</w:t>
            </w:r>
          </w:p>
        </w:tc>
        <w:tc>
          <w:tcPr>
            <w:tcW w:w="4690" w:type="dxa"/>
            <w:noWrap w:val="0"/>
            <w:vAlign w:val="top"/>
          </w:tcPr>
          <w:p w14:paraId="755FDD5A">
            <w:pPr>
              <w:spacing w:line="440" w:lineRule="exact"/>
              <w:rPr>
                <w:rFonts w:ascii="宋体" w:hAnsi="宋体" w:cs="宋体"/>
                <w:sz w:val="22"/>
              </w:rPr>
            </w:pPr>
            <w:r>
              <w:rPr>
                <w:rFonts w:hint="eastAsia" w:ascii="宋体" w:hAnsi="宋体" w:cs="宋体"/>
                <w:sz w:val="22"/>
              </w:rPr>
              <w:t>电话：</w:t>
            </w:r>
          </w:p>
        </w:tc>
      </w:tr>
      <w:tr w14:paraId="2642B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4689" w:type="dxa"/>
            <w:noWrap w:val="0"/>
            <w:vAlign w:val="top"/>
          </w:tcPr>
          <w:p w14:paraId="407C99BC">
            <w:pPr>
              <w:spacing w:line="440" w:lineRule="exact"/>
              <w:rPr>
                <w:rFonts w:ascii="宋体" w:hAnsi="宋体" w:cs="宋体"/>
                <w:sz w:val="22"/>
              </w:rPr>
            </w:pPr>
            <w:r>
              <w:rPr>
                <w:rFonts w:hint="eastAsia" w:ascii="宋体" w:hAnsi="宋体" w:cs="宋体"/>
                <w:sz w:val="22"/>
              </w:rPr>
              <w:t>电子邮箱：</w:t>
            </w:r>
          </w:p>
        </w:tc>
        <w:tc>
          <w:tcPr>
            <w:tcW w:w="4690" w:type="dxa"/>
            <w:noWrap w:val="0"/>
            <w:vAlign w:val="top"/>
          </w:tcPr>
          <w:p w14:paraId="2F4CACBA">
            <w:pPr>
              <w:spacing w:line="440" w:lineRule="exact"/>
              <w:rPr>
                <w:rFonts w:ascii="宋体" w:hAnsi="宋体" w:cs="宋体"/>
                <w:sz w:val="22"/>
              </w:rPr>
            </w:pPr>
            <w:r>
              <w:rPr>
                <w:rFonts w:hint="eastAsia" w:ascii="宋体" w:hAnsi="宋体" w:cs="宋体"/>
                <w:sz w:val="22"/>
              </w:rPr>
              <w:t>电子邮箱：</w:t>
            </w:r>
          </w:p>
        </w:tc>
      </w:tr>
      <w:tr w14:paraId="05CA0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4689" w:type="dxa"/>
            <w:noWrap w:val="0"/>
            <w:vAlign w:val="top"/>
          </w:tcPr>
          <w:p w14:paraId="6A04675B">
            <w:pPr>
              <w:spacing w:line="440" w:lineRule="exact"/>
              <w:rPr>
                <w:rFonts w:ascii="宋体" w:hAnsi="宋体" w:cs="宋体"/>
                <w:sz w:val="22"/>
              </w:rPr>
            </w:pPr>
            <w:r>
              <w:rPr>
                <w:rFonts w:hint="eastAsia" w:ascii="宋体" w:hAnsi="宋体" w:cs="宋体"/>
                <w:sz w:val="22"/>
              </w:rPr>
              <w:t>开户银行：</w:t>
            </w:r>
          </w:p>
        </w:tc>
        <w:tc>
          <w:tcPr>
            <w:tcW w:w="4690" w:type="dxa"/>
            <w:noWrap w:val="0"/>
            <w:vAlign w:val="top"/>
          </w:tcPr>
          <w:p w14:paraId="284E1B7D">
            <w:pPr>
              <w:spacing w:line="440" w:lineRule="exact"/>
              <w:rPr>
                <w:rFonts w:ascii="宋体" w:hAnsi="宋体" w:cs="宋体"/>
                <w:sz w:val="22"/>
              </w:rPr>
            </w:pPr>
            <w:r>
              <w:rPr>
                <w:rFonts w:hint="eastAsia" w:ascii="宋体" w:hAnsi="宋体" w:cs="宋体"/>
                <w:sz w:val="22"/>
              </w:rPr>
              <w:t>开户银行：</w:t>
            </w:r>
          </w:p>
        </w:tc>
      </w:tr>
      <w:tr w14:paraId="3975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4689" w:type="dxa"/>
            <w:noWrap w:val="0"/>
            <w:vAlign w:val="top"/>
          </w:tcPr>
          <w:p w14:paraId="3FD0F80E">
            <w:pPr>
              <w:spacing w:line="440" w:lineRule="exact"/>
              <w:rPr>
                <w:rFonts w:ascii="宋体" w:hAnsi="宋体" w:cs="宋体"/>
                <w:sz w:val="22"/>
              </w:rPr>
            </w:pPr>
            <w:r>
              <w:rPr>
                <w:rFonts w:hint="eastAsia" w:ascii="宋体" w:hAnsi="宋体" w:cs="宋体"/>
                <w:sz w:val="22"/>
              </w:rPr>
              <w:t>账号：</w:t>
            </w:r>
          </w:p>
        </w:tc>
        <w:tc>
          <w:tcPr>
            <w:tcW w:w="4690" w:type="dxa"/>
            <w:noWrap w:val="0"/>
            <w:vAlign w:val="top"/>
          </w:tcPr>
          <w:p w14:paraId="3FD5ACB1">
            <w:pPr>
              <w:spacing w:line="440" w:lineRule="exact"/>
              <w:rPr>
                <w:rFonts w:ascii="宋体" w:hAnsi="宋体" w:cs="宋体"/>
                <w:sz w:val="22"/>
              </w:rPr>
            </w:pPr>
            <w:r>
              <w:rPr>
                <w:rFonts w:hint="eastAsia" w:ascii="宋体" w:hAnsi="宋体" w:cs="宋体"/>
                <w:sz w:val="22"/>
              </w:rPr>
              <w:t>账号：</w:t>
            </w:r>
          </w:p>
        </w:tc>
      </w:tr>
      <w:tr w14:paraId="794AD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4689" w:type="dxa"/>
            <w:noWrap w:val="0"/>
            <w:vAlign w:val="top"/>
          </w:tcPr>
          <w:p w14:paraId="7102908F">
            <w:pPr>
              <w:spacing w:line="440" w:lineRule="exact"/>
              <w:rPr>
                <w:rFonts w:ascii="宋体" w:hAnsi="宋体" w:cs="宋体"/>
                <w:sz w:val="22"/>
              </w:rPr>
            </w:pPr>
            <w:r>
              <w:rPr>
                <w:rFonts w:hint="eastAsia" w:ascii="宋体" w:hAnsi="宋体" w:cs="宋体"/>
                <w:sz w:val="22"/>
              </w:rPr>
              <w:t>邮政编码：</w:t>
            </w:r>
            <w:r>
              <w:rPr>
                <w:rFonts w:hint="eastAsia" w:ascii="宋体" w:hAnsi="宋体" w:eastAsia="宋体" w:cs="宋体"/>
                <w:sz w:val="24"/>
                <w:szCs w:val="24"/>
              </w:rPr>
              <w:t>535000</w:t>
            </w:r>
          </w:p>
        </w:tc>
        <w:tc>
          <w:tcPr>
            <w:tcW w:w="4690" w:type="dxa"/>
            <w:noWrap w:val="0"/>
            <w:vAlign w:val="top"/>
          </w:tcPr>
          <w:p w14:paraId="67E0165E">
            <w:pPr>
              <w:spacing w:line="440" w:lineRule="exact"/>
              <w:rPr>
                <w:rFonts w:ascii="宋体" w:hAnsi="宋体" w:cs="宋体"/>
                <w:sz w:val="22"/>
              </w:rPr>
            </w:pPr>
            <w:r>
              <w:rPr>
                <w:rFonts w:hint="eastAsia" w:ascii="宋体" w:hAnsi="宋体" w:cs="宋体"/>
                <w:sz w:val="22"/>
              </w:rPr>
              <w:t>邮政编码：</w:t>
            </w:r>
          </w:p>
        </w:tc>
      </w:tr>
      <w:tr w14:paraId="66B61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9379" w:type="dxa"/>
            <w:gridSpan w:val="2"/>
            <w:noWrap w:val="0"/>
            <w:vAlign w:val="top"/>
          </w:tcPr>
          <w:p w14:paraId="2327784B">
            <w:pPr>
              <w:spacing w:line="440" w:lineRule="exact"/>
              <w:rPr>
                <w:rFonts w:ascii="宋体" w:hAnsi="宋体" w:cs="宋体"/>
                <w:sz w:val="22"/>
              </w:rPr>
            </w:pPr>
            <w:r>
              <w:rPr>
                <w:rFonts w:hint="eastAsia" w:ascii="宋体" w:hAnsi="宋体" w:cs="宋体"/>
                <w:sz w:val="22"/>
              </w:rPr>
              <w:t>经办人：</w:t>
            </w:r>
          </w:p>
          <w:p w14:paraId="1CA155D3">
            <w:pPr>
              <w:spacing w:line="440" w:lineRule="exact"/>
              <w:ind w:left="798"/>
              <w:rPr>
                <w:rFonts w:ascii="宋体" w:hAnsi="宋体" w:cs="宋体"/>
                <w:sz w:val="22"/>
              </w:rPr>
            </w:pPr>
            <w:r>
              <w:rPr>
                <w:rFonts w:hint="eastAsia" w:ascii="宋体" w:hAnsi="宋体" w:cs="宋体"/>
                <w:sz w:val="22"/>
              </w:rPr>
              <w:t>年    月    日</w:t>
            </w:r>
          </w:p>
        </w:tc>
      </w:tr>
    </w:tbl>
    <w:p w14:paraId="1B9BA8C4">
      <w:pPr>
        <w:spacing w:line="300" w:lineRule="exact"/>
        <w:ind w:left="798"/>
        <w:rPr>
          <w:rFonts w:ascii="宋体" w:hAnsi="宋体" w:cs="宋体"/>
          <w:sz w:val="22"/>
        </w:rPr>
      </w:pPr>
    </w:p>
    <w:p w14:paraId="7BD4BF4E">
      <w:pPr>
        <w:pStyle w:val="78"/>
      </w:pPr>
    </w:p>
    <w:p w14:paraId="49803A87">
      <w:pPr>
        <w:pStyle w:val="78"/>
      </w:pPr>
    </w:p>
    <w:p w14:paraId="641CB5CE">
      <w:pPr>
        <w:pStyle w:val="12"/>
      </w:pPr>
    </w:p>
    <w:p w14:paraId="3FB10887">
      <w:pPr>
        <w:pStyle w:val="12"/>
      </w:pPr>
    </w:p>
    <w:p w14:paraId="1156C4F4">
      <w:pPr>
        <w:pStyle w:val="12"/>
      </w:pPr>
    </w:p>
    <w:p w14:paraId="60294AE0">
      <w:pPr>
        <w:pStyle w:val="12"/>
      </w:pPr>
    </w:p>
    <w:p w14:paraId="2E39F343">
      <w:pPr>
        <w:pStyle w:val="78"/>
      </w:pPr>
    </w:p>
    <w:p w14:paraId="7AA6D036">
      <w:pPr>
        <w:snapToGrid w:val="0"/>
        <w:ind w:left="420" w:hanging="420" w:hangingChars="200"/>
        <w:rPr>
          <w:rFonts w:ascii="宋体" w:hAnsi="宋体"/>
          <w:color w:val="auto"/>
          <w:szCs w:val="21"/>
        </w:rPr>
      </w:pPr>
      <w:r>
        <w:rPr>
          <w:rFonts w:ascii="宋体" w:hAnsi="宋体"/>
          <w:color w:val="auto"/>
          <w:szCs w:val="21"/>
        </w:rPr>
        <w:t>合同须附：</w:t>
      </w:r>
    </w:p>
    <w:p w14:paraId="65B4A6D5">
      <w:pPr>
        <w:spacing w:line="288" w:lineRule="auto"/>
        <w:ind w:firstLine="210" w:firstLineChars="100"/>
        <w:rPr>
          <w:rFonts w:ascii="宋体" w:hAnsi="宋体" w:cs="宋体"/>
          <w:color w:val="auto"/>
          <w:szCs w:val="20"/>
        </w:rPr>
      </w:pPr>
      <w:r>
        <w:rPr>
          <w:rFonts w:hint="eastAsia" w:ascii="宋体" w:hAnsi="宋体" w:cs="宋体"/>
          <w:color w:val="auto"/>
          <w:szCs w:val="20"/>
        </w:rPr>
        <w:t>（1）投标人有效的“营业执照”副本、</w:t>
      </w:r>
      <w:r>
        <w:rPr>
          <w:rFonts w:hint="eastAsia" w:ascii="宋体" w:hAnsi="宋体" w:cs="宋体"/>
          <w:bCs/>
          <w:color w:val="auto"/>
          <w:szCs w:val="20"/>
        </w:rPr>
        <w:t>组织机构代码证、税务登记证</w:t>
      </w:r>
      <w:r>
        <w:rPr>
          <w:rFonts w:hint="eastAsia" w:ascii="宋体" w:hAnsi="宋体" w:cs="宋体"/>
          <w:color w:val="auto"/>
          <w:szCs w:val="20"/>
        </w:rPr>
        <w:t>复印件</w:t>
      </w:r>
      <w:r>
        <w:rPr>
          <w:rFonts w:hint="eastAsia" w:ascii="宋体" w:hAnsi="宋体" w:cs="宋体"/>
          <w:bCs/>
          <w:color w:val="auto"/>
          <w:szCs w:val="20"/>
        </w:rPr>
        <w:t>或三证合一复印件</w:t>
      </w:r>
      <w:r>
        <w:rPr>
          <w:rFonts w:hint="eastAsia" w:ascii="宋体" w:hAnsi="宋体" w:cs="宋体"/>
          <w:color w:val="auto"/>
          <w:szCs w:val="20"/>
        </w:rPr>
        <w:t>（</w:t>
      </w:r>
      <w:r>
        <w:rPr>
          <w:rFonts w:hint="eastAsia" w:ascii="宋体" w:hAnsi="宋体" w:cs="宋体"/>
          <w:b/>
          <w:color w:val="auto"/>
          <w:szCs w:val="20"/>
        </w:rPr>
        <w:t>必须提供</w:t>
      </w:r>
      <w:r>
        <w:rPr>
          <w:rFonts w:hint="eastAsia" w:ascii="宋体" w:hAnsi="宋体" w:cs="宋体"/>
          <w:color w:val="auto"/>
          <w:szCs w:val="20"/>
        </w:rPr>
        <w:t>，</w:t>
      </w:r>
      <w:r>
        <w:rPr>
          <w:rFonts w:hint="eastAsia" w:ascii="宋体" w:hAnsi="宋体" w:cs="宋体"/>
          <w:b/>
          <w:color w:val="auto"/>
          <w:szCs w:val="20"/>
        </w:rPr>
        <w:t>同时要加盖单位公章</w:t>
      </w:r>
      <w:r>
        <w:rPr>
          <w:rFonts w:hint="eastAsia" w:ascii="宋体" w:hAnsi="宋体" w:cs="宋体"/>
          <w:color w:val="auto"/>
          <w:szCs w:val="20"/>
        </w:rPr>
        <w:t>）；</w:t>
      </w:r>
    </w:p>
    <w:p w14:paraId="1491B2EF">
      <w:pPr>
        <w:spacing w:line="288" w:lineRule="auto"/>
        <w:ind w:firstLine="210" w:firstLineChars="100"/>
        <w:rPr>
          <w:rFonts w:ascii="宋体" w:hAnsi="宋体" w:cs="宋体"/>
          <w:color w:val="auto"/>
          <w:szCs w:val="20"/>
        </w:rPr>
      </w:pPr>
      <w:r>
        <w:rPr>
          <w:rFonts w:hint="eastAsia" w:ascii="宋体" w:hAnsi="宋体" w:cs="宋体"/>
          <w:color w:val="auto"/>
          <w:szCs w:val="20"/>
        </w:rPr>
        <w:t>（2）法定代表人身份证明</w:t>
      </w:r>
      <w:r>
        <w:rPr>
          <w:rFonts w:hint="eastAsia" w:ascii="宋体" w:hAnsi="宋体"/>
          <w:color w:val="auto"/>
          <w:szCs w:val="21"/>
        </w:rPr>
        <w:t>（格式见第六章）</w:t>
      </w:r>
      <w:r>
        <w:rPr>
          <w:rFonts w:hint="eastAsia" w:ascii="宋体" w:hAnsi="宋体" w:cs="宋体"/>
          <w:color w:val="auto"/>
          <w:szCs w:val="20"/>
        </w:rPr>
        <w:t>（</w:t>
      </w:r>
      <w:r>
        <w:rPr>
          <w:rFonts w:hint="eastAsia" w:ascii="宋体" w:hAnsi="宋体" w:cs="宋体"/>
          <w:b/>
          <w:color w:val="auto"/>
          <w:szCs w:val="20"/>
        </w:rPr>
        <w:t>必须提供</w:t>
      </w:r>
      <w:r>
        <w:rPr>
          <w:rFonts w:hint="eastAsia" w:ascii="宋体" w:hAnsi="宋体" w:cs="宋体"/>
          <w:color w:val="auto"/>
          <w:szCs w:val="20"/>
        </w:rPr>
        <w:t>，</w:t>
      </w:r>
      <w:r>
        <w:rPr>
          <w:rFonts w:hint="eastAsia" w:ascii="宋体" w:hAnsi="宋体" w:cs="宋体"/>
          <w:b/>
          <w:color w:val="auto"/>
          <w:szCs w:val="20"/>
        </w:rPr>
        <w:t>同时要加盖单位公章</w:t>
      </w:r>
      <w:r>
        <w:rPr>
          <w:rFonts w:hint="eastAsia" w:ascii="宋体" w:hAnsi="宋体" w:cs="宋体"/>
          <w:color w:val="auto"/>
          <w:szCs w:val="20"/>
        </w:rPr>
        <w:t>）；</w:t>
      </w:r>
    </w:p>
    <w:p w14:paraId="5086468B">
      <w:pPr>
        <w:spacing w:line="288" w:lineRule="auto"/>
        <w:ind w:firstLine="210" w:firstLineChars="100"/>
        <w:rPr>
          <w:rFonts w:ascii="宋体" w:hAnsi="宋体" w:cs="宋体"/>
          <w:b/>
          <w:color w:val="auto"/>
          <w:szCs w:val="20"/>
        </w:rPr>
      </w:pPr>
      <w:r>
        <w:rPr>
          <w:rFonts w:hint="eastAsia" w:ascii="宋体" w:hAnsi="宋体" w:cs="宋体"/>
          <w:color w:val="auto"/>
          <w:szCs w:val="20"/>
        </w:rPr>
        <w:t>（3）有效医疗器械生产或经营许可证复印件（涉及第二类、第三类医疗器械时提供，一类医疗器械如有可提供） ；</w:t>
      </w:r>
      <w:r>
        <w:rPr>
          <w:rFonts w:hint="eastAsia" w:ascii="宋体" w:hAnsi="宋体" w:cs="宋体"/>
          <w:b/>
          <w:bCs/>
          <w:color w:val="auto"/>
          <w:szCs w:val="20"/>
        </w:rPr>
        <w:t>（</w:t>
      </w:r>
      <w:r>
        <w:rPr>
          <w:rFonts w:hint="eastAsia" w:ascii="宋体" w:hAnsi="宋体" w:cs="宋体"/>
          <w:b/>
          <w:color w:val="auto"/>
          <w:szCs w:val="20"/>
        </w:rPr>
        <w:t>必须提交，加盖公章）。</w:t>
      </w:r>
    </w:p>
    <w:p w14:paraId="58A9F6AD">
      <w:pPr>
        <w:spacing w:line="288" w:lineRule="auto"/>
        <w:ind w:firstLine="210" w:firstLineChars="100"/>
        <w:rPr>
          <w:rFonts w:ascii="宋体" w:hAnsi="宋体" w:cs="宋体"/>
          <w:color w:val="auto"/>
          <w:szCs w:val="20"/>
        </w:rPr>
      </w:pPr>
      <w:r>
        <w:rPr>
          <w:rFonts w:hint="eastAsia" w:ascii="宋体" w:hAnsi="宋体" w:cs="宋体"/>
          <w:color w:val="auto"/>
          <w:szCs w:val="20"/>
        </w:rPr>
        <w:t>（4）法人授权委托书原件和委托代理人身份证复印件</w:t>
      </w:r>
      <w:r>
        <w:rPr>
          <w:rFonts w:hint="eastAsia" w:ascii="宋体" w:hAnsi="宋体"/>
          <w:color w:val="auto"/>
          <w:szCs w:val="21"/>
        </w:rPr>
        <w:t>（格式见第六章）</w:t>
      </w:r>
      <w:r>
        <w:rPr>
          <w:rFonts w:hint="eastAsia" w:ascii="宋体" w:hAnsi="宋体" w:cs="宋体"/>
          <w:color w:val="auto"/>
          <w:szCs w:val="20"/>
        </w:rPr>
        <w:t>（</w:t>
      </w:r>
      <w:r>
        <w:rPr>
          <w:rFonts w:hint="eastAsia" w:ascii="宋体" w:hAnsi="宋体" w:cs="宋体"/>
          <w:b/>
          <w:color w:val="auto"/>
          <w:szCs w:val="20"/>
        </w:rPr>
        <w:t>委托代理时必须提供，同时要加盖单位公章</w:t>
      </w:r>
      <w:r>
        <w:rPr>
          <w:rFonts w:hint="eastAsia" w:ascii="宋体" w:hAnsi="宋体" w:cs="宋体"/>
          <w:color w:val="auto"/>
          <w:szCs w:val="20"/>
        </w:rPr>
        <w:t>）。</w:t>
      </w:r>
    </w:p>
    <w:p w14:paraId="57EBDC43">
      <w:pPr>
        <w:snapToGrid w:val="0"/>
        <w:spacing w:line="360" w:lineRule="auto"/>
        <w:ind w:firstLine="210" w:firstLineChars="100"/>
        <w:rPr>
          <w:rFonts w:hint="eastAsia" w:ascii="宋体" w:hAnsi="宋体" w:cs="宋体"/>
          <w:color w:val="auto"/>
          <w:szCs w:val="20"/>
        </w:rPr>
      </w:pPr>
      <w:r>
        <w:rPr>
          <w:rFonts w:hint="eastAsia" w:ascii="宋体" w:hAnsi="宋体" w:cs="宋体"/>
          <w:color w:val="auto"/>
          <w:szCs w:val="20"/>
        </w:rPr>
        <w:t>（5）、投标文件中的货物技术性能参数、售后承诺书、报价表等证明供货符合投标文件等内容</w:t>
      </w:r>
    </w:p>
    <w:p w14:paraId="4FC3A0C8">
      <w:pPr>
        <w:snapToGrid w:val="0"/>
        <w:spacing w:line="360" w:lineRule="auto"/>
        <w:ind w:firstLine="210" w:firstLineChars="100"/>
        <w:rPr>
          <w:rFonts w:ascii="宋体" w:hAnsi="宋体" w:cs="宋体"/>
          <w:color w:val="auto"/>
          <w:szCs w:val="20"/>
        </w:rPr>
      </w:pPr>
      <w:r>
        <w:rPr>
          <w:rFonts w:hint="eastAsia" w:ascii="宋体" w:hAnsi="宋体" w:cs="宋体"/>
          <w:color w:val="auto"/>
          <w:szCs w:val="20"/>
        </w:rPr>
        <w:t>（6）、其他资质证明文件</w:t>
      </w:r>
    </w:p>
    <w:p w14:paraId="02835533">
      <w:pPr>
        <w:pStyle w:val="79"/>
        <w:rPr>
          <w:rFonts w:hint="eastAsia" w:ascii="宋体" w:hAnsi="宋体" w:cs="宋体"/>
          <w:color w:val="auto"/>
          <w:szCs w:val="21"/>
        </w:rPr>
      </w:pPr>
      <w:r>
        <w:rPr>
          <w:rFonts w:hint="eastAsia" w:ascii="宋体" w:hAnsi="宋体" w:cs="宋体"/>
          <w:color w:val="auto"/>
          <w:szCs w:val="20"/>
        </w:rPr>
        <w:t>（7）标的物品货物清单（设备安装完成后按货物清单验收）</w:t>
      </w:r>
      <w:bookmarkEnd w:id="74"/>
      <w:bookmarkEnd w:id="75"/>
    </w:p>
    <w:p w14:paraId="31E21DB8">
      <w:pPr>
        <w:rPr>
          <w:rFonts w:hint="eastAsia" w:ascii="宋体" w:hAnsi="宋体" w:cs="宋体"/>
        </w:rPr>
      </w:pPr>
    </w:p>
    <w:sectPr>
      <w:footerReference r:id="rId8" w:type="first"/>
      <w:headerReference r:id="rId6" w:type="default"/>
      <w:footerReference r:id="rId7" w:type="default"/>
      <w:pgSz w:w="11910" w:h="16840"/>
      <w:pgMar w:top="1340" w:right="1500" w:bottom="1134"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Sans Serif">
    <w:altName w:val="Arial"/>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4D96C">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1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01E3A4">
                          <w:pPr>
                            <w:pStyle w:val="21"/>
                          </w:pPr>
                          <w:r>
                            <w:fldChar w:fldCharType="begin"/>
                          </w:r>
                          <w:r>
                            <w:instrText xml:space="preserve"> PAGE  \* MERGEFORMAT </w:instrText>
                          </w:r>
                          <w:r>
                            <w:fldChar w:fldCharType="separate"/>
                          </w:r>
                          <w:r>
                            <w:t>3</w:t>
                          </w:r>
                          <w:r>
                            <w:fldChar w:fldCharType="end"/>
                          </w:r>
                        </w:p>
                      </w:txbxContent>
                    </wps:txbx>
                    <wps:bodyPr wrap="none" lIns="0" tIns="0" rIns="0" bIns="0" upright="0">
                      <a:spAutoFit/>
                    </wps:bodyPr>
                  </wps:wsp>
                </a:graphicData>
              </a:graphic>
            </wp:anchor>
          </w:drawing>
        </mc:Choice>
        <mc:Fallback>
          <w:pict>
            <v:shape id="文本框 51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is/ussBAACcAwAADgAAAGRycy9lMm9Eb2MueG1srVPNjtMwEL4j8Q6W&#10;79Rpx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cNfUmJ4xYHfvn+7fLj1+XnV3Kz&#10;XN1khfoANSbeB0xNwxs/4N7MfkBnJj6oaPMXKRGMo77nq75ySETkR+vVel1hSGBsviA+e3geIqS3&#10;0luSjYZGHGDRlZ/eQxpT55Rczfk7bUwZonF/ORAze1jufewxW2nYDxOhvW/PyKfH2TfU4apTYt45&#10;lDavyWzE2djPxjFEfejKHuV6EF4fEzZRessVRtipMA6tsJsWLG/Fn/eS9fB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orP7rLAQAAnAMAAA4AAAAAAAAAAQAgAAAAHgEAAGRycy9lMm9E&#10;b2MueG1sUEsFBgAAAAAGAAYAWQEAAFsFAAAAAA==&#10;">
              <v:fill on="f" focussize="0,0"/>
              <v:stroke on="f"/>
              <v:imagedata o:title=""/>
              <o:lock v:ext="edit" aspectratio="f"/>
              <v:textbox inset="0mm,0mm,0mm,0mm" style="mso-fit-shape-to-text:t;">
                <w:txbxContent>
                  <w:p w14:paraId="3C01E3A4">
                    <w:pPr>
                      <w:pStyle w:val="2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34702">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48676">
    <w:pPr>
      <w:spacing w:line="196" w:lineRule="auto"/>
      <w:ind w:left="4454"/>
      <w:rPr>
        <w:rFonts w:eastAsia="Times New Roman"/>
        <w:sz w:val="17"/>
        <w:szCs w:val="17"/>
      </w:rPr>
    </w:pPr>
    <w:r>
      <w:rPr>
        <w:sz w:val="17"/>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1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4042F9">
                          <w:pPr>
                            <w:pStyle w:val="21"/>
                          </w:pPr>
                          <w:r>
                            <w:fldChar w:fldCharType="begin"/>
                          </w:r>
                          <w:r>
                            <w:instrText xml:space="preserve"> PAGE  \* MERGEFORMAT </w:instrText>
                          </w:r>
                          <w:r>
                            <w:fldChar w:fldCharType="separate"/>
                          </w:r>
                          <w:r>
                            <w:t>78</w:t>
                          </w:r>
                          <w:r>
                            <w:fldChar w:fldCharType="end"/>
                          </w:r>
                        </w:p>
                      </w:txbxContent>
                    </wps:txbx>
                    <wps:bodyPr wrap="none" lIns="0" tIns="0" rIns="0" bIns="0" upright="0">
                      <a:spAutoFit/>
                    </wps:bodyPr>
                  </wps:wsp>
                </a:graphicData>
              </a:graphic>
            </wp:anchor>
          </w:drawing>
        </mc:Choice>
        <mc:Fallback>
          <w:pict>
            <v:shape id="文本框 51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qwCOssBAACcAwAADgAAAGRycy9lMm9Eb2MueG1srVPNjtMwEL4j8Q6W&#10;79RppV1VUdMVqFqEhABp4QFcx24s+U8et0lfAN6AExfuPFefg7GTdGG57IGLM54ZfzPfN5PN3WAN&#10;OckI2ruGLhcVJdIJ32p3aOiXz/ev1pRA4q7lxjvZ0LMEerd9+WLTh1qufOdNKyNBEAd1HxrapRRq&#10;xkB00nJY+CAdBpWPlie8xgNrI+8R3Rq2qqpb1vvYhuiFBEDvbgzSCTE+B9ArpYXceXG00qURNUrD&#10;E1KCTgeg29KtUlKkj0qBTMQ0FJmmcmIRtPf5ZNsNrw+Rh06LqQX+nBaecLJcOyx6hdrxxMkx6n+g&#10;rBbRg1dpIbxlI5GiCLJYVk+0eeh4kIULSg3hKjr8P1jx4fQpEt029IYSxy0O/PL92+XHr8vPr+Rm&#10;ubrNCvUBakx8CJiahjd+wL2Z/YDOTHxQ0eYvUiIYR33PV33lkIjIj9ar9brCkMDYfEF89vg8REhv&#10;pbckGw2NOMCiKz+9hzSmzim5mvP32pgyROP+ciBm9rDc+9hjttKwHyZCe9+ekU+Ps2+ow1WnxLxz&#10;KG1ek9mIs7GfjWOI+tCVPcr1ILw+Jmyi9JYrjLBTYRxaYTctWN6KP+8l6/Gn2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KsAjrLAQAAnAMAAA4AAAAAAAAAAQAgAAAAHgEAAGRycy9lMm9E&#10;b2MueG1sUEsFBgAAAAAGAAYAWQEAAFsFAAAAAA==&#10;">
              <v:fill on="f" focussize="0,0"/>
              <v:stroke on="f"/>
              <v:imagedata o:title=""/>
              <o:lock v:ext="edit" aspectratio="f"/>
              <v:textbox inset="0mm,0mm,0mm,0mm" style="mso-fit-shape-to-text:t;">
                <w:txbxContent>
                  <w:p w14:paraId="6C4042F9">
                    <w:pPr>
                      <w:pStyle w:val="21"/>
                    </w:pPr>
                    <w:r>
                      <w:fldChar w:fldCharType="begin"/>
                    </w:r>
                    <w:r>
                      <w:instrText xml:space="preserve"> PAGE  \* MERGEFORMAT </w:instrText>
                    </w:r>
                    <w:r>
                      <w:fldChar w:fldCharType="separate"/>
                    </w:r>
                    <w:r>
                      <w:t>78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BBBFE">
    <w:pPr>
      <w:pStyle w:val="2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CB3934">
                          <w:pPr>
                            <w:pStyle w:val="2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文本框 512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YcDcwBAACcAwAADgAAAGRycy9lMm9Eb2MueG1srVPNjtMwEL4j7TtY&#10;vm+dZgWqoqYrULUrJARIyz6A6ziNJf/J4zbpC8AbcOLCnefqczB2ki4slz1wccYz42/m+2ayvh2M&#10;JkcZQDlb0+WioERa4Rpl9zV9/HJ3vaIEIrcN187Kmp4k0NvN1at17ytZus7pRgaCIBaq3te0i9FX&#10;jIHopOGwcF5aDLYuGB7xGvasCbxHdKNZWRRvWO9C44MTEgC92zFIJ8TwEkDXtkrIrRMHI20cUYPU&#10;PCIl6JQHusndtq0U8VPbgoxE1xSZxnxiEbR36WSbNa/2gftOiakF/pIWnnEyXFkseoHa8sjJIah/&#10;oIwSwYFr40I4w0YiWRFksSyeafPQcS8zF5Qa/EV0+H+w4uPxcyCqqekNJZYbHPj5+7fzj1/nn1/J&#10;62VZJoV6DxUmPnhMjcM7N+DezH5AZyI+tMGkL1IiGEd9Txd95RCJSI9W5WpVYEhgbL4gPnt67gPE&#10;e+kMSUZNAw4w68qPHyCOqXNKqmbdndI6D1HbvxyImTws9T72mKw47IaJ0M41J+TT4+xranHVKdHv&#10;LUqb1mQ2wmzsZuPgg9p3eY9SPfBvDxGbyL2lCiPsVBiHltlNC5a24s97znr6qT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BeBhwNzAEAAJwDAAAOAAAAAAAAAAEAIAAAAB4BAABkcnMvZTJv&#10;RG9jLnhtbFBLBQYAAAAABgAGAFkBAABcBQAAAAA=&#10;">
              <v:fill on="f" focussize="0,0"/>
              <v:stroke on="f"/>
              <v:imagedata o:title=""/>
              <o:lock v:ext="edit" aspectratio="f"/>
              <v:textbox inset="0mm,0mm,0mm,0mm" style="mso-fit-shape-to-text:t;">
                <w:txbxContent>
                  <w:p w14:paraId="01CB3934">
                    <w:pPr>
                      <w:pStyle w:val="2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99F8B">
    <w:pPr>
      <w:pStyle w:val="2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057B7">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5FF11"/>
    <w:multiLevelType w:val="singleLevel"/>
    <w:tmpl w:val="9A55FF11"/>
    <w:lvl w:ilvl="0" w:tentative="0">
      <w:start w:val="1"/>
      <w:numFmt w:val="decimal"/>
      <w:suff w:val="nothing"/>
      <w:lvlText w:val="%1、"/>
      <w:lvlJc w:val="left"/>
    </w:lvl>
  </w:abstractNum>
  <w:abstractNum w:abstractNumId="1">
    <w:nsid w:val="9EAEF6FA"/>
    <w:multiLevelType w:val="singleLevel"/>
    <w:tmpl w:val="9EAEF6FA"/>
    <w:lvl w:ilvl="0" w:tentative="0">
      <w:start w:val="1"/>
      <w:numFmt w:val="chineseCounting"/>
      <w:suff w:val="nothing"/>
      <w:lvlText w:val="%1、"/>
      <w:lvlJc w:val="left"/>
      <w:rPr>
        <w:rFonts w:hint="eastAsia"/>
      </w:rPr>
    </w:lvl>
  </w:abstractNum>
  <w:abstractNum w:abstractNumId="2">
    <w:nsid w:val="A5199AD2"/>
    <w:multiLevelType w:val="singleLevel"/>
    <w:tmpl w:val="A5199AD2"/>
    <w:lvl w:ilvl="0" w:tentative="0">
      <w:start w:val="1"/>
      <w:numFmt w:val="decimal"/>
      <w:suff w:val="nothing"/>
      <w:lvlText w:val="%1、"/>
      <w:lvlJc w:val="left"/>
    </w:lvl>
  </w:abstractNum>
  <w:abstractNum w:abstractNumId="3">
    <w:nsid w:val="C5C0157D"/>
    <w:multiLevelType w:val="singleLevel"/>
    <w:tmpl w:val="C5C0157D"/>
    <w:lvl w:ilvl="0" w:tentative="0">
      <w:start w:val="1"/>
      <w:numFmt w:val="decimal"/>
      <w:suff w:val="nothing"/>
      <w:lvlText w:val="%1、"/>
      <w:lvlJc w:val="left"/>
    </w:lvl>
  </w:abstractNum>
  <w:abstractNum w:abstractNumId="4">
    <w:nsid w:val="D00DAA97"/>
    <w:multiLevelType w:val="singleLevel"/>
    <w:tmpl w:val="D00DAA97"/>
    <w:lvl w:ilvl="0" w:tentative="0">
      <w:start w:val="1"/>
      <w:numFmt w:val="chineseCounting"/>
      <w:suff w:val="nothing"/>
      <w:lvlText w:val="（%1）"/>
      <w:lvlJc w:val="left"/>
      <w:rPr>
        <w:rFonts w:hint="eastAsia"/>
      </w:rPr>
    </w:lvl>
  </w:abstractNum>
  <w:abstractNum w:abstractNumId="5">
    <w:nsid w:val="D92A4F48"/>
    <w:multiLevelType w:val="singleLevel"/>
    <w:tmpl w:val="D92A4F48"/>
    <w:lvl w:ilvl="0" w:tentative="0">
      <w:start w:val="1"/>
      <w:numFmt w:val="decimal"/>
      <w:suff w:val="nothing"/>
      <w:lvlText w:val="%1、"/>
      <w:lvlJc w:val="left"/>
    </w:lvl>
  </w:abstractNum>
  <w:abstractNum w:abstractNumId="6">
    <w:nsid w:val="E78FF942"/>
    <w:multiLevelType w:val="singleLevel"/>
    <w:tmpl w:val="E78FF942"/>
    <w:lvl w:ilvl="0" w:tentative="0">
      <w:start w:val="1"/>
      <w:numFmt w:val="chineseCounting"/>
      <w:suff w:val="nothing"/>
      <w:lvlText w:val="%1、"/>
      <w:lvlJc w:val="left"/>
      <w:rPr>
        <w:rFonts w:hint="eastAsia"/>
      </w:rPr>
    </w:lvl>
  </w:abstractNum>
  <w:abstractNum w:abstractNumId="7">
    <w:nsid w:val="F56B28A0"/>
    <w:multiLevelType w:val="singleLevel"/>
    <w:tmpl w:val="F56B28A0"/>
    <w:lvl w:ilvl="0" w:tentative="0">
      <w:start w:val="1"/>
      <w:numFmt w:val="decimal"/>
      <w:suff w:val="nothing"/>
      <w:lvlText w:val="%1、"/>
      <w:lvlJc w:val="left"/>
    </w:lvl>
  </w:abstractNum>
  <w:abstractNum w:abstractNumId="8">
    <w:nsid w:val="FD4C753E"/>
    <w:multiLevelType w:val="singleLevel"/>
    <w:tmpl w:val="FD4C753E"/>
    <w:lvl w:ilvl="0" w:tentative="0">
      <w:start w:val="1"/>
      <w:numFmt w:val="chineseCounting"/>
      <w:suff w:val="nothing"/>
      <w:lvlText w:val="%1、"/>
      <w:lvlJc w:val="left"/>
      <w:rPr>
        <w:rFonts w:hint="eastAsia"/>
      </w:rPr>
    </w:lvl>
  </w:abstractNum>
  <w:abstractNum w:abstractNumId="9">
    <w:nsid w:val="0000000D"/>
    <w:multiLevelType w:val="multilevel"/>
    <w:tmpl w:val="0000000D"/>
    <w:lvl w:ilvl="0" w:tentative="0">
      <w:start w:val="6"/>
      <w:numFmt w:val="decimal"/>
      <w:lvlText w:val="%1"/>
      <w:lvlJc w:val="left"/>
      <w:pPr>
        <w:tabs>
          <w:tab w:val="left" w:pos="432"/>
        </w:tabs>
        <w:ind w:left="432" w:hanging="432"/>
      </w:pPr>
      <w:rPr>
        <w:rFonts w:hint="default" w:ascii="Times New Roman" w:hAnsi="Times New Roman"/>
        <w:b/>
        <w:i w:val="0"/>
        <w:sz w:val="30"/>
      </w:rPr>
    </w:lvl>
    <w:lvl w:ilvl="1" w:tentative="0">
      <w:start w:val="1"/>
      <w:numFmt w:val="decimal"/>
      <w:lvlText w:val="%1.%2"/>
      <w:lvlJc w:val="left"/>
      <w:pPr>
        <w:tabs>
          <w:tab w:val="left" w:pos="576"/>
        </w:tabs>
        <w:ind w:left="576" w:hanging="576"/>
      </w:pPr>
      <w:rPr>
        <w:rFonts w:hint="default" w:ascii="Times New Roman" w:hAnsi="Times New Roman"/>
        <w:b/>
        <w:i w:val="0"/>
        <w:sz w:val="28"/>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default" w:ascii="Times New Roman" w:hAnsi="Times New Roman"/>
        <w:sz w:val="28"/>
      </w:rPr>
    </w:lvl>
    <w:lvl w:ilvl="4" w:tentative="0">
      <w:start w:val="1"/>
      <w:numFmt w:val="decimal"/>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0">
    <w:nsid w:val="14677A9A"/>
    <w:multiLevelType w:val="singleLevel"/>
    <w:tmpl w:val="14677A9A"/>
    <w:lvl w:ilvl="0" w:tentative="0">
      <w:start w:val="1"/>
      <w:numFmt w:val="chineseCounting"/>
      <w:suff w:val="space"/>
      <w:lvlText w:val="第%1章"/>
      <w:lvlJc w:val="left"/>
      <w:rPr>
        <w:rFonts w:hint="eastAsia"/>
      </w:rPr>
    </w:lvl>
  </w:abstractNum>
  <w:abstractNum w:abstractNumId="11">
    <w:nsid w:val="73C944E5"/>
    <w:multiLevelType w:val="multilevel"/>
    <w:tmpl w:val="73C944E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76B9EDA"/>
    <w:multiLevelType w:val="singleLevel"/>
    <w:tmpl w:val="776B9EDA"/>
    <w:lvl w:ilvl="0" w:tentative="0">
      <w:start w:val="1"/>
      <w:numFmt w:val="chineseCounting"/>
      <w:suff w:val="nothing"/>
      <w:lvlText w:val="%1、"/>
      <w:lvlJc w:val="left"/>
      <w:rPr>
        <w:rFonts w:hint="eastAsia"/>
      </w:rPr>
    </w:lvl>
  </w:abstractNum>
  <w:abstractNum w:abstractNumId="13">
    <w:nsid w:val="79C0AA3A"/>
    <w:multiLevelType w:val="singleLevel"/>
    <w:tmpl w:val="79C0AA3A"/>
    <w:lvl w:ilvl="0" w:tentative="0">
      <w:start w:val="1"/>
      <w:numFmt w:val="decimal"/>
      <w:suff w:val="nothing"/>
      <w:lvlText w:val="%1、"/>
      <w:lvlJc w:val="left"/>
    </w:lvl>
  </w:abstractNum>
  <w:abstractNum w:abstractNumId="14">
    <w:nsid w:val="7E2AF3E6"/>
    <w:multiLevelType w:val="singleLevel"/>
    <w:tmpl w:val="7E2AF3E6"/>
    <w:lvl w:ilvl="0" w:tentative="0">
      <w:start w:val="1"/>
      <w:numFmt w:val="chineseCounting"/>
      <w:suff w:val="nothing"/>
      <w:lvlText w:val="%1、"/>
      <w:lvlJc w:val="left"/>
      <w:rPr>
        <w:rFonts w:hint="eastAsia"/>
      </w:rPr>
    </w:lvl>
  </w:abstractNum>
  <w:num w:numId="1">
    <w:abstractNumId w:val="9"/>
  </w:num>
  <w:num w:numId="2">
    <w:abstractNumId w:val="10"/>
  </w:num>
  <w:num w:numId="3">
    <w:abstractNumId w:val="1"/>
  </w:num>
  <w:num w:numId="4">
    <w:abstractNumId w:val="13"/>
  </w:num>
  <w:num w:numId="5">
    <w:abstractNumId w:val="6"/>
  </w:num>
  <w:num w:numId="6">
    <w:abstractNumId w:val="5"/>
  </w:num>
  <w:num w:numId="7">
    <w:abstractNumId w:val="14"/>
  </w:num>
  <w:num w:numId="8">
    <w:abstractNumId w:val="2"/>
  </w:num>
  <w:num w:numId="9">
    <w:abstractNumId w:val="12"/>
  </w:num>
  <w:num w:numId="10">
    <w:abstractNumId w:val="3"/>
  </w:num>
  <w:num w:numId="11">
    <w:abstractNumId w:val="8"/>
  </w:num>
  <w:num w:numId="12">
    <w:abstractNumId w:val="7"/>
  </w:num>
  <w:num w:numId="13">
    <w:abstractNumId w:val="4"/>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3,4,5,6,7"/>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3NTI3MWRiOTQwZGQwMjhjMGZmZjc2YWNkMmMyZWMifQ=="/>
  </w:docVars>
  <w:rsids>
    <w:rsidRoot w:val="00F34B14"/>
    <w:rsid w:val="00000672"/>
    <w:rsid w:val="00001799"/>
    <w:rsid w:val="00002D29"/>
    <w:rsid w:val="000040C5"/>
    <w:rsid w:val="00004A8A"/>
    <w:rsid w:val="00005E55"/>
    <w:rsid w:val="00005FDF"/>
    <w:rsid w:val="00006586"/>
    <w:rsid w:val="00010D39"/>
    <w:rsid w:val="000112BB"/>
    <w:rsid w:val="0001149B"/>
    <w:rsid w:val="0001172C"/>
    <w:rsid w:val="00012854"/>
    <w:rsid w:val="00012EA6"/>
    <w:rsid w:val="000139DC"/>
    <w:rsid w:val="00013D8C"/>
    <w:rsid w:val="00013DFE"/>
    <w:rsid w:val="000141EA"/>
    <w:rsid w:val="00014385"/>
    <w:rsid w:val="00016960"/>
    <w:rsid w:val="00017396"/>
    <w:rsid w:val="0001760F"/>
    <w:rsid w:val="000177CB"/>
    <w:rsid w:val="000177DB"/>
    <w:rsid w:val="00020227"/>
    <w:rsid w:val="000203E4"/>
    <w:rsid w:val="00020455"/>
    <w:rsid w:val="00022731"/>
    <w:rsid w:val="00022792"/>
    <w:rsid w:val="00024538"/>
    <w:rsid w:val="00025382"/>
    <w:rsid w:val="00025636"/>
    <w:rsid w:val="00025E36"/>
    <w:rsid w:val="00026627"/>
    <w:rsid w:val="00026886"/>
    <w:rsid w:val="000276B1"/>
    <w:rsid w:val="00027B11"/>
    <w:rsid w:val="00030496"/>
    <w:rsid w:val="000329E0"/>
    <w:rsid w:val="000333A0"/>
    <w:rsid w:val="0003509C"/>
    <w:rsid w:val="000352E9"/>
    <w:rsid w:val="00036A07"/>
    <w:rsid w:val="00036E33"/>
    <w:rsid w:val="00037E2D"/>
    <w:rsid w:val="00040571"/>
    <w:rsid w:val="00040A86"/>
    <w:rsid w:val="0004156E"/>
    <w:rsid w:val="00041597"/>
    <w:rsid w:val="0004440C"/>
    <w:rsid w:val="00045880"/>
    <w:rsid w:val="000462CB"/>
    <w:rsid w:val="00046B5E"/>
    <w:rsid w:val="0004783A"/>
    <w:rsid w:val="000509D9"/>
    <w:rsid w:val="000552A6"/>
    <w:rsid w:val="0005594E"/>
    <w:rsid w:val="00055D41"/>
    <w:rsid w:val="000571FD"/>
    <w:rsid w:val="00057CEC"/>
    <w:rsid w:val="00060DCE"/>
    <w:rsid w:val="000623B4"/>
    <w:rsid w:val="000634A7"/>
    <w:rsid w:val="00063E85"/>
    <w:rsid w:val="00063F81"/>
    <w:rsid w:val="000640AD"/>
    <w:rsid w:val="00064847"/>
    <w:rsid w:val="0006484B"/>
    <w:rsid w:val="00066291"/>
    <w:rsid w:val="000673E2"/>
    <w:rsid w:val="000711E4"/>
    <w:rsid w:val="000721D5"/>
    <w:rsid w:val="00072AED"/>
    <w:rsid w:val="00072B9B"/>
    <w:rsid w:val="00073F47"/>
    <w:rsid w:val="00075924"/>
    <w:rsid w:val="00075B7E"/>
    <w:rsid w:val="00077C70"/>
    <w:rsid w:val="00080B57"/>
    <w:rsid w:val="00081BA3"/>
    <w:rsid w:val="00081D2E"/>
    <w:rsid w:val="0008267B"/>
    <w:rsid w:val="00082D02"/>
    <w:rsid w:val="00083B91"/>
    <w:rsid w:val="0008520B"/>
    <w:rsid w:val="00085688"/>
    <w:rsid w:val="000871B8"/>
    <w:rsid w:val="00087DB6"/>
    <w:rsid w:val="000913BE"/>
    <w:rsid w:val="000918F8"/>
    <w:rsid w:val="00092442"/>
    <w:rsid w:val="000951A7"/>
    <w:rsid w:val="0009588E"/>
    <w:rsid w:val="000959EE"/>
    <w:rsid w:val="00095B51"/>
    <w:rsid w:val="00097DA0"/>
    <w:rsid w:val="000A0D6B"/>
    <w:rsid w:val="000A1389"/>
    <w:rsid w:val="000A166E"/>
    <w:rsid w:val="000A17D0"/>
    <w:rsid w:val="000A2B0E"/>
    <w:rsid w:val="000A398F"/>
    <w:rsid w:val="000A509C"/>
    <w:rsid w:val="000A6007"/>
    <w:rsid w:val="000A65A6"/>
    <w:rsid w:val="000A6AD2"/>
    <w:rsid w:val="000A7275"/>
    <w:rsid w:val="000A7A12"/>
    <w:rsid w:val="000A7CA5"/>
    <w:rsid w:val="000B039A"/>
    <w:rsid w:val="000B1801"/>
    <w:rsid w:val="000B1D0C"/>
    <w:rsid w:val="000B1E80"/>
    <w:rsid w:val="000B2D03"/>
    <w:rsid w:val="000B3815"/>
    <w:rsid w:val="000B3C7B"/>
    <w:rsid w:val="000B6C95"/>
    <w:rsid w:val="000C0C58"/>
    <w:rsid w:val="000C1679"/>
    <w:rsid w:val="000C2AF7"/>
    <w:rsid w:val="000C2F89"/>
    <w:rsid w:val="000C4635"/>
    <w:rsid w:val="000C548E"/>
    <w:rsid w:val="000C6DE4"/>
    <w:rsid w:val="000D01EB"/>
    <w:rsid w:val="000D056E"/>
    <w:rsid w:val="000D0675"/>
    <w:rsid w:val="000D0A89"/>
    <w:rsid w:val="000D1389"/>
    <w:rsid w:val="000D1798"/>
    <w:rsid w:val="000D1A2A"/>
    <w:rsid w:val="000D2626"/>
    <w:rsid w:val="000D2B0C"/>
    <w:rsid w:val="000D4A06"/>
    <w:rsid w:val="000D73DD"/>
    <w:rsid w:val="000D7D9B"/>
    <w:rsid w:val="000E18E2"/>
    <w:rsid w:val="000E28AB"/>
    <w:rsid w:val="000E2940"/>
    <w:rsid w:val="000E2E3E"/>
    <w:rsid w:val="000E33C5"/>
    <w:rsid w:val="000E3559"/>
    <w:rsid w:val="000E3583"/>
    <w:rsid w:val="000E3AF0"/>
    <w:rsid w:val="000E3D53"/>
    <w:rsid w:val="000E4D5C"/>
    <w:rsid w:val="000E4E04"/>
    <w:rsid w:val="000E6EC9"/>
    <w:rsid w:val="000E70B4"/>
    <w:rsid w:val="000F3281"/>
    <w:rsid w:val="000F3733"/>
    <w:rsid w:val="000F3D6A"/>
    <w:rsid w:val="000F4D88"/>
    <w:rsid w:val="000F5BBA"/>
    <w:rsid w:val="000F64AA"/>
    <w:rsid w:val="000F7AF4"/>
    <w:rsid w:val="000F7C33"/>
    <w:rsid w:val="000F7F0C"/>
    <w:rsid w:val="00100246"/>
    <w:rsid w:val="001004D6"/>
    <w:rsid w:val="00100D90"/>
    <w:rsid w:val="00103918"/>
    <w:rsid w:val="00103D44"/>
    <w:rsid w:val="00104889"/>
    <w:rsid w:val="00104897"/>
    <w:rsid w:val="00104EDE"/>
    <w:rsid w:val="00105B08"/>
    <w:rsid w:val="00106BEE"/>
    <w:rsid w:val="001110C8"/>
    <w:rsid w:val="00113134"/>
    <w:rsid w:val="00113AC0"/>
    <w:rsid w:val="00114851"/>
    <w:rsid w:val="00115E11"/>
    <w:rsid w:val="00115F56"/>
    <w:rsid w:val="00117CBD"/>
    <w:rsid w:val="0012006A"/>
    <w:rsid w:val="00120990"/>
    <w:rsid w:val="001217B5"/>
    <w:rsid w:val="00121979"/>
    <w:rsid w:val="00122064"/>
    <w:rsid w:val="00122F0B"/>
    <w:rsid w:val="00123DF0"/>
    <w:rsid w:val="00125004"/>
    <w:rsid w:val="001263B8"/>
    <w:rsid w:val="00126763"/>
    <w:rsid w:val="00130217"/>
    <w:rsid w:val="00130783"/>
    <w:rsid w:val="001312CB"/>
    <w:rsid w:val="00132B47"/>
    <w:rsid w:val="00132E64"/>
    <w:rsid w:val="001351CB"/>
    <w:rsid w:val="001359A2"/>
    <w:rsid w:val="00135E37"/>
    <w:rsid w:val="00136020"/>
    <w:rsid w:val="00136445"/>
    <w:rsid w:val="00136A41"/>
    <w:rsid w:val="00140132"/>
    <w:rsid w:val="00141C9C"/>
    <w:rsid w:val="0014230C"/>
    <w:rsid w:val="00142DD2"/>
    <w:rsid w:val="001434BE"/>
    <w:rsid w:val="0014479F"/>
    <w:rsid w:val="001452B4"/>
    <w:rsid w:val="00146EC6"/>
    <w:rsid w:val="001471C5"/>
    <w:rsid w:val="001478D2"/>
    <w:rsid w:val="001521DF"/>
    <w:rsid w:val="00152A87"/>
    <w:rsid w:val="00154486"/>
    <w:rsid w:val="00154D3B"/>
    <w:rsid w:val="00156D0E"/>
    <w:rsid w:val="0015703B"/>
    <w:rsid w:val="0016049D"/>
    <w:rsid w:val="0016086E"/>
    <w:rsid w:val="00160D0C"/>
    <w:rsid w:val="00161172"/>
    <w:rsid w:val="0016139E"/>
    <w:rsid w:val="00161E65"/>
    <w:rsid w:val="00162597"/>
    <w:rsid w:val="001629AF"/>
    <w:rsid w:val="0016428A"/>
    <w:rsid w:val="001647C9"/>
    <w:rsid w:val="001661A3"/>
    <w:rsid w:val="0016782B"/>
    <w:rsid w:val="00173256"/>
    <w:rsid w:val="001733E1"/>
    <w:rsid w:val="00173F74"/>
    <w:rsid w:val="00175086"/>
    <w:rsid w:val="00175BA6"/>
    <w:rsid w:val="00176CA7"/>
    <w:rsid w:val="001778C5"/>
    <w:rsid w:val="00177E56"/>
    <w:rsid w:val="00177F0A"/>
    <w:rsid w:val="00182342"/>
    <w:rsid w:val="00185617"/>
    <w:rsid w:val="0019171E"/>
    <w:rsid w:val="0019220F"/>
    <w:rsid w:val="001928B1"/>
    <w:rsid w:val="00194ED5"/>
    <w:rsid w:val="00195424"/>
    <w:rsid w:val="001955FF"/>
    <w:rsid w:val="00197EDD"/>
    <w:rsid w:val="001A02B3"/>
    <w:rsid w:val="001A04BB"/>
    <w:rsid w:val="001A08D0"/>
    <w:rsid w:val="001A14B1"/>
    <w:rsid w:val="001A1B39"/>
    <w:rsid w:val="001A2492"/>
    <w:rsid w:val="001A2E69"/>
    <w:rsid w:val="001A3C34"/>
    <w:rsid w:val="001A3EDE"/>
    <w:rsid w:val="001A4222"/>
    <w:rsid w:val="001A4A66"/>
    <w:rsid w:val="001A4F64"/>
    <w:rsid w:val="001A50EA"/>
    <w:rsid w:val="001A5E24"/>
    <w:rsid w:val="001A6D8B"/>
    <w:rsid w:val="001B079E"/>
    <w:rsid w:val="001B0CDA"/>
    <w:rsid w:val="001B0D88"/>
    <w:rsid w:val="001B0E26"/>
    <w:rsid w:val="001B125A"/>
    <w:rsid w:val="001B1EBA"/>
    <w:rsid w:val="001B2142"/>
    <w:rsid w:val="001B26CF"/>
    <w:rsid w:val="001B2F2B"/>
    <w:rsid w:val="001B327A"/>
    <w:rsid w:val="001B35DE"/>
    <w:rsid w:val="001B3A13"/>
    <w:rsid w:val="001B59FF"/>
    <w:rsid w:val="001B636D"/>
    <w:rsid w:val="001B65D7"/>
    <w:rsid w:val="001B6752"/>
    <w:rsid w:val="001B6768"/>
    <w:rsid w:val="001B6F1F"/>
    <w:rsid w:val="001B7ECC"/>
    <w:rsid w:val="001C25A7"/>
    <w:rsid w:val="001C318C"/>
    <w:rsid w:val="001C4287"/>
    <w:rsid w:val="001C4479"/>
    <w:rsid w:val="001C76B7"/>
    <w:rsid w:val="001C76FB"/>
    <w:rsid w:val="001D0042"/>
    <w:rsid w:val="001D2764"/>
    <w:rsid w:val="001D3697"/>
    <w:rsid w:val="001D51DE"/>
    <w:rsid w:val="001D540E"/>
    <w:rsid w:val="001D58A1"/>
    <w:rsid w:val="001D5A8A"/>
    <w:rsid w:val="001D735E"/>
    <w:rsid w:val="001D73C8"/>
    <w:rsid w:val="001D74D4"/>
    <w:rsid w:val="001D7E1F"/>
    <w:rsid w:val="001E0756"/>
    <w:rsid w:val="001E0A8D"/>
    <w:rsid w:val="001E0FFB"/>
    <w:rsid w:val="001E129E"/>
    <w:rsid w:val="001E2B9F"/>
    <w:rsid w:val="001E3E35"/>
    <w:rsid w:val="001E4A8D"/>
    <w:rsid w:val="001E5A94"/>
    <w:rsid w:val="001E7648"/>
    <w:rsid w:val="001F0B94"/>
    <w:rsid w:val="001F127B"/>
    <w:rsid w:val="001F2A2E"/>
    <w:rsid w:val="001F3B72"/>
    <w:rsid w:val="001F3C63"/>
    <w:rsid w:val="001F4076"/>
    <w:rsid w:val="001F4460"/>
    <w:rsid w:val="001F5DAF"/>
    <w:rsid w:val="001F637C"/>
    <w:rsid w:val="001F6B6C"/>
    <w:rsid w:val="001F711A"/>
    <w:rsid w:val="001F75B0"/>
    <w:rsid w:val="001F7686"/>
    <w:rsid w:val="00200CE5"/>
    <w:rsid w:val="002014DB"/>
    <w:rsid w:val="00201E12"/>
    <w:rsid w:val="002031E2"/>
    <w:rsid w:val="002033B5"/>
    <w:rsid w:val="0020357E"/>
    <w:rsid w:val="0020382C"/>
    <w:rsid w:val="0020437A"/>
    <w:rsid w:val="00204B5F"/>
    <w:rsid w:val="0020532C"/>
    <w:rsid w:val="00205D23"/>
    <w:rsid w:val="0021064F"/>
    <w:rsid w:val="00211117"/>
    <w:rsid w:val="002114C7"/>
    <w:rsid w:val="00212756"/>
    <w:rsid w:val="0021302C"/>
    <w:rsid w:val="00213045"/>
    <w:rsid w:val="00213483"/>
    <w:rsid w:val="00213B1C"/>
    <w:rsid w:val="00214202"/>
    <w:rsid w:val="002146F3"/>
    <w:rsid w:val="002148E3"/>
    <w:rsid w:val="00215373"/>
    <w:rsid w:val="0021552D"/>
    <w:rsid w:val="002156AE"/>
    <w:rsid w:val="00216F7A"/>
    <w:rsid w:val="00217677"/>
    <w:rsid w:val="00217861"/>
    <w:rsid w:val="00220161"/>
    <w:rsid w:val="00220448"/>
    <w:rsid w:val="0022054D"/>
    <w:rsid w:val="00224DE1"/>
    <w:rsid w:val="00225664"/>
    <w:rsid w:val="00225DBE"/>
    <w:rsid w:val="002269DC"/>
    <w:rsid w:val="00227F2D"/>
    <w:rsid w:val="00231851"/>
    <w:rsid w:val="002319FB"/>
    <w:rsid w:val="00231B89"/>
    <w:rsid w:val="002324AB"/>
    <w:rsid w:val="002355BE"/>
    <w:rsid w:val="00236DE9"/>
    <w:rsid w:val="00237D5A"/>
    <w:rsid w:val="00241177"/>
    <w:rsid w:val="00241300"/>
    <w:rsid w:val="00241D3C"/>
    <w:rsid w:val="002439AB"/>
    <w:rsid w:val="00244D03"/>
    <w:rsid w:val="002450D5"/>
    <w:rsid w:val="00245587"/>
    <w:rsid w:val="00245D84"/>
    <w:rsid w:val="00245F2B"/>
    <w:rsid w:val="00246F95"/>
    <w:rsid w:val="00247DD0"/>
    <w:rsid w:val="00247F3A"/>
    <w:rsid w:val="00250122"/>
    <w:rsid w:val="00250755"/>
    <w:rsid w:val="00250AE3"/>
    <w:rsid w:val="00251C4A"/>
    <w:rsid w:val="0025271C"/>
    <w:rsid w:val="00252A91"/>
    <w:rsid w:val="002533CD"/>
    <w:rsid w:val="002544C1"/>
    <w:rsid w:val="00254EAB"/>
    <w:rsid w:val="00255424"/>
    <w:rsid w:val="002557AF"/>
    <w:rsid w:val="00256474"/>
    <w:rsid w:val="002566B1"/>
    <w:rsid w:val="00256808"/>
    <w:rsid w:val="002575E3"/>
    <w:rsid w:val="002603C1"/>
    <w:rsid w:val="002609A1"/>
    <w:rsid w:val="002612B1"/>
    <w:rsid w:val="002626EB"/>
    <w:rsid w:val="00263505"/>
    <w:rsid w:val="0026563D"/>
    <w:rsid w:val="00266165"/>
    <w:rsid w:val="0027125E"/>
    <w:rsid w:val="00271767"/>
    <w:rsid w:val="00272293"/>
    <w:rsid w:val="002723C8"/>
    <w:rsid w:val="00273876"/>
    <w:rsid w:val="00273CBE"/>
    <w:rsid w:val="002802D7"/>
    <w:rsid w:val="0028232C"/>
    <w:rsid w:val="002827F1"/>
    <w:rsid w:val="00282EC3"/>
    <w:rsid w:val="002835B0"/>
    <w:rsid w:val="0028407E"/>
    <w:rsid w:val="0028410F"/>
    <w:rsid w:val="00286603"/>
    <w:rsid w:val="00286A98"/>
    <w:rsid w:val="00286FB5"/>
    <w:rsid w:val="00287763"/>
    <w:rsid w:val="00290606"/>
    <w:rsid w:val="00290F9D"/>
    <w:rsid w:val="002918A7"/>
    <w:rsid w:val="00291D6D"/>
    <w:rsid w:val="00291FF1"/>
    <w:rsid w:val="002923F6"/>
    <w:rsid w:val="00293361"/>
    <w:rsid w:val="00295287"/>
    <w:rsid w:val="002952B1"/>
    <w:rsid w:val="00295D11"/>
    <w:rsid w:val="00295FA0"/>
    <w:rsid w:val="00297A7A"/>
    <w:rsid w:val="002A0C3A"/>
    <w:rsid w:val="002A0E24"/>
    <w:rsid w:val="002A0F9C"/>
    <w:rsid w:val="002A1130"/>
    <w:rsid w:val="002A14D3"/>
    <w:rsid w:val="002A1880"/>
    <w:rsid w:val="002A1D47"/>
    <w:rsid w:val="002A23B7"/>
    <w:rsid w:val="002A3A57"/>
    <w:rsid w:val="002A6D22"/>
    <w:rsid w:val="002A6DEF"/>
    <w:rsid w:val="002A7411"/>
    <w:rsid w:val="002A7C24"/>
    <w:rsid w:val="002B00FC"/>
    <w:rsid w:val="002B013E"/>
    <w:rsid w:val="002B058D"/>
    <w:rsid w:val="002B0C16"/>
    <w:rsid w:val="002B11C9"/>
    <w:rsid w:val="002B169E"/>
    <w:rsid w:val="002B2621"/>
    <w:rsid w:val="002B2AC5"/>
    <w:rsid w:val="002B3528"/>
    <w:rsid w:val="002B3539"/>
    <w:rsid w:val="002B3B2B"/>
    <w:rsid w:val="002B6D17"/>
    <w:rsid w:val="002B6EAD"/>
    <w:rsid w:val="002C0C1C"/>
    <w:rsid w:val="002C184E"/>
    <w:rsid w:val="002C417C"/>
    <w:rsid w:val="002C54C2"/>
    <w:rsid w:val="002C5D34"/>
    <w:rsid w:val="002C5EA7"/>
    <w:rsid w:val="002C661A"/>
    <w:rsid w:val="002D0AF5"/>
    <w:rsid w:val="002D1C54"/>
    <w:rsid w:val="002D2231"/>
    <w:rsid w:val="002D25FC"/>
    <w:rsid w:val="002D318B"/>
    <w:rsid w:val="002D3380"/>
    <w:rsid w:val="002D4925"/>
    <w:rsid w:val="002D4AC6"/>
    <w:rsid w:val="002D5C7B"/>
    <w:rsid w:val="002D6DFC"/>
    <w:rsid w:val="002D6EEF"/>
    <w:rsid w:val="002D7648"/>
    <w:rsid w:val="002D7909"/>
    <w:rsid w:val="002E109C"/>
    <w:rsid w:val="002E115E"/>
    <w:rsid w:val="002E193E"/>
    <w:rsid w:val="002E1D76"/>
    <w:rsid w:val="002E243C"/>
    <w:rsid w:val="002E26C4"/>
    <w:rsid w:val="002E4B37"/>
    <w:rsid w:val="002E4BF9"/>
    <w:rsid w:val="002E6F5B"/>
    <w:rsid w:val="002F16DD"/>
    <w:rsid w:val="002F199D"/>
    <w:rsid w:val="002F23B2"/>
    <w:rsid w:val="002F4084"/>
    <w:rsid w:val="002F4672"/>
    <w:rsid w:val="002F4A08"/>
    <w:rsid w:val="002F4ADB"/>
    <w:rsid w:val="002F531E"/>
    <w:rsid w:val="002F5ACC"/>
    <w:rsid w:val="002F6C2C"/>
    <w:rsid w:val="002F704B"/>
    <w:rsid w:val="002F72C3"/>
    <w:rsid w:val="002F768C"/>
    <w:rsid w:val="002F7D1E"/>
    <w:rsid w:val="00301839"/>
    <w:rsid w:val="00302929"/>
    <w:rsid w:val="00302F0F"/>
    <w:rsid w:val="00303243"/>
    <w:rsid w:val="00303BCC"/>
    <w:rsid w:val="00303F2B"/>
    <w:rsid w:val="00303F8D"/>
    <w:rsid w:val="00304541"/>
    <w:rsid w:val="00304580"/>
    <w:rsid w:val="0030586A"/>
    <w:rsid w:val="003074C5"/>
    <w:rsid w:val="00307A3C"/>
    <w:rsid w:val="00307FA4"/>
    <w:rsid w:val="00310CC1"/>
    <w:rsid w:val="00313026"/>
    <w:rsid w:val="0031421F"/>
    <w:rsid w:val="00314B31"/>
    <w:rsid w:val="00314B36"/>
    <w:rsid w:val="00315158"/>
    <w:rsid w:val="00315346"/>
    <w:rsid w:val="00315A65"/>
    <w:rsid w:val="00317BA7"/>
    <w:rsid w:val="00320BE2"/>
    <w:rsid w:val="00320C13"/>
    <w:rsid w:val="00321886"/>
    <w:rsid w:val="00321902"/>
    <w:rsid w:val="00323203"/>
    <w:rsid w:val="00323694"/>
    <w:rsid w:val="00324D63"/>
    <w:rsid w:val="003255AF"/>
    <w:rsid w:val="003256EB"/>
    <w:rsid w:val="003259DB"/>
    <w:rsid w:val="00326B00"/>
    <w:rsid w:val="00331A48"/>
    <w:rsid w:val="00332350"/>
    <w:rsid w:val="003330C9"/>
    <w:rsid w:val="0033364C"/>
    <w:rsid w:val="00334415"/>
    <w:rsid w:val="0033691E"/>
    <w:rsid w:val="00336CCB"/>
    <w:rsid w:val="0033745F"/>
    <w:rsid w:val="00337631"/>
    <w:rsid w:val="00337F23"/>
    <w:rsid w:val="00337F44"/>
    <w:rsid w:val="003411D1"/>
    <w:rsid w:val="003416BA"/>
    <w:rsid w:val="00341BD6"/>
    <w:rsid w:val="00342A8A"/>
    <w:rsid w:val="00342F99"/>
    <w:rsid w:val="00344726"/>
    <w:rsid w:val="00344BB5"/>
    <w:rsid w:val="00344C1B"/>
    <w:rsid w:val="003454A4"/>
    <w:rsid w:val="003476AF"/>
    <w:rsid w:val="003479B3"/>
    <w:rsid w:val="00350E6C"/>
    <w:rsid w:val="003518A6"/>
    <w:rsid w:val="00351E7F"/>
    <w:rsid w:val="00352953"/>
    <w:rsid w:val="00354062"/>
    <w:rsid w:val="00355C0D"/>
    <w:rsid w:val="00356329"/>
    <w:rsid w:val="003566A9"/>
    <w:rsid w:val="00356988"/>
    <w:rsid w:val="00356B20"/>
    <w:rsid w:val="00357128"/>
    <w:rsid w:val="0035755E"/>
    <w:rsid w:val="00357A80"/>
    <w:rsid w:val="00361B8B"/>
    <w:rsid w:val="00363F39"/>
    <w:rsid w:val="00364AB0"/>
    <w:rsid w:val="00364B11"/>
    <w:rsid w:val="00365050"/>
    <w:rsid w:val="00365363"/>
    <w:rsid w:val="003667B0"/>
    <w:rsid w:val="003667DD"/>
    <w:rsid w:val="00366B48"/>
    <w:rsid w:val="00367764"/>
    <w:rsid w:val="00370316"/>
    <w:rsid w:val="00370DC7"/>
    <w:rsid w:val="0037156C"/>
    <w:rsid w:val="00371CBD"/>
    <w:rsid w:val="00373CBE"/>
    <w:rsid w:val="003740CC"/>
    <w:rsid w:val="0037435E"/>
    <w:rsid w:val="00374E79"/>
    <w:rsid w:val="00375388"/>
    <w:rsid w:val="00375FB9"/>
    <w:rsid w:val="00376851"/>
    <w:rsid w:val="00376FA2"/>
    <w:rsid w:val="00377A3B"/>
    <w:rsid w:val="00377E3C"/>
    <w:rsid w:val="00380BBE"/>
    <w:rsid w:val="00381D70"/>
    <w:rsid w:val="00382128"/>
    <w:rsid w:val="0038235E"/>
    <w:rsid w:val="003829D0"/>
    <w:rsid w:val="00382FBA"/>
    <w:rsid w:val="0038444F"/>
    <w:rsid w:val="00384E83"/>
    <w:rsid w:val="00385864"/>
    <w:rsid w:val="00387051"/>
    <w:rsid w:val="00387E7E"/>
    <w:rsid w:val="00387ECF"/>
    <w:rsid w:val="0039021B"/>
    <w:rsid w:val="00390429"/>
    <w:rsid w:val="00392A50"/>
    <w:rsid w:val="0039327C"/>
    <w:rsid w:val="003933A2"/>
    <w:rsid w:val="0039366C"/>
    <w:rsid w:val="003938F3"/>
    <w:rsid w:val="00393EC8"/>
    <w:rsid w:val="00395E42"/>
    <w:rsid w:val="00396052"/>
    <w:rsid w:val="00396A2D"/>
    <w:rsid w:val="00396FC3"/>
    <w:rsid w:val="003A1A94"/>
    <w:rsid w:val="003A204E"/>
    <w:rsid w:val="003A2D25"/>
    <w:rsid w:val="003A4DDB"/>
    <w:rsid w:val="003A60E7"/>
    <w:rsid w:val="003B0B6A"/>
    <w:rsid w:val="003B0F79"/>
    <w:rsid w:val="003B29CF"/>
    <w:rsid w:val="003B2E2C"/>
    <w:rsid w:val="003B48E0"/>
    <w:rsid w:val="003B54DF"/>
    <w:rsid w:val="003B6659"/>
    <w:rsid w:val="003B6AE7"/>
    <w:rsid w:val="003B7733"/>
    <w:rsid w:val="003C0166"/>
    <w:rsid w:val="003C350C"/>
    <w:rsid w:val="003C3903"/>
    <w:rsid w:val="003C3BA0"/>
    <w:rsid w:val="003C4580"/>
    <w:rsid w:val="003C52D8"/>
    <w:rsid w:val="003C5C5E"/>
    <w:rsid w:val="003C6746"/>
    <w:rsid w:val="003C679C"/>
    <w:rsid w:val="003C7133"/>
    <w:rsid w:val="003C7555"/>
    <w:rsid w:val="003C7898"/>
    <w:rsid w:val="003D0FF5"/>
    <w:rsid w:val="003D2D1B"/>
    <w:rsid w:val="003D30AB"/>
    <w:rsid w:val="003D3D94"/>
    <w:rsid w:val="003D48C7"/>
    <w:rsid w:val="003D4C08"/>
    <w:rsid w:val="003D51ED"/>
    <w:rsid w:val="003D7B08"/>
    <w:rsid w:val="003D7CE8"/>
    <w:rsid w:val="003E1032"/>
    <w:rsid w:val="003E1904"/>
    <w:rsid w:val="003E254D"/>
    <w:rsid w:val="003E285E"/>
    <w:rsid w:val="003E3300"/>
    <w:rsid w:val="003E55A2"/>
    <w:rsid w:val="003E65AC"/>
    <w:rsid w:val="003E6E24"/>
    <w:rsid w:val="003E72B9"/>
    <w:rsid w:val="003E7ED4"/>
    <w:rsid w:val="003F0E52"/>
    <w:rsid w:val="003F0EF2"/>
    <w:rsid w:val="003F0F6B"/>
    <w:rsid w:val="003F1F40"/>
    <w:rsid w:val="003F1FE3"/>
    <w:rsid w:val="003F3865"/>
    <w:rsid w:val="003F3A0A"/>
    <w:rsid w:val="003F4632"/>
    <w:rsid w:val="003F47BA"/>
    <w:rsid w:val="003F6617"/>
    <w:rsid w:val="00401DE4"/>
    <w:rsid w:val="004020AC"/>
    <w:rsid w:val="00402332"/>
    <w:rsid w:val="004025C2"/>
    <w:rsid w:val="0040341B"/>
    <w:rsid w:val="00403E55"/>
    <w:rsid w:val="00404532"/>
    <w:rsid w:val="00404681"/>
    <w:rsid w:val="0040496D"/>
    <w:rsid w:val="00405010"/>
    <w:rsid w:val="0040595A"/>
    <w:rsid w:val="00406923"/>
    <w:rsid w:val="0040713A"/>
    <w:rsid w:val="0040763D"/>
    <w:rsid w:val="004105B0"/>
    <w:rsid w:val="00410EC5"/>
    <w:rsid w:val="004133A8"/>
    <w:rsid w:val="00413821"/>
    <w:rsid w:val="00413D43"/>
    <w:rsid w:val="004141A3"/>
    <w:rsid w:val="00414909"/>
    <w:rsid w:val="00414BFA"/>
    <w:rsid w:val="004159A3"/>
    <w:rsid w:val="00415D78"/>
    <w:rsid w:val="00415E66"/>
    <w:rsid w:val="00416112"/>
    <w:rsid w:val="00416DF0"/>
    <w:rsid w:val="00417AE0"/>
    <w:rsid w:val="00417BAA"/>
    <w:rsid w:val="00417EDE"/>
    <w:rsid w:val="00420BA9"/>
    <w:rsid w:val="00420D7A"/>
    <w:rsid w:val="004223DE"/>
    <w:rsid w:val="0042293E"/>
    <w:rsid w:val="00422A10"/>
    <w:rsid w:val="00424D17"/>
    <w:rsid w:val="00425DFD"/>
    <w:rsid w:val="004263A3"/>
    <w:rsid w:val="00427713"/>
    <w:rsid w:val="00427CCC"/>
    <w:rsid w:val="0043013A"/>
    <w:rsid w:val="00430335"/>
    <w:rsid w:val="00430421"/>
    <w:rsid w:val="00430B4F"/>
    <w:rsid w:val="004314B1"/>
    <w:rsid w:val="00431E65"/>
    <w:rsid w:val="00432589"/>
    <w:rsid w:val="00432A94"/>
    <w:rsid w:val="00433484"/>
    <w:rsid w:val="00433827"/>
    <w:rsid w:val="0043489B"/>
    <w:rsid w:val="004360C8"/>
    <w:rsid w:val="0044006B"/>
    <w:rsid w:val="0044033F"/>
    <w:rsid w:val="00440630"/>
    <w:rsid w:val="00441123"/>
    <w:rsid w:val="00441EBE"/>
    <w:rsid w:val="00442095"/>
    <w:rsid w:val="00442965"/>
    <w:rsid w:val="00443CC6"/>
    <w:rsid w:val="00443D11"/>
    <w:rsid w:val="00444157"/>
    <w:rsid w:val="0044417C"/>
    <w:rsid w:val="00444DB3"/>
    <w:rsid w:val="004452B9"/>
    <w:rsid w:val="00445A2F"/>
    <w:rsid w:val="00446328"/>
    <w:rsid w:val="00446341"/>
    <w:rsid w:val="0044684E"/>
    <w:rsid w:val="004479CA"/>
    <w:rsid w:val="004503A4"/>
    <w:rsid w:val="00450555"/>
    <w:rsid w:val="00450DC6"/>
    <w:rsid w:val="004516A5"/>
    <w:rsid w:val="004525DD"/>
    <w:rsid w:val="004535AE"/>
    <w:rsid w:val="00453C42"/>
    <w:rsid w:val="0045450B"/>
    <w:rsid w:val="0045463A"/>
    <w:rsid w:val="00454AC9"/>
    <w:rsid w:val="004554A3"/>
    <w:rsid w:val="00455A6E"/>
    <w:rsid w:val="004569CD"/>
    <w:rsid w:val="004578EB"/>
    <w:rsid w:val="00460303"/>
    <w:rsid w:val="00460697"/>
    <w:rsid w:val="00462593"/>
    <w:rsid w:val="00465EEF"/>
    <w:rsid w:val="00466D03"/>
    <w:rsid w:val="0046711B"/>
    <w:rsid w:val="00467312"/>
    <w:rsid w:val="00467798"/>
    <w:rsid w:val="004703D3"/>
    <w:rsid w:val="00471156"/>
    <w:rsid w:val="00472429"/>
    <w:rsid w:val="004725E5"/>
    <w:rsid w:val="004726FE"/>
    <w:rsid w:val="00472751"/>
    <w:rsid w:val="00473128"/>
    <w:rsid w:val="00475078"/>
    <w:rsid w:val="00475226"/>
    <w:rsid w:val="00476715"/>
    <w:rsid w:val="004779A0"/>
    <w:rsid w:val="004808E3"/>
    <w:rsid w:val="00481016"/>
    <w:rsid w:val="004814D3"/>
    <w:rsid w:val="0048193E"/>
    <w:rsid w:val="0048204C"/>
    <w:rsid w:val="004821BB"/>
    <w:rsid w:val="00482233"/>
    <w:rsid w:val="00482538"/>
    <w:rsid w:val="004826FE"/>
    <w:rsid w:val="004827D5"/>
    <w:rsid w:val="004830C9"/>
    <w:rsid w:val="00483293"/>
    <w:rsid w:val="00483347"/>
    <w:rsid w:val="00483E2E"/>
    <w:rsid w:val="00484B69"/>
    <w:rsid w:val="00485406"/>
    <w:rsid w:val="0048584B"/>
    <w:rsid w:val="0048590F"/>
    <w:rsid w:val="004867A5"/>
    <w:rsid w:val="00486D60"/>
    <w:rsid w:val="00487C87"/>
    <w:rsid w:val="00490EC3"/>
    <w:rsid w:val="00492A25"/>
    <w:rsid w:val="0049474A"/>
    <w:rsid w:val="00495FAD"/>
    <w:rsid w:val="00496350"/>
    <w:rsid w:val="00496F91"/>
    <w:rsid w:val="00497274"/>
    <w:rsid w:val="0049797C"/>
    <w:rsid w:val="00497C2C"/>
    <w:rsid w:val="00497E9D"/>
    <w:rsid w:val="004A1405"/>
    <w:rsid w:val="004A1FC6"/>
    <w:rsid w:val="004A3C03"/>
    <w:rsid w:val="004A3DB7"/>
    <w:rsid w:val="004A3FB3"/>
    <w:rsid w:val="004A5088"/>
    <w:rsid w:val="004A5255"/>
    <w:rsid w:val="004A6097"/>
    <w:rsid w:val="004A6CB0"/>
    <w:rsid w:val="004A70FF"/>
    <w:rsid w:val="004B06D8"/>
    <w:rsid w:val="004B1B84"/>
    <w:rsid w:val="004B27F5"/>
    <w:rsid w:val="004B2852"/>
    <w:rsid w:val="004B29AC"/>
    <w:rsid w:val="004B35DF"/>
    <w:rsid w:val="004B3627"/>
    <w:rsid w:val="004B3F3A"/>
    <w:rsid w:val="004B4779"/>
    <w:rsid w:val="004B4922"/>
    <w:rsid w:val="004B57DF"/>
    <w:rsid w:val="004C03A0"/>
    <w:rsid w:val="004C2138"/>
    <w:rsid w:val="004C220A"/>
    <w:rsid w:val="004C2ED0"/>
    <w:rsid w:val="004C32D4"/>
    <w:rsid w:val="004C3940"/>
    <w:rsid w:val="004C497F"/>
    <w:rsid w:val="004C51FD"/>
    <w:rsid w:val="004C65A8"/>
    <w:rsid w:val="004C786C"/>
    <w:rsid w:val="004C7963"/>
    <w:rsid w:val="004D2F63"/>
    <w:rsid w:val="004D35BA"/>
    <w:rsid w:val="004D360B"/>
    <w:rsid w:val="004D4701"/>
    <w:rsid w:val="004D47C7"/>
    <w:rsid w:val="004D618D"/>
    <w:rsid w:val="004D62A9"/>
    <w:rsid w:val="004D6FC3"/>
    <w:rsid w:val="004D7476"/>
    <w:rsid w:val="004E0306"/>
    <w:rsid w:val="004E0572"/>
    <w:rsid w:val="004E25A8"/>
    <w:rsid w:val="004E2AA0"/>
    <w:rsid w:val="004E3930"/>
    <w:rsid w:val="004E3ED9"/>
    <w:rsid w:val="004E5866"/>
    <w:rsid w:val="004E6097"/>
    <w:rsid w:val="004E61EF"/>
    <w:rsid w:val="004E671C"/>
    <w:rsid w:val="004E6772"/>
    <w:rsid w:val="004E76A7"/>
    <w:rsid w:val="004E7736"/>
    <w:rsid w:val="004E7B03"/>
    <w:rsid w:val="004F0064"/>
    <w:rsid w:val="004F06AC"/>
    <w:rsid w:val="004F1AE6"/>
    <w:rsid w:val="004F2019"/>
    <w:rsid w:val="004F21C4"/>
    <w:rsid w:val="004F243F"/>
    <w:rsid w:val="004F290B"/>
    <w:rsid w:val="004F3E0C"/>
    <w:rsid w:val="004F6A2D"/>
    <w:rsid w:val="004F7160"/>
    <w:rsid w:val="00500258"/>
    <w:rsid w:val="005004E7"/>
    <w:rsid w:val="0050175E"/>
    <w:rsid w:val="00501A99"/>
    <w:rsid w:val="00503180"/>
    <w:rsid w:val="0050417C"/>
    <w:rsid w:val="00505450"/>
    <w:rsid w:val="005062B7"/>
    <w:rsid w:val="0050708F"/>
    <w:rsid w:val="005100B7"/>
    <w:rsid w:val="005113C9"/>
    <w:rsid w:val="0051280C"/>
    <w:rsid w:val="00512842"/>
    <w:rsid w:val="005128BE"/>
    <w:rsid w:val="00512B7B"/>
    <w:rsid w:val="00512E6C"/>
    <w:rsid w:val="0051356F"/>
    <w:rsid w:val="00513E7C"/>
    <w:rsid w:val="005140BB"/>
    <w:rsid w:val="005143C2"/>
    <w:rsid w:val="00514FD9"/>
    <w:rsid w:val="0051608F"/>
    <w:rsid w:val="005210F7"/>
    <w:rsid w:val="00521753"/>
    <w:rsid w:val="00521A44"/>
    <w:rsid w:val="00521D16"/>
    <w:rsid w:val="005222BE"/>
    <w:rsid w:val="005224EE"/>
    <w:rsid w:val="00523BB1"/>
    <w:rsid w:val="0052451A"/>
    <w:rsid w:val="00524737"/>
    <w:rsid w:val="005254E6"/>
    <w:rsid w:val="005260F1"/>
    <w:rsid w:val="00526265"/>
    <w:rsid w:val="0052652D"/>
    <w:rsid w:val="0052655D"/>
    <w:rsid w:val="005265E0"/>
    <w:rsid w:val="00526BC3"/>
    <w:rsid w:val="00530CAB"/>
    <w:rsid w:val="00530F9E"/>
    <w:rsid w:val="0053274E"/>
    <w:rsid w:val="0053358A"/>
    <w:rsid w:val="00534668"/>
    <w:rsid w:val="00534DDD"/>
    <w:rsid w:val="00535291"/>
    <w:rsid w:val="00535794"/>
    <w:rsid w:val="00535A94"/>
    <w:rsid w:val="00537874"/>
    <w:rsid w:val="00540204"/>
    <w:rsid w:val="00540578"/>
    <w:rsid w:val="005407D2"/>
    <w:rsid w:val="00540808"/>
    <w:rsid w:val="0054080E"/>
    <w:rsid w:val="00540EA1"/>
    <w:rsid w:val="005413F7"/>
    <w:rsid w:val="0054358E"/>
    <w:rsid w:val="00543AF4"/>
    <w:rsid w:val="00544191"/>
    <w:rsid w:val="00544F39"/>
    <w:rsid w:val="00547EFB"/>
    <w:rsid w:val="005531DF"/>
    <w:rsid w:val="00553294"/>
    <w:rsid w:val="00553874"/>
    <w:rsid w:val="00553ACC"/>
    <w:rsid w:val="00554AD8"/>
    <w:rsid w:val="00554F78"/>
    <w:rsid w:val="005556A5"/>
    <w:rsid w:val="00556BF7"/>
    <w:rsid w:val="00561179"/>
    <w:rsid w:val="00562149"/>
    <w:rsid w:val="005630D8"/>
    <w:rsid w:val="00563FFD"/>
    <w:rsid w:val="00565855"/>
    <w:rsid w:val="005677CE"/>
    <w:rsid w:val="00567B5D"/>
    <w:rsid w:val="005704ED"/>
    <w:rsid w:val="00573733"/>
    <w:rsid w:val="00574554"/>
    <w:rsid w:val="00576089"/>
    <w:rsid w:val="005764B1"/>
    <w:rsid w:val="00576A56"/>
    <w:rsid w:val="00576D06"/>
    <w:rsid w:val="005779E4"/>
    <w:rsid w:val="00580AC5"/>
    <w:rsid w:val="0058289C"/>
    <w:rsid w:val="00582C35"/>
    <w:rsid w:val="00582DC6"/>
    <w:rsid w:val="005836C7"/>
    <w:rsid w:val="0058408E"/>
    <w:rsid w:val="00585374"/>
    <w:rsid w:val="00586A18"/>
    <w:rsid w:val="005878F9"/>
    <w:rsid w:val="00590B77"/>
    <w:rsid w:val="005913A3"/>
    <w:rsid w:val="00591DCD"/>
    <w:rsid w:val="00591E6C"/>
    <w:rsid w:val="0059228D"/>
    <w:rsid w:val="0059298B"/>
    <w:rsid w:val="00593480"/>
    <w:rsid w:val="00594A7B"/>
    <w:rsid w:val="00594AFA"/>
    <w:rsid w:val="0059580E"/>
    <w:rsid w:val="0059580F"/>
    <w:rsid w:val="00596A6F"/>
    <w:rsid w:val="005976E1"/>
    <w:rsid w:val="005A0541"/>
    <w:rsid w:val="005A1525"/>
    <w:rsid w:val="005A1EC3"/>
    <w:rsid w:val="005A252B"/>
    <w:rsid w:val="005A2A71"/>
    <w:rsid w:val="005A3204"/>
    <w:rsid w:val="005A3341"/>
    <w:rsid w:val="005A46EC"/>
    <w:rsid w:val="005A4847"/>
    <w:rsid w:val="005A494F"/>
    <w:rsid w:val="005B0160"/>
    <w:rsid w:val="005B0185"/>
    <w:rsid w:val="005B07EC"/>
    <w:rsid w:val="005B09D8"/>
    <w:rsid w:val="005B1EDD"/>
    <w:rsid w:val="005B24F3"/>
    <w:rsid w:val="005B2B11"/>
    <w:rsid w:val="005B2E00"/>
    <w:rsid w:val="005B370E"/>
    <w:rsid w:val="005B4DA3"/>
    <w:rsid w:val="005B5BEE"/>
    <w:rsid w:val="005B77D2"/>
    <w:rsid w:val="005C019B"/>
    <w:rsid w:val="005C144E"/>
    <w:rsid w:val="005C30F5"/>
    <w:rsid w:val="005C357E"/>
    <w:rsid w:val="005C51A5"/>
    <w:rsid w:val="005C557A"/>
    <w:rsid w:val="005C61DD"/>
    <w:rsid w:val="005C6438"/>
    <w:rsid w:val="005C6B8B"/>
    <w:rsid w:val="005D02E3"/>
    <w:rsid w:val="005D039C"/>
    <w:rsid w:val="005D1F34"/>
    <w:rsid w:val="005D2529"/>
    <w:rsid w:val="005D2C1F"/>
    <w:rsid w:val="005D34B2"/>
    <w:rsid w:val="005D3B54"/>
    <w:rsid w:val="005D40CD"/>
    <w:rsid w:val="005D6B59"/>
    <w:rsid w:val="005D7037"/>
    <w:rsid w:val="005D71DE"/>
    <w:rsid w:val="005E021E"/>
    <w:rsid w:val="005E03E4"/>
    <w:rsid w:val="005E0454"/>
    <w:rsid w:val="005E171D"/>
    <w:rsid w:val="005E34C2"/>
    <w:rsid w:val="005E35C6"/>
    <w:rsid w:val="005E550D"/>
    <w:rsid w:val="005E5B01"/>
    <w:rsid w:val="005E7933"/>
    <w:rsid w:val="005E7E0B"/>
    <w:rsid w:val="005F009E"/>
    <w:rsid w:val="005F0A88"/>
    <w:rsid w:val="005F0DF1"/>
    <w:rsid w:val="005F1516"/>
    <w:rsid w:val="005F229E"/>
    <w:rsid w:val="005F2564"/>
    <w:rsid w:val="005F30AA"/>
    <w:rsid w:val="005F3822"/>
    <w:rsid w:val="005F3E0B"/>
    <w:rsid w:val="005F4D16"/>
    <w:rsid w:val="005F4E52"/>
    <w:rsid w:val="005F5967"/>
    <w:rsid w:val="005F77C8"/>
    <w:rsid w:val="005F7B78"/>
    <w:rsid w:val="0060058E"/>
    <w:rsid w:val="00600EA3"/>
    <w:rsid w:val="0060286A"/>
    <w:rsid w:val="00602A3C"/>
    <w:rsid w:val="00603EFD"/>
    <w:rsid w:val="006041DF"/>
    <w:rsid w:val="0060475B"/>
    <w:rsid w:val="00604FB6"/>
    <w:rsid w:val="00605387"/>
    <w:rsid w:val="00606302"/>
    <w:rsid w:val="006072EF"/>
    <w:rsid w:val="006076FD"/>
    <w:rsid w:val="00607BA3"/>
    <w:rsid w:val="0061143F"/>
    <w:rsid w:val="006114D8"/>
    <w:rsid w:val="00611585"/>
    <w:rsid w:val="00612931"/>
    <w:rsid w:val="00613601"/>
    <w:rsid w:val="00613791"/>
    <w:rsid w:val="00613AAB"/>
    <w:rsid w:val="006148C7"/>
    <w:rsid w:val="00614AAD"/>
    <w:rsid w:val="006150D6"/>
    <w:rsid w:val="00617EEE"/>
    <w:rsid w:val="006210FE"/>
    <w:rsid w:val="00622811"/>
    <w:rsid w:val="00622894"/>
    <w:rsid w:val="00622BB7"/>
    <w:rsid w:val="00622F3B"/>
    <w:rsid w:val="00623389"/>
    <w:rsid w:val="0062352A"/>
    <w:rsid w:val="00623E93"/>
    <w:rsid w:val="00625E45"/>
    <w:rsid w:val="006265C4"/>
    <w:rsid w:val="00626920"/>
    <w:rsid w:val="00627383"/>
    <w:rsid w:val="00627733"/>
    <w:rsid w:val="00627CCB"/>
    <w:rsid w:val="006301BB"/>
    <w:rsid w:val="00632605"/>
    <w:rsid w:val="00633F8D"/>
    <w:rsid w:val="006341EF"/>
    <w:rsid w:val="00634BED"/>
    <w:rsid w:val="00635A4A"/>
    <w:rsid w:val="00635FB9"/>
    <w:rsid w:val="0063679B"/>
    <w:rsid w:val="00637482"/>
    <w:rsid w:val="00637774"/>
    <w:rsid w:val="0064024C"/>
    <w:rsid w:val="00640291"/>
    <w:rsid w:val="00641FAC"/>
    <w:rsid w:val="006432A5"/>
    <w:rsid w:val="00643664"/>
    <w:rsid w:val="00643CAA"/>
    <w:rsid w:val="00652137"/>
    <w:rsid w:val="00652680"/>
    <w:rsid w:val="00652A09"/>
    <w:rsid w:val="006530A1"/>
    <w:rsid w:val="00653CDE"/>
    <w:rsid w:val="006540B4"/>
    <w:rsid w:val="0065636A"/>
    <w:rsid w:val="00656C3C"/>
    <w:rsid w:val="00657003"/>
    <w:rsid w:val="00657126"/>
    <w:rsid w:val="006572C1"/>
    <w:rsid w:val="00660238"/>
    <w:rsid w:val="00660266"/>
    <w:rsid w:val="006602EF"/>
    <w:rsid w:val="00661277"/>
    <w:rsid w:val="006616FE"/>
    <w:rsid w:val="006619D1"/>
    <w:rsid w:val="0066325B"/>
    <w:rsid w:val="00663FEA"/>
    <w:rsid w:val="00664253"/>
    <w:rsid w:val="006647FC"/>
    <w:rsid w:val="00664803"/>
    <w:rsid w:val="006661A4"/>
    <w:rsid w:val="006670E0"/>
    <w:rsid w:val="00667532"/>
    <w:rsid w:val="006702D7"/>
    <w:rsid w:val="006704FD"/>
    <w:rsid w:val="0067294B"/>
    <w:rsid w:val="00673AA4"/>
    <w:rsid w:val="00674187"/>
    <w:rsid w:val="00674BE2"/>
    <w:rsid w:val="0067508F"/>
    <w:rsid w:val="00675349"/>
    <w:rsid w:val="00675E7E"/>
    <w:rsid w:val="0068051E"/>
    <w:rsid w:val="00680B9D"/>
    <w:rsid w:val="00681F13"/>
    <w:rsid w:val="0068231C"/>
    <w:rsid w:val="00682344"/>
    <w:rsid w:val="00682F28"/>
    <w:rsid w:val="00684842"/>
    <w:rsid w:val="00685BD6"/>
    <w:rsid w:val="00686842"/>
    <w:rsid w:val="006878A6"/>
    <w:rsid w:val="00690437"/>
    <w:rsid w:val="00690E65"/>
    <w:rsid w:val="0069188E"/>
    <w:rsid w:val="00691974"/>
    <w:rsid w:val="00692CE6"/>
    <w:rsid w:val="00692D46"/>
    <w:rsid w:val="00693B6C"/>
    <w:rsid w:val="006942AE"/>
    <w:rsid w:val="0069483C"/>
    <w:rsid w:val="00695421"/>
    <w:rsid w:val="0069672F"/>
    <w:rsid w:val="00696D4B"/>
    <w:rsid w:val="00697BD3"/>
    <w:rsid w:val="00697DFA"/>
    <w:rsid w:val="006A054F"/>
    <w:rsid w:val="006A10F3"/>
    <w:rsid w:val="006A16D5"/>
    <w:rsid w:val="006A1772"/>
    <w:rsid w:val="006A1780"/>
    <w:rsid w:val="006A25A5"/>
    <w:rsid w:val="006A2790"/>
    <w:rsid w:val="006A3CEC"/>
    <w:rsid w:val="006A3F75"/>
    <w:rsid w:val="006A4FB3"/>
    <w:rsid w:val="006A5A3E"/>
    <w:rsid w:val="006A66BE"/>
    <w:rsid w:val="006A6CA7"/>
    <w:rsid w:val="006A703E"/>
    <w:rsid w:val="006A7BE3"/>
    <w:rsid w:val="006B01D1"/>
    <w:rsid w:val="006B16EA"/>
    <w:rsid w:val="006B1780"/>
    <w:rsid w:val="006B224E"/>
    <w:rsid w:val="006B376E"/>
    <w:rsid w:val="006B4589"/>
    <w:rsid w:val="006B6006"/>
    <w:rsid w:val="006B6805"/>
    <w:rsid w:val="006B6BBE"/>
    <w:rsid w:val="006B6D9D"/>
    <w:rsid w:val="006B6DE0"/>
    <w:rsid w:val="006B7D5F"/>
    <w:rsid w:val="006C32F4"/>
    <w:rsid w:val="006C3C54"/>
    <w:rsid w:val="006C40F4"/>
    <w:rsid w:val="006C427B"/>
    <w:rsid w:val="006C4F9F"/>
    <w:rsid w:val="006C6044"/>
    <w:rsid w:val="006C61AB"/>
    <w:rsid w:val="006C650D"/>
    <w:rsid w:val="006C748D"/>
    <w:rsid w:val="006D0C1D"/>
    <w:rsid w:val="006D0CE1"/>
    <w:rsid w:val="006D2004"/>
    <w:rsid w:val="006D2A8C"/>
    <w:rsid w:val="006D2E9D"/>
    <w:rsid w:val="006D4C1E"/>
    <w:rsid w:val="006D4C42"/>
    <w:rsid w:val="006D5809"/>
    <w:rsid w:val="006D630A"/>
    <w:rsid w:val="006D668D"/>
    <w:rsid w:val="006D7363"/>
    <w:rsid w:val="006D74F2"/>
    <w:rsid w:val="006E04C8"/>
    <w:rsid w:val="006E0712"/>
    <w:rsid w:val="006E0754"/>
    <w:rsid w:val="006E2668"/>
    <w:rsid w:val="006E2C27"/>
    <w:rsid w:val="006E2D39"/>
    <w:rsid w:val="006E32B0"/>
    <w:rsid w:val="006E36D8"/>
    <w:rsid w:val="006E396A"/>
    <w:rsid w:val="006E3A73"/>
    <w:rsid w:val="006E5DD8"/>
    <w:rsid w:val="006E5EA1"/>
    <w:rsid w:val="006E6FB0"/>
    <w:rsid w:val="006E7ABC"/>
    <w:rsid w:val="006F0760"/>
    <w:rsid w:val="006F0FF1"/>
    <w:rsid w:val="006F11E2"/>
    <w:rsid w:val="006F12F5"/>
    <w:rsid w:val="006F2574"/>
    <w:rsid w:val="006F3231"/>
    <w:rsid w:val="006F3DE3"/>
    <w:rsid w:val="006F511F"/>
    <w:rsid w:val="006F61D8"/>
    <w:rsid w:val="006F62B7"/>
    <w:rsid w:val="006F70BC"/>
    <w:rsid w:val="006F713A"/>
    <w:rsid w:val="006F76BF"/>
    <w:rsid w:val="006F7FFC"/>
    <w:rsid w:val="007066A4"/>
    <w:rsid w:val="00706F37"/>
    <w:rsid w:val="00707280"/>
    <w:rsid w:val="00707D09"/>
    <w:rsid w:val="0071027D"/>
    <w:rsid w:val="0071209F"/>
    <w:rsid w:val="007125A2"/>
    <w:rsid w:val="00713F79"/>
    <w:rsid w:val="007148A8"/>
    <w:rsid w:val="007171E0"/>
    <w:rsid w:val="0072033C"/>
    <w:rsid w:val="00720B1B"/>
    <w:rsid w:val="00721062"/>
    <w:rsid w:val="00721E5D"/>
    <w:rsid w:val="007229D4"/>
    <w:rsid w:val="007230F8"/>
    <w:rsid w:val="007233F4"/>
    <w:rsid w:val="00724044"/>
    <w:rsid w:val="007244E1"/>
    <w:rsid w:val="007248D3"/>
    <w:rsid w:val="00724D8F"/>
    <w:rsid w:val="00725137"/>
    <w:rsid w:val="007263ED"/>
    <w:rsid w:val="00727A43"/>
    <w:rsid w:val="00727FF2"/>
    <w:rsid w:val="007323E0"/>
    <w:rsid w:val="00733027"/>
    <w:rsid w:val="00733342"/>
    <w:rsid w:val="00733791"/>
    <w:rsid w:val="00733DE2"/>
    <w:rsid w:val="007352EA"/>
    <w:rsid w:val="007364E5"/>
    <w:rsid w:val="0073792F"/>
    <w:rsid w:val="00740DA6"/>
    <w:rsid w:val="00741A0E"/>
    <w:rsid w:val="00741D1E"/>
    <w:rsid w:val="00741EE2"/>
    <w:rsid w:val="007422C1"/>
    <w:rsid w:val="00742367"/>
    <w:rsid w:val="00742EAA"/>
    <w:rsid w:val="00743818"/>
    <w:rsid w:val="007439E2"/>
    <w:rsid w:val="007441FB"/>
    <w:rsid w:val="00744517"/>
    <w:rsid w:val="00744810"/>
    <w:rsid w:val="00744C50"/>
    <w:rsid w:val="00744E58"/>
    <w:rsid w:val="00747DE2"/>
    <w:rsid w:val="0075014D"/>
    <w:rsid w:val="007504BF"/>
    <w:rsid w:val="007506CD"/>
    <w:rsid w:val="0075267F"/>
    <w:rsid w:val="007526EC"/>
    <w:rsid w:val="0075310C"/>
    <w:rsid w:val="00753347"/>
    <w:rsid w:val="00753C48"/>
    <w:rsid w:val="0075404A"/>
    <w:rsid w:val="00754C97"/>
    <w:rsid w:val="00754FE4"/>
    <w:rsid w:val="00755538"/>
    <w:rsid w:val="00755E02"/>
    <w:rsid w:val="00756236"/>
    <w:rsid w:val="00756271"/>
    <w:rsid w:val="00756521"/>
    <w:rsid w:val="00756AB7"/>
    <w:rsid w:val="00760477"/>
    <w:rsid w:val="00761144"/>
    <w:rsid w:val="00761AF4"/>
    <w:rsid w:val="00762071"/>
    <w:rsid w:val="007623FB"/>
    <w:rsid w:val="007624CD"/>
    <w:rsid w:val="007626A3"/>
    <w:rsid w:val="0076376A"/>
    <w:rsid w:val="0076500F"/>
    <w:rsid w:val="0076504E"/>
    <w:rsid w:val="00765E6A"/>
    <w:rsid w:val="00767EA0"/>
    <w:rsid w:val="0077068F"/>
    <w:rsid w:val="00770D7C"/>
    <w:rsid w:val="0077408D"/>
    <w:rsid w:val="00774270"/>
    <w:rsid w:val="00775679"/>
    <w:rsid w:val="00775803"/>
    <w:rsid w:val="00777B32"/>
    <w:rsid w:val="0078051E"/>
    <w:rsid w:val="00781FDD"/>
    <w:rsid w:val="007820BD"/>
    <w:rsid w:val="00782A9F"/>
    <w:rsid w:val="00784563"/>
    <w:rsid w:val="0078508A"/>
    <w:rsid w:val="00786D5C"/>
    <w:rsid w:val="00786E96"/>
    <w:rsid w:val="00787F93"/>
    <w:rsid w:val="007905CE"/>
    <w:rsid w:val="007907CA"/>
    <w:rsid w:val="00790B9E"/>
    <w:rsid w:val="00791E6D"/>
    <w:rsid w:val="00792666"/>
    <w:rsid w:val="007928DC"/>
    <w:rsid w:val="007939CC"/>
    <w:rsid w:val="00796FB8"/>
    <w:rsid w:val="007A11C2"/>
    <w:rsid w:val="007A2367"/>
    <w:rsid w:val="007A41BF"/>
    <w:rsid w:val="007A4477"/>
    <w:rsid w:val="007A490A"/>
    <w:rsid w:val="007A581D"/>
    <w:rsid w:val="007A7B95"/>
    <w:rsid w:val="007B0297"/>
    <w:rsid w:val="007B0F53"/>
    <w:rsid w:val="007B1DD8"/>
    <w:rsid w:val="007B1F60"/>
    <w:rsid w:val="007B21AE"/>
    <w:rsid w:val="007B2570"/>
    <w:rsid w:val="007B3113"/>
    <w:rsid w:val="007B3304"/>
    <w:rsid w:val="007B332B"/>
    <w:rsid w:val="007B394D"/>
    <w:rsid w:val="007B72D5"/>
    <w:rsid w:val="007B7490"/>
    <w:rsid w:val="007B774A"/>
    <w:rsid w:val="007C020D"/>
    <w:rsid w:val="007C0525"/>
    <w:rsid w:val="007C0B56"/>
    <w:rsid w:val="007C13F7"/>
    <w:rsid w:val="007C218D"/>
    <w:rsid w:val="007C2D28"/>
    <w:rsid w:val="007C3173"/>
    <w:rsid w:val="007C3E22"/>
    <w:rsid w:val="007C67C6"/>
    <w:rsid w:val="007C707A"/>
    <w:rsid w:val="007C7E59"/>
    <w:rsid w:val="007D0B91"/>
    <w:rsid w:val="007D1452"/>
    <w:rsid w:val="007D1C9C"/>
    <w:rsid w:val="007D1E29"/>
    <w:rsid w:val="007D25AF"/>
    <w:rsid w:val="007D460C"/>
    <w:rsid w:val="007D4AD3"/>
    <w:rsid w:val="007D4C8D"/>
    <w:rsid w:val="007D545E"/>
    <w:rsid w:val="007D5D19"/>
    <w:rsid w:val="007D5FDC"/>
    <w:rsid w:val="007D6D68"/>
    <w:rsid w:val="007E01DA"/>
    <w:rsid w:val="007E1603"/>
    <w:rsid w:val="007E32DA"/>
    <w:rsid w:val="007E4998"/>
    <w:rsid w:val="007E4A9C"/>
    <w:rsid w:val="007E6914"/>
    <w:rsid w:val="007E7F78"/>
    <w:rsid w:val="007F0C8B"/>
    <w:rsid w:val="007F1517"/>
    <w:rsid w:val="007F1D44"/>
    <w:rsid w:val="007F2C13"/>
    <w:rsid w:val="007F2CEC"/>
    <w:rsid w:val="007F55DE"/>
    <w:rsid w:val="007F5605"/>
    <w:rsid w:val="007F6147"/>
    <w:rsid w:val="007F6EB8"/>
    <w:rsid w:val="007F78FF"/>
    <w:rsid w:val="00800A0D"/>
    <w:rsid w:val="00800F6C"/>
    <w:rsid w:val="008025BE"/>
    <w:rsid w:val="00804C86"/>
    <w:rsid w:val="008051FC"/>
    <w:rsid w:val="008055A9"/>
    <w:rsid w:val="008070EB"/>
    <w:rsid w:val="00807376"/>
    <w:rsid w:val="00810E8E"/>
    <w:rsid w:val="0081142D"/>
    <w:rsid w:val="00812462"/>
    <w:rsid w:val="0081481D"/>
    <w:rsid w:val="00814BE8"/>
    <w:rsid w:val="00814F6E"/>
    <w:rsid w:val="00815B84"/>
    <w:rsid w:val="00821A3D"/>
    <w:rsid w:val="00822037"/>
    <w:rsid w:val="00823FC6"/>
    <w:rsid w:val="00823FFC"/>
    <w:rsid w:val="00824811"/>
    <w:rsid w:val="00825C74"/>
    <w:rsid w:val="00826AB9"/>
    <w:rsid w:val="00826E0E"/>
    <w:rsid w:val="0082731F"/>
    <w:rsid w:val="00827530"/>
    <w:rsid w:val="00827D11"/>
    <w:rsid w:val="00827E0F"/>
    <w:rsid w:val="00827F6E"/>
    <w:rsid w:val="00831758"/>
    <w:rsid w:val="0083279F"/>
    <w:rsid w:val="00833B7F"/>
    <w:rsid w:val="00834030"/>
    <w:rsid w:val="00834906"/>
    <w:rsid w:val="00836075"/>
    <w:rsid w:val="00836417"/>
    <w:rsid w:val="008411F9"/>
    <w:rsid w:val="00841298"/>
    <w:rsid w:val="008413AB"/>
    <w:rsid w:val="00842D10"/>
    <w:rsid w:val="0084322B"/>
    <w:rsid w:val="00843B93"/>
    <w:rsid w:val="00843F81"/>
    <w:rsid w:val="00844087"/>
    <w:rsid w:val="0084519E"/>
    <w:rsid w:val="00846370"/>
    <w:rsid w:val="00847C2B"/>
    <w:rsid w:val="0085270D"/>
    <w:rsid w:val="008532BF"/>
    <w:rsid w:val="00853BF4"/>
    <w:rsid w:val="00854294"/>
    <w:rsid w:val="0085788B"/>
    <w:rsid w:val="00857977"/>
    <w:rsid w:val="00857A9E"/>
    <w:rsid w:val="00857DE2"/>
    <w:rsid w:val="00862DA9"/>
    <w:rsid w:val="0086407F"/>
    <w:rsid w:val="00864E79"/>
    <w:rsid w:val="00866111"/>
    <w:rsid w:val="0086661F"/>
    <w:rsid w:val="00866A0D"/>
    <w:rsid w:val="00866DB5"/>
    <w:rsid w:val="0086784E"/>
    <w:rsid w:val="00867AF1"/>
    <w:rsid w:val="00872118"/>
    <w:rsid w:val="00872827"/>
    <w:rsid w:val="00872A32"/>
    <w:rsid w:val="00873858"/>
    <w:rsid w:val="00874ECA"/>
    <w:rsid w:val="00875842"/>
    <w:rsid w:val="00876EAE"/>
    <w:rsid w:val="00880F95"/>
    <w:rsid w:val="00882B44"/>
    <w:rsid w:val="00882FE5"/>
    <w:rsid w:val="00886138"/>
    <w:rsid w:val="00886E66"/>
    <w:rsid w:val="008871B0"/>
    <w:rsid w:val="008901EC"/>
    <w:rsid w:val="0089217C"/>
    <w:rsid w:val="008928A1"/>
    <w:rsid w:val="00893671"/>
    <w:rsid w:val="00895838"/>
    <w:rsid w:val="00895A72"/>
    <w:rsid w:val="00895CDF"/>
    <w:rsid w:val="008968C7"/>
    <w:rsid w:val="00897A55"/>
    <w:rsid w:val="008A0FC9"/>
    <w:rsid w:val="008A1956"/>
    <w:rsid w:val="008A2276"/>
    <w:rsid w:val="008A25C4"/>
    <w:rsid w:val="008A40D3"/>
    <w:rsid w:val="008A469C"/>
    <w:rsid w:val="008A484A"/>
    <w:rsid w:val="008A5877"/>
    <w:rsid w:val="008A6539"/>
    <w:rsid w:val="008A701C"/>
    <w:rsid w:val="008B05DD"/>
    <w:rsid w:val="008B17E8"/>
    <w:rsid w:val="008B266C"/>
    <w:rsid w:val="008B2D03"/>
    <w:rsid w:val="008B2E7C"/>
    <w:rsid w:val="008B45A7"/>
    <w:rsid w:val="008B4A70"/>
    <w:rsid w:val="008B502F"/>
    <w:rsid w:val="008B56DB"/>
    <w:rsid w:val="008B5972"/>
    <w:rsid w:val="008B6AA1"/>
    <w:rsid w:val="008B6AFE"/>
    <w:rsid w:val="008B7034"/>
    <w:rsid w:val="008B7227"/>
    <w:rsid w:val="008C191C"/>
    <w:rsid w:val="008C1DA4"/>
    <w:rsid w:val="008C2CD5"/>
    <w:rsid w:val="008C3618"/>
    <w:rsid w:val="008C3F20"/>
    <w:rsid w:val="008C43AD"/>
    <w:rsid w:val="008C59FB"/>
    <w:rsid w:val="008C6687"/>
    <w:rsid w:val="008C68F0"/>
    <w:rsid w:val="008C6F92"/>
    <w:rsid w:val="008C731F"/>
    <w:rsid w:val="008C74D9"/>
    <w:rsid w:val="008D1052"/>
    <w:rsid w:val="008D124C"/>
    <w:rsid w:val="008D1BB3"/>
    <w:rsid w:val="008D22AE"/>
    <w:rsid w:val="008D234A"/>
    <w:rsid w:val="008D566C"/>
    <w:rsid w:val="008D58D9"/>
    <w:rsid w:val="008D5DCC"/>
    <w:rsid w:val="008D66EA"/>
    <w:rsid w:val="008D6E59"/>
    <w:rsid w:val="008D7155"/>
    <w:rsid w:val="008D7DE4"/>
    <w:rsid w:val="008E0531"/>
    <w:rsid w:val="008E09B3"/>
    <w:rsid w:val="008E141A"/>
    <w:rsid w:val="008E1A44"/>
    <w:rsid w:val="008E28E6"/>
    <w:rsid w:val="008E2B60"/>
    <w:rsid w:val="008E3232"/>
    <w:rsid w:val="008E3674"/>
    <w:rsid w:val="008E3B6C"/>
    <w:rsid w:val="008E68BB"/>
    <w:rsid w:val="008E6C9B"/>
    <w:rsid w:val="008E77D4"/>
    <w:rsid w:val="008F0981"/>
    <w:rsid w:val="008F0AFD"/>
    <w:rsid w:val="008F17B2"/>
    <w:rsid w:val="008F28EE"/>
    <w:rsid w:val="008F357B"/>
    <w:rsid w:val="008F44CA"/>
    <w:rsid w:val="008F49B9"/>
    <w:rsid w:val="008F49D3"/>
    <w:rsid w:val="008F6519"/>
    <w:rsid w:val="008F7012"/>
    <w:rsid w:val="008F7B17"/>
    <w:rsid w:val="00900042"/>
    <w:rsid w:val="0090034B"/>
    <w:rsid w:val="00902623"/>
    <w:rsid w:val="00902890"/>
    <w:rsid w:val="00904BE4"/>
    <w:rsid w:val="0090504A"/>
    <w:rsid w:val="00905D7E"/>
    <w:rsid w:val="0090617E"/>
    <w:rsid w:val="009063B7"/>
    <w:rsid w:val="00907037"/>
    <w:rsid w:val="00910433"/>
    <w:rsid w:val="0091160A"/>
    <w:rsid w:val="00913258"/>
    <w:rsid w:val="0091564D"/>
    <w:rsid w:val="009156DA"/>
    <w:rsid w:val="00916BC5"/>
    <w:rsid w:val="0091726A"/>
    <w:rsid w:val="009178F6"/>
    <w:rsid w:val="00920184"/>
    <w:rsid w:val="00920EA4"/>
    <w:rsid w:val="00921792"/>
    <w:rsid w:val="00921BEA"/>
    <w:rsid w:val="00923998"/>
    <w:rsid w:val="00923DB4"/>
    <w:rsid w:val="0092430E"/>
    <w:rsid w:val="00925638"/>
    <w:rsid w:val="0092625F"/>
    <w:rsid w:val="009268A9"/>
    <w:rsid w:val="00927900"/>
    <w:rsid w:val="00927B37"/>
    <w:rsid w:val="009301B2"/>
    <w:rsid w:val="009306A4"/>
    <w:rsid w:val="009313DD"/>
    <w:rsid w:val="00931BDE"/>
    <w:rsid w:val="009321B1"/>
    <w:rsid w:val="00932ED7"/>
    <w:rsid w:val="0093357E"/>
    <w:rsid w:val="0093422D"/>
    <w:rsid w:val="009349C5"/>
    <w:rsid w:val="00934DD7"/>
    <w:rsid w:val="009369A9"/>
    <w:rsid w:val="00936CF7"/>
    <w:rsid w:val="00937201"/>
    <w:rsid w:val="0093734A"/>
    <w:rsid w:val="0093753F"/>
    <w:rsid w:val="00937783"/>
    <w:rsid w:val="00940FE1"/>
    <w:rsid w:val="00942306"/>
    <w:rsid w:val="009424B8"/>
    <w:rsid w:val="009433A4"/>
    <w:rsid w:val="0094435B"/>
    <w:rsid w:val="00944668"/>
    <w:rsid w:val="00944DC6"/>
    <w:rsid w:val="0094537D"/>
    <w:rsid w:val="0094573F"/>
    <w:rsid w:val="009458B0"/>
    <w:rsid w:val="00945B52"/>
    <w:rsid w:val="00945DC0"/>
    <w:rsid w:val="00945F05"/>
    <w:rsid w:val="00946348"/>
    <w:rsid w:val="009471AD"/>
    <w:rsid w:val="009478A2"/>
    <w:rsid w:val="00955643"/>
    <w:rsid w:val="00955FBB"/>
    <w:rsid w:val="0095694B"/>
    <w:rsid w:val="00956BD5"/>
    <w:rsid w:val="009574BB"/>
    <w:rsid w:val="009577B5"/>
    <w:rsid w:val="009608E6"/>
    <w:rsid w:val="00961779"/>
    <w:rsid w:val="00962EB1"/>
    <w:rsid w:val="00966522"/>
    <w:rsid w:val="0096751A"/>
    <w:rsid w:val="00967D3F"/>
    <w:rsid w:val="00967E78"/>
    <w:rsid w:val="00970D7E"/>
    <w:rsid w:val="00970F18"/>
    <w:rsid w:val="00971CF1"/>
    <w:rsid w:val="009721E9"/>
    <w:rsid w:val="00972359"/>
    <w:rsid w:val="00972A58"/>
    <w:rsid w:val="00973772"/>
    <w:rsid w:val="0097534D"/>
    <w:rsid w:val="00975E1E"/>
    <w:rsid w:val="00975E70"/>
    <w:rsid w:val="00976EA4"/>
    <w:rsid w:val="00977CD6"/>
    <w:rsid w:val="00981F74"/>
    <w:rsid w:val="00982481"/>
    <w:rsid w:val="00982D26"/>
    <w:rsid w:val="0098330E"/>
    <w:rsid w:val="009849E9"/>
    <w:rsid w:val="00985B87"/>
    <w:rsid w:val="00987812"/>
    <w:rsid w:val="00987B5A"/>
    <w:rsid w:val="00990225"/>
    <w:rsid w:val="0099244B"/>
    <w:rsid w:val="009947B6"/>
    <w:rsid w:val="00995150"/>
    <w:rsid w:val="00995683"/>
    <w:rsid w:val="009957F3"/>
    <w:rsid w:val="0099584C"/>
    <w:rsid w:val="00995D67"/>
    <w:rsid w:val="009970BF"/>
    <w:rsid w:val="009A013B"/>
    <w:rsid w:val="009A02F4"/>
    <w:rsid w:val="009A1F12"/>
    <w:rsid w:val="009A2494"/>
    <w:rsid w:val="009A26CA"/>
    <w:rsid w:val="009A26D8"/>
    <w:rsid w:val="009A36F2"/>
    <w:rsid w:val="009A5749"/>
    <w:rsid w:val="009A57D0"/>
    <w:rsid w:val="009A585C"/>
    <w:rsid w:val="009A6559"/>
    <w:rsid w:val="009A68FC"/>
    <w:rsid w:val="009A7514"/>
    <w:rsid w:val="009A7E7A"/>
    <w:rsid w:val="009B1584"/>
    <w:rsid w:val="009B2469"/>
    <w:rsid w:val="009B314F"/>
    <w:rsid w:val="009B439C"/>
    <w:rsid w:val="009B4A6C"/>
    <w:rsid w:val="009B5777"/>
    <w:rsid w:val="009B5779"/>
    <w:rsid w:val="009B6753"/>
    <w:rsid w:val="009B6A26"/>
    <w:rsid w:val="009C079D"/>
    <w:rsid w:val="009C0D70"/>
    <w:rsid w:val="009C13D1"/>
    <w:rsid w:val="009C2913"/>
    <w:rsid w:val="009C3008"/>
    <w:rsid w:val="009C5AFE"/>
    <w:rsid w:val="009C6606"/>
    <w:rsid w:val="009C6CE5"/>
    <w:rsid w:val="009C6D50"/>
    <w:rsid w:val="009C7547"/>
    <w:rsid w:val="009D1678"/>
    <w:rsid w:val="009D1693"/>
    <w:rsid w:val="009D1AA1"/>
    <w:rsid w:val="009D2721"/>
    <w:rsid w:val="009D2F60"/>
    <w:rsid w:val="009D338C"/>
    <w:rsid w:val="009D3481"/>
    <w:rsid w:val="009D3D0D"/>
    <w:rsid w:val="009D5BAC"/>
    <w:rsid w:val="009D64BD"/>
    <w:rsid w:val="009D7328"/>
    <w:rsid w:val="009E0D0A"/>
    <w:rsid w:val="009E0D1A"/>
    <w:rsid w:val="009E153F"/>
    <w:rsid w:val="009E2D6C"/>
    <w:rsid w:val="009E388B"/>
    <w:rsid w:val="009E393E"/>
    <w:rsid w:val="009E444E"/>
    <w:rsid w:val="009E4968"/>
    <w:rsid w:val="009E52D4"/>
    <w:rsid w:val="009E663C"/>
    <w:rsid w:val="009E6BB1"/>
    <w:rsid w:val="009E6C79"/>
    <w:rsid w:val="009E7DAA"/>
    <w:rsid w:val="009F0092"/>
    <w:rsid w:val="009F0CD9"/>
    <w:rsid w:val="009F1A79"/>
    <w:rsid w:val="009F1F57"/>
    <w:rsid w:val="009F2E26"/>
    <w:rsid w:val="009F4151"/>
    <w:rsid w:val="009F4FCF"/>
    <w:rsid w:val="009F5DE2"/>
    <w:rsid w:val="009F65F4"/>
    <w:rsid w:val="009F676B"/>
    <w:rsid w:val="00A004DF"/>
    <w:rsid w:val="00A00C99"/>
    <w:rsid w:val="00A00D29"/>
    <w:rsid w:val="00A00FD5"/>
    <w:rsid w:val="00A019A8"/>
    <w:rsid w:val="00A01B03"/>
    <w:rsid w:val="00A02C66"/>
    <w:rsid w:val="00A02E5F"/>
    <w:rsid w:val="00A03861"/>
    <w:rsid w:val="00A0464C"/>
    <w:rsid w:val="00A054E0"/>
    <w:rsid w:val="00A0663F"/>
    <w:rsid w:val="00A066CE"/>
    <w:rsid w:val="00A0740B"/>
    <w:rsid w:val="00A075A9"/>
    <w:rsid w:val="00A11042"/>
    <w:rsid w:val="00A133D8"/>
    <w:rsid w:val="00A14E97"/>
    <w:rsid w:val="00A20069"/>
    <w:rsid w:val="00A20280"/>
    <w:rsid w:val="00A2244D"/>
    <w:rsid w:val="00A2253D"/>
    <w:rsid w:val="00A22AEC"/>
    <w:rsid w:val="00A23340"/>
    <w:rsid w:val="00A23BEF"/>
    <w:rsid w:val="00A2418A"/>
    <w:rsid w:val="00A247B8"/>
    <w:rsid w:val="00A24D39"/>
    <w:rsid w:val="00A24D8F"/>
    <w:rsid w:val="00A25B8B"/>
    <w:rsid w:val="00A269C3"/>
    <w:rsid w:val="00A26ECA"/>
    <w:rsid w:val="00A31D97"/>
    <w:rsid w:val="00A324C1"/>
    <w:rsid w:val="00A337DB"/>
    <w:rsid w:val="00A3467F"/>
    <w:rsid w:val="00A3551A"/>
    <w:rsid w:val="00A376E8"/>
    <w:rsid w:val="00A37E69"/>
    <w:rsid w:val="00A37F8E"/>
    <w:rsid w:val="00A41737"/>
    <w:rsid w:val="00A42B8F"/>
    <w:rsid w:val="00A43254"/>
    <w:rsid w:val="00A43896"/>
    <w:rsid w:val="00A43A26"/>
    <w:rsid w:val="00A447A0"/>
    <w:rsid w:val="00A459F5"/>
    <w:rsid w:val="00A45FC0"/>
    <w:rsid w:val="00A46B32"/>
    <w:rsid w:val="00A46CE4"/>
    <w:rsid w:val="00A47ECC"/>
    <w:rsid w:val="00A5008C"/>
    <w:rsid w:val="00A50171"/>
    <w:rsid w:val="00A5102E"/>
    <w:rsid w:val="00A51083"/>
    <w:rsid w:val="00A5132E"/>
    <w:rsid w:val="00A51533"/>
    <w:rsid w:val="00A51E68"/>
    <w:rsid w:val="00A52F3B"/>
    <w:rsid w:val="00A531D4"/>
    <w:rsid w:val="00A55ACD"/>
    <w:rsid w:val="00A55CFA"/>
    <w:rsid w:val="00A56022"/>
    <w:rsid w:val="00A575B8"/>
    <w:rsid w:val="00A647B1"/>
    <w:rsid w:val="00A64DEF"/>
    <w:rsid w:val="00A65E4E"/>
    <w:rsid w:val="00A665DF"/>
    <w:rsid w:val="00A67F1B"/>
    <w:rsid w:val="00A67FCC"/>
    <w:rsid w:val="00A716DC"/>
    <w:rsid w:val="00A7217B"/>
    <w:rsid w:val="00A7293E"/>
    <w:rsid w:val="00A72EE4"/>
    <w:rsid w:val="00A73067"/>
    <w:rsid w:val="00A737C4"/>
    <w:rsid w:val="00A739A6"/>
    <w:rsid w:val="00A75EF9"/>
    <w:rsid w:val="00A76BC9"/>
    <w:rsid w:val="00A77566"/>
    <w:rsid w:val="00A80563"/>
    <w:rsid w:val="00A82575"/>
    <w:rsid w:val="00A8311C"/>
    <w:rsid w:val="00A840E5"/>
    <w:rsid w:val="00A84BC8"/>
    <w:rsid w:val="00A84C5F"/>
    <w:rsid w:val="00A86973"/>
    <w:rsid w:val="00A8721F"/>
    <w:rsid w:val="00A8740B"/>
    <w:rsid w:val="00A87519"/>
    <w:rsid w:val="00A9246D"/>
    <w:rsid w:val="00A93644"/>
    <w:rsid w:val="00A93BD0"/>
    <w:rsid w:val="00A95D69"/>
    <w:rsid w:val="00A974E7"/>
    <w:rsid w:val="00A975A4"/>
    <w:rsid w:val="00AA2001"/>
    <w:rsid w:val="00AA2B5C"/>
    <w:rsid w:val="00AA3E83"/>
    <w:rsid w:val="00AA4E59"/>
    <w:rsid w:val="00AA5328"/>
    <w:rsid w:val="00AA5393"/>
    <w:rsid w:val="00AA63D4"/>
    <w:rsid w:val="00AA6767"/>
    <w:rsid w:val="00AB03FD"/>
    <w:rsid w:val="00AB38CB"/>
    <w:rsid w:val="00AB3BEC"/>
    <w:rsid w:val="00AB44E4"/>
    <w:rsid w:val="00AB4AEB"/>
    <w:rsid w:val="00AB5352"/>
    <w:rsid w:val="00AB56AE"/>
    <w:rsid w:val="00AB62D5"/>
    <w:rsid w:val="00AB65B5"/>
    <w:rsid w:val="00AB6DCD"/>
    <w:rsid w:val="00AB6EE0"/>
    <w:rsid w:val="00AC2DFD"/>
    <w:rsid w:val="00AC352D"/>
    <w:rsid w:val="00AC40B7"/>
    <w:rsid w:val="00AC531F"/>
    <w:rsid w:val="00AC6121"/>
    <w:rsid w:val="00AC626D"/>
    <w:rsid w:val="00AC6CB1"/>
    <w:rsid w:val="00AD0091"/>
    <w:rsid w:val="00AD23D8"/>
    <w:rsid w:val="00AD23EF"/>
    <w:rsid w:val="00AD256F"/>
    <w:rsid w:val="00AD307B"/>
    <w:rsid w:val="00AD3906"/>
    <w:rsid w:val="00AD41B3"/>
    <w:rsid w:val="00AD4C48"/>
    <w:rsid w:val="00AD57AF"/>
    <w:rsid w:val="00AD6267"/>
    <w:rsid w:val="00AD7317"/>
    <w:rsid w:val="00AE01A8"/>
    <w:rsid w:val="00AE0CBD"/>
    <w:rsid w:val="00AE123A"/>
    <w:rsid w:val="00AE28A7"/>
    <w:rsid w:val="00AE33A6"/>
    <w:rsid w:val="00AE3715"/>
    <w:rsid w:val="00AE3729"/>
    <w:rsid w:val="00AE55B2"/>
    <w:rsid w:val="00AE5C6A"/>
    <w:rsid w:val="00AE65F7"/>
    <w:rsid w:val="00AE7280"/>
    <w:rsid w:val="00AF033A"/>
    <w:rsid w:val="00AF1699"/>
    <w:rsid w:val="00AF3896"/>
    <w:rsid w:val="00AF654E"/>
    <w:rsid w:val="00AF6C33"/>
    <w:rsid w:val="00B0098A"/>
    <w:rsid w:val="00B00A5F"/>
    <w:rsid w:val="00B01018"/>
    <w:rsid w:val="00B0225F"/>
    <w:rsid w:val="00B029B8"/>
    <w:rsid w:val="00B02F60"/>
    <w:rsid w:val="00B032B8"/>
    <w:rsid w:val="00B04B46"/>
    <w:rsid w:val="00B0534D"/>
    <w:rsid w:val="00B061C2"/>
    <w:rsid w:val="00B06368"/>
    <w:rsid w:val="00B063D5"/>
    <w:rsid w:val="00B06FC6"/>
    <w:rsid w:val="00B07163"/>
    <w:rsid w:val="00B07429"/>
    <w:rsid w:val="00B11A33"/>
    <w:rsid w:val="00B12FE6"/>
    <w:rsid w:val="00B1303F"/>
    <w:rsid w:val="00B13263"/>
    <w:rsid w:val="00B1364A"/>
    <w:rsid w:val="00B13D3C"/>
    <w:rsid w:val="00B1482F"/>
    <w:rsid w:val="00B1525C"/>
    <w:rsid w:val="00B16715"/>
    <w:rsid w:val="00B16A8C"/>
    <w:rsid w:val="00B17910"/>
    <w:rsid w:val="00B20F18"/>
    <w:rsid w:val="00B21516"/>
    <w:rsid w:val="00B21E11"/>
    <w:rsid w:val="00B22CE0"/>
    <w:rsid w:val="00B23738"/>
    <w:rsid w:val="00B23BEF"/>
    <w:rsid w:val="00B247BB"/>
    <w:rsid w:val="00B24B82"/>
    <w:rsid w:val="00B25C11"/>
    <w:rsid w:val="00B25EDF"/>
    <w:rsid w:val="00B25EE6"/>
    <w:rsid w:val="00B3115A"/>
    <w:rsid w:val="00B31A5C"/>
    <w:rsid w:val="00B33C19"/>
    <w:rsid w:val="00B34861"/>
    <w:rsid w:val="00B35C78"/>
    <w:rsid w:val="00B363BD"/>
    <w:rsid w:val="00B369F7"/>
    <w:rsid w:val="00B36A99"/>
    <w:rsid w:val="00B37537"/>
    <w:rsid w:val="00B37C99"/>
    <w:rsid w:val="00B41B81"/>
    <w:rsid w:val="00B4226E"/>
    <w:rsid w:val="00B42980"/>
    <w:rsid w:val="00B434B2"/>
    <w:rsid w:val="00B434C7"/>
    <w:rsid w:val="00B43D45"/>
    <w:rsid w:val="00B44659"/>
    <w:rsid w:val="00B44771"/>
    <w:rsid w:val="00B44E79"/>
    <w:rsid w:val="00B4650E"/>
    <w:rsid w:val="00B468F2"/>
    <w:rsid w:val="00B46B45"/>
    <w:rsid w:val="00B46F6B"/>
    <w:rsid w:val="00B47286"/>
    <w:rsid w:val="00B47894"/>
    <w:rsid w:val="00B50234"/>
    <w:rsid w:val="00B51794"/>
    <w:rsid w:val="00B51BF4"/>
    <w:rsid w:val="00B52C68"/>
    <w:rsid w:val="00B542FE"/>
    <w:rsid w:val="00B55A1B"/>
    <w:rsid w:val="00B561DB"/>
    <w:rsid w:val="00B57494"/>
    <w:rsid w:val="00B61DCE"/>
    <w:rsid w:val="00B62188"/>
    <w:rsid w:val="00B62467"/>
    <w:rsid w:val="00B62F79"/>
    <w:rsid w:val="00B62F82"/>
    <w:rsid w:val="00B63C1B"/>
    <w:rsid w:val="00B648FA"/>
    <w:rsid w:val="00B662FF"/>
    <w:rsid w:val="00B66DE7"/>
    <w:rsid w:val="00B67307"/>
    <w:rsid w:val="00B70599"/>
    <w:rsid w:val="00B72C80"/>
    <w:rsid w:val="00B730B4"/>
    <w:rsid w:val="00B74340"/>
    <w:rsid w:val="00B744E0"/>
    <w:rsid w:val="00B7481A"/>
    <w:rsid w:val="00B74F2F"/>
    <w:rsid w:val="00B756FB"/>
    <w:rsid w:val="00B769BC"/>
    <w:rsid w:val="00B77349"/>
    <w:rsid w:val="00B7761E"/>
    <w:rsid w:val="00B80A37"/>
    <w:rsid w:val="00B80A3D"/>
    <w:rsid w:val="00B823E0"/>
    <w:rsid w:val="00B82B78"/>
    <w:rsid w:val="00B84662"/>
    <w:rsid w:val="00B85402"/>
    <w:rsid w:val="00B864A3"/>
    <w:rsid w:val="00B86C2A"/>
    <w:rsid w:val="00B87A4A"/>
    <w:rsid w:val="00B902A5"/>
    <w:rsid w:val="00B90420"/>
    <w:rsid w:val="00B913E4"/>
    <w:rsid w:val="00B91DB9"/>
    <w:rsid w:val="00B93EFE"/>
    <w:rsid w:val="00B94956"/>
    <w:rsid w:val="00B94C7F"/>
    <w:rsid w:val="00B956B5"/>
    <w:rsid w:val="00B95C3A"/>
    <w:rsid w:val="00B95FCE"/>
    <w:rsid w:val="00BA0D44"/>
    <w:rsid w:val="00BA0E26"/>
    <w:rsid w:val="00BA1683"/>
    <w:rsid w:val="00BA31BF"/>
    <w:rsid w:val="00BA43FC"/>
    <w:rsid w:val="00BA478B"/>
    <w:rsid w:val="00BA5224"/>
    <w:rsid w:val="00BA5238"/>
    <w:rsid w:val="00BA7B27"/>
    <w:rsid w:val="00BA7E3B"/>
    <w:rsid w:val="00BB079C"/>
    <w:rsid w:val="00BB1D8F"/>
    <w:rsid w:val="00BB39C1"/>
    <w:rsid w:val="00BB5D16"/>
    <w:rsid w:val="00BB6180"/>
    <w:rsid w:val="00BB69E6"/>
    <w:rsid w:val="00BC1B7A"/>
    <w:rsid w:val="00BC2BC7"/>
    <w:rsid w:val="00BC2C17"/>
    <w:rsid w:val="00BC3ACD"/>
    <w:rsid w:val="00BC6E73"/>
    <w:rsid w:val="00BC7C16"/>
    <w:rsid w:val="00BD0014"/>
    <w:rsid w:val="00BD01D8"/>
    <w:rsid w:val="00BD2512"/>
    <w:rsid w:val="00BD255F"/>
    <w:rsid w:val="00BD383D"/>
    <w:rsid w:val="00BD4236"/>
    <w:rsid w:val="00BD5638"/>
    <w:rsid w:val="00BD5806"/>
    <w:rsid w:val="00BD5CCA"/>
    <w:rsid w:val="00BD5CD4"/>
    <w:rsid w:val="00BD6EF9"/>
    <w:rsid w:val="00BD77DD"/>
    <w:rsid w:val="00BD7D7D"/>
    <w:rsid w:val="00BE0ACB"/>
    <w:rsid w:val="00BE1A90"/>
    <w:rsid w:val="00BE2C0A"/>
    <w:rsid w:val="00BE3537"/>
    <w:rsid w:val="00BE360F"/>
    <w:rsid w:val="00BE50FD"/>
    <w:rsid w:val="00BE51CA"/>
    <w:rsid w:val="00BE5E5A"/>
    <w:rsid w:val="00BE6D47"/>
    <w:rsid w:val="00BE6FB0"/>
    <w:rsid w:val="00BE7032"/>
    <w:rsid w:val="00BE7330"/>
    <w:rsid w:val="00BF01C5"/>
    <w:rsid w:val="00BF066A"/>
    <w:rsid w:val="00BF0DE7"/>
    <w:rsid w:val="00BF361C"/>
    <w:rsid w:val="00BF4342"/>
    <w:rsid w:val="00BF5050"/>
    <w:rsid w:val="00BF5422"/>
    <w:rsid w:val="00BF54CF"/>
    <w:rsid w:val="00BF59B1"/>
    <w:rsid w:val="00BF6A78"/>
    <w:rsid w:val="00BF6E19"/>
    <w:rsid w:val="00BF79B4"/>
    <w:rsid w:val="00C0099F"/>
    <w:rsid w:val="00C01427"/>
    <w:rsid w:val="00C016A1"/>
    <w:rsid w:val="00C058AF"/>
    <w:rsid w:val="00C06393"/>
    <w:rsid w:val="00C124C1"/>
    <w:rsid w:val="00C128AE"/>
    <w:rsid w:val="00C136D6"/>
    <w:rsid w:val="00C13D5B"/>
    <w:rsid w:val="00C16B4A"/>
    <w:rsid w:val="00C17AE2"/>
    <w:rsid w:val="00C17C58"/>
    <w:rsid w:val="00C20F27"/>
    <w:rsid w:val="00C215CF"/>
    <w:rsid w:val="00C2244B"/>
    <w:rsid w:val="00C22B0D"/>
    <w:rsid w:val="00C22F55"/>
    <w:rsid w:val="00C240C1"/>
    <w:rsid w:val="00C250D0"/>
    <w:rsid w:val="00C252AC"/>
    <w:rsid w:val="00C255AB"/>
    <w:rsid w:val="00C27214"/>
    <w:rsid w:val="00C27597"/>
    <w:rsid w:val="00C30382"/>
    <w:rsid w:val="00C30D6F"/>
    <w:rsid w:val="00C31063"/>
    <w:rsid w:val="00C31B7E"/>
    <w:rsid w:val="00C32354"/>
    <w:rsid w:val="00C3242A"/>
    <w:rsid w:val="00C32AE2"/>
    <w:rsid w:val="00C33201"/>
    <w:rsid w:val="00C332C4"/>
    <w:rsid w:val="00C360B3"/>
    <w:rsid w:val="00C3679B"/>
    <w:rsid w:val="00C37027"/>
    <w:rsid w:val="00C3778D"/>
    <w:rsid w:val="00C405A3"/>
    <w:rsid w:val="00C42752"/>
    <w:rsid w:val="00C42973"/>
    <w:rsid w:val="00C43176"/>
    <w:rsid w:val="00C43451"/>
    <w:rsid w:val="00C44F9C"/>
    <w:rsid w:val="00C46686"/>
    <w:rsid w:val="00C4730E"/>
    <w:rsid w:val="00C5019C"/>
    <w:rsid w:val="00C5034F"/>
    <w:rsid w:val="00C52479"/>
    <w:rsid w:val="00C5291F"/>
    <w:rsid w:val="00C52C59"/>
    <w:rsid w:val="00C5349E"/>
    <w:rsid w:val="00C5354B"/>
    <w:rsid w:val="00C54467"/>
    <w:rsid w:val="00C54D3D"/>
    <w:rsid w:val="00C55116"/>
    <w:rsid w:val="00C55A30"/>
    <w:rsid w:val="00C56CE4"/>
    <w:rsid w:val="00C57C58"/>
    <w:rsid w:val="00C6028F"/>
    <w:rsid w:val="00C608F1"/>
    <w:rsid w:val="00C631E1"/>
    <w:rsid w:val="00C638D8"/>
    <w:rsid w:val="00C63C84"/>
    <w:rsid w:val="00C63D26"/>
    <w:rsid w:val="00C641EB"/>
    <w:rsid w:val="00C64985"/>
    <w:rsid w:val="00C65053"/>
    <w:rsid w:val="00C65BD9"/>
    <w:rsid w:val="00C65C17"/>
    <w:rsid w:val="00C66061"/>
    <w:rsid w:val="00C6640C"/>
    <w:rsid w:val="00C66F69"/>
    <w:rsid w:val="00C67083"/>
    <w:rsid w:val="00C67223"/>
    <w:rsid w:val="00C67604"/>
    <w:rsid w:val="00C67BD5"/>
    <w:rsid w:val="00C67CFF"/>
    <w:rsid w:val="00C707B8"/>
    <w:rsid w:val="00C7084B"/>
    <w:rsid w:val="00C71C15"/>
    <w:rsid w:val="00C71F3D"/>
    <w:rsid w:val="00C72F53"/>
    <w:rsid w:val="00C74035"/>
    <w:rsid w:val="00C76FF4"/>
    <w:rsid w:val="00C77818"/>
    <w:rsid w:val="00C77AE3"/>
    <w:rsid w:val="00C80461"/>
    <w:rsid w:val="00C8063F"/>
    <w:rsid w:val="00C81549"/>
    <w:rsid w:val="00C829A1"/>
    <w:rsid w:val="00C83B36"/>
    <w:rsid w:val="00C84F8A"/>
    <w:rsid w:val="00C85209"/>
    <w:rsid w:val="00C8618F"/>
    <w:rsid w:val="00C90372"/>
    <w:rsid w:val="00C9041F"/>
    <w:rsid w:val="00C91A45"/>
    <w:rsid w:val="00C91ED2"/>
    <w:rsid w:val="00C91FB4"/>
    <w:rsid w:val="00C95745"/>
    <w:rsid w:val="00C962E3"/>
    <w:rsid w:val="00C965BD"/>
    <w:rsid w:val="00C97997"/>
    <w:rsid w:val="00CA08FE"/>
    <w:rsid w:val="00CA0FAC"/>
    <w:rsid w:val="00CA25C0"/>
    <w:rsid w:val="00CA3451"/>
    <w:rsid w:val="00CA4948"/>
    <w:rsid w:val="00CA52F9"/>
    <w:rsid w:val="00CA568B"/>
    <w:rsid w:val="00CA6D04"/>
    <w:rsid w:val="00CA7500"/>
    <w:rsid w:val="00CA76ED"/>
    <w:rsid w:val="00CB0CD8"/>
    <w:rsid w:val="00CB1239"/>
    <w:rsid w:val="00CB19FE"/>
    <w:rsid w:val="00CB304C"/>
    <w:rsid w:val="00CB4250"/>
    <w:rsid w:val="00CB53E8"/>
    <w:rsid w:val="00CB594A"/>
    <w:rsid w:val="00CB5CB2"/>
    <w:rsid w:val="00CB6979"/>
    <w:rsid w:val="00CC0859"/>
    <w:rsid w:val="00CC0A3D"/>
    <w:rsid w:val="00CC2373"/>
    <w:rsid w:val="00CC3D24"/>
    <w:rsid w:val="00CC3F91"/>
    <w:rsid w:val="00CC40B6"/>
    <w:rsid w:val="00CC4B0A"/>
    <w:rsid w:val="00CC544A"/>
    <w:rsid w:val="00CC57EA"/>
    <w:rsid w:val="00CC5954"/>
    <w:rsid w:val="00CC6C4E"/>
    <w:rsid w:val="00CD05A2"/>
    <w:rsid w:val="00CD19DA"/>
    <w:rsid w:val="00CD2844"/>
    <w:rsid w:val="00CD29D4"/>
    <w:rsid w:val="00CD2C17"/>
    <w:rsid w:val="00CD38F5"/>
    <w:rsid w:val="00CD437E"/>
    <w:rsid w:val="00CD5512"/>
    <w:rsid w:val="00CD5A89"/>
    <w:rsid w:val="00CD5DAD"/>
    <w:rsid w:val="00CD6CEA"/>
    <w:rsid w:val="00CD71E5"/>
    <w:rsid w:val="00CD72C5"/>
    <w:rsid w:val="00CD79A7"/>
    <w:rsid w:val="00CE0789"/>
    <w:rsid w:val="00CE1A03"/>
    <w:rsid w:val="00CE2346"/>
    <w:rsid w:val="00CE33B2"/>
    <w:rsid w:val="00CE3529"/>
    <w:rsid w:val="00CE35C8"/>
    <w:rsid w:val="00CE3962"/>
    <w:rsid w:val="00CE39E7"/>
    <w:rsid w:val="00CE4504"/>
    <w:rsid w:val="00CE5105"/>
    <w:rsid w:val="00CE56BD"/>
    <w:rsid w:val="00CE5EC0"/>
    <w:rsid w:val="00CE6F9F"/>
    <w:rsid w:val="00CE773B"/>
    <w:rsid w:val="00CE781A"/>
    <w:rsid w:val="00CF1D74"/>
    <w:rsid w:val="00CF2BE2"/>
    <w:rsid w:val="00CF55F9"/>
    <w:rsid w:val="00CF6990"/>
    <w:rsid w:val="00CF71A6"/>
    <w:rsid w:val="00CF7495"/>
    <w:rsid w:val="00CF7671"/>
    <w:rsid w:val="00D01CF9"/>
    <w:rsid w:val="00D0334D"/>
    <w:rsid w:val="00D0374D"/>
    <w:rsid w:val="00D05A76"/>
    <w:rsid w:val="00D05D9B"/>
    <w:rsid w:val="00D07F1D"/>
    <w:rsid w:val="00D10558"/>
    <w:rsid w:val="00D1203E"/>
    <w:rsid w:val="00D13E70"/>
    <w:rsid w:val="00D16C58"/>
    <w:rsid w:val="00D17019"/>
    <w:rsid w:val="00D170C1"/>
    <w:rsid w:val="00D20EAD"/>
    <w:rsid w:val="00D21168"/>
    <w:rsid w:val="00D235C8"/>
    <w:rsid w:val="00D2438C"/>
    <w:rsid w:val="00D2675B"/>
    <w:rsid w:val="00D26C3F"/>
    <w:rsid w:val="00D27185"/>
    <w:rsid w:val="00D315C9"/>
    <w:rsid w:val="00D32B84"/>
    <w:rsid w:val="00D337AE"/>
    <w:rsid w:val="00D33AB3"/>
    <w:rsid w:val="00D33F24"/>
    <w:rsid w:val="00D346B7"/>
    <w:rsid w:val="00D346B8"/>
    <w:rsid w:val="00D35AC8"/>
    <w:rsid w:val="00D35D34"/>
    <w:rsid w:val="00D36F87"/>
    <w:rsid w:val="00D37E4E"/>
    <w:rsid w:val="00D42E6C"/>
    <w:rsid w:val="00D42E89"/>
    <w:rsid w:val="00D43218"/>
    <w:rsid w:val="00D43B80"/>
    <w:rsid w:val="00D44236"/>
    <w:rsid w:val="00D45B1E"/>
    <w:rsid w:val="00D45BA4"/>
    <w:rsid w:val="00D471AF"/>
    <w:rsid w:val="00D4724F"/>
    <w:rsid w:val="00D5030E"/>
    <w:rsid w:val="00D50519"/>
    <w:rsid w:val="00D515E6"/>
    <w:rsid w:val="00D516A5"/>
    <w:rsid w:val="00D5264C"/>
    <w:rsid w:val="00D526DD"/>
    <w:rsid w:val="00D5289A"/>
    <w:rsid w:val="00D537FE"/>
    <w:rsid w:val="00D538F0"/>
    <w:rsid w:val="00D54A6A"/>
    <w:rsid w:val="00D54BF8"/>
    <w:rsid w:val="00D54D7C"/>
    <w:rsid w:val="00D55951"/>
    <w:rsid w:val="00D5639A"/>
    <w:rsid w:val="00D564D5"/>
    <w:rsid w:val="00D572BE"/>
    <w:rsid w:val="00D57EB6"/>
    <w:rsid w:val="00D60ED7"/>
    <w:rsid w:val="00D63586"/>
    <w:rsid w:val="00D642F7"/>
    <w:rsid w:val="00D648C7"/>
    <w:rsid w:val="00D664BF"/>
    <w:rsid w:val="00D66D8B"/>
    <w:rsid w:val="00D72A1C"/>
    <w:rsid w:val="00D73580"/>
    <w:rsid w:val="00D73802"/>
    <w:rsid w:val="00D73868"/>
    <w:rsid w:val="00D73C2C"/>
    <w:rsid w:val="00D73D52"/>
    <w:rsid w:val="00D745E7"/>
    <w:rsid w:val="00D77495"/>
    <w:rsid w:val="00D774ED"/>
    <w:rsid w:val="00D777F6"/>
    <w:rsid w:val="00D77AB2"/>
    <w:rsid w:val="00D77F88"/>
    <w:rsid w:val="00D81EAA"/>
    <w:rsid w:val="00D8259F"/>
    <w:rsid w:val="00D825F2"/>
    <w:rsid w:val="00D828B1"/>
    <w:rsid w:val="00D8485A"/>
    <w:rsid w:val="00D84F27"/>
    <w:rsid w:val="00D850D4"/>
    <w:rsid w:val="00D862D1"/>
    <w:rsid w:val="00D873C6"/>
    <w:rsid w:val="00D91027"/>
    <w:rsid w:val="00D94C7D"/>
    <w:rsid w:val="00D94CA4"/>
    <w:rsid w:val="00D94FB4"/>
    <w:rsid w:val="00D95E99"/>
    <w:rsid w:val="00DA098C"/>
    <w:rsid w:val="00DA1A3A"/>
    <w:rsid w:val="00DA2C65"/>
    <w:rsid w:val="00DA395D"/>
    <w:rsid w:val="00DB16B8"/>
    <w:rsid w:val="00DB1D52"/>
    <w:rsid w:val="00DB1F62"/>
    <w:rsid w:val="00DB2E03"/>
    <w:rsid w:val="00DB3742"/>
    <w:rsid w:val="00DB3F4B"/>
    <w:rsid w:val="00DB61A4"/>
    <w:rsid w:val="00DB67C1"/>
    <w:rsid w:val="00DB70CD"/>
    <w:rsid w:val="00DB70F4"/>
    <w:rsid w:val="00DC1056"/>
    <w:rsid w:val="00DC211E"/>
    <w:rsid w:val="00DC21D8"/>
    <w:rsid w:val="00DC282A"/>
    <w:rsid w:val="00DC34DC"/>
    <w:rsid w:val="00DC3CC6"/>
    <w:rsid w:val="00DC514A"/>
    <w:rsid w:val="00DC64EC"/>
    <w:rsid w:val="00DC67B1"/>
    <w:rsid w:val="00DC7833"/>
    <w:rsid w:val="00DD132B"/>
    <w:rsid w:val="00DD1725"/>
    <w:rsid w:val="00DD2427"/>
    <w:rsid w:val="00DD2A18"/>
    <w:rsid w:val="00DD5B1A"/>
    <w:rsid w:val="00DD61E8"/>
    <w:rsid w:val="00DD62C0"/>
    <w:rsid w:val="00DD7859"/>
    <w:rsid w:val="00DD78DE"/>
    <w:rsid w:val="00DE0207"/>
    <w:rsid w:val="00DE03AC"/>
    <w:rsid w:val="00DE0A1D"/>
    <w:rsid w:val="00DE15B2"/>
    <w:rsid w:val="00DE1A9A"/>
    <w:rsid w:val="00DE396E"/>
    <w:rsid w:val="00DE3D2C"/>
    <w:rsid w:val="00DE5E82"/>
    <w:rsid w:val="00DE5FA6"/>
    <w:rsid w:val="00DE62F4"/>
    <w:rsid w:val="00DE6494"/>
    <w:rsid w:val="00DE6AA1"/>
    <w:rsid w:val="00DE74D7"/>
    <w:rsid w:val="00DE7EF7"/>
    <w:rsid w:val="00DF1185"/>
    <w:rsid w:val="00DF1299"/>
    <w:rsid w:val="00DF1A70"/>
    <w:rsid w:val="00DF23A8"/>
    <w:rsid w:val="00DF2F27"/>
    <w:rsid w:val="00DF2FDA"/>
    <w:rsid w:val="00DF56D6"/>
    <w:rsid w:val="00DF6CCC"/>
    <w:rsid w:val="00DF6D0C"/>
    <w:rsid w:val="00DF6F64"/>
    <w:rsid w:val="00DF721E"/>
    <w:rsid w:val="00DF7C87"/>
    <w:rsid w:val="00DF7CE2"/>
    <w:rsid w:val="00E009B0"/>
    <w:rsid w:val="00E0200C"/>
    <w:rsid w:val="00E031C0"/>
    <w:rsid w:val="00E03897"/>
    <w:rsid w:val="00E03D5C"/>
    <w:rsid w:val="00E046A9"/>
    <w:rsid w:val="00E04C0F"/>
    <w:rsid w:val="00E0570B"/>
    <w:rsid w:val="00E057B2"/>
    <w:rsid w:val="00E05996"/>
    <w:rsid w:val="00E10B87"/>
    <w:rsid w:val="00E1478B"/>
    <w:rsid w:val="00E14FAC"/>
    <w:rsid w:val="00E15007"/>
    <w:rsid w:val="00E169EC"/>
    <w:rsid w:val="00E16EC7"/>
    <w:rsid w:val="00E1714F"/>
    <w:rsid w:val="00E17622"/>
    <w:rsid w:val="00E21576"/>
    <w:rsid w:val="00E219CE"/>
    <w:rsid w:val="00E23943"/>
    <w:rsid w:val="00E23961"/>
    <w:rsid w:val="00E24071"/>
    <w:rsid w:val="00E24EBC"/>
    <w:rsid w:val="00E2522C"/>
    <w:rsid w:val="00E2599B"/>
    <w:rsid w:val="00E27383"/>
    <w:rsid w:val="00E2793D"/>
    <w:rsid w:val="00E31AFA"/>
    <w:rsid w:val="00E324EE"/>
    <w:rsid w:val="00E359FF"/>
    <w:rsid w:val="00E36AA7"/>
    <w:rsid w:val="00E36E39"/>
    <w:rsid w:val="00E405F1"/>
    <w:rsid w:val="00E40D71"/>
    <w:rsid w:val="00E43054"/>
    <w:rsid w:val="00E434C4"/>
    <w:rsid w:val="00E44FE4"/>
    <w:rsid w:val="00E46013"/>
    <w:rsid w:val="00E46976"/>
    <w:rsid w:val="00E477C3"/>
    <w:rsid w:val="00E5048D"/>
    <w:rsid w:val="00E50AC4"/>
    <w:rsid w:val="00E50F08"/>
    <w:rsid w:val="00E51077"/>
    <w:rsid w:val="00E5132D"/>
    <w:rsid w:val="00E51741"/>
    <w:rsid w:val="00E51E16"/>
    <w:rsid w:val="00E52151"/>
    <w:rsid w:val="00E53730"/>
    <w:rsid w:val="00E53C46"/>
    <w:rsid w:val="00E54511"/>
    <w:rsid w:val="00E55DC3"/>
    <w:rsid w:val="00E57577"/>
    <w:rsid w:val="00E62043"/>
    <w:rsid w:val="00E626B9"/>
    <w:rsid w:val="00E627C9"/>
    <w:rsid w:val="00E630F3"/>
    <w:rsid w:val="00E65198"/>
    <w:rsid w:val="00E652CF"/>
    <w:rsid w:val="00E664FB"/>
    <w:rsid w:val="00E66F0D"/>
    <w:rsid w:val="00E70615"/>
    <w:rsid w:val="00E71A5E"/>
    <w:rsid w:val="00E7207B"/>
    <w:rsid w:val="00E7347A"/>
    <w:rsid w:val="00E75325"/>
    <w:rsid w:val="00E75A47"/>
    <w:rsid w:val="00E75D8C"/>
    <w:rsid w:val="00E77771"/>
    <w:rsid w:val="00E777F2"/>
    <w:rsid w:val="00E779ED"/>
    <w:rsid w:val="00E802C9"/>
    <w:rsid w:val="00E80EDD"/>
    <w:rsid w:val="00E80F0A"/>
    <w:rsid w:val="00E81A6A"/>
    <w:rsid w:val="00E8291B"/>
    <w:rsid w:val="00E8395F"/>
    <w:rsid w:val="00E8473F"/>
    <w:rsid w:val="00E854AF"/>
    <w:rsid w:val="00E85E41"/>
    <w:rsid w:val="00E85EA1"/>
    <w:rsid w:val="00E87E82"/>
    <w:rsid w:val="00E91044"/>
    <w:rsid w:val="00E910D3"/>
    <w:rsid w:val="00E919AA"/>
    <w:rsid w:val="00E923CF"/>
    <w:rsid w:val="00E9335F"/>
    <w:rsid w:val="00E945E4"/>
    <w:rsid w:val="00E95111"/>
    <w:rsid w:val="00EA061E"/>
    <w:rsid w:val="00EA138B"/>
    <w:rsid w:val="00EA14C8"/>
    <w:rsid w:val="00EA19D3"/>
    <w:rsid w:val="00EA4DD5"/>
    <w:rsid w:val="00EA6649"/>
    <w:rsid w:val="00EB004B"/>
    <w:rsid w:val="00EB05D0"/>
    <w:rsid w:val="00EB07C5"/>
    <w:rsid w:val="00EB1D49"/>
    <w:rsid w:val="00EB419B"/>
    <w:rsid w:val="00EB42DD"/>
    <w:rsid w:val="00EB5005"/>
    <w:rsid w:val="00EB559F"/>
    <w:rsid w:val="00EB5F3D"/>
    <w:rsid w:val="00EB6E67"/>
    <w:rsid w:val="00EB6EC2"/>
    <w:rsid w:val="00EC1CEB"/>
    <w:rsid w:val="00EC268C"/>
    <w:rsid w:val="00EC3753"/>
    <w:rsid w:val="00EC3CB8"/>
    <w:rsid w:val="00EC3D46"/>
    <w:rsid w:val="00EC4E71"/>
    <w:rsid w:val="00EC6667"/>
    <w:rsid w:val="00ED0365"/>
    <w:rsid w:val="00ED0865"/>
    <w:rsid w:val="00ED094F"/>
    <w:rsid w:val="00ED16B6"/>
    <w:rsid w:val="00ED1C60"/>
    <w:rsid w:val="00ED2EB9"/>
    <w:rsid w:val="00ED4469"/>
    <w:rsid w:val="00ED5F23"/>
    <w:rsid w:val="00ED6DC0"/>
    <w:rsid w:val="00ED7975"/>
    <w:rsid w:val="00ED79CE"/>
    <w:rsid w:val="00ED7A7A"/>
    <w:rsid w:val="00EE038C"/>
    <w:rsid w:val="00EE040B"/>
    <w:rsid w:val="00EE47C5"/>
    <w:rsid w:val="00EE490C"/>
    <w:rsid w:val="00EE4E02"/>
    <w:rsid w:val="00EE613B"/>
    <w:rsid w:val="00EE7E17"/>
    <w:rsid w:val="00EF2C8E"/>
    <w:rsid w:val="00EF3A0D"/>
    <w:rsid w:val="00EF3CEB"/>
    <w:rsid w:val="00EF41A8"/>
    <w:rsid w:val="00EF44FB"/>
    <w:rsid w:val="00EF4D3C"/>
    <w:rsid w:val="00EF5554"/>
    <w:rsid w:val="00EF55F7"/>
    <w:rsid w:val="00EF5AD8"/>
    <w:rsid w:val="00EF5D2F"/>
    <w:rsid w:val="00EF63F5"/>
    <w:rsid w:val="00EF6758"/>
    <w:rsid w:val="00EF6B90"/>
    <w:rsid w:val="00EF70AE"/>
    <w:rsid w:val="00EF79F7"/>
    <w:rsid w:val="00F00418"/>
    <w:rsid w:val="00F006C0"/>
    <w:rsid w:val="00F019AA"/>
    <w:rsid w:val="00F0267E"/>
    <w:rsid w:val="00F02686"/>
    <w:rsid w:val="00F0459B"/>
    <w:rsid w:val="00F04E15"/>
    <w:rsid w:val="00F05DF3"/>
    <w:rsid w:val="00F0641B"/>
    <w:rsid w:val="00F069EA"/>
    <w:rsid w:val="00F07B6E"/>
    <w:rsid w:val="00F07DF8"/>
    <w:rsid w:val="00F11461"/>
    <w:rsid w:val="00F11675"/>
    <w:rsid w:val="00F1182D"/>
    <w:rsid w:val="00F12557"/>
    <w:rsid w:val="00F13A8F"/>
    <w:rsid w:val="00F144F8"/>
    <w:rsid w:val="00F14DF8"/>
    <w:rsid w:val="00F164A3"/>
    <w:rsid w:val="00F17AD9"/>
    <w:rsid w:val="00F17F74"/>
    <w:rsid w:val="00F202C2"/>
    <w:rsid w:val="00F22756"/>
    <w:rsid w:val="00F23890"/>
    <w:rsid w:val="00F2447A"/>
    <w:rsid w:val="00F24638"/>
    <w:rsid w:val="00F2504D"/>
    <w:rsid w:val="00F2637F"/>
    <w:rsid w:val="00F263A8"/>
    <w:rsid w:val="00F268F7"/>
    <w:rsid w:val="00F2702A"/>
    <w:rsid w:val="00F3053D"/>
    <w:rsid w:val="00F30BDB"/>
    <w:rsid w:val="00F30CF8"/>
    <w:rsid w:val="00F317E3"/>
    <w:rsid w:val="00F31EDF"/>
    <w:rsid w:val="00F32CDE"/>
    <w:rsid w:val="00F32D4C"/>
    <w:rsid w:val="00F34811"/>
    <w:rsid w:val="00F34B14"/>
    <w:rsid w:val="00F36A6A"/>
    <w:rsid w:val="00F40101"/>
    <w:rsid w:val="00F404F7"/>
    <w:rsid w:val="00F40CCA"/>
    <w:rsid w:val="00F41521"/>
    <w:rsid w:val="00F42D97"/>
    <w:rsid w:val="00F43F09"/>
    <w:rsid w:val="00F45A72"/>
    <w:rsid w:val="00F46723"/>
    <w:rsid w:val="00F46770"/>
    <w:rsid w:val="00F47A15"/>
    <w:rsid w:val="00F50016"/>
    <w:rsid w:val="00F50170"/>
    <w:rsid w:val="00F50647"/>
    <w:rsid w:val="00F5118A"/>
    <w:rsid w:val="00F514E0"/>
    <w:rsid w:val="00F51A21"/>
    <w:rsid w:val="00F5276E"/>
    <w:rsid w:val="00F529F9"/>
    <w:rsid w:val="00F52E9F"/>
    <w:rsid w:val="00F53304"/>
    <w:rsid w:val="00F53D40"/>
    <w:rsid w:val="00F545ED"/>
    <w:rsid w:val="00F5687F"/>
    <w:rsid w:val="00F575C7"/>
    <w:rsid w:val="00F60305"/>
    <w:rsid w:val="00F60F45"/>
    <w:rsid w:val="00F61B12"/>
    <w:rsid w:val="00F62398"/>
    <w:rsid w:val="00F631E8"/>
    <w:rsid w:val="00F63223"/>
    <w:rsid w:val="00F63264"/>
    <w:rsid w:val="00F6379E"/>
    <w:rsid w:val="00F70595"/>
    <w:rsid w:val="00F70799"/>
    <w:rsid w:val="00F70906"/>
    <w:rsid w:val="00F70A8B"/>
    <w:rsid w:val="00F70FAB"/>
    <w:rsid w:val="00F71F8C"/>
    <w:rsid w:val="00F724FB"/>
    <w:rsid w:val="00F72578"/>
    <w:rsid w:val="00F72A26"/>
    <w:rsid w:val="00F733C3"/>
    <w:rsid w:val="00F756DD"/>
    <w:rsid w:val="00F75DB3"/>
    <w:rsid w:val="00F80047"/>
    <w:rsid w:val="00F807C5"/>
    <w:rsid w:val="00F8104D"/>
    <w:rsid w:val="00F81587"/>
    <w:rsid w:val="00F82571"/>
    <w:rsid w:val="00F85B72"/>
    <w:rsid w:val="00F8766F"/>
    <w:rsid w:val="00F9081C"/>
    <w:rsid w:val="00F9104C"/>
    <w:rsid w:val="00F91082"/>
    <w:rsid w:val="00F91A9A"/>
    <w:rsid w:val="00F93ABB"/>
    <w:rsid w:val="00F94D79"/>
    <w:rsid w:val="00F95947"/>
    <w:rsid w:val="00FA03D5"/>
    <w:rsid w:val="00FA118A"/>
    <w:rsid w:val="00FA31C7"/>
    <w:rsid w:val="00FA472D"/>
    <w:rsid w:val="00FA4C5B"/>
    <w:rsid w:val="00FA59E7"/>
    <w:rsid w:val="00FA7254"/>
    <w:rsid w:val="00FB0214"/>
    <w:rsid w:val="00FB080C"/>
    <w:rsid w:val="00FB18F6"/>
    <w:rsid w:val="00FB2A52"/>
    <w:rsid w:val="00FB2F13"/>
    <w:rsid w:val="00FB6E19"/>
    <w:rsid w:val="00FB71F6"/>
    <w:rsid w:val="00FC1483"/>
    <w:rsid w:val="00FC1816"/>
    <w:rsid w:val="00FC1C47"/>
    <w:rsid w:val="00FC3728"/>
    <w:rsid w:val="00FC39ED"/>
    <w:rsid w:val="00FC4419"/>
    <w:rsid w:val="00FC47E2"/>
    <w:rsid w:val="00FC4AA5"/>
    <w:rsid w:val="00FC5148"/>
    <w:rsid w:val="00FC70DA"/>
    <w:rsid w:val="00FC75AC"/>
    <w:rsid w:val="00FD01BF"/>
    <w:rsid w:val="00FD0525"/>
    <w:rsid w:val="00FD297D"/>
    <w:rsid w:val="00FD2D13"/>
    <w:rsid w:val="00FD3D26"/>
    <w:rsid w:val="00FD4789"/>
    <w:rsid w:val="00FD4FE5"/>
    <w:rsid w:val="00FD5A1D"/>
    <w:rsid w:val="00FD6071"/>
    <w:rsid w:val="00FE0794"/>
    <w:rsid w:val="00FE1041"/>
    <w:rsid w:val="00FE24CB"/>
    <w:rsid w:val="00FE3166"/>
    <w:rsid w:val="00FE3320"/>
    <w:rsid w:val="00FE3473"/>
    <w:rsid w:val="00FE353B"/>
    <w:rsid w:val="00FE4049"/>
    <w:rsid w:val="00FE4794"/>
    <w:rsid w:val="00FE5DF7"/>
    <w:rsid w:val="00FE5F72"/>
    <w:rsid w:val="00FF0231"/>
    <w:rsid w:val="00FF1C9B"/>
    <w:rsid w:val="00FF1D49"/>
    <w:rsid w:val="00FF2562"/>
    <w:rsid w:val="00FF26A1"/>
    <w:rsid w:val="00FF2CE1"/>
    <w:rsid w:val="00FF3A41"/>
    <w:rsid w:val="00FF3E5B"/>
    <w:rsid w:val="00FF544F"/>
    <w:rsid w:val="00FF57E4"/>
    <w:rsid w:val="00FF78E5"/>
    <w:rsid w:val="013D1971"/>
    <w:rsid w:val="013E4434"/>
    <w:rsid w:val="017070EA"/>
    <w:rsid w:val="01967DCC"/>
    <w:rsid w:val="01F5576D"/>
    <w:rsid w:val="01FE21A8"/>
    <w:rsid w:val="02511F9D"/>
    <w:rsid w:val="0267246C"/>
    <w:rsid w:val="02682A6B"/>
    <w:rsid w:val="028440C8"/>
    <w:rsid w:val="02AD64A2"/>
    <w:rsid w:val="02B15B11"/>
    <w:rsid w:val="02E92446"/>
    <w:rsid w:val="02F94AB6"/>
    <w:rsid w:val="03056ED3"/>
    <w:rsid w:val="033D72CA"/>
    <w:rsid w:val="03522419"/>
    <w:rsid w:val="03813A71"/>
    <w:rsid w:val="038639BA"/>
    <w:rsid w:val="03863E70"/>
    <w:rsid w:val="03A124D9"/>
    <w:rsid w:val="03A314B8"/>
    <w:rsid w:val="03CD0470"/>
    <w:rsid w:val="03D64DF8"/>
    <w:rsid w:val="03D82B98"/>
    <w:rsid w:val="03E2511A"/>
    <w:rsid w:val="03EF4EEB"/>
    <w:rsid w:val="03F7264F"/>
    <w:rsid w:val="03F83E8B"/>
    <w:rsid w:val="04001E75"/>
    <w:rsid w:val="040A684F"/>
    <w:rsid w:val="04275DA1"/>
    <w:rsid w:val="04326567"/>
    <w:rsid w:val="045B6204"/>
    <w:rsid w:val="04A35486"/>
    <w:rsid w:val="05263216"/>
    <w:rsid w:val="055204AE"/>
    <w:rsid w:val="056A3686"/>
    <w:rsid w:val="05805EFB"/>
    <w:rsid w:val="05941992"/>
    <w:rsid w:val="05DC1BCB"/>
    <w:rsid w:val="05FB37C0"/>
    <w:rsid w:val="060B751E"/>
    <w:rsid w:val="06124094"/>
    <w:rsid w:val="062A7C9A"/>
    <w:rsid w:val="067E3116"/>
    <w:rsid w:val="069B7C33"/>
    <w:rsid w:val="06C03657"/>
    <w:rsid w:val="07040FE1"/>
    <w:rsid w:val="070770E1"/>
    <w:rsid w:val="071571D7"/>
    <w:rsid w:val="07226BE9"/>
    <w:rsid w:val="0749768F"/>
    <w:rsid w:val="075948B2"/>
    <w:rsid w:val="076B1CFB"/>
    <w:rsid w:val="077D3709"/>
    <w:rsid w:val="07B72767"/>
    <w:rsid w:val="07EB0A54"/>
    <w:rsid w:val="07F77D7D"/>
    <w:rsid w:val="08077E72"/>
    <w:rsid w:val="0873614A"/>
    <w:rsid w:val="08E42210"/>
    <w:rsid w:val="08F8136C"/>
    <w:rsid w:val="0914420F"/>
    <w:rsid w:val="092403B3"/>
    <w:rsid w:val="093E3B72"/>
    <w:rsid w:val="09475E50"/>
    <w:rsid w:val="094F13D1"/>
    <w:rsid w:val="096D7F49"/>
    <w:rsid w:val="09735AFF"/>
    <w:rsid w:val="099C4196"/>
    <w:rsid w:val="09CC2AAC"/>
    <w:rsid w:val="09D01AAE"/>
    <w:rsid w:val="09D40247"/>
    <w:rsid w:val="09D820EE"/>
    <w:rsid w:val="09D92A71"/>
    <w:rsid w:val="09E0252C"/>
    <w:rsid w:val="09E35E0C"/>
    <w:rsid w:val="09E57B43"/>
    <w:rsid w:val="0A116B8A"/>
    <w:rsid w:val="0A145C58"/>
    <w:rsid w:val="0A2615D8"/>
    <w:rsid w:val="0A3568AA"/>
    <w:rsid w:val="0A462B8C"/>
    <w:rsid w:val="0A473D82"/>
    <w:rsid w:val="0A6232C7"/>
    <w:rsid w:val="0A652D3E"/>
    <w:rsid w:val="0A7D08DF"/>
    <w:rsid w:val="0AB006EB"/>
    <w:rsid w:val="0AB507D5"/>
    <w:rsid w:val="0AF4096B"/>
    <w:rsid w:val="0AF67BA5"/>
    <w:rsid w:val="0B3A48F0"/>
    <w:rsid w:val="0B7235CD"/>
    <w:rsid w:val="0BB67B85"/>
    <w:rsid w:val="0BBE064B"/>
    <w:rsid w:val="0BC14C25"/>
    <w:rsid w:val="0C0D5FAF"/>
    <w:rsid w:val="0C0F0353"/>
    <w:rsid w:val="0C121CA7"/>
    <w:rsid w:val="0C561593"/>
    <w:rsid w:val="0C700F86"/>
    <w:rsid w:val="0C735D39"/>
    <w:rsid w:val="0C871385"/>
    <w:rsid w:val="0C8F3D96"/>
    <w:rsid w:val="0C92213C"/>
    <w:rsid w:val="0D270DA4"/>
    <w:rsid w:val="0D302088"/>
    <w:rsid w:val="0D3D37F2"/>
    <w:rsid w:val="0D4F221D"/>
    <w:rsid w:val="0D8262BC"/>
    <w:rsid w:val="0D84032B"/>
    <w:rsid w:val="0DBD4932"/>
    <w:rsid w:val="0DCE08EE"/>
    <w:rsid w:val="0DD423A8"/>
    <w:rsid w:val="0DE6022F"/>
    <w:rsid w:val="0DF4651D"/>
    <w:rsid w:val="0E01498D"/>
    <w:rsid w:val="0E09571D"/>
    <w:rsid w:val="0E1E1731"/>
    <w:rsid w:val="0E304F4A"/>
    <w:rsid w:val="0E6051BF"/>
    <w:rsid w:val="0E8E46E1"/>
    <w:rsid w:val="0EC63CAC"/>
    <w:rsid w:val="0EC87A33"/>
    <w:rsid w:val="0ED71701"/>
    <w:rsid w:val="0EDE4E25"/>
    <w:rsid w:val="0EF5672D"/>
    <w:rsid w:val="0EFC7083"/>
    <w:rsid w:val="0F0A0484"/>
    <w:rsid w:val="0F0F7410"/>
    <w:rsid w:val="0F112C3E"/>
    <w:rsid w:val="0F130755"/>
    <w:rsid w:val="0F134DDA"/>
    <w:rsid w:val="0F2E7001"/>
    <w:rsid w:val="0F4A6693"/>
    <w:rsid w:val="0F6312BD"/>
    <w:rsid w:val="0FCF7F30"/>
    <w:rsid w:val="0FD22A7F"/>
    <w:rsid w:val="0FDE7547"/>
    <w:rsid w:val="10087BF0"/>
    <w:rsid w:val="101870B9"/>
    <w:rsid w:val="10635544"/>
    <w:rsid w:val="10945E1E"/>
    <w:rsid w:val="10A27F31"/>
    <w:rsid w:val="10C73118"/>
    <w:rsid w:val="10CA487C"/>
    <w:rsid w:val="10EA17F5"/>
    <w:rsid w:val="10EA5A3E"/>
    <w:rsid w:val="11095F3B"/>
    <w:rsid w:val="110E54BB"/>
    <w:rsid w:val="11620EFE"/>
    <w:rsid w:val="11927058"/>
    <w:rsid w:val="119C4D8D"/>
    <w:rsid w:val="119D7852"/>
    <w:rsid w:val="11AD7916"/>
    <w:rsid w:val="11BD24B8"/>
    <w:rsid w:val="11DF7888"/>
    <w:rsid w:val="11EB7CC0"/>
    <w:rsid w:val="1245301F"/>
    <w:rsid w:val="126537F7"/>
    <w:rsid w:val="126B7053"/>
    <w:rsid w:val="129A22EC"/>
    <w:rsid w:val="12B061F7"/>
    <w:rsid w:val="12C27875"/>
    <w:rsid w:val="12DC417E"/>
    <w:rsid w:val="12F86082"/>
    <w:rsid w:val="13084522"/>
    <w:rsid w:val="130B7EEE"/>
    <w:rsid w:val="134223C1"/>
    <w:rsid w:val="1367781A"/>
    <w:rsid w:val="137C46FA"/>
    <w:rsid w:val="138438B5"/>
    <w:rsid w:val="13903BBB"/>
    <w:rsid w:val="139F154F"/>
    <w:rsid w:val="13A20852"/>
    <w:rsid w:val="13AF4F03"/>
    <w:rsid w:val="13C5165B"/>
    <w:rsid w:val="13DF3855"/>
    <w:rsid w:val="13F8694C"/>
    <w:rsid w:val="14014112"/>
    <w:rsid w:val="14524026"/>
    <w:rsid w:val="14634486"/>
    <w:rsid w:val="146D6D07"/>
    <w:rsid w:val="14702016"/>
    <w:rsid w:val="14736E66"/>
    <w:rsid w:val="149B6AC2"/>
    <w:rsid w:val="14AD1123"/>
    <w:rsid w:val="14AE79DA"/>
    <w:rsid w:val="14C80C86"/>
    <w:rsid w:val="15023F0C"/>
    <w:rsid w:val="15196B50"/>
    <w:rsid w:val="15293653"/>
    <w:rsid w:val="1534169A"/>
    <w:rsid w:val="1542589A"/>
    <w:rsid w:val="155838BF"/>
    <w:rsid w:val="155C41F8"/>
    <w:rsid w:val="156B742D"/>
    <w:rsid w:val="157F14DB"/>
    <w:rsid w:val="15806992"/>
    <w:rsid w:val="15C03E03"/>
    <w:rsid w:val="15C511AA"/>
    <w:rsid w:val="15DB6BB5"/>
    <w:rsid w:val="15EF3AF7"/>
    <w:rsid w:val="162A25EB"/>
    <w:rsid w:val="163F4A7E"/>
    <w:rsid w:val="16453AC0"/>
    <w:rsid w:val="164B3423"/>
    <w:rsid w:val="16846935"/>
    <w:rsid w:val="169C77DB"/>
    <w:rsid w:val="16EE254D"/>
    <w:rsid w:val="16FD2A55"/>
    <w:rsid w:val="17363473"/>
    <w:rsid w:val="17366761"/>
    <w:rsid w:val="173F5F3C"/>
    <w:rsid w:val="175A15E5"/>
    <w:rsid w:val="177C01F0"/>
    <w:rsid w:val="178057B9"/>
    <w:rsid w:val="178A1D29"/>
    <w:rsid w:val="17B46E53"/>
    <w:rsid w:val="17BC15BC"/>
    <w:rsid w:val="17CE6630"/>
    <w:rsid w:val="17D77317"/>
    <w:rsid w:val="17E97A1A"/>
    <w:rsid w:val="17EC1128"/>
    <w:rsid w:val="185B1342"/>
    <w:rsid w:val="186E2A1C"/>
    <w:rsid w:val="187A673E"/>
    <w:rsid w:val="189E5999"/>
    <w:rsid w:val="18C96DBB"/>
    <w:rsid w:val="18D965ED"/>
    <w:rsid w:val="18EA3FB7"/>
    <w:rsid w:val="18EB2C9C"/>
    <w:rsid w:val="19396D45"/>
    <w:rsid w:val="193B6D0C"/>
    <w:rsid w:val="193F0D14"/>
    <w:rsid w:val="194B4F14"/>
    <w:rsid w:val="196842EC"/>
    <w:rsid w:val="19820BA0"/>
    <w:rsid w:val="19A07D02"/>
    <w:rsid w:val="19C20C94"/>
    <w:rsid w:val="19EF1827"/>
    <w:rsid w:val="19F60C9D"/>
    <w:rsid w:val="1A195710"/>
    <w:rsid w:val="1A2901CD"/>
    <w:rsid w:val="1A2C27D1"/>
    <w:rsid w:val="1A2D29E5"/>
    <w:rsid w:val="1A35029A"/>
    <w:rsid w:val="1A5A52E1"/>
    <w:rsid w:val="1A6C4519"/>
    <w:rsid w:val="1A75281D"/>
    <w:rsid w:val="1A855B67"/>
    <w:rsid w:val="1A8E5C3E"/>
    <w:rsid w:val="1A8F5E15"/>
    <w:rsid w:val="1AB11EBE"/>
    <w:rsid w:val="1AFA16D5"/>
    <w:rsid w:val="1B2E170C"/>
    <w:rsid w:val="1B3068FC"/>
    <w:rsid w:val="1B351FAC"/>
    <w:rsid w:val="1B454565"/>
    <w:rsid w:val="1B4F19F8"/>
    <w:rsid w:val="1B594E8D"/>
    <w:rsid w:val="1B7C05B7"/>
    <w:rsid w:val="1BAC6712"/>
    <w:rsid w:val="1BAD4121"/>
    <w:rsid w:val="1BD92184"/>
    <w:rsid w:val="1BE75EBF"/>
    <w:rsid w:val="1C174A76"/>
    <w:rsid w:val="1C5030F4"/>
    <w:rsid w:val="1C5170A2"/>
    <w:rsid w:val="1C5178F7"/>
    <w:rsid w:val="1C5671EE"/>
    <w:rsid w:val="1C6E39C8"/>
    <w:rsid w:val="1CB37470"/>
    <w:rsid w:val="1D024859"/>
    <w:rsid w:val="1D4061A8"/>
    <w:rsid w:val="1D5774B0"/>
    <w:rsid w:val="1D826F90"/>
    <w:rsid w:val="1D830E59"/>
    <w:rsid w:val="1D9E3217"/>
    <w:rsid w:val="1DAE3119"/>
    <w:rsid w:val="1DD1215E"/>
    <w:rsid w:val="1DF45B8B"/>
    <w:rsid w:val="1DF47EFC"/>
    <w:rsid w:val="1E0327E0"/>
    <w:rsid w:val="1E4A5D6E"/>
    <w:rsid w:val="1E530095"/>
    <w:rsid w:val="1E5F37D3"/>
    <w:rsid w:val="1E860C4D"/>
    <w:rsid w:val="1E866B82"/>
    <w:rsid w:val="1E9A2B1A"/>
    <w:rsid w:val="1E9A7962"/>
    <w:rsid w:val="1E9B4F4B"/>
    <w:rsid w:val="1EAA071E"/>
    <w:rsid w:val="1EB55D95"/>
    <w:rsid w:val="1EC62D45"/>
    <w:rsid w:val="1ECD3F20"/>
    <w:rsid w:val="1EF30F50"/>
    <w:rsid w:val="1EF53F2C"/>
    <w:rsid w:val="1F063325"/>
    <w:rsid w:val="1F2955EB"/>
    <w:rsid w:val="1F364345"/>
    <w:rsid w:val="1F485206"/>
    <w:rsid w:val="1F5F3A9B"/>
    <w:rsid w:val="1FBC5DF5"/>
    <w:rsid w:val="1FC55574"/>
    <w:rsid w:val="1FDD62CA"/>
    <w:rsid w:val="1FF3731F"/>
    <w:rsid w:val="1FF5278D"/>
    <w:rsid w:val="200F54C2"/>
    <w:rsid w:val="20101DC6"/>
    <w:rsid w:val="20523AE1"/>
    <w:rsid w:val="2067693A"/>
    <w:rsid w:val="206B0DE4"/>
    <w:rsid w:val="209459C7"/>
    <w:rsid w:val="20DD7999"/>
    <w:rsid w:val="20FA2E89"/>
    <w:rsid w:val="21741E33"/>
    <w:rsid w:val="21A33643"/>
    <w:rsid w:val="21B83F86"/>
    <w:rsid w:val="21E55E66"/>
    <w:rsid w:val="21FC3824"/>
    <w:rsid w:val="221178A8"/>
    <w:rsid w:val="221213CF"/>
    <w:rsid w:val="22327A92"/>
    <w:rsid w:val="2237184C"/>
    <w:rsid w:val="226460A0"/>
    <w:rsid w:val="22965435"/>
    <w:rsid w:val="22985988"/>
    <w:rsid w:val="22985D6E"/>
    <w:rsid w:val="22A21E43"/>
    <w:rsid w:val="22A76CC3"/>
    <w:rsid w:val="22B440FE"/>
    <w:rsid w:val="22BD6F35"/>
    <w:rsid w:val="231D53A2"/>
    <w:rsid w:val="235940A9"/>
    <w:rsid w:val="23864117"/>
    <w:rsid w:val="23AC6FB4"/>
    <w:rsid w:val="23B7504C"/>
    <w:rsid w:val="243A69E1"/>
    <w:rsid w:val="24571307"/>
    <w:rsid w:val="24A51DB7"/>
    <w:rsid w:val="24BA2984"/>
    <w:rsid w:val="24C876AE"/>
    <w:rsid w:val="25145328"/>
    <w:rsid w:val="25246333"/>
    <w:rsid w:val="25487A8E"/>
    <w:rsid w:val="25635479"/>
    <w:rsid w:val="25735CE8"/>
    <w:rsid w:val="259A75DB"/>
    <w:rsid w:val="25EA1E1B"/>
    <w:rsid w:val="26151358"/>
    <w:rsid w:val="261B2600"/>
    <w:rsid w:val="263878A3"/>
    <w:rsid w:val="26446DE3"/>
    <w:rsid w:val="264D165B"/>
    <w:rsid w:val="2665354E"/>
    <w:rsid w:val="26AE5615"/>
    <w:rsid w:val="26B15311"/>
    <w:rsid w:val="26C52DEF"/>
    <w:rsid w:val="26CA5C9E"/>
    <w:rsid w:val="26D7699F"/>
    <w:rsid w:val="26F82D45"/>
    <w:rsid w:val="270C5C59"/>
    <w:rsid w:val="27122310"/>
    <w:rsid w:val="27180CE2"/>
    <w:rsid w:val="27202D3F"/>
    <w:rsid w:val="27303F23"/>
    <w:rsid w:val="274A5E17"/>
    <w:rsid w:val="27563A64"/>
    <w:rsid w:val="278D3ED3"/>
    <w:rsid w:val="278E13C2"/>
    <w:rsid w:val="27A75FE0"/>
    <w:rsid w:val="27E57325"/>
    <w:rsid w:val="27FF600A"/>
    <w:rsid w:val="280D02CB"/>
    <w:rsid w:val="286701B3"/>
    <w:rsid w:val="287D6896"/>
    <w:rsid w:val="28983965"/>
    <w:rsid w:val="28AF77EC"/>
    <w:rsid w:val="28D15A45"/>
    <w:rsid w:val="28D93D8C"/>
    <w:rsid w:val="28DE1ED5"/>
    <w:rsid w:val="28F154A7"/>
    <w:rsid w:val="29255107"/>
    <w:rsid w:val="2983227B"/>
    <w:rsid w:val="29D56BC2"/>
    <w:rsid w:val="29FB0D60"/>
    <w:rsid w:val="29FF2103"/>
    <w:rsid w:val="2A0308F9"/>
    <w:rsid w:val="2A0857AB"/>
    <w:rsid w:val="2A1F7489"/>
    <w:rsid w:val="2A520E5E"/>
    <w:rsid w:val="2A886871"/>
    <w:rsid w:val="2AAF1930"/>
    <w:rsid w:val="2AB54EB7"/>
    <w:rsid w:val="2AD61BB8"/>
    <w:rsid w:val="2AF74987"/>
    <w:rsid w:val="2AF92FF6"/>
    <w:rsid w:val="2B09065E"/>
    <w:rsid w:val="2B1B2080"/>
    <w:rsid w:val="2B1E240C"/>
    <w:rsid w:val="2B3F72B2"/>
    <w:rsid w:val="2B444A22"/>
    <w:rsid w:val="2B6048D8"/>
    <w:rsid w:val="2B774624"/>
    <w:rsid w:val="2B945B7A"/>
    <w:rsid w:val="2B983562"/>
    <w:rsid w:val="2C161DEB"/>
    <w:rsid w:val="2C4202AD"/>
    <w:rsid w:val="2C7A72BE"/>
    <w:rsid w:val="2CBA3CEE"/>
    <w:rsid w:val="2CD10FE6"/>
    <w:rsid w:val="2CD409F6"/>
    <w:rsid w:val="2CF72F50"/>
    <w:rsid w:val="2D54033A"/>
    <w:rsid w:val="2D656721"/>
    <w:rsid w:val="2D815DE8"/>
    <w:rsid w:val="2D9E22D2"/>
    <w:rsid w:val="2DD95502"/>
    <w:rsid w:val="2DFD4BAB"/>
    <w:rsid w:val="2E1F62FE"/>
    <w:rsid w:val="2E360006"/>
    <w:rsid w:val="2E3C55DF"/>
    <w:rsid w:val="2E4D5985"/>
    <w:rsid w:val="2E5C4F09"/>
    <w:rsid w:val="2E5F4EFD"/>
    <w:rsid w:val="2EBC0352"/>
    <w:rsid w:val="2ED55B28"/>
    <w:rsid w:val="2F0F726D"/>
    <w:rsid w:val="2F401D3C"/>
    <w:rsid w:val="2F73265F"/>
    <w:rsid w:val="2F8F5B3E"/>
    <w:rsid w:val="2FA95C88"/>
    <w:rsid w:val="2FAF705E"/>
    <w:rsid w:val="303074FD"/>
    <w:rsid w:val="30330D58"/>
    <w:rsid w:val="3041370F"/>
    <w:rsid w:val="30705B08"/>
    <w:rsid w:val="30B11C7D"/>
    <w:rsid w:val="30B176FB"/>
    <w:rsid w:val="31083A05"/>
    <w:rsid w:val="31216536"/>
    <w:rsid w:val="31766A0F"/>
    <w:rsid w:val="31774C75"/>
    <w:rsid w:val="31776A98"/>
    <w:rsid w:val="318E5EE3"/>
    <w:rsid w:val="31982983"/>
    <w:rsid w:val="319C7F59"/>
    <w:rsid w:val="31DC0376"/>
    <w:rsid w:val="31E57B5F"/>
    <w:rsid w:val="32010D52"/>
    <w:rsid w:val="323F4F9B"/>
    <w:rsid w:val="32453A27"/>
    <w:rsid w:val="325B5F27"/>
    <w:rsid w:val="32613F1F"/>
    <w:rsid w:val="3263064A"/>
    <w:rsid w:val="32935ADE"/>
    <w:rsid w:val="32944A6A"/>
    <w:rsid w:val="32AC0C06"/>
    <w:rsid w:val="32CB171C"/>
    <w:rsid w:val="32F13120"/>
    <w:rsid w:val="32F936A6"/>
    <w:rsid w:val="33014062"/>
    <w:rsid w:val="33185FE3"/>
    <w:rsid w:val="332D4C61"/>
    <w:rsid w:val="33332E1D"/>
    <w:rsid w:val="335A4A81"/>
    <w:rsid w:val="335D0E90"/>
    <w:rsid w:val="33915BBD"/>
    <w:rsid w:val="33964C1B"/>
    <w:rsid w:val="33B51E14"/>
    <w:rsid w:val="33C770DC"/>
    <w:rsid w:val="33ED194B"/>
    <w:rsid w:val="34391919"/>
    <w:rsid w:val="343D21A6"/>
    <w:rsid w:val="34425C7C"/>
    <w:rsid w:val="344C6A8C"/>
    <w:rsid w:val="346936A8"/>
    <w:rsid w:val="34977CBB"/>
    <w:rsid w:val="34B63D06"/>
    <w:rsid w:val="34CA77B1"/>
    <w:rsid w:val="34CC3529"/>
    <w:rsid w:val="3512435E"/>
    <w:rsid w:val="3520174A"/>
    <w:rsid w:val="35260FC4"/>
    <w:rsid w:val="3537750C"/>
    <w:rsid w:val="3537798C"/>
    <w:rsid w:val="35516392"/>
    <w:rsid w:val="35610236"/>
    <w:rsid w:val="357F2005"/>
    <w:rsid w:val="357F7ED5"/>
    <w:rsid w:val="35884B49"/>
    <w:rsid w:val="35C13FC9"/>
    <w:rsid w:val="35C60DD8"/>
    <w:rsid w:val="35D0039B"/>
    <w:rsid w:val="35D01507"/>
    <w:rsid w:val="362B6E49"/>
    <w:rsid w:val="362E6D87"/>
    <w:rsid w:val="3639699D"/>
    <w:rsid w:val="364257B6"/>
    <w:rsid w:val="366C2B4A"/>
    <w:rsid w:val="369A24FC"/>
    <w:rsid w:val="369D0444"/>
    <w:rsid w:val="36E96258"/>
    <w:rsid w:val="36F56BCA"/>
    <w:rsid w:val="36F834D1"/>
    <w:rsid w:val="37145C07"/>
    <w:rsid w:val="37417684"/>
    <w:rsid w:val="374264D3"/>
    <w:rsid w:val="37604144"/>
    <w:rsid w:val="37947362"/>
    <w:rsid w:val="37AD4FBD"/>
    <w:rsid w:val="37DB7874"/>
    <w:rsid w:val="37EA5922"/>
    <w:rsid w:val="37EB2F96"/>
    <w:rsid w:val="38276B93"/>
    <w:rsid w:val="383438BF"/>
    <w:rsid w:val="384B51D6"/>
    <w:rsid w:val="385826FD"/>
    <w:rsid w:val="388C3C04"/>
    <w:rsid w:val="388C3D59"/>
    <w:rsid w:val="38A1147A"/>
    <w:rsid w:val="38FE5873"/>
    <w:rsid w:val="39020537"/>
    <w:rsid w:val="39050CFF"/>
    <w:rsid w:val="39164068"/>
    <w:rsid w:val="393B0C9B"/>
    <w:rsid w:val="39462026"/>
    <w:rsid w:val="39871CAE"/>
    <w:rsid w:val="399D2680"/>
    <w:rsid w:val="39BD0F4B"/>
    <w:rsid w:val="39D35A5C"/>
    <w:rsid w:val="39D4540A"/>
    <w:rsid w:val="3A0451D1"/>
    <w:rsid w:val="3A0B64A7"/>
    <w:rsid w:val="3A882831"/>
    <w:rsid w:val="3AB36D9B"/>
    <w:rsid w:val="3ABD7E68"/>
    <w:rsid w:val="3ABF3B5A"/>
    <w:rsid w:val="3AF74C02"/>
    <w:rsid w:val="3B3266C3"/>
    <w:rsid w:val="3B341131"/>
    <w:rsid w:val="3BAD77EB"/>
    <w:rsid w:val="3BB357F9"/>
    <w:rsid w:val="3BBB431C"/>
    <w:rsid w:val="3BD95BF0"/>
    <w:rsid w:val="3C0059A5"/>
    <w:rsid w:val="3C134E78"/>
    <w:rsid w:val="3C14220E"/>
    <w:rsid w:val="3C3461AB"/>
    <w:rsid w:val="3C3976F6"/>
    <w:rsid w:val="3C405F93"/>
    <w:rsid w:val="3C681F3A"/>
    <w:rsid w:val="3C716C78"/>
    <w:rsid w:val="3CB67E25"/>
    <w:rsid w:val="3CB939B5"/>
    <w:rsid w:val="3CC84322"/>
    <w:rsid w:val="3CD05DF7"/>
    <w:rsid w:val="3CD13DD3"/>
    <w:rsid w:val="3CE02335"/>
    <w:rsid w:val="3CE95DC1"/>
    <w:rsid w:val="3CFE449C"/>
    <w:rsid w:val="3D286607"/>
    <w:rsid w:val="3D5205FF"/>
    <w:rsid w:val="3D785196"/>
    <w:rsid w:val="3D79397A"/>
    <w:rsid w:val="3D98797C"/>
    <w:rsid w:val="3DDB658B"/>
    <w:rsid w:val="3DDF4161"/>
    <w:rsid w:val="3DEE62BF"/>
    <w:rsid w:val="3DF6345D"/>
    <w:rsid w:val="3E6F5232"/>
    <w:rsid w:val="3E8E291E"/>
    <w:rsid w:val="3E93400B"/>
    <w:rsid w:val="3E984E14"/>
    <w:rsid w:val="3EAC1024"/>
    <w:rsid w:val="3EC0729E"/>
    <w:rsid w:val="3EC357A9"/>
    <w:rsid w:val="3EDF6269"/>
    <w:rsid w:val="3EE13701"/>
    <w:rsid w:val="3EEC28A0"/>
    <w:rsid w:val="3EF83214"/>
    <w:rsid w:val="3F035764"/>
    <w:rsid w:val="3F0E4D70"/>
    <w:rsid w:val="3F1A4BB3"/>
    <w:rsid w:val="3F1B13AA"/>
    <w:rsid w:val="3F2B4CD2"/>
    <w:rsid w:val="3F4E6A98"/>
    <w:rsid w:val="3F7F7B16"/>
    <w:rsid w:val="3F9E5AC2"/>
    <w:rsid w:val="3FCA2738"/>
    <w:rsid w:val="3FF909D4"/>
    <w:rsid w:val="40192BA6"/>
    <w:rsid w:val="404302C9"/>
    <w:rsid w:val="405E7B56"/>
    <w:rsid w:val="40807D2D"/>
    <w:rsid w:val="408A531C"/>
    <w:rsid w:val="40E816EB"/>
    <w:rsid w:val="40E90FBF"/>
    <w:rsid w:val="40FB4D9F"/>
    <w:rsid w:val="4105337E"/>
    <w:rsid w:val="413D02B2"/>
    <w:rsid w:val="41790F41"/>
    <w:rsid w:val="41807B75"/>
    <w:rsid w:val="41CD4447"/>
    <w:rsid w:val="41DD322C"/>
    <w:rsid w:val="41DF1AEB"/>
    <w:rsid w:val="41E27AF9"/>
    <w:rsid w:val="41E31D60"/>
    <w:rsid w:val="42466E14"/>
    <w:rsid w:val="42550A18"/>
    <w:rsid w:val="42611755"/>
    <w:rsid w:val="42B2633B"/>
    <w:rsid w:val="42F473A1"/>
    <w:rsid w:val="431A7B56"/>
    <w:rsid w:val="4329203E"/>
    <w:rsid w:val="432B6181"/>
    <w:rsid w:val="43415CBD"/>
    <w:rsid w:val="435E1836"/>
    <w:rsid w:val="437454B8"/>
    <w:rsid w:val="4378011C"/>
    <w:rsid w:val="43812C7E"/>
    <w:rsid w:val="438B4BE3"/>
    <w:rsid w:val="43B6162D"/>
    <w:rsid w:val="43C770A7"/>
    <w:rsid w:val="4409050C"/>
    <w:rsid w:val="441E62C0"/>
    <w:rsid w:val="44274ACD"/>
    <w:rsid w:val="449C6A74"/>
    <w:rsid w:val="44E8134F"/>
    <w:rsid w:val="44F1270B"/>
    <w:rsid w:val="45072368"/>
    <w:rsid w:val="450D5D22"/>
    <w:rsid w:val="45811C7C"/>
    <w:rsid w:val="45885BCA"/>
    <w:rsid w:val="458C5E12"/>
    <w:rsid w:val="45911E4A"/>
    <w:rsid w:val="4597319F"/>
    <w:rsid w:val="45B24076"/>
    <w:rsid w:val="45D63747"/>
    <w:rsid w:val="46053138"/>
    <w:rsid w:val="460606AF"/>
    <w:rsid w:val="46094995"/>
    <w:rsid w:val="461959D3"/>
    <w:rsid w:val="463E2B41"/>
    <w:rsid w:val="468B3EFB"/>
    <w:rsid w:val="46C566A2"/>
    <w:rsid w:val="46DB13AA"/>
    <w:rsid w:val="46EA61C9"/>
    <w:rsid w:val="46F34946"/>
    <w:rsid w:val="47097449"/>
    <w:rsid w:val="470A6193"/>
    <w:rsid w:val="47253E7E"/>
    <w:rsid w:val="473E2161"/>
    <w:rsid w:val="474C68B7"/>
    <w:rsid w:val="47685B28"/>
    <w:rsid w:val="478F0431"/>
    <w:rsid w:val="479779C7"/>
    <w:rsid w:val="47B02837"/>
    <w:rsid w:val="47BF64D0"/>
    <w:rsid w:val="47DC4F5C"/>
    <w:rsid w:val="47DE7AB8"/>
    <w:rsid w:val="47E45CC5"/>
    <w:rsid w:val="47F308F3"/>
    <w:rsid w:val="48424A9B"/>
    <w:rsid w:val="486133E9"/>
    <w:rsid w:val="486E0E65"/>
    <w:rsid w:val="48724382"/>
    <w:rsid w:val="48791149"/>
    <w:rsid w:val="488B7801"/>
    <w:rsid w:val="48AA54D8"/>
    <w:rsid w:val="48B40671"/>
    <w:rsid w:val="48C769C5"/>
    <w:rsid w:val="48F31F26"/>
    <w:rsid w:val="493603FF"/>
    <w:rsid w:val="49717568"/>
    <w:rsid w:val="497E2092"/>
    <w:rsid w:val="49827954"/>
    <w:rsid w:val="498D544E"/>
    <w:rsid w:val="49902920"/>
    <w:rsid w:val="499B5738"/>
    <w:rsid w:val="499F244D"/>
    <w:rsid w:val="49EC4162"/>
    <w:rsid w:val="49F1211C"/>
    <w:rsid w:val="49F51C02"/>
    <w:rsid w:val="4A2E6BE5"/>
    <w:rsid w:val="4A3500BD"/>
    <w:rsid w:val="4A370FED"/>
    <w:rsid w:val="4A463AC2"/>
    <w:rsid w:val="4A674A28"/>
    <w:rsid w:val="4A7A693F"/>
    <w:rsid w:val="4A8F58C2"/>
    <w:rsid w:val="4AC26B09"/>
    <w:rsid w:val="4ACF1226"/>
    <w:rsid w:val="4AF96BC7"/>
    <w:rsid w:val="4B095F0C"/>
    <w:rsid w:val="4B137364"/>
    <w:rsid w:val="4B1E3227"/>
    <w:rsid w:val="4B441EFE"/>
    <w:rsid w:val="4BCF6EB4"/>
    <w:rsid w:val="4BD60C47"/>
    <w:rsid w:val="4BE94F27"/>
    <w:rsid w:val="4BF10E93"/>
    <w:rsid w:val="4BFB4050"/>
    <w:rsid w:val="4BFF3000"/>
    <w:rsid w:val="4C304C9D"/>
    <w:rsid w:val="4C3664C6"/>
    <w:rsid w:val="4C3B6EA2"/>
    <w:rsid w:val="4C475CA7"/>
    <w:rsid w:val="4CB46782"/>
    <w:rsid w:val="4CD77602"/>
    <w:rsid w:val="4CD800A3"/>
    <w:rsid w:val="4CEF36E2"/>
    <w:rsid w:val="4D17353F"/>
    <w:rsid w:val="4D360E78"/>
    <w:rsid w:val="4D3B1120"/>
    <w:rsid w:val="4D506AEB"/>
    <w:rsid w:val="4D534C40"/>
    <w:rsid w:val="4DA660DE"/>
    <w:rsid w:val="4DC643DE"/>
    <w:rsid w:val="4DCF2C85"/>
    <w:rsid w:val="4E1927DA"/>
    <w:rsid w:val="4E227930"/>
    <w:rsid w:val="4E234D8C"/>
    <w:rsid w:val="4E447828"/>
    <w:rsid w:val="4E4752BD"/>
    <w:rsid w:val="4E545A6B"/>
    <w:rsid w:val="4E8B308D"/>
    <w:rsid w:val="4EA07774"/>
    <w:rsid w:val="4EC942C4"/>
    <w:rsid w:val="4ECA77E8"/>
    <w:rsid w:val="4ED10135"/>
    <w:rsid w:val="4EF676C9"/>
    <w:rsid w:val="4EFA2729"/>
    <w:rsid w:val="4F163053"/>
    <w:rsid w:val="4F253A8A"/>
    <w:rsid w:val="4F372FFB"/>
    <w:rsid w:val="4F476E6E"/>
    <w:rsid w:val="4F4A1497"/>
    <w:rsid w:val="4F5928F2"/>
    <w:rsid w:val="4F644633"/>
    <w:rsid w:val="4F702FD7"/>
    <w:rsid w:val="4F714F0F"/>
    <w:rsid w:val="4F7A4A5F"/>
    <w:rsid w:val="4F82659C"/>
    <w:rsid w:val="4F8427B9"/>
    <w:rsid w:val="4F891A15"/>
    <w:rsid w:val="4F8E7901"/>
    <w:rsid w:val="4F9071D6"/>
    <w:rsid w:val="4F9F41A9"/>
    <w:rsid w:val="4FA64C4B"/>
    <w:rsid w:val="4FA76FA4"/>
    <w:rsid w:val="4FD124A6"/>
    <w:rsid w:val="4FD221F1"/>
    <w:rsid w:val="50245B70"/>
    <w:rsid w:val="50355FCF"/>
    <w:rsid w:val="50677497"/>
    <w:rsid w:val="509743C0"/>
    <w:rsid w:val="50C916CE"/>
    <w:rsid w:val="50D457E8"/>
    <w:rsid w:val="50D47AA2"/>
    <w:rsid w:val="50F572BB"/>
    <w:rsid w:val="50F75D4D"/>
    <w:rsid w:val="5107796B"/>
    <w:rsid w:val="513F391C"/>
    <w:rsid w:val="51564E44"/>
    <w:rsid w:val="51F36455"/>
    <w:rsid w:val="520C2D5F"/>
    <w:rsid w:val="52684037"/>
    <w:rsid w:val="529329B7"/>
    <w:rsid w:val="529F092E"/>
    <w:rsid w:val="52B139D3"/>
    <w:rsid w:val="52BC02DD"/>
    <w:rsid w:val="52C10D75"/>
    <w:rsid w:val="52C746CA"/>
    <w:rsid w:val="52D36848"/>
    <w:rsid w:val="535233A0"/>
    <w:rsid w:val="53607807"/>
    <w:rsid w:val="5361773B"/>
    <w:rsid w:val="53622828"/>
    <w:rsid w:val="536442ED"/>
    <w:rsid w:val="539C636B"/>
    <w:rsid w:val="53C27B7A"/>
    <w:rsid w:val="53C64EE0"/>
    <w:rsid w:val="53FD5056"/>
    <w:rsid w:val="54137D99"/>
    <w:rsid w:val="54257500"/>
    <w:rsid w:val="54391A69"/>
    <w:rsid w:val="546374DC"/>
    <w:rsid w:val="54850D33"/>
    <w:rsid w:val="549B52D9"/>
    <w:rsid w:val="54B2381F"/>
    <w:rsid w:val="54DA1866"/>
    <w:rsid w:val="54DC2EBD"/>
    <w:rsid w:val="5509378C"/>
    <w:rsid w:val="550C4BD7"/>
    <w:rsid w:val="550D0E75"/>
    <w:rsid w:val="55127096"/>
    <w:rsid w:val="555066B3"/>
    <w:rsid w:val="55572986"/>
    <w:rsid w:val="55660D7C"/>
    <w:rsid w:val="558477DD"/>
    <w:rsid w:val="558A50CA"/>
    <w:rsid w:val="559E7614"/>
    <w:rsid w:val="560E3AE1"/>
    <w:rsid w:val="561A2090"/>
    <w:rsid w:val="56537644"/>
    <w:rsid w:val="565C2507"/>
    <w:rsid w:val="567F64FB"/>
    <w:rsid w:val="56A82775"/>
    <w:rsid w:val="56CF23CF"/>
    <w:rsid w:val="570404A9"/>
    <w:rsid w:val="570F1328"/>
    <w:rsid w:val="572E74E0"/>
    <w:rsid w:val="573D13D5"/>
    <w:rsid w:val="576E5190"/>
    <w:rsid w:val="57813A64"/>
    <w:rsid w:val="57954024"/>
    <w:rsid w:val="579F774E"/>
    <w:rsid w:val="57C67B03"/>
    <w:rsid w:val="57D03E0A"/>
    <w:rsid w:val="580B76C3"/>
    <w:rsid w:val="581A4593"/>
    <w:rsid w:val="58296419"/>
    <w:rsid w:val="58355FB7"/>
    <w:rsid w:val="584206A2"/>
    <w:rsid w:val="585B234B"/>
    <w:rsid w:val="586720DC"/>
    <w:rsid w:val="586C4BC8"/>
    <w:rsid w:val="588C5440"/>
    <w:rsid w:val="589349B9"/>
    <w:rsid w:val="58A31211"/>
    <w:rsid w:val="58B06254"/>
    <w:rsid w:val="58B707F6"/>
    <w:rsid w:val="58EA1058"/>
    <w:rsid w:val="591A06EB"/>
    <w:rsid w:val="59506F18"/>
    <w:rsid w:val="59571404"/>
    <w:rsid w:val="59B85CA7"/>
    <w:rsid w:val="59C55D90"/>
    <w:rsid w:val="59C7778A"/>
    <w:rsid w:val="59DF2969"/>
    <w:rsid w:val="59E25F67"/>
    <w:rsid w:val="5A2325A9"/>
    <w:rsid w:val="5A4B7AF0"/>
    <w:rsid w:val="5A957D93"/>
    <w:rsid w:val="5ADB7D78"/>
    <w:rsid w:val="5AE0205A"/>
    <w:rsid w:val="5B017773"/>
    <w:rsid w:val="5B0378BE"/>
    <w:rsid w:val="5B3760D9"/>
    <w:rsid w:val="5B3B1921"/>
    <w:rsid w:val="5B88070D"/>
    <w:rsid w:val="5BB10BFF"/>
    <w:rsid w:val="5BD930EE"/>
    <w:rsid w:val="5BDF5708"/>
    <w:rsid w:val="5BE452F8"/>
    <w:rsid w:val="5C234CAE"/>
    <w:rsid w:val="5C5534F1"/>
    <w:rsid w:val="5C9C770A"/>
    <w:rsid w:val="5CB26940"/>
    <w:rsid w:val="5CBF19A1"/>
    <w:rsid w:val="5CBF73F2"/>
    <w:rsid w:val="5CD0183D"/>
    <w:rsid w:val="5D0B04AC"/>
    <w:rsid w:val="5D2317D1"/>
    <w:rsid w:val="5D374D2E"/>
    <w:rsid w:val="5D4B66B1"/>
    <w:rsid w:val="5D591B92"/>
    <w:rsid w:val="5D6E241A"/>
    <w:rsid w:val="5D711B18"/>
    <w:rsid w:val="5DAD5BB2"/>
    <w:rsid w:val="5DB75482"/>
    <w:rsid w:val="5DF474C9"/>
    <w:rsid w:val="5DF61A7B"/>
    <w:rsid w:val="5E025791"/>
    <w:rsid w:val="5E1B4A56"/>
    <w:rsid w:val="5E4D5B78"/>
    <w:rsid w:val="5E602A97"/>
    <w:rsid w:val="5E9316FA"/>
    <w:rsid w:val="5EBA0137"/>
    <w:rsid w:val="5ED0295A"/>
    <w:rsid w:val="5ED4184F"/>
    <w:rsid w:val="5EF02083"/>
    <w:rsid w:val="5F094811"/>
    <w:rsid w:val="5F294F51"/>
    <w:rsid w:val="5F32217E"/>
    <w:rsid w:val="5F5F2786"/>
    <w:rsid w:val="5F667D08"/>
    <w:rsid w:val="5F687690"/>
    <w:rsid w:val="5F80710D"/>
    <w:rsid w:val="5F8960B6"/>
    <w:rsid w:val="5F8B1AC9"/>
    <w:rsid w:val="5FB51873"/>
    <w:rsid w:val="5FE275F5"/>
    <w:rsid w:val="5FFE7843"/>
    <w:rsid w:val="600C2191"/>
    <w:rsid w:val="606007BB"/>
    <w:rsid w:val="60873B6E"/>
    <w:rsid w:val="609603C4"/>
    <w:rsid w:val="609970C2"/>
    <w:rsid w:val="60A96349"/>
    <w:rsid w:val="60AC7F66"/>
    <w:rsid w:val="60D473E7"/>
    <w:rsid w:val="6127300D"/>
    <w:rsid w:val="6135668D"/>
    <w:rsid w:val="614E645E"/>
    <w:rsid w:val="614F0571"/>
    <w:rsid w:val="6155202D"/>
    <w:rsid w:val="61763B7A"/>
    <w:rsid w:val="61763FD2"/>
    <w:rsid w:val="618835DC"/>
    <w:rsid w:val="618B1EF3"/>
    <w:rsid w:val="61AC29D7"/>
    <w:rsid w:val="61BF10D9"/>
    <w:rsid w:val="61D96EA7"/>
    <w:rsid w:val="61E17D65"/>
    <w:rsid w:val="622D4D58"/>
    <w:rsid w:val="62636811"/>
    <w:rsid w:val="629F7BDB"/>
    <w:rsid w:val="62B15B96"/>
    <w:rsid w:val="62BF4CF9"/>
    <w:rsid w:val="62D11B87"/>
    <w:rsid w:val="62E278F0"/>
    <w:rsid w:val="63514A30"/>
    <w:rsid w:val="63572FB0"/>
    <w:rsid w:val="63A4729C"/>
    <w:rsid w:val="63DB320B"/>
    <w:rsid w:val="63F67D16"/>
    <w:rsid w:val="640C7C21"/>
    <w:rsid w:val="64144F9E"/>
    <w:rsid w:val="64461AC1"/>
    <w:rsid w:val="64D31C19"/>
    <w:rsid w:val="64E45EF7"/>
    <w:rsid w:val="64E6103E"/>
    <w:rsid w:val="64ED07CF"/>
    <w:rsid w:val="64FE5C1C"/>
    <w:rsid w:val="65321B57"/>
    <w:rsid w:val="65363F24"/>
    <w:rsid w:val="657846DC"/>
    <w:rsid w:val="65B1681B"/>
    <w:rsid w:val="65B67155"/>
    <w:rsid w:val="65C82B41"/>
    <w:rsid w:val="65DA28B6"/>
    <w:rsid w:val="65E31521"/>
    <w:rsid w:val="65E75F99"/>
    <w:rsid w:val="662D5327"/>
    <w:rsid w:val="662E7022"/>
    <w:rsid w:val="66417CDF"/>
    <w:rsid w:val="664C686A"/>
    <w:rsid w:val="6652415A"/>
    <w:rsid w:val="66A57729"/>
    <w:rsid w:val="66B27F22"/>
    <w:rsid w:val="66BC7B7F"/>
    <w:rsid w:val="66CB2934"/>
    <w:rsid w:val="66EA00E9"/>
    <w:rsid w:val="672F50CE"/>
    <w:rsid w:val="677435B2"/>
    <w:rsid w:val="678B4557"/>
    <w:rsid w:val="678F7206"/>
    <w:rsid w:val="67AC3A3D"/>
    <w:rsid w:val="67B92D5B"/>
    <w:rsid w:val="67EF38BE"/>
    <w:rsid w:val="67EF75F1"/>
    <w:rsid w:val="680036DC"/>
    <w:rsid w:val="68860966"/>
    <w:rsid w:val="68926A83"/>
    <w:rsid w:val="68993415"/>
    <w:rsid w:val="689E7E91"/>
    <w:rsid w:val="68C1444C"/>
    <w:rsid w:val="69124F16"/>
    <w:rsid w:val="691E4ABC"/>
    <w:rsid w:val="69220034"/>
    <w:rsid w:val="6922313D"/>
    <w:rsid w:val="692B35B4"/>
    <w:rsid w:val="69366BE8"/>
    <w:rsid w:val="69382960"/>
    <w:rsid w:val="694707F9"/>
    <w:rsid w:val="69C64B0E"/>
    <w:rsid w:val="69CD5C14"/>
    <w:rsid w:val="69CF0D33"/>
    <w:rsid w:val="69E20FD2"/>
    <w:rsid w:val="69E21093"/>
    <w:rsid w:val="69EC0E3F"/>
    <w:rsid w:val="69F30635"/>
    <w:rsid w:val="6A6661ED"/>
    <w:rsid w:val="6A80346D"/>
    <w:rsid w:val="6A8B2B69"/>
    <w:rsid w:val="6A8B776F"/>
    <w:rsid w:val="6A8F6378"/>
    <w:rsid w:val="6AB24495"/>
    <w:rsid w:val="6B1D1C9F"/>
    <w:rsid w:val="6B403D4E"/>
    <w:rsid w:val="6B4E646B"/>
    <w:rsid w:val="6B9946B3"/>
    <w:rsid w:val="6BC10A6D"/>
    <w:rsid w:val="6BD90050"/>
    <w:rsid w:val="6C0C5A73"/>
    <w:rsid w:val="6C276CBC"/>
    <w:rsid w:val="6C2F605D"/>
    <w:rsid w:val="6C365F09"/>
    <w:rsid w:val="6C68355C"/>
    <w:rsid w:val="6C97174C"/>
    <w:rsid w:val="6CAB51F7"/>
    <w:rsid w:val="6CB71DEE"/>
    <w:rsid w:val="6CD6711B"/>
    <w:rsid w:val="6CE85806"/>
    <w:rsid w:val="6CEB7CE9"/>
    <w:rsid w:val="6D13637F"/>
    <w:rsid w:val="6D1837C6"/>
    <w:rsid w:val="6D2531FB"/>
    <w:rsid w:val="6D2F44FC"/>
    <w:rsid w:val="6D803600"/>
    <w:rsid w:val="6D875D58"/>
    <w:rsid w:val="6D91396B"/>
    <w:rsid w:val="6DA46C93"/>
    <w:rsid w:val="6DAD32B2"/>
    <w:rsid w:val="6DD553D6"/>
    <w:rsid w:val="6DE76850"/>
    <w:rsid w:val="6DF0154E"/>
    <w:rsid w:val="6E1E1A62"/>
    <w:rsid w:val="6E6311A6"/>
    <w:rsid w:val="6E891568"/>
    <w:rsid w:val="6E8968AB"/>
    <w:rsid w:val="6E9A1018"/>
    <w:rsid w:val="6E9D1B6D"/>
    <w:rsid w:val="6EBF1E76"/>
    <w:rsid w:val="6EC626E4"/>
    <w:rsid w:val="6ECC59C0"/>
    <w:rsid w:val="6EE74A40"/>
    <w:rsid w:val="6EFC563A"/>
    <w:rsid w:val="6F08090C"/>
    <w:rsid w:val="6F232C6B"/>
    <w:rsid w:val="6F965276"/>
    <w:rsid w:val="6FA95778"/>
    <w:rsid w:val="6FAD71DC"/>
    <w:rsid w:val="6FB20BD4"/>
    <w:rsid w:val="6FBA59BE"/>
    <w:rsid w:val="6FC57971"/>
    <w:rsid w:val="6FD84D69"/>
    <w:rsid w:val="70117A67"/>
    <w:rsid w:val="70296B3E"/>
    <w:rsid w:val="70611204"/>
    <w:rsid w:val="70631B93"/>
    <w:rsid w:val="707E607B"/>
    <w:rsid w:val="70ED5389"/>
    <w:rsid w:val="70F92329"/>
    <w:rsid w:val="71243B01"/>
    <w:rsid w:val="715C11B6"/>
    <w:rsid w:val="71676D88"/>
    <w:rsid w:val="71B2787D"/>
    <w:rsid w:val="71BA1F0C"/>
    <w:rsid w:val="72053B79"/>
    <w:rsid w:val="7215767E"/>
    <w:rsid w:val="72307002"/>
    <w:rsid w:val="7234593E"/>
    <w:rsid w:val="72507690"/>
    <w:rsid w:val="72771BDA"/>
    <w:rsid w:val="72833651"/>
    <w:rsid w:val="72A44BC2"/>
    <w:rsid w:val="72B42245"/>
    <w:rsid w:val="72B6746C"/>
    <w:rsid w:val="72EF4CB6"/>
    <w:rsid w:val="733D649C"/>
    <w:rsid w:val="73643D61"/>
    <w:rsid w:val="738344C2"/>
    <w:rsid w:val="738A5656"/>
    <w:rsid w:val="73961C5F"/>
    <w:rsid w:val="73A3056D"/>
    <w:rsid w:val="73AE23F1"/>
    <w:rsid w:val="73CD0149"/>
    <w:rsid w:val="74091017"/>
    <w:rsid w:val="740B1426"/>
    <w:rsid w:val="742905E6"/>
    <w:rsid w:val="744250F7"/>
    <w:rsid w:val="74490896"/>
    <w:rsid w:val="747E5633"/>
    <w:rsid w:val="74837508"/>
    <w:rsid w:val="74972428"/>
    <w:rsid w:val="74CF1255"/>
    <w:rsid w:val="74ED1AEC"/>
    <w:rsid w:val="74EE691B"/>
    <w:rsid w:val="74FA2C30"/>
    <w:rsid w:val="75273889"/>
    <w:rsid w:val="758E40E4"/>
    <w:rsid w:val="75DF64C1"/>
    <w:rsid w:val="75FA67F3"/>
    <w:rsid w:val="76313E08"/>
    <w:rsid w:val="763E4D04"/>
    <w:rsid w:val="76507797"/>
    <w:rsid w:val="76833FCE"/>
    <w:rsid w:val="76875B4E"/>
    <w:rsid w:val="769A5C92"/>
    <w:rsid w:val="769C7E50"/>
    <w:rsid w:val="76BC49EB"/>
    <w:rsid w:val="76D65652"/>
    <w:rsid w:val="76DD06A3"/>
    <w:rsid w:val="77000DA2"/>
    <w:rsid w:val="77085369"/>
    <w:rsid w:val="773D7394"/>
    <w:rsid w:val="77710A2F"/>
    <w:rsid w:val="777A3593"/>
    <w:rsid w:val="77856479"/>
    <w:rsid w:val="778E3DA5"/>
    <w:rsid w:val="77A95245"/>
    <w:rsid w:val="77AE3DED"/>
    <w:rsid w:val="77B84C6C"/>
    <w:rsid w:val="77CB267E"/>
    <w:rsid w:val="77D914FF"/>
    <w:rsid w:val="77FB1DFE"/>
    <w:rsid w:val="78104AA8"/>
    <w:rsid w:val="781E69D1"/>
    <w:rsid w:val="78340059"/>
    <w:rsid w:val="78367945"/>
    <w:rsid w:val="78371384"/>
    <w:rsid w:val="78566E5D"/>
    <w:rsid w:val="78AA6C17"/>
    <w:rsid w:val="78BB1760"/>
    <w:rsid w:val="78EA70A7"/>
    <w:rsid w:val="79245704"/>
    <w:rsid w:val="794744F9"/>
    <w:rsid w:val="79534C4C"/>
    <w:rsid w:val="79561EB1"/>
    <w:rsid w:val="795E2695"/>
    <w:rsid w:val="796B7252"/>
    <w:rsid w:val="79A65506"/>
    <w:rsid w:val="79AC37C5"/>
    <w:rsid w:val="79BE541E"/>
    <w:rsid w:val="79D20267"/>
    <w:rsid w:val="7A0B1294"/>
    <w:rsid w:val="7A14398D"/>
    <w:rsid w:val="7A28474A"/>
    <w:rsid w:val="7A756E44"/>
    <w:rsid w:val="7A7D44D1"/>
    <w:rsid w:val="7A7F1A71"/>
    <w:rsid w:val="7A7F44EF"/>
    <w:rsid w:val="7A8E4B8E"/>
    <w:rsid w:val="7AA376BE"/>
    <w:rsid w:val="7ADD0453"/>
    <w:rsid w:val="7AF46346"/>
    <w:rsid w:val="7B0F5EBF"/>
    <w:rsid w:val="7B130FB9"/>
    <w:rsid w:val="7B3A013A"/>
    <w:rsid w:val="7B492C09"/>
    <w:rsid w:val="7B6975EF"/>
    <w:rsid w:val="7B7432EA"/>
    <w:rsid w:val="7B786111"/>
    <w:rsid w:val="7B803632"/>
    <w:rsid w:val="7BB96082"/>
    <w:rsid w:val="7BDE0625"/>
    <w:rsid w:val="7BF64EDE"/>
    <w:rsid w:val="7C090D40"/>
    <w:rsid w:val="7C161C0A"/>
    <w:rsid w:val="7C1B4702"/>
    <w:rsid w:val="7C400C1E"/>
    <w:rsid w:val="7C890CA6"/>
    <w:rsid w:val="7C8E3FA9"/>
    <w:rsid w:val="7CC42E2E"/>
    <w:rsid w:val="7D0A41BC"/>
    <w:rsid w:val="7D474AF7"/>
    <w:rsid w:val="7D4C20DE"/>
    <w:rsid w:val="7D601823"/>
    <w:rsid w:val="7D696AC7"/>
    <w:rsid w:val="7D7653AD"/>
    <w:rsid w:val="7D93009F"/>
    <w:rsid w:val="7DA97531"/>
    <w:rsid w:val="7DAC15B6"/>
    <w:rsid w:val="7DD11708"/>
    <w:rsid w:val="7DD82A4E"/>
    <w:rsid w:val="7E000B16"/>
    <w:rsid w:val="7E31018F"/>
    <w:rsid w:val="7E5915A3"/>
    <w:rsid w:val="7EA1645A"/>
    <w:rsid w:val="7EAB548B"/>
    <w:rsid w:val="7EB048EF"/>
    <w:rsid w:val="7EBC46EA"/>
    <w:rsid w:val="7EC167BD"/>
    <w:rsid w:val="7EED5B43"/>
    <w:rsid w:val="7EEE1BF4"/>
    <w:rsid w:val="7EF37A16"/>
    <w:rsid w:val="7F5C05D3"/>
    <w:rsid w:val="7F9353A3"/>
    <w:rsid w:val="7F9D39F6"/>
    <w:rsid w:val="7FDD17D7"/>
    <w:rsid w:val="7FF82C2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0" w:semiHidden="0" w:name="Body Text First Indent"/>
    <w:lsdException w:qFormat="1" w:uiPriority="99" w:semiHidden="0" w:name="Body Text First Indent 2"/>
    <w:lsdException w:uiPriority="99" w:name="Note Heading"/>
    <w:lsdException w:uiPriority="99" w:name="Body Text 2"/>
    <w:lsdException w:qFormat="1" w:uiPriority="99" w:semiHidden="0"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qFormat="1" w:uiPriority="99" w:semiHidden="0" w:name="HTML Typewriter"/>
    <w:lsdException w:qFormat="1" w:uiPriority="99" w:semiHidden="0"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7"/>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48"/>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tabs>
        <w:tab w:val="left" w:pos="2210"/>
      </w:tabs>
      <w:wordWrap w:val="0"/>
      <w:overflowPunct w:val="0"/>
      <w:autoSpaceDE w:val="0"/>
      <w:autoSpaceDN w:val="0"/>
      <w:adjustRightInd w:val="0"/>
      <w:spacing w:line="360" w:lineRule="auto"/>
      <w:ind w:left="780" w:hanging="360"/>
      <w:jc w:val="left"/>
      <w:outlineLvl w:val="3"/>
    </w:pPr>
    <w:rPr>
      <w:rFonts w:ascii="宋体" w:hAnsi="MS Sans Serif"/>
      <w:b/>
      <w:kern w:val="0"/>
      <w:sz w:val="24"/>
      <w:szCs w:val="20"/>
    </w:rPr>
  </w:style>
  <w:style w:type="paragraph" w:styleId="6">
    <w:name w:val="heading 5"/>
    <w:basedOn w:val="1"/>
    <w:next w:val="7"/>
    <w:link w:val="49"/>
    <w:qFormat/>
    <w:uiPriority w:val="9"/>
    <w:pPr>
      <w:keepNext/>
      <w:keepLines/>
      <w:spacing w:before="280" w:after="290" w:line="376" w:lineRule="auto"/>
      <w:outlineLvl w:val="4"/>
    </w:pPr>
    <w:rPr>
      <w:b/>
      <w:bCs/>
      <w:sz w:val="28"/>
      <w:szCs w:val="28"/>
    </w:rPr>
  </w:style>
  <w:style w:type="paragraph" w:styleId="8">
    <w:name w:val="heading 6"/>
    <w:basedOn w:val="1"/>
    <w:next w:val="1"/>
    <w:qFormat/>
    <w:uiPriority w:val="0"/>
    <w:pPr>
      <w:keepNext/>
      <w:keepLines/>
      <w:numPr>
        <w:ilvl w:val="5"/>
        <w:numId w:val="1"/>
      </w:numPr>
      <w:spacing w:before="240" w:beforeLines="0" w:beforeAutospacing="0" w:after="64" w:afterLines="0" w:afterAutospacing="0" w:line="317" w:lineRule="auto"/>
      <w:outlineLvl w:val="5"/>
    </w:pPr>
    <w:rPr>
      <w:rFonts w:ascii="Arial" w:hAnsi="Arial" w:eastAsia="黑体" w:cs="Times New Roman"/>
      <w:b/>
      <w:sz w:val="24"/>
    </w:rPr>
  </w:style>
  <w:style w:type="character" w:default="1" w:styleId="32">
    <w:name w:val="Default Paragraph Font"/>
    <w:unhideWhenUsed/>
    <w:qFormat/>
    <w:uiPriority w:val="1"/>
  </w:style>
  <w:style w:type="table" w:default="1" w:styleId="30">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pPr>
    <w:rPr>
      <w:szCs w:val="20"/>
    </w:rPr>
  </w:style>
  <w:style w:type="paragraph" w:styleId="9">
    <w:name w:val="List Number"/>
    <w:basedOn w:val="1"/>
    <w:qFormat/>
    <w:uiPriority w:val="0"/>
    <w:pPr>
      <w:widowControl/>
      <w:tabs>
        <w:tab w:val="left" w:pos="454"/>
        <w:tab w:val="left" w:pos="720"/>
        <w:tab w:val="left" w:pos="840"/>
      </w:tabs>
      <w:spacing w:after="50" w:afterLines="50"/>
      <w:ind w:left="454" w:hanging="284"/>
      <w:jc w:val="left"/>
    </w:pPr>
    <w:rPr>
      <w:kern w:val="0"/>
      <w:sz w:val="24"/>
      <w:szCs w:val="20"/>
    </w:rPr>
  </w:style>
  <w:style w:type="paragraph" w:styleId="10">
    <w:name w:val="annotation text"/>
    <w:basedOn w:val="1"/>
    <w:link w:val="50"/>
    <w:qFormat/>
    <w:uiPriority w:val="0"/>
    <w:pPr>
      <w:jc w:val="left"/>
    </w:pPr>
  </w:style>
  <w:style w:type="paragraph" w:styleId="11">
    <w:name w:val="Body Text 3"/>
    <w:basedOn w:val="1"/>
    <w:link w:val="51"/>
    <w:unhideWhenUsed/>
    <w:qFormat/>
    <w:uiPriority w:val="99"/>
    <w:pPr>
      <w:spacing w:after="120"/>
    </w:pPr>
    <w:rPr>
      <w:sz w:val="16"/>
      <w:szCs w:val="16"/>
    </w:rPr>
  </w:style>
  <w:style w:type="paragraph" w:styleId="12">
    <w:name w:val="Body Text"/>
    <w:basedOn w:val="1"/>
    <w:link w:val="52"/>
    <w:unhideWhenUsed/>
    <w:qFormat/>
    <w:uiPriority w:val="0"/>
    <w:pPr>
      <w:spacing w:after="120"/>
    </w:pPr>
  </w:style>
  <w:style w:type="paragraph" w:styleId="13">
    <w:name w:val="Body Text Indent"/>
    <w:basedOn w:val="1"/>
    <w:next w:val="14"/>
    <w:link w:val="53"/>
    <w:qFormat/>
    <w:uiPriority w:val="0"/>
    <w:pPr>
      <w:ind w:firstLine="830" w:firstLineChars="352"/>
    </w:pPr>
    <w:rPr>
      <w:rFonts w:ascii="仿宋_GB2312" w:eastAsia="仿宋_GB2312"/>
      <w:kern w:val="0"/>
      <w:sz w:val="32"/>
      <w:szCs w:val="20"/>
    </w:rPr>
  </w:style>
  <w:style w:type="paragraph" w:styleId="14">
    <w:name w:val="envelope return"/>
    <w:basedOn w:val="1"/>
    <w:qFormat/>
    <w:uiPriority w:val="0"/>
    <w:pPr>
      <w:widowControl/>
      <w:snapToGrid w:val="0"/>
      <w:jc w:val="left"/>
    </w:pPr>
    <w:rPr>
      <w:rFonts w:ascii="Arial" w:hAnsi="Arial" w:cs="Arial"/>
      <w:kern w:val="1"/>
      <w:sz w:val="24"/>
    </w:rPr>
  </w:style>
  <w:style w:type="paragraph" w:styleId="15">
    <w:name w:val="List 2"/>
    <w:basedOn w:val="1"/>
    <w:unhideWhenUsed/>
    <w:qFormat/>
    <w:uiPriority w:val="99"/>
    <w:pPr>
      <w:ind w:left="100" w:leftChars="200" w:hanging="200" w:hangingChars="200"/>
      <w:contextualSpacing/>
    </w:pPr>
  </w:style>
  <w:style w:type="paragraph" w:styleId="16">
    <w:name w:val="toc 3"/>
    <w:basedOn w:val="1"/>
    <w:next w:val="1"/>
    <w:unhideWhenUsed/>
    <w:qFormat/>
    <w:uiPriority w:val="39"/>
    <w:pPr>
      <w:ind w:left="840" w:leftChars="400"/>
    </w:pPr>
  </w:style>
  <w:style w:type="paragraph" w:styleId="17">
    <w:name w:val="Plain Text"/>
    <w:basedOn w:val="1"/>
    <w:link w:val="54"/>
    <w:qFormat/>
    <w:uiPriority w:val="0"/>
    <w:rPr>
      <w:rFonts w:ascii="宋体" w:hAnsi="Courier New"/>
      <w:kern w:val="0"/>
      <w:sz w:val="20"/>
      <w:szCs w:val="21"/>
    </w:rPr>
  </w:style>
  <w:style w:type="paragraph" w:styleId="18">
    <w:name w:val="Date"/>
    <w:basedOn w:val="1"/>
    <w:next w:val="1"/>
    <w:link w:val="55"/>
    <w:unhideWhenUsed/>
    <w:qFormat/>
    <w:uiPriority w:val="99"/>
    <w:pPr>
      <w:ind w:left="100" w:leftChars="2500"/>
    </w:pPr>
  </w:style>
  <w:style w:type="paragraph" w:styleId="19">
    <w:name w:val="Body Text Indent 2"/>
    <w:basedOn w:val="1"/>
    <w:qFormat/>
    <w:uiPriority w:val="0"/>
    <w:pPr>
      <w:ind w:firstLine="630"/>
    </w:pPr>
    <w:rPr>
      <w:sz w:val="32"/>
      <w:szCs w:val="20"/>
    </w:rPr>
  </w:style>
  <w:style w:type="paragraph" w:styleId="20">
    <w:name w:val="Balloon Text"/>
    <w:basedOn w:val="1"/>
    <w:semiHidden/>
    <w:qFormat/>
    <w:uiPriority w:val="0"/>
    <w:rPr>
      <w:sz w:val="18"/>
      <w:szCs w:val="18"/>
    </w:rPr>
  </w:style>
  <w:style w:type="paragraph" w:styleId="21">
    <w:name w:val="footer"/>
    <w:basedOn w:val="1"/>
    <w:next w:val="1"/>
    <w:link w:val="56"/>
    <w:unhideWhenUsed/>
    <w:qFormat/>
    <w:uiPriority w:val="99"/>
    <w:pPr>
      <w:tabs>
        <w:tab w:val="center" w:pos="4153"/>
        <w:tab w:val="right" w:pos="8306"/>
      </w:tabs>
      <w:snapToGrid w:val="0"/>
      <w:jc w:val="left"/>
    </w:pPr>
    <w:rPr>
      <w:kern w:val="0"/>
      <w:sz w:val="18"/>
      <w:szCs w:val="18"/>
    </w:rPr>
  </w:style>
  <w:style w:type="paragraph" w:styleId="22">
    <w:name w:val="header"/>
    <w:basedOn w:val="1"/>
    <w:link w:val="57"/>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3">
    <w:name w:val="toc 1"/>
    <w:basedOn w:val="1"/>
    <w:next w:val="1"/>
    <w:unhideWhenUsed/>
    <w:qFormat/>
    <w:uiPriority w:val="39"/>
  </w:style>
  <w:style w:type="paragraph" w:styleId="24">
    <w:name w:val="toc 2"/>
    <w:basedOn w:val="1"/>
    <w:next w:val="1"/>
    <w:unhideWhenUsed/>
    <w:qFormat/>
    <w:uiPriority w:val="39"/>
    <w:pPr>
      <w:tabs>
        <w:tab w:val="right" w:leader="dot" w:pos="8296"/>
      </w:tabs>
      <w:ind w:left="420" w:leftChars="200"/>
    </w:pPr>
  </w:style>
  <w:style w:type="paragraph" w:styleId="25">
    <w:name w:val="Normal (Web)"/>
    <w:basedOn w:val="1"/>
    <w:unhideWhenUsed/>
    <w:qFormat/>
    <w:uiPriority w:val="99"/>
    <w:pPr>
      <w:spacing w:before="0" w:beforeAutospacing="0" w:after="0" w:afterAutospacing="0"/>
      <w:ind w:left="0" w:right="0"/>
      <w:jc w:val="both"/>
    </w:pPr>
    <w:rPr>
      <w:rFonts w:hint="default" w:ascii="Calibri" w:hAnsi="Calibri" w:cs="Calibri"/>
      <w:kern w:val="0"/>
      <w:sz w:val="24"/>
      <w:szCs w:val="24"/>
      <w:lang w:val="en-US" w:eastAsia="zh-CN" w:bidi="ar"/>
    </w:rPr>
  </w:style>
  <w:style w:type="paragraph" w:styleId="26">
    <w:name w:val="annotation subject"/>
    <w:basedOn w:val="10"/>
    <w:next w:val="10"/>
    <w:link w:val="58"/>
    <w:qFormat/>
    <w:uiPriority w:val="99"/>
    <w:rPr>
      <w:b/>
      <w:bCs/>
    </w:rPr>
  </w:style>
  <w:style w:type="paragraph" w:styleId="27">
    <w:name w:val="Body Text First Indent"/>
    <w:basedOn w:val="12"/>
    <w:next w:val="28"/>
    <w:unhideWhenUsed/>
    <w:qFormat/>
    <w:uiPriority w:val="0"/>
    <w:pPr>
      <w:adjustRightInd w:val="0"/>
      <w:ind w:left="30" w:leftChars="30" w:right="30" w:rightChars="30" w:firstLine="420"/>
      <w:jc w:val="center"/>
      <w:textAlignment w:val="baseline"/>
    </w:pPr>
    <w:rPr>
      <w:kern w:val="2"/>
      <w:sz w:val="21"/>
      <w:szCs w:val="20"/>
    </w:rPr>
  </w:style>
  <w:style w:type="paragraph" w:customStyle="1" w:styleId="28">
    <w:name w:val="样式 正文首行缩进 + 首行缩进:  1 字符1"/>
    <w:basedOn w:val="1"/>
    <w:next w:val="1"/>
    <w:qFormat/>
    <w:uiPriority w:val="0"/>
    <w:pPr>
      <w:spacing w:line="360" w:lineRule="auto"/>
      <w:ind w:firstLine="480" w:firstLineChars="200"/>
      <w:jc w:val="left"/>
    </w:pPr>
    <w:rPr>
      <w:rFonts w:hint="eastAsia" w:ascii="宋体" w:hAnsi="宋体" w:cs="宋体"/>
      <w:szCs w:val="20"/>
    </w:rPr>
  </w:style>
  <w:style w:type="paragraph" w:styleId="29">
    <w:name w:val="Body Text First Indent 2"/>
    <w:basedOn w:val="13"/>
    <w:next w:val="1"/>
    <w:unhideWhenUsed/>
    <w:qFormat/>
    <w:uiPriority w:val="99"/>
    <w:pPr>
      <w:ind w:firstLine="420" w:firstLineChars="200"/>
    </w:pPr>
  </w:style>
  <w:style w:type="table" w:styleId="31">
    <w:name w:val="Table Grid"/>
    <w:basedOn w:val="30"/>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3">
    <w:name w:val="Strong"/>
    <w:qFormat/>
    <w:uiPriority w:val="22"/>
    <w:rPr>
      <w:b/>
      <w:bCs/>
    </w:rPr>
  </w:style>
  <w:style w:type="character" w:styleId="34">
    <w:name w:val="FollowedHyperlink"/>
    <w:unhideWhenUsed/>
    <w:qFormat/>
    <w:uiPriority w:val="99"/>
    <w:rPr>
      <w:color w:val="800080"/>
      <w:u w:val="none"/>
    </w:rPr>
  </w:style>
  <w:style w:type="character" w:styleId="35">
    <w:name w:val="Emphasis"/>
    <w:basedOn w:val="32"/>
    <w:qFormat/>
    <w:uiPriority w:val="20"/>
    <w:rPr>
      <w:b/>
      <w:bCs/>
    </w:rPr>
  </w:style>
  <w:style w:type="character" w:styleId="36">
    <w:name w:val="HTML Definition"/>
    <w:unhideWhenUsed/>
    <w:qFormat/>
    <w:uiPriority w:val="99"/>
  </w:style>
  <w:style w:type="character" w:styleId="37">
    <w:name w:val="HTML Typewriter"/>
    <w:unhideWhenUsed/>
    <w:qFormat/>
    <w:uiPriority w:val="99"/>
    <w:rPr>
      <w:rFonts w:hint="default" w:ascii="monospace" w:hAnsi="monospace" w:eastAsia="monospace" w:cs="monospace"/>
      <w:sz w:val="20"/>
    </w:rPr>
  </w:style>
  <w:style w:type="character" w:styleId="38">
    <w:name w:val="HTML Acronym"/>
    <w:unhideWhenUsed/>
    <w:qFormat/>
    <w:uiPriority w:val="99"/>
  </w:style>
  <w:style w:type="character" w:styleId="39">
    <w:name w:val="HTML Variable"/>
    <w:unhideWhenUsed/>
    <w:qFormat/>
    <w:uiPriority w:val="99"/>
  </w:style>
  <w:style w:type="character" w:styleId="40">
    <w:name w:val="Hyperlink"/>
    <w:unhideWhenUsed/>
    <w:qFormat/>
    <w:uiPriority w:val="99"/>
    <w:rPr>
      <w:color w:val="0000FF"/>
      <w:u w:val="none"/>
    </w:rPr>
  </w:style>
  <w:style w:type="character" w:styleId="41">
    <w:name w:val="HTML Code"/>
    <w:unhideWhenUsed/>
    <w:qFormat/>
    <w:uiPriority w:val="99"/>
    <w:rPr>
      <w:rFonts w:ascii="monospace" w:hAnsi="monospace" w:eastAsia="monospace" w:cs="monospace"/>
      <w:sz w:val="20"/>
    </w:rPr>
  </w:style>
  <w:style w:type="character" w:styleId="42">
    <w:name w:val="annotation reference"/>
    <w:qFormat/>
    <w:uiPriority w:val="0"/>
    <w:rPr>
      <w:sz w:val="21"/>
      <w:szCs w:val="21"/>
    </w:rPr>
  </w:style>
  <w:style w:type="character" w:styleId="43">
    <w:name w:val="HTML Cite"/>
    <w:unhideWhenUsed/>
    <w:qFormat/>
    <w:uiPriority w:val="99"/>
  </w:style>
  <w:style w:type="character" w:styleId="44">
    <w:name w:val="HTML Keyboard"/>
    <w:unhideWhenUsed/>
    <w:qFormat/>
    <w:uiPriority w:val="99"/>
    <w:rPr>
      <w:rFonts w:hint="default" w:ascii="monospace" w:hAnsi="monospace" w:eastAsia="monospace" w:cs="monospace"/>
      <w:sz w:val="20"/>
    </w:rPr>
  </w:style>
  <w:style w:type="character" w:styleId="45">
    <w:name w:val="HTML Sample"/>
    <w:unhideWhenUsed/>
    <w:qFormat/>
    <w:uiPriority w:val="99"/>
    <w:rPr>
      <w:rFonts w:hint="default" w:ascii="monospace" w:hAnsi="monospace" w:eastAsia="monospace" w:cs="monospace"/>
    </w:rPr>
  </w:style>
  <w:style w:type="character" w:customStyle="1" w:styleId="46">
    <w:name w:val="标题 1 Char"/>
    <w:link w:val="2"/>
    <w:qFormat/>
    <w:uiPriority w:val="0"/>
    <w:rPr>
      <w:b/>
      <w:bCs/>
      <w:kern w:val="44"/>
      <w:sz w:val="44"/>
      <w:szCs w:val="44"/>
    </w:rPr>
  </w:style>
  <w:style w:type="character" w:customStyle="1" w:styleId="47">
    <w:name w:val="标题 2 Char"/>
    <w:link w:val="3"/>
    <w:qFormat/>
    <w:uiPriority w:val="9"/>
    <w:rPr>
      <w:rFonts w:ascii="Cambria" w:hAnsi="Cambria" w:eastAsia="宋体" w:cs="Times New Roman"/>
      <w:b/>
      <w:bCs/>
      <w:kern w:val="2"/>
      <w:sz w:val="32"/>
      <w:szCs w:val="32"/>
    </w:rPr>
  </w:style>
  <w:style w:type="character" w:customStyle="1" w:styleId="48">
    <w:name w:val="标题 3 Char"/>
    <w:link w:val="4"/>
    <w:qFormat/>
    <w:uiPriority w:val="9"/>
    <w:rPr>
      <w:b/>
      <w:bCs/>
      <w:kern w:val="2"/>
      <w:sz w:val="32"/>
      <w:szCs w:val="32"/>
    </w:rPr>
  </w:style>
  <w:style w:type="character" w:customStyle="1" w:styleId="49">
    <w:name w:val="标题 5 Char"/>
    <w:link w:val="6"/>
    <w:semiHidden/>
    <w:qFormat/>
    <w:uiPriority w:val="9"/>
    <w:rPr>
      <w:rFonts w:ascii="Times New Roman" w:hAnsi="Times New Roman"/>
      <w:b/>
      <w:bCs/>
      <w:kern w:val="2"/>
      <w:sz w:val="28"/>
      <w:szCs w:val="28"/>
    </w:rPr>
  </w:style>
  <w:style w:type="character" w:customStyle="1" w:styleId="50">
    <w:name w:val="批注文字 Char"/>
    <w:link w:val="10"/>
    <w:qFormat/>
    <w:uiPriority w:val="0"/>
    <w:rPr>
      <w:rFonts w:ascii="Times New Roman" w:hAnsi="Times New Roman"/>
      <w:kern w:val="2"/>
      <w:sz w:val="21"/>
      <w:szCs w:val="24"/>
    </w:rPr>
  </w:style>
  <w:style w:type="character" w:customStyle="1" w:styleId="51">
    <w:name w:val="正文文本 3 Char"/>
    <w:link w:val="11"/>
    <w:semiHidden/>
    <w:qFormat/>
    <w:uiPriority w:val="99"/>
    <w:rPr>
      <w:rFonts w:ascii="Times New Roman" w:hAnsi="Times New Roman"/>
      <w:kern w:val="2"/>
      <w:sz w:val="16"/>
      <w:szCs w:val="16"/>
    </w:rPr>
  </w:style>
  <w:style w:type="character" w:customStyle="1" w:styleId="52">
    <w:name w:val="正文文本 Char"/>
    <w:link w:val="12"/>
    <w:qFormat/>
    <w:uiPriority w:val="0"/>
    <w:rPr>
      <w:rFonts w:ascii="Times New Roman" w:hAnsi="Times New Roman"/>
      <w:kern w:val="2"/>
      <w:sz w:val="21"/>
      <w:szCs w:val="24"/>
    </w:rPr>
  </w:style>
  <w:style w:type="character" w:customStyle="1" w:styleId="53">
    <w:name w:val="正文文本缩进 Char"/>
    <w:link w:val="13"/>
    <w:qFormat/>
    <w:uiPriority w:val="0"/>
    <w:rPr>
      <w:rFonts w:ascii="仿宋_GB2312" w:hAnsi="Times New Roman" w:eastAsia="仿宋_GB2312" w:cs="Times New Roman"/>
      <w:sz w:val="32"/>
      <w:szCs w:val="20"/>
    </w:rPr>
  </w:style>
  <w:style w:type="character" w:customStyle="1" w:styleId="54">
    <w:name w:val="纯文本 Char"/>
    <w:link w:val="17"/>
    <w:qFormat/>
    <w:uiPriority w:val="0"/>
    <w:rPr>
      <w:rFonts w:ascii="宋体" w:hAnsi="Courier New" w:eastAsia="宋体" w:cs="Courier New"/>
      <w:szCs w:val="21"/>
    </w:rPr>
  </w:style>
  <w:style w:type="character" w:customStyle="1" w:styleId="55">
    <w:name w:val="日期 Char"/>
    <w:link w:val="18"/>
    <w:semiHidden/>
    <w:qFormat/>
    <w:uiPriority w:val="99"/>
    <w:rPr>
      <w:rFonts w:ascii="Times New Roman" w:hAnsi="Times New Roman"/>
      <w:kern w:val="2"/>
      <w:sz w:val="21"/>
      <w:szCs w:val="24"/>
    </w:rPr>
  </w:style>
  <w:style w:type="character" w:customStyle="1" w:styleId="56">
    <w:name w:val="页脚 Char1"/>
    <w:link w:val="21"/>
    <w:qFormat/>
    <w:uiPriority w:val="99"/>
    <w:rPr>
      <w:sz w:val="18"/>
      <w:szCs w:val="18"/>
    </w:rPr>
  </w:style>
  <w:style w:type="character" w:customStyle="1" w:styleId="57">
    <w:name w:val="页眉 Char"/>
    <w:link w:val="22"/>
    <w:qFormat/>
    <w:uiPriority w:val="99"/>
    <w:rPr>
      <w:sz w:val="18"/>
      <w:szCs w:val="18"/>
    </w:rPr>
  </w:style>
  <w:style w:type="character" w:customStyle="1" w:styleId="58">
    <w:name w:val="批注主题 Char"/>
    <w:link w:val="26"/>
    <w:qFormat/>
    <w:uiPriority w:val="99"/>
    <w:rPr>
      <w:rFonts w:ascii="Times New Roman" w:hAnsi="Times New Roman"/>
      <w:b/>
      <w:bCs/>
      <w:kern w:val="2"/>
      <w:sz w:val="21"/>
      <w:szCs w:val="24"/>
    </w:rPr>
  </w:style>
  <w:style w:type="character" w:customStyle="1" w:styleId="59">
    <w:name w:val="textcontents"/>
    <w:qFormat/>
    <w:uiPriority w:val="0"/>
  </w:style>
  <w:style w:type="character" w:customStyle="1" w:styleId="60">
    <w:name w:val="批注文字 字符2"/>
    <w:qFormat/>
    <w:uiPriority w:val="0"/>
    <w:rPr>
      <w:rFonts w:ascii="Times New Roman" w:hAnsi="Times New Roman"/>
      <w:kern w:val="2"/>
      <w:sz w:val="21"/>
      <w:szCs w:val="24"/>
    </w:rPr>
  </w:style>
  <w:style w:type="character" w:customStyle="1" w:styleId="61">
    <w:name w:val="hover3"/>
    <w:qFormat/>
    <w:uiPriority w:val="0"/>
  </w:style>
  <w:style w:type="character" w:customStyle="1" w:styleId="62">
    <w:name w:val="hover2"/>
    <w:qFormat/>
    <w:uiPriority w:val="0"/>
    <w:rPr>
      <w:color w:val="2590EB"/>
    </w:rPr>
  </w:style>
  <w:style w:type="character" w:customStyle="1" w:styleId="63">
    <w:name w:val="批注文字 字符1"/>
    <w:qFormat/>
    <w:uiPriority w:val="0"/>
    <w:rPr>
      <w:kern w:val="2"/>
      <w:sz w:val="21"/>
      <w:szCs w:val="24"/>
    </w:rPr>
  </w:style>
  <w:style w:type="character" w:customStyle="1" w:styleId="64">
    <w:name w:val="标题 1 字符"/>
    <w:qFormat/>
    <w:uiPriority w:val="9"/>
    <w:rPr>
      <w:b/>
      <w:bCs/>
      <w:kern w:val="44"/>
      <w:sz w:val="44"/>
      <w:szCs w:val="44"/>
    </w:rPr>
  </w:style>
  <w:style w:type="character" w:customStyle="1" w:styleId="65">
    <w:name w:val="页脚 Char"/>
    <w:qFormat/>
    <w:uiPriority w:val="99"/>
    <w:rPr>
      <w:lang w:eastAsia="zh-CN"/>
    </w:rPr>
  </w:style>
  <w:style w:type="character" w:customStyle="1" w:styleId="66">
    <w:name w:val="纯文本 Char1"/>
    <w:qFormat/>
    <w:uiPriority w:val="0"/>
    <w:rPr>
      <w:rFonts w:ascii="宋体" w:hAnsi="Courier New" w:eastAsia="宋体" w:cs="Courier New"/>
      <w:szCs w:val="21"/>
    </w:rPr>
  </w:style>
  <w:style w:type="character" w:customStyle="1" w:styleId="67">
    <w:name w:val="apple-style-span"/>
    <w:qFormat/>
    <w:uiPriority w:val="0"/>
  </w:style>
  <w:style w:type="character" w:customStyle="1" w:styleId="68">
    <w:name w:val="hover1"/>
    <w:qFormat/>
    <w:uiPriority w:val="0"/>
    <w:rPr>
      <w:color w:val="2590EB"/>
    </w:rPr>
  </w:style>
  <w:style w:type="character" w:customStyle="1" w:styleId="69">
    <w:name w:val="纯文本 字符1"/>
    <w:qFormat/>
    <w:uiPriority w:val="0"/>
    <w:rPr>
      <w:rFonts w:ascii="宋体" w:hAnsi="Courier New"/>
    </w:rPr>
  </w:style>
  <w:style w:type="character" w:customStyle="1" w:styleId="70">
    <w:name w:val="纯文本 字符2"/>
    <w:qFormat/>
    <w:uiPriority w:val="0"/>
    <w:rPr>
      <w:rFonts w:ascii="宋体" w:hAnsi="Courier New" w:eastAsia="宋体" w:cs="Courier New"/>
      <w:szCs w:val="21"/>
    </w:rPr>
  </w:style>
  <w:style w:type="character" w:customStyle="1" w:styleId="71">
    <w:name w:val="正文文本缩进 字符1"/>
    <w:qFormat/>
    <w:uiPriority w:val="0"/>
    <w:rPr>
      <w:rFonts w:ascii="仿宋_GB2312" w:hAnsi="Times New Roman" w:eastAsia="仿宋_GB2312" w:cs="Times New Roman"/>
      <w:sz w:val="32"/>
      <w:szCs w:val="20"/>
    </w:rPr>
  </w:style>
  <w:style w:type="character" w:customStyle="1" w:styleId="72">
    <w:name w:val="正文文本 (26) + 间距 0 pt"/>
    <w:qFormat/>
    <w:uiPriority w:val="0"/>
    <w:rPr>
      <w:rFonts w:hint="eastAsia" w:ascii="宋体" w:hAnsi="宋体" w:eastAsia="宋体" w:cs="宋体"/>
      <w:color w:val="000000"/>
      <w:spacing w:val="0"/>
      <w:w w:val="100"/>
      <w:position w:val="0"/>
      <w:sz w:val="22"/>
      <w:szCs w:val="22"/>
      <w:u w:val="none"/>
      <w:lang w:val="zh-CN" w:eastAsia="zh-CN" w:bidi="zh-CN"/>
    </w:rPr>
  </w:style>
  <w:style w:type="character" w:customStyle="1" w:styleId="73">
    <w:name w:val="批注文字 Char1"/>
    <w:qFormat/>
    <w:uiPriority w:val="0"/>
    <w:rPr>
      <w:rFonts w:ascii="Times New Roman" w:hAnsi="Times New Roman"/>
      <w:kern w:val="2"/>
      <w:sz w:val="21"/>
      <w:szCs w:val="24"/>
    </w:rPr>
  </w:style>
  <w:style w:type="paragraph" w:customStyle="1" w:styleId="74">
    <w:name w:val="表内文字"/>
    <w:basedOn w:val="1"/>
    <w:qFormat/>
    <w:uiPriority w:val="0"/>
    <w:pPr>
      <w:snapToGrid w:val="0"/>
      <w:spacing w:before="50" w:after="50"/>
      <w:jc w:val="center"/>
    </w:pPr>
    <w:rPr>
      <w:rFonts w:ascii="仿宋_GB2312" w:hAnsi="宋体" w:eastAsia="仿宋_GB2312"/>
      <w:b/>
      <w:color w:val="000000"/>
      <w:sz w:val="32"/>
      <w:szCs w:val="32"/>
    </w:rPr>
  </w:style>
  <w:style w:type="paragraph" w:customStyle="1" w:styleId="75">
    <w:name w:val="Table Paragraph"/>
    <w:basedOn w:val="1"/>
    <w:qFormat/>
    <w:uiPriority w:val="1"/>
    <w:pPr>
      <w:jc w:val="left"/>
    </w:pPr>
    <w:rPr>
      <w:rFonts w:ascii="Calibri" w:hAnsi="Calibri" w:eastAsia="宋体" w:cs="Times New Roman"/>
      <w:kern w:val="0"/>
      <w:sz w:val="22"/>
      <w:szCs w:val="22"/>
      <w:lang w:eastAsia="en-US"/>
    </w:rPr>
  </w:style>
  <w:style w:type="paragraph" w:customStyle="1" w:styleId="76">
    <w:name w:val="内文"/>
    <w:qFormat/>
    <w:uiPriority w:val="99"/>
    <w:pPr>
      <w:widowControl w:val="0"/>
      <w:autoSpaceDE w:val="0"/>
      <w:autoSpaceDN w:val="0"/>
      <w:adjustRightInd w:val="0"/>
      <w:jc w:val="both"/>
    </w:pPr>
    <w:rPr>
      <w:rFonts w:ascii="宋体" w:hAnsi="Calibri" w:eastAsia="宋体" w:cs="Times New Roman"/>
      <w:color w:val="000000"/>
      <w:sz w:val="21"/>
      <w:szCs w:val="24"/>
      <w:lang w:val="en-US" w:eastAsia="zh-CN" w:bidi="ar-SA"/>
    </w:rPr>
  </w:style>
  <w:style w:type="paragraph" w:customStyle="1" w:styleId="77">
    <w:name w:val="正文_0"/>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8">
    <w:name w:val="表格文字"/>
    <w:basedOn w:val="77"/>
    <w:next w:val="12"/>
    <w:qFormat/>
    <w:uiPriority w:val="0"/>
    <w:pPr>
      <w:adjustRightInd w:val="0"/>
      <w:spacing w:line="420" w:lineRule="atLeast"/>
      <w:jc w:val="left"/>
      <w:textAlignment w:val="baseline"/>
    </w:pPr>
    <w:rPr>
      <w:kern w:val="0"/>
    </w:rPr>
  </w:style>
  <w:style w:type="paragraph" w:customStyle="1" w:styleId="79">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80">
    <w:name w:val="默认段落字体 Para Char Char Char Char Char Char Char Char Char1 Char Char Char Char"/>
    <w:basedOn w:val="1"/>
    <w:qFormat/>
    <w:uiPriority w:val="0"/>
    <w:rPr>
      <w:rFonts w:ascii="Tahoma" w:hAnsi="Tahoma"/>
      <w:sz w:val="24"/>
      <w:szCs w:val="20"/>
    </w:rPr>
  </w:style>
  <w:style w:type="paragraph" w:customStyle="1" w:styleId="81">
    <w:name w:val="正文文本首行缩进 2"/>
    <w:basedOn w:val="13"/>
    <w:unhideWhenUsed/>
    <w:qFormat/>
    <w:uiPriority w:val="99"/>
    <w:pPr>
      <w:ind w:firstLine="420" w:firstLineChars="200"/>
    </w:pPr>
  </w:style>
  <w:style w:type="paragraph" w:customStyle="1" w:styleId="82">
    <w:name w:val="List Paragraph1"/>
    <w:basedOn w:val="1"/>
    <w:qFormat/>
    <w:uiPriority w:val="0"/>
    <w:pPr>
      <w:ind w:firstLine="420" w:firstLineChars="200"/>
    </w:pPr>
    <w:rPr>
      <w:rFonts w:ascii="Calibri" w:hAnsi="Calibri"/>
      <w:szCs w:val="22"/>
    </w:rPr>
  </w:style>
  <w:style w:type="paragraph" w:customStyle="1" w:styleId="83">
    <w:name w:val="_Style 1"/>
    <w:basedOn w:val="1"/>
    <w:qFormat/>
    <w:uiPriority w:val="34"/>
    <w:pPr>
      <w:ind w:firstLine="420" w:firstLineChars="200"/>
    </w:pPr>
  </w:style>
  <w:style w:type="paragraph" w:styleId="84">
    <w:name w:val="List Paragraph"/>
    <w:basedOn w:val="1"/>
    <w:qFormat/>
    <w:uiPriority w:val="34"/>
    <w:pPr>
      <w:ind w:firstLine="420" w:firstLineChars="200"/>
    </w:pPr>
  </w:style>
  <w:style w:type="table" w:customStyle="1" w:styleId="85">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86">
    <w:name w:val="null3"/>
    <w:basedOn w:val="1"/>
    <w:qFormat/>
    <w:uiPriority w:val="0"/>
    <w:pPr>
      <w:jc w:val="left"/>
      <w:textAlignment w:val="auto"/>
    </w:pPr>
    <w:rPr>
      <w:kern w:val="0"/>
      <w:sz w:val="24"/>
      <w:szCs w:val="24"/>
    </w:rPr>
  </w:style>
  <w:style w:type="paragraph" w:customStyle="1" w:styleId="87">
    <w:name w:val="正文1"/>
    <w:qFormat/>
    <w:uiPriority w:val="0"/>
    <w:pPr>
      <w:jc w:val="both"/>
    </w:pPr>
    <w:rPr>
      <w:rFonts w:ascii="Calibri" w:hAnsi="Calibri" w:eastAsia="宋体" w:cs="Calibri"/>
      <w:kern w:val="2"/>
      <w:sz w:val="21"/>
      <w:szCs w:val="21"/>
      <w:lang w:val="en-US" w:eastAsia="zh-CN" w:bidi="ar-SA"/>
    </w:rPr>
  </w:style>
  <w:style w:type="character" w:customStyle="1" w:styleId="88">
    <w:name w:val="NormalCharacter"/>
    <w:qFormat/>
    <w:uiPriority w:val="0"/>
  </w:style>
  <w:style w:type="paragraph" w:customStyle="1" w:styleId="89">
    <w:name w:val="样式 正文 + 首行缩进:  2 字符"/>
    <w:basedOn w:val="1"/>
    <w:qFormat/>
    <w:uiPriority w:val="0"/>
    <w:pPr>
      <w:keepNext/>
      <w:keepLines/>
      <w:spacing w:line="360" w:lineRule="auto"/>
      <w:ind w:firstLine="880" w:firstLineChars="200"/>
      <w:jc w:val="left"/>
    </w:pPr>
    <w:rPr>
      <w:rFonts w:ascii="宋体" w:hAnsi="宋体" w:cs="宋体"/>
      <w:kern w:val="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广西云龙招标有限公司</Company>
  <Pages>89</Pages>
  <Words>22818</Words>
  <Characters>24951</Characters>
  <Lines>397</Lines>
  <Paragraphs>111</Paragraphs>
  <TotalTime>7</TotalTime>
  <ScaleCrop>false</ScaleCrop>
  <LinksUpToDate>false</LinksUpToDate>
  <CharactersWithSpaces>25206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2024-04-21T06:05:00Z</dcterms:created>
  <dc:creator>唐冰</dc:creator>
  <cp:lastModifiedBy>    </cp:lastModifiedBy>
  <cp:lastPrinted>2022-08-08T08:43:00Z</cp:lastPrinted>
  <dcterms:modified xsi:type="dcterms:W3CDTF">2026-04-02T08:15:06Z</dcterms:modified>
  <dc:title>竞争性谈判文件规范</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8C913C91E98F437EBED2F96E8E95F64C_13</vt:lpwstr>
  </property>
  <property fmtid="{D5CDD505-2E9C-101B-9397-08002B2CF9AE}" pid="4" name="KSOTemplateDocerSaveRecord">
    <vt:lpwstr>eyJoZGlkIjoiMDg4ZGRhZmM0MDc2Y2RhMWY2MWQwOTJkYjVjZjkyMTYiLCJ1c2VySWQiOiI4OTY4NTc4NzYifQ==</vt:lpwstr>
  </property>
</Properties>
</file>