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F2802">
      <w:pPr>
        <w:ind w:left="-2" w:leftChars="-1" w:firstLine="0" w:firstLineChars="0"/>
        <w:rPr>
          <w:rFonts w:hint="eastAsia"/>
          <w:strike w:val="0"/>
          <w:color w:val="auto"/>
        </w:rPr>
      </w:pPr>
    </w:p>
    <w:p w14:paraId="0ECA0954">
      <w:pPr>
        <w:spacing w:before="156" w:beforeLines="50" w:line="1600" w:lineRule="exact"/>
        <w:ind w:left="634" w:leftChars="-64" w:hanging="768" w:hangingChars="64"/>
        <w:jc w:val="center"/>
        <w:rPr>
          <w:rFonts w:ascii="方正小标宋_GBK" w:hAnsi="宋体" w:eastAsia="方正小标宋_GBK"/>
          <w:strike w:val="0"/>
          <w:color w:val="auto"/>
          <w:sz w:val="120"/>
          <w:szCs w:val="120"/>
        </w:rPr>
      </w:pPr>
      <w:r>
        <w:rPr>
          <w:rFonts w:hint="eastAsia" w:ascii="方正小标宋_GBK" w:hAnsi="宋体" w:eastAsia="方正小标宋_GBK"/>
          <w:strike w:val="0"/>
          <w:color w:val="auto"/>
          <w:sz w:val="120"/>
          <w:szCs w:val="120"/>
        </w:rPr>
        <w:t>招标文件</w:t>
      </w:r>
    </w:p>
    <w:p w14:paraId="592EF8DF">
      <w:pPr>
        <w:ind w:left="-2" w:leftChars="-1" w:firstLine="0" w:firstLineChars="0"/>
        <w:rPr>
          <w:strike w:val="0"/>
          <w:color w:val="auto"/>
        </w:rPr>
      </w:pPr>
    </w:p>
    <w:p w14:paraId="532BB41A">
      <w:pPr>
        <w:ind w:left="-2" w:leftChars="-1" w:firstLine="0" w:firstLineChars="0"/>
        <w:rPr>
          <w:rFonts w:hint="eastAsia"/>
          <w:strike w:val="0"/>
          <w:color w:val="auto"/>
        </w:rPr>
      </w:pPr>
    </w:p>
    <w:p w14:paraId="3BC11B04">
      <w:pPr>
        <w:ind w:left="-2" w:leftChars="-1" w:firstLine="0" w:firstLineChars="0"/>
        <w:rPr>
          <w:strike w:val="0"/>
          <w:color w:val="auto"/>
        </w:rPr>
      </w:pPr>
    </w:p>
    <w:p w14:paraId="277B417A">
      <w:pPr>
        <w:ind w:left="-2" w:leftChars="-1" w:firstLine="0" w:firstLineChars="0"/>
        <w:rPr>
          <w:strike w:val="0"/>
          <w:color w:val="auto"/>
        </w:rPr>
      </w:pPr>
    </w:p>
    <w:p w14:paraId="62EF73E1">
      <w:pPr>
        <w:ind w:left="-2" w:leftChars="-1" w:firstLine="0" w:firstLineChars="0"/>
        <w:rPr>
          <w:strike w:val="0"/>
          <w:color w:val="auto"/>
        </w:rPr>
      </w:pPr>
    </w:p>
    <w:p w14:paraId="2B5ECDA2">
      <w:pPr>
        <w:ind w:left="-2" w:leftChars="-1" w:firstLine="0" w:firstLineChars="0"/>
        <w:rPr>
          <w:strike w:val="0"/>
          <w:color w:val="auto"/>
        </w:rPr>
      </w:pPr>
    </w:p>
    <w:p w14:paraId="272555BB">
      <w:pPr>
        <w:ind w:left="-2" w:leftChars="-1" w:firstLine="0" w:firstLineChars="0"/>
        <w:rPr>
          <w:rFonts w:hint="eastAsia"/>
          <w:strike w:val="0"/>
          <w:color w:val="auto"/>
        </w:rPr>
      </w:pPr>
    </w:p>
    <w:p w14:paraId="345E125B">
      <w:pPr>
        <w:ind w:left="-2" w:leftChars="-1" w:firstLine="0" w:firstLineChars="0"/>
        <w:rPr>
          <w:strike w:val="0"/>
          <w:color w:val="auto"/>
        </w:rPr>
      </w:pPr>
    </w:p>
    <w:p w14:paraId="1051F372">
      <w:pPr>
        <w:ind w:left="-2" w:leftChars="-1" w:firstLine="0" w:firstLineChars="0"/>
        <w:rPr>
          <w:rFonts w:hint="eastAsia"/>
          <w:strike w:val="0"/>
          <w:color w:val="auto"/>
        </w:rPr>
      </w:pPr>
    </w:p>
    <w:p w14:paraId="239B3FCB">
      <w:pPr>
        <w:ind w:left="-2" w:leftChars="-1" w:firstLine="0" w:firstLineChars="0"/>
        <w:rPr>
          <w:rFonts w:hint="eastAsia"/>
          <w:strike w:val="0"/>
          <w:color w:val="auto"/>
        </w:rPr>
      </w:pPr>
    </w:p>
    <w:p w14:paraId="6F0E6FA8">
      <w:pPr>
        <w:ind w:left="-2" w:leftChars="-1" w:firstLine="0" w:firstLineChars="0"/>
        <w:rPr>
          <w:strike w:val="0"/>
          <w:color w:val="auto"/>
        </w:rPr>
      </w:pPr>
    </w:p>
    <w:p w14:paraId="51AC01EB">
      <w:pPr>
        <w:snapToGrid w:val="0"/>
        <w:spacing w:before="156" w:beforeLines="50" w:line="320" w:lineRule="exact"/>
        <w:ind w:firstLine="0" w:firstLineChars="0"/>
        <w:rPr>
          <w:rFonts w:hint="eastAsia" w:ascii="方正小标宋_GBK" w:hAnsi="宋体" w:eastAsia="方正小标宋_GBK"/>
          <w:bCs/>
          <w:strike w:val="0"/>
          <w:color w:val="auto"/>
          <w:sz w:val="30"/>
          <w:szCs w:val="30"/>
          <w:lang w:eastAsia="zh-CN"/>
        </w:rPr>
      </w:pPr>
      <w:r>
        <w:rPr>
          <w:rFonts w:hint="eastAsia" w:ascii="方正小标宋_GBK" w:hAnsi="宋体" w:eastAsia="方正小标宋_GBK"/>
          <w:strike w:val="0"/>
          <w:color w:val="auto"/>
          <w:spacing w:val="6"/>
          <w:sz w:val="30"/>
          <w:szCs w:val="72"/>
        </w:rPr>
        <w:t xml:space="preserve">          项目名称</w:t>
      </w:r>
      <w:r>
        <w:rPr>
          <w:rFonts w:hint="eastAsia" w:ascii="方正小标宋_GBK" w:hAnsi="宋体" w:eastAsia="方正小标宋_GBK"/>
          <w:strike w:val="0"/>
          <w:color w:val="auto"/>
          <w:sz w:val="30"/>
          <w:szCs w:val="72"/>
        </w:rPr>
        <w:t>:</w:t>
      </w:r>
      <w:r>
        <w:rPr>
          <w:rFonts w:hint="eastAsia" w:ascii="方正小标宋_GBK" w:hAnsi="宋体" w:eastAsia="方正小标宋_GBK"/>
          <w:bCs/>
          <w:strike w:val="0"/>
          <w:color w:val="auto"/>
          <w:sz w:val="30"/>
          <w:szCs w:val="30"/>
          <w:lang w:eastAsia="zh-CN"/>
        </w:rPr>
        <w:t>2025年浦北县教育局教学设备采购</w:t>
      </w:r>
    </w:p>
    <w:p w14:paraId="1335D56E">
      <w:pPr>
        <w:snapToGrid w:val="0"/>
        <w:spacing w:before="156" w:beforeLines="50"/>
        <w:ind w:firstLine="0" w:firstLineChars="0"/>
        <w:rPr>
          <w:rFonts w:hint="eastAsia" w:ascii="方正小标宋_GBK" w:hAnsi="宋体" w:eastAsia="方正小标宋_GBK"/>
          <w:b/>
          <w:bCs/>
          <w:strike w:val="0"/>
          <w:color w:val="auto"/>
          <w:sz w:val="30"/>
          <w:szCs w:val="30"/>
          <w:lang w:eastAsia="zh-CN"/>
        </w:rPr>
      </w:pPr>
      <w:r>
        <w:rPr>
          <w:rFonts w:hint="eastAsia" w:ascii="方正小标宋_GBK" w:hAnsi="宋体" w:eastAsia="方正小标宋_GBK"/>
          <w:strike w:val="0"/>
          <w:color w:val="auto"/>
          <w:spacing w:val="6"/>
          <w:sz w:val="30"/>
          <w:szCs w:val="72"/>
        </w:rPr>
        <w:t xml:space="preserve">          项目编号</w:t>
      </w:r>
      <w:r>
        <w:rPr>
          <w:rFonts w:hint="eastAsia" w:ascii="方正小标宋_GBK" w:hAnsi="宋体" w:eastAsia="方正小标宋_GBK"/>
          <w:strike w:val="0"/>
          <w:color w:val="auto"/>
          <w:sz w:val="30"/>
          <w:szCs w:val="72"/>
        </w:rPr>
        <w:t>:</w:t>
      </w:r>
      <w:r>
        <w:rPr>
          <w:rFonts w:hint="eastAsia" w:ascii="方正小标宋_GBK" w:hAnsi="宋体" w:eastAsia="方正小标宋_GBK"/>
          <w:bCs/>
          <w:strike w:val="0"/>
          <w:color w:val="auto"/>
          <w:sz w:val="30"/>
          <w:szCs w:val="30"/>
          <w:lang w:eastAsia="zh-CN"/>
        </w:rPr>
        <w:t>QZZC2025-G1-220231-QZSZ</w:t>
      </w:r>
    </w:p>
    <w:p w14:paraId="6CAB7B8C">
      <w:pPr>
        <w:ind w:left="-2" w:leftChars="-1" w:firstLine="0" w:firstLineChars="0"/>
        <w:rPr>
          <w:rFonts w:hint="eastAsia"/>
          <w:strike w:val="0"/>
          <w:color w:val="auto"/>
        </w:rPr>
      </w:pPr>
    </w:p>
    <w:p w14:paraId="64B2003E">
      <w:pPr>
        <w:ind w:left="-2" w:leftChars="-1" w:firstLine="0" w:firstLineChars="0"/>
        <w:rPr>
          <w:rFonts w:hint="eastAsia"/>
          <w:strike w:val="0"/>
          <w:color w:val="auto"/>
        </w:rPr>
      </w:pPr>
    </w:p>
    <w:p w14:paraId="60C9446C">
      <w:pPr>
        <w:rPr>
          <w:rFonts w:hint="eastAsia"/>
          <w:strike w:val="0"/>
          <w:color w:val="auto"/>
        </w:rPr>
      </w:pPr>
    </w:p>
    <w:p w14:paraId="62FF7296">
      <w:pPr>
        <w:ind w:left="-2" w:leftChars="-1" w:firstLine="0" w:firstLineChars="0"/>
        <w:rPr>
          <w:strike w:val="0"/>
          <w:color w:val="auto"/>
        </w:rPr>
      </w:pPr>
    </w:p>
    <w:p w14:paraId="61A48F74">
      <w:pPr>
        <w:ind w:left="-2" w:leftChars="-1" w:firstLine="0" w:firstLineChars="0"/>
        <w:rPr>
          <w:strike w:val="0"/>
          <w:color w:val="auto"/>
        </w:rPr>
      </w:pPr>
    </w:p>
    <w:p w14:paraId="7A4A7E5F">
      <w:pPr>
        <w:ind w:left="-2" w:leftChars="-1" w:firstLine="0" w:firstLineChars="0"/>
        <w:rPr>
          <w:strike w:val="0"/>
          <w:color w:val="auto"/>
        </w:rPr>
      </w:pPr>
    </w:p>
    <w:p w14:paraId="3701461A">
      <w:pPr>
        <w:ind w:left="-2" w:leftChars="-1" w:firstLine="0" w:firstLineChars="0"/>
        <w:rPr>
          <w:strike w:val="0"/>
          <w:color w:val="auto"/>
        </w:rPr>
      </w:pPr>
    </w:p>
    <w:p w14:paraId="743CA44F">
      <w:pPr>
        <w:ind w:left="-2" w:leftChars="-1" w:firstLine="0" w:firstLineChars="0"/>
        <w:rPr>
          <w:strike w:val="0"/>
          <w:color w:val="auto"/>
        </w:rPr>
      </w:pPr>
    </w:p>
    <w:p w14:paraId="52985D67">
      <w:pPr>
        <w:ind w:left="-2" w:leftChars="-1" w:firstLine="0" w:firstLineChars="0"/>
        <w:rPr>
          <w:rFonts w:hint="eastAsia"/>
          <w:strike w:val="0"/>
          <w:color w:val="auto"/>
        </w:rPr>
      </w:pPr>
    </w:p>
    <w:p w14:paraId="26CBDCA1">
      <w:pPr>
        <w:ind w:left="-2" w:leftChars="-1" w:firstLine="0" w:firstLineChars="0"/>
        <w:rPr>
          <w:rFonts w:hint="eastAsia"/>
          <w:strike w:val="0"/>
          <w:color w:val="auto"/>
        </w:rPr>
      </w:pPr>
    </w:p>
    <w:p w14:paraId="13609463">
      <w:pPr>
        <w:ind w:left="-2" w:leftChars="-1" w:firstLine="0" w:firstLineChars="0"/>
        <w:rPr>
          <w:rFonts w:hint="eastAsia"/>
          <w:strike w:val="0"/>
          <w:color w:val="auto"/>
        </w:rPr>
      </w:pPr>
    </w:p>
    <w:p w14:paraId="67AE0164">
      <w:pPr>
        <w:ind w:left="-2" w:leftChars="-1" w:firstLine="0" w:firstLineChars="0"/>
        <w:rPr>
          <w:strike w:val="0"/>
          <w:color w:val="auto"/>
        </w:rPr>
      </w:pPr>
    </w:p>
    <w:p w14:paraId="76DAE51E">
      <w:pPr>
        <w:spacing w:line="360" w:lineRule="exact"/>
        <w:ind w:firstLine="0" w:firstLineChars="0"/>
        <w:jc w:val="center"/>
        <w:rPr>
          <w:rFonts w:hint="eastAsia" w:ascii="方正小标宋_GBK" w:hAnsi="微软雅黑" w:eastAsia="方正小标宋_GBK"/>
          <w:strike w:val="0"/>
          <w:color w:val="auto"/>
          <w:sz w:val="32"/>
          <w:szCs w:val="32"/>
        </w:rPr>
      </w:pPr>
      <w:r>
        <w:rPr>
          <w:rFonts w:hint="eastAsia" w:ascii="方正小标宋_GBK" w:hAnsi="微软雅黑" w:eastAsia="方正小标宋_GBK"/>
          <w:strike w:val="0"/>
          <w:color w:val="auto"/>
          <w:sz w:val="32"/>
          <w:szCs w:val="32"/>
        </w:rPr>
        <w:t>钦州市政府采购中心</w:t>
      </w:r>
    </w:p>
    <w:p w14:paraId="4498C3CB">
      <w:pPr>
        <w:snapToGrid w:val="0"/>
        <w:spacing w:before="156" w:beforeLines="50" w:line="360" w:lineRule="exact"/>
        <w:ind w:firstLine="0" w:firstLineChars="0"/>
        <w:jc w:val="center"/>
        <w:rPr>
          <w:rFonts w:hint="eastAsia" w:ascii="方正小标宋_GBK" w:hAnsi="宋体" w:eastAsia="方正小标宋_GBK"/>
          <w:strike w:val="0"/>
          <w:color w:val="auto"/>
          <w:sz w:val="30"/>
          <w:szCs w:val="72"/>
        </w:rPr>
      </w:pPr>
      <w:r>
        <w:rPr>
          <w:rFonts w:hint="eastAsia" w:ascii="方正小标宋_GBK" w:hAnsi="微软雅黑" w:eastAsia="方正小标宋_GBK"/>
          <w:strike w:val="0"/>
          <w:color w:val="auto"/>
          <w:sz w:val="32"/>
          <w:szCs w:val="32"/>
        </w:rPr>
        <w:t>202</w:t>
      </w:r>
      <w:r>
        <w:rPr>
          <w:rFonts w:hint="eastAsia" w:ascii="方正小标宋_GBK" w:hAnsi="微软雅黑" w:eastAsia="方正小标宋_GBK"/>
          <w:strike w:val="0"/>
          <w:color w:val="auto"/>
          <w:sz w:val="32"/>
          <w:szCs w:val="32"/>
          <w:lang w:val="en-US" w:eastAsia="zh-CN"/>
        </w:rPr>
        <w:t>5</w:t>
      </w:r>
      <w:r>
        <w:rPr>
          <w:rFonts w:hint="eastAsia" w:ascii="方正小标宋_GBK" w:hAnsi="微软雅黑" w:eastAsia="方正小标宋_GBK"/>
          <w:strike w:val="0"/>
          <w:color w:val="auto"/>
          <w:sz w:val="32"/>
          <w:szCs w:val="32"/>
        </w:rPr>
        <w:t>年</w:t>
      </w:r>
      <w:r>
        <w:rPr>
          <w:rFonts w:hint="eastAsia" w:ascii="方正小标宋_GBK" w:hAnsi="微软雅黑" w:eastAsia="方正小标宋_GBK"/>
          <w:strike w:val="0"/>
          <w:color w:val="auto"/>
          <w:sz w:val="32"/>
          <w:szCs w:val="32"/>
          <w:lang w:val="en-US" w:eastAsia="zh-CN"/>
        </w:rPr>
        <w:t>12</w:t>
      </w:r>
      <w:r>
        <w:rPr>
          <w:rFonts w:hint="eastAsia" w:ascii="方正小标宋_GBK" w:hAnsi="微软雅黑" w:eastAsia="方正小标宋_GBK"/>
          <w:strike w:val="0"/>
          <w:color w:val="auto"/>
          <w:sz w:val="32"/>
          <w:szCs w:val="32"/>
        </w:rPr>
        <w:t>月</w:t>
      </w:r>
    </w:p>
    <w:p w14:paraId="47A10F8E">
      <w:pPr>
        <w:ind w:firstLine="0" w:firstLineChars="0"/>
        <w:rPr>
          <w:strike w:val="0"/>
          <w:color w:val="auto"/>
        </w:rPr>
      </w:pPr>
      <w:r>
        <w:rPr>
          <w:strike w:val="0"/>
          <w:color w:val="auto"/>
        </w:rPr>
        <w:br w:type="page"/>
      </w:r>
    </w:p>
    <w:p w14:paraId="014BE70C">
      <w:pPr>
        <w:ind w:firstLine="0" w:firstLineChars="0"/>
        <w:rPr>
          <w:rFonts w:hint="eastAsia"/>
          <w:strike w:val="0"/>
          <w:color w:val="auto"/>
        </w:rPr>
      </w:pPr>
    </w:p>
    <w:p w14:paraId="4A9B0474">
      <w:pPr>
        <w:pStyle w:val="28"/>
        <w:ind w:firstLine="0" w:firstLineChars="0"/>
        <w:jc w:val="center"/>
        <w:rPr>
          <w:rFonts w:hint="eastAsia" w:ascii="隶书" w:eastAsia="隶书"/>
          <w:b/>
          <w:strike w:val="0"/>
          <w:color w:val="auto"/>
          <w:sz w:val="44"/>
        </w:rPr>
      </w:pPr>
      <w:r>
        <w:rPr>
          <w:rFonts w:hint="eastAsia" w:ascii="隶书" w:eastAsia="隶书"/>
          <w:b/>
          <w:strike w:val="0"/>
          <w:color w:val="auto"/>
          <w:sz w:val="44"/>
        </w:rPr>
        <w:t>目   录</w:t>
      </w:r>
    </w:p>
    <w:p w14:paraId="643FA235">
      <w:pPr>
        <w:ind w:firstLine="0" w:firstLineChars="0"/>
        <w:rPr>
          <w:strike w:val="0"/>
          <w:color w:val="auto"/>
        </w:rPr>
      </w:pPr>
    </w:p>
    <w:p w14:paraId="03F7DA51">
      <w:pPr>
        <w:pStyle w:val="307"/>
        <w:spacing w:line="1000" w:lineRule="exact"/>
        <w:rPr>
          <w:rFonts w:ascii="仿宋" w:hAnsi="仿宋" w:eastAsia="仿宋"/>
          <w:strike w:val="0"/>
          <w:color w:val="auto"/>
          <w:sz w:val="28"/>
          <w:szCs w:val="28"/>
        </w:rPr>
      </w:pPr>
      <w:r>
        <w:rPr>
          <w:rFonts w:ascii="宋体" w:hAnsi="宋体"/>
          <w:strike w:val="0"/>
          <w:color w:val="auto"/>
          <w:sz w:val="32"/>
          <w:szCs w:val="32"/>
        </w:rPr>
        <w:fldChar w:fldCharType="begin"/>
      </w:r>
      <w:r>
        <w:rPr>
          <w:rFonts w:ascii="宋体" w:hAnsi="宋体"/>
          <w:strike w:val="0"/>
          <w:color w:val="auto"/>
          <w:sz w:val="32"/>
          <w:szCs w:val="32"/>
        </w:rPr>
        <w:instrText xml:space="preserve"> </w:instrText>
      </w:r>
      <w:r>
        <w:rPr>
          <w:rFonts w:hint="eastAsia" w:ascii="宋体" w:hAnsi="宋体"/>
          <w:strike w:val="0"/>
          <w:color w:val="auto"/>
          <w:sz w:val="32"/>
          <w:szCs w:val="32"/>
        </w:rPr>
        <w:instrText xml:space="preserve">TOC \o "1-1" \h \z \u</w:instrText>
      </w:r>
      <w:r>
        <w:rPr>
          <w:rFonts w:ascii="宋体" w:hAnsi="宋体"/>
          <w:strike w:val="0"/>
          <w:color w:val="auto"/>
          <w:sz w:val="32"/>
          <w:szCs w:val="32"/>
        </w:rPr>
        <w:instrText xml:space="preserve"> </w:instrText>
      </w:r>
      <w:r>
        <w:rPr>
          <w:rFonts w:ascii="宋体" w:hAnsi="宋体"/>
          <w:strike w:val="0"/>
          <w:color w:val="auto"/>
          <w:sz w:val="32"/>
          <w:szCs w:val="32"/>
        </w:rPr>
        <w:fldChar w:fldCharType="separate"/>
      </w: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"_Toc91512283"</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第一章  公 告</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_Toc91512283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3</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3BC2F97A">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"_Toc91512284"</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第二章  项目需求</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_Toc91512284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8</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2635C6A2">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"_Toc91512285"</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第三章  投标人须知及前</w:t>
      </w:r>
      <w:bookmarkStart w:id="0" w:name="_Hlt91583491"/>
      <w:bookmarkStart w:id="1" w:name="_Hlt91583492"/>
      <w:r>
        <w:rPr>
          <w:rStyle w:val="60"/>
          <w:rFonts w:ascii="仿宋" w:hAnsi="仿宋" w:eastAsia="仿宋"/>
          <w:strike w:val="0"/>
          <w:color w:val="auto"/>
          <w:sz w:val="28"/>
          <w:szCs w:val="28"/>
        </w:rPr>
        <w:t>附</w:t>
      </w:r>
      <w:bookmarkEnd w:id="0"/>
      <w:bookmarkEnd w:id="1"/>
      <w:r>
        <w:rPr>
          <w:rStyle w:val="60"/>
          <w:rFonts w:ascii="仿宋" w:hAnsi="仿宋" w:eastAsia="仿宋"/>
          <w:strike w:val="0"/>
          <w:color w:val="auto"/>
          <w:sz w:val="28"/>
          <w:szCs w:val="28"/>
        </w:rPr>
        <w:t>表</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_Toc91512285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9</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5010CDD6">
      <w:pPr>
        <w:pStyle w:val="307"/>
        <w:spacing w:line="1000" w:lineRule="exact"/>
        <w:rPr>
          <w:rFonts w:hint="eastAsia" w:ascii="仿宋" w:hAnsi="仿宋" w:eastAsia="仿宋"/>
          <w:strike w:val="0"/>
          <w:color w:val="auto"/>
          <w:sz w:val="28"/>
          <w:szCs w:val="28"/>
          <w:lang w:val="en-US" w:eastAsia="zh-CN"/>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"_Toc91512286"</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第四章  评</w:t>
      </w:r>
      <w:r>
        <w:rPr>
          <w:rStyle w:val="60"/>
          <w:rFonts w:hint="eastAsia" w:ascii="仿宋" w:hAnsi="仿宋" w:eastAsia="仿宋"/>
          <w:strike w:val="0"/>
          <w:color w:val="auto"/>
          <w:sz w:val="28"/>
          <w:szCs w:val="28"/>
        </w:rPr>
        <w:t>定</w:t>
      </w:r>
      <w:r>
        <w:rPr>
          <w:rStyle w:val="60"/>
          <w:rFonts w:ascii="仿宋" w:hAnsi="仿宋" w:eastAsia="仿宋"/>
          <w:strike w:val="0"/>
          <w:color w:val="auto"/>
          <w:sz w:val="28"/>
          <w:szCs w:val="28"/>
        </w:rPr>
        <w:t>标准及</w:t>
      </w:r>
      <w:r>
        <w:rPr>
          <w:rStyle w:val="60"/>
          <w:rFonts w:hint="eastAsia" w:ascii="仿宋" w:hAnsi="仿宋" w:eastAsia="仿宋"/>
          <w:strike w:val="0"/>
          <w:color w:val="auto"/>
          <w:sz w:val="28"/>
          <w:szCs w:val="28"/>
        </w:rPr>
        <w:t>推荐原则</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_Toc91512286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w:t>
      </w:r>
      <w:r>
        <w:rPr>
          <w:rFonts w:hint="eastAsia" w:ascii="仿宋" w:hAnsi="仿宋" w:eastAsia="仿宋"/>
          <w:strike w:val="0"/>
          <w:color w:val="auto"/>
          <w:sz w:val="28"/>
          <w:szCs w:val="28"/>
          <w:lang w:val="en-US" w:eastAsia="zh-CN"/>
        </w:rPr>
        <w:t>3</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r>
        <w:rPr>
          <w:rStyle w:val="60"/>
          <w:rFonts w:hint="eastAsia" w:ascii="仿宋" w:hAnsi="仿宋" w:eastAsia="仿宋"/>
          <w:strike w:val="0"/>
          <w:color w:val="auto"/>
          <w:sz w:val="28"/>
          <w:szCs w:val="28"/>
          <w:lang w:val="en-US" w:eastAsia="zh-CN"/>
        </w:rPr>
        <w:t>4</w:t>
      </w:r>
    </w:p>
    <w:p w14:paraId="40213C7D">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"_Toc91512287"</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第五章  政府采购合同主要条款</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_Toc91512287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25</w:t>
      </w:r>
      <w:r>
        <w:rPr>
          <w:rFonts w:hint="eastAsia" w:ascii="仿宋" w:hAnsi="仿宋" w:eastAsia="仿宋"/>
          <w:strike w:val="0"/>
          <w:color w:val="auto"/>
          <w:sz w:val="28"/>
          <w:szCs w:val="28"/>
          <w:lang w:val="en-US" w:eastAsia="zh-CN"/>
        </w:rPr>
        <w:t>4</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77CA1338">
      <w:pPr>
        <w:pStyle w:val="307"/>
        <w:spacing w:line="1000" w:lineRule="exact"/>
        <w:rPr>
          <w:rFonts w:ascii="仿宋" w:hAnsi="仿宋" w:eastAsia="仿宋"/>
          <w:strike w:val="0"/>
          <w:color w:val="auto"/>
          <w:sz w:val="28"/>
          <w:szCs w:val="28"/>
        </w:rPr>
      </w:pPr>
      <w:r>
        <w:rPr>
          <w:rStyle w:val="60"/>
          <w:rFonts w:ascii="仿宋" w:hAnsi="仿宋" w:eastAsia="仿宋"/>
          <w:strike w:val="0"/>
          <w:color w:val="auto"/>
          <w:sz w:val="28"/>
          <w:szCs w:val="28"/>
        </w:rPr>
        <w:fldChar w:fldCharType="begin"/>
      </w:r>
      <w:r>
        <w:rPr>
          <w:rStyle w:val="60"/>
          <w:rFonts w:ascii="仿宋" w:hAnsi="仿宋" w:eastAsia="仿宋"/>
          <w:strike w:val="0"/>
          <w:color w:val="auto"/>
          <w:sz w:val="28"/>
          <w:szCs w:val="28"/>
        </w:rPr>
        <w:instrText xml:space="preserve"> </w:instrText>
      </w:r>
      <w:r>
        <w:rPr>
          <w:rFonts w:ascii="仿宋" w:hAnsi="仿宋" w:eastAsia="仿宋"/>
          <w:strike w:val="0"/>
          <w:color w:val="auto"/>
          <w:sz w:val="28"/>
          <w:szCs w:val="28"/>
        </w:rPr>
        <w:instrText xml:space="preserve">HYPERLINK \l "_Toc91512288"</w:instrText>
      </w:r>
      <w:r>
        <w:rPr>
          <w:rStyle w:val="60"/>
          <w:rFonts w:ascii="仿宋" w:hAnsi="仿宋" w:eastAsia="仿宋"/>
          <w:strike w:val="0"/>
          <w:color w:val="auto"/>
          <w:sz w:val="28"/>
          <w:szCs w:val="28"/>
        </w:rPr>
        <w:instrText xml:space="preserve"> </w:instrText>
      </w:r>
      <w:r>
        <w:rPr>
          <w:rStyle w:val="60"/>
          <w:rFonts w:ascii="仿宋" w:hAnsi="仿宋" w:eastAsia="仿宋"/>
          <w:strike w:val="0"/>
          <w:color w:val="auto"/>
          <w:sz w:val="28"/>
          <w:szCs w:val="28"/>
        </w:rPr>
        <w:fldChar w:fldCharType="separate"/>
      </w:r>
      <w:r>
        <w:rPr>
          <w:rStyle w:val="60"/>
          <w:rFonts w:ascii="仿宋" w:hAnsi="仿宋" w:eastAsia="仿宋"/>
          <w:strike w:val="0"/>
          <w:color w:val="auto"/>
          <w:sz w:val="28"/>
          <w:szCs w:val="28"/>
        </w:rPr>
        <w:t>第六章　投标文件格式</w:t>
      </w:r>
      <w:r>
        <w:rPr>
          <w:rFonts w:ascii="仿宋" w:hAnsi="仿宋" w:eastAsia="仿宋"/>
          <w:strike w:val="0"/>
          <w:color w:val="auto"/>
          <w:sz w:val="28"/>
          <w:szCs w:val="28"/>
        </w:rPr>
        <w:tab/>
      </w:r>
      <w:r>
        <w:rPr>
          <w:rFonts w:ascii="仿宋" w:hAnsi="仿宋" w:eastAsia="仿宋"/>
          <w:strike w:val="0"/>
          <w:color w:val="auto"/>
          <w:sz w:val="28"/>
          <w:szCs w:val="28"/>
        </w:rPr>
        <w:fldChar w:fldCharType="begin"/>
      </w:r>
      <w:r>
        <w:rPr>
          <w:rFonts w:ascii="仿宋" w:hAnsi="仿宋" w:eastAsia="仿宋"/>
          <w:strike w:val="0"/>
          <w:color w:val="auto"/>
          <w:sz w:val="28"/>
          <w:szCs w:val="28"/>
        </w:rPr>
        <w:instrText xml:space="preserve"> PAGEREF _Toc91512288 \h </w:instrText>
      </w:r>
      <w:r>
        <w:rPr>
          <w:rFonts w:ascii="仿宋" w:hAnsi="仿宋" w:eastAsia="仿宋"/>
          <w:strike w:val="0"/>
          <w:color w:val="auto"/>
          <w:sz w:val="28"/>
          <w:szCs w:val="28"/>
        </w:rPr>
        <w:fldChar w:fldCharType="separate"/>
      </w:r>
      <w:r>
        <w:rPr>
          <w:rFonts w:ascii="仿宋" w:hAnsi="仿宋" w:eastAsia="仿宋"/>
          <w:strike w:val="0"/>
          <w:color w:val="auto"/>
          <w:sz w:val="28"/>
          <w:szCs w:val="28"/>
        </w:rPr>
        <w:t>27</w:t>
      </w:r>
      <w:r>
        <w:rPr>
          <w:rFonts w:hint="eastAsia" w:ascii="仿宋" w:hAnsi="仿宋" w:eastAsia="仿宋"/>
          <w:strike w:val="0"/>
          <w:color w:val="auto"/>
          <w:sz w:val="28"/>
          <w:szCs w:val="28"/>
          <w:lang w:val="en-US" w:eastAsia="zh-CN"/>
        </w:rPr>
        <w:t>1</w:t>
      </w:r>
      <w:r>
        <w:rPr>
          <w:rFonts w:ascii="仿宋" w:hAnsi="仿宋" w:eastAsia="仿宋"/>
          <w:strike w:val="0"/>
          <w:color w:val="auto"/>
          <w:sz w:val="28"/>
          <w:szCs w:val="28"/>
        </w:rPr>
        <w:fldChar w:fldCharType="end"/>
      </w:r>
      <w:r>
        <w:rPr>
          <w:rStyle w:val="60"/>
          <w:rFonts w:ascii="仿宋" w:hAnsi="仿宋" w:eastAsia="仿宋"/>
          <w:strike w:val="0"/>
          <w:color w:val="auto"/>
          <w:sz w:val="28"/>
          <w:szCs w:val="28"/>
        </w:rPr>
        <w:fldChar w:fldCharType="end"/>
      </w:r>
    </w:p>
    <w:p w14:paraId="36D21529">
      <w:pPr>
        <w:ind w:left="-2" w:leftChars="-1" w:firstLine="0" w:firstLineChars="0"/>
        <w:rPr>
          <w:strike w:val="0"/>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start="1"/>
          <w:cols w:space="720" w:num="1"/>
          <w:docGrid w:type="lines" w:linePitch="312" w:charSpace="0"/>
        </w:sectPr>
      </w:pPr>
      <w:r>
        <w:rPr>
          <w:strike w:val="0"/>
          <w:color w:val="auto"/>
        </w:rPr>
        <w:fldChar w:fldCharType="end"/>
      </w:r>
    </w:p>
    <w:p w14:paraId="3532EBD3">
      <w:pPr>
        <w:ind w:left="-2" w:leftChars="-1" w:firstLine="0" w:firstLineChars="0"/>
        <w:rPr>
          <w:rFonts w:hint="eastAsia"/>
          <w:strike w:val="0"/>
          <w:color w:val="auto"/>
        </w:rPr>
      </w:pPr>
    </w:p>
    <w:p w14:paraId="51B7560C">
      <w:pPr>
        <w:ind w:firstLine="0" w:firstLineChars="0"/>
        <w:rPr>
          <w:strike w:val="0"/>
          <w:color w:val="auto"/>
        </w:rPr>
      </w:pPr>
      <w:bookmarkStart w:id="2" w:name="_Toc91512283"/>
    </w:p>
    <w:p w14:paraId="4C585D10">
      <w:pPr>
        <w:ind w:firstLine="0" w:firstLineChars="0"/>
        <w:rPr>
          <w:strike w:val="0"/>
          <w:color w:val="auto"/>
        </w:rPr>
      </w:pPr>
    </w:p>
    <w:p w14:paraId="06781321">
      <w:pPr>
        <w:ind w:firstLine="0" w:firstLineChars="0"/>
        <w:rPr>
          <w:strike w:val="0"/>
          <w:color w:val="auto"/>
        </w:rPr>
      </w:pPr>
    </w:p>
    <w:p w14:paraId="48AC0CCA">
      <w:pPr>
        <w:ind w:firstLine="0" w:firstLineChars="0"/>
        <w:rPr>
          <w:strike w:val="0"/>
          <w:color w:val="auto"/>
        </w:rPr>
      </w:pPr>
    </w:p>
    <w:p w14:paraId="2D069EB8">
      <w:pPr>
        <w:ind w:firstLine="0" w:firstLineChars="0"/>
        <w:rPr>
          <w:strike w:val="0"/>
          <w:color w:val="auto"/>
        </w:rPr>
      </w:pPr>
    </w:p>
    <w:p w14:paraId="564B6EA2">
      <w:pPr>
        <w:ind w:firstLine="0" w:firstLineChars="0"/>
        <w:rPr>
          <w:strike w:val="0"/>
          <w:color w:val="auto"/>
        </w:rPr>
      </w:pPr>
    </w:p>
    <w:p w14:paraId="2FD917DF">
      <w:pPr>
        <w:ind w:firstLine="0" w:firstLineChars="0"/>
        <w:rPr>
          <w:strike w:val="0"/>
          <w:color w:val="auto"/>
        </w:rPr>
      </w:pPr>
    </w:p>
    <w:p w14:paraId="4C651C62">
      <w:pPr>
        <w:ind w:firstLine="0" w:firstLineChars="0"/>
        <w:rPr>
          <w:strike w:val="0"/>
          <w:color w:val="auto"/>
        </w:rPr>
      </w:pPr>
    </w:p>
    <w:p w14:paraId="68721D97">
      <w:pPr>
        <w:ind w:firstLine="0" w:firstLineChars="0"/>
        <w:rPr>
          <w:strike w:val="0"/>
          <w:color w:val="auto"/>
        </w:rPr>
      </w:pPr>
    </w:p>
    <w:p w14:paraId="72C664FD">
      <w:pPr>
        <w:ind w:firstLine="0" w:firstLineChars="0"/>
        <w:rPr>
          <w:rFonts w:hint="eastAsia"/>
          <w:strike w:val="0"/>
          <w:color w:val="auto"/>
        </w:rPr>
      </w:pPr>
    </w:p>
    <w:p w14:paraId="3608C449">
      <w:pPr>
        <w:pStyle w:val="48"/>
        <w:ind w:left="0" w:leftChars="0" w:right="0" w:rightChars="0" w:firstLine="0" w:firstLineChars="0"/>
        <w:jc w:val="center"/>
        <w:rPr>
          <w:rFonts w:hint="eastAsia" w:ascii="方正小标宋_GBK"/>
          <w:strike w:val="0"/>
          <w:color w:val="auto"/>
          <w:szCs w:val="44"/>
        </w:rPr>
      </w:pPr>
      <w:r>
        <w:rPr>
          <w:rFonts w:hint="eastAsia" w:ascii="方正小标宋_GBK"/>
          <w:strike w:val="0"/>
          <w:color w:val="auto"/>
          <w:szCs w:val="44"/>
        </w:rPr>
        <w:t>第一章  公 告</w:t>
      </w:r>
      <w:bookmarkEnd w:id="2"/>
    </w:p>
    <w:p w14:paraId="06F0AF74">
      <w:pPr>
        <w:spacing w:line="440" w:lineRule="exact"/>
        <w:ind w:firstLine="0" w:firstLineChars="0"/>
        <w:jc w:val="left"/>
        <w:rPr>
          <w:strike w:val="0"/>
          <w:color w:val="auto"/>
        </w:rPr>
      </w:pPr>
      <w:r>
        <w:rPr>
          <w:strike w:val="0"/>
          <w:color w:val="auto"/>
        </w:rPr>
        <w:br w:type="page"/>
      </w:r>
    </w:p>
    <w:p w14:paraId="6361DF5A">
      <w:pPr>
        <w:spacing w:line="440" w:lineRule="exact"/>
        <w:ind w:firstLine="0" w:firstLineChars="0"/>
        <w:jc w:val="center"/>
        <w:rPr>
          <w:rFonts w:hint="eastAsia" w:ascii="方正小标宋_GBK" w:eastAsia="方正小标宋_GBK"/>
          <w:b/>
          <w:bCs/>
          <w:strike w:val="0"/>
          <w:color w:val="auto"/>
          <w:sz w:val="36"/>
          <w:szCs w:val="36"/>
        </w:rPr>
      </w:pPr>
      <w:r>
        <w:rPr>
          <w:rFonts w:ascii="方正小标宋_GBK" w:eastAsia="方正小标宋_GBK"/>
          <w:b/>
          <w:bCs/>
          <w:strike w:val="0"/>
          <w:color w:val="auto"/>
          <w:sz w:val="36"/>
          <w:szCs w:val="36"/>
        </w:rPr>
        <w:t>钦州市政府采购中心关于</w:t>
      </w:r>
      <w:r>
        <w:rPr>
          <w:rFonts w:hint="eastAsia" w:ascii="方正小标宋_GBK" w:eastAsia="方正小标宋_GBK"/>
          <w:b/>
          <w:bCs/>
          <w:strike w:val="0"/>
          <w:color w:val="auto"/>
          <w:sz w:val="36"/>
          <w:szCs w:val="36"/>
          <w:lang w:eastAsia="zh-CN"/>
        </w:rPr>
        <w:t>2025年浦北县教育局教学设备采购</w:t>
      </w:r>
      <w:r>
        <w:rPr>
          <w:rFonts w:ascii="方正小标宋_GBK" w:eastAsia="方正小标宋_GBK"/>
          <w:b/>
          <w:bCs/>
          <w:strike w:val="0"/>
          <w:color w:val="auto"/>
          <w:sz w:val="36"/>
          <w:szCs w:val="36"/>
        </w:rPr>
        <w:t>(</w:t>
      </w:r>
      <w:r>
        <w:rPr>
          <w:rFonts w:hint="eastAsia" w:ascii="方正小标宋_GBK" w:eastAsia="方正小标宋_GBK"/>
          <w:b/>
          <w:bCs/>
          <w:strike w:val="0"/>
          <w:color w:val="auto"/>
          <w:sz w:val="36"/>
          <w:szCs w:val="36"/>
          <w:lang w:eastAsia="zh-CN"/>
        </w:rPr>
        <w:t>QZZC2025-G1-220231-QZSZ</w:t>
      </w:r>
      <w:r>
        <w:rPr>
          <w:rFonts w:ascii="方正小标宋_GBK" w:eastAsia="方正小标宋_GBK"/>
          <w:b/>
          <w:bCs/>
          <w:strike w:val="0"/>
          <w:color w:val="auto"/>
          <w:sz w:val="36"/>
          <w:szCs w:val="36"/>
        </w:rPr>
        <w:t>)</w:t>
      </w:r>
      <w:r>
        <w:rPr>
          <w:rFonts w:hint="eastAsia" w:ascii="方正小标宋_GBK" w:eastAsia="方正小标宋_GBK"/>
          <w:b/>
          <w:bCs/>
          <w:strike w:val="0"/>
          <w:color w:val="auto"/>
          <w:sz w:val="36"/>
          <w:szCs w:val="36"/>
        </w:rPr>
        <w:t>的招标公告</w:t>
      </w:r>
    </w:p>
    <w:p w14:paraId="087092DD">
      <w:pPr>
        <w:spacing w:line="240" w:lineRule="exact"/>
        <w:ind w:firstLineChars="0"/>
        <w:jc w:val="center"/>
        <w:rPr>
          <w:rFonts w:hint="eastAsia" w:ascii="方正小标宋_GBK" w:eastAsia="方正小标宋_GBK"/>
          <w:b/>
          <w:strike w:val="0"/>
          <w:color w:val="auto"/>
          <w:sz w:val="44"/>
          <w:szCs w:val="44"/>
        </w:rPr>
      </w:pPr>
    </w:p>
    <w:p w14:paraId="53C2F446">
      <w:pPr>
        <w:pBdr>
          <w:top w:val="single" w:color="auto" w:sz="4" w:space="0"/>
          <w:left w:val="single" w:color="auto" w:sz="4" w:space="4"/>
          <w:bottom w:val="single" w:color="auto" w:sz="4" w:space="1"/>
          <w:right w:val="single" w:color="auto" w:sz="4" w:space="4"/>
        </w:pBdr>
        <w:ind w:firstLine="420"/>
        <w:rPr>
          <w:rFonts w:ascii="宋体" w:hAnsi="宋体"/>
          <w:strike w:val="0"/>
          <w:color w:val="auto"/>
          <w:szCs w:val="21"/>
        </w:rPr>
      </w:pPr>
      <w:r>
        <w:rPr>
          <w:rFonts w:hint="eastAsia" w:ascii="宋体" w:hAnsi="宋体"/>
          <w:strike w:val="0"/>
          <w:color w:val="auto"/>
          <w:szCs w:val="21"/>
        </w:rPr>
        <w:t>项目概况</w:t>
      </w:r>
    </w:p>
    <w:p w14:paraId="69B9B990">
      <w:pPr>
        <w:pBdr>
          <w:top w:val="single" w:color="auto" w:sz="4" w:space="0"/>
          <w:left w:val="single" w:color="auto" w:sz="4" w:space="4"/>
          <w:bottom w:val="single" w:color="auto" w:sz="4" w:space="1"/>
          <w:right w:val="single" w:color="auto" w:sz="4" w:space="4"/>
        </w:pBdr>
        <w:ind w:firstLine="420"/>
        <w:rPr>
          <w:rFonts w:ascii="宋体" w:hAnsi="宋体"/>
          <w:strike w:val="0"/>
          <w:color w:val="auto"/>
          <w:szCs w:val="21"/>
        </w:rPr>
      </w:pPr>
      <w:r>
        <w:rPr>
          <w:rFonts w:hint="eastAsia" w:ascii="宋体" w:hAnsi="宋体"/>
          <w:strike w:val="0"/>
          <w:color w:val="auto"/>
          <w:szCs w:val="21"/>
          <w:lang w:eastAsia="zh-CN"/>
        </w:rPr>
        <w:t>2025年浦北县教育局教学设备采购</w:t>
      </w:r>
      <w:r>
        <w:rPr>
          <w:rFonts w:hint="eastAsia" w:ascii="宋体" w:hAnsi="宋体"/>
          <w:strike w:val="0"/>
          <w:color w:val="auto"/>
          <w:szCs w:val="21"/>
        </w:rPr>
        <w:t>招标项目的潜在投标人应在</w:t>
      </w:r>
      <w:bookmarkStart w:id="3" w:name="_Hlk164066481"/>
      <w:r>
        <w:rPr>
          <w:rFonts w:hint="eastAsia" w:ascii="宋体" w:hAnsi="宋体"/>
          <w:strike w:val="0"/>
          <w:color w:val="auto"/>
          <w:szCs w:val="21"/>
        </w:rPr>
        <w:t>广西政府采购云平台（https://www.gcy.zfcg.gxzf.gov.cn/）</w:t>
      </w:r>
      <w:bookmarkEnd w:id="3"/>
      <w:r>
        <w:rPr>
          <w:rFonts w:hint="eastAsia" w:ascii="宋体" w:hAnsi="宋体"/>
          <w:strike w:val="0"/>
          <w:color w:val="auto"/>
          <w:szCs w:val="21"/>
        </w:rPr>
        <w:t>获取招标文件，并于</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22</w:t>
      </w:r>
      <w:r>
        <w:rPr>
          <w:rFonts w:hint="eastAsia" w:ascii="宋体" w:hAnsi="宋体"/>
          <w:strike w:val="0"/>
          <w:color w:val="auto"/>
          <w:szCs w:val="21"/>
        </w:rPr>
        <w:t>日</w:t>
      </w:r>
      <w:r>
        <w:rPr>
          <w:rFonts w:hint="eastAsia" w:ascii="宋体" w:hAnsi="宋体"/>
          <w:strike w:val="0"/>
          <w:color w:val="auto"/>
          <w:szCs w:val="21"/>
          <w:lang w:val="en-US" w:eastAsia="zh-CN"/>
        </w:rPr>
        <w:t>10</w:t>
      </w:r>
      <w:r>
        <w:rPr>
          <w:rFonts w:hint="eastAsia" w:ascii="宋体" w:hAnsi="宋体"/>
          <w:strike w:val="0"/>
          <w:color w:val="auto"/>
          <w:szCs w:val="21"/>
        </w:rPr>
        <w:t>:</w:t>
      </w:r>
      <w:r>
        <w:rPr>
          <w:rFonts w:hint="eastAsia" w:ascii="宋体" w:hAnsi="宋体"/>
          <w:strike w:val="0"/>
          <w:color w:val="auto"/>
          <w:szCs w:val="21"/>
          <w:lang w:val="en-US" w:eastAsia="zh-CN"/>
        </w:rPr>
        <w:t>00</w:t>
      </w:r>
      <w:r>
        <w:rPr>
          <w:rFonts w:hint="eastAsia" w:ascii="宋体" w:hAnsi="宋体"/>
          <w:strike w:val="0"/>
          <w:color w:val="auto"/>
          <w:szCs w:val="21"/>
        </w:rPr>
        <w:t>（北京时间）前提交投标文件。</w:t>
      </w:r>
    </w:p>
    <w:p w14:paraId="09CEA04E">
      <w:pPr>
        <w:ind w:firstLine="0" w:firstLineChars="0"/>
        <w:rPr>
          <w:b/>
          <w:strike w:val="0"/>
          <w:color w:val="auto"/>
        </w:rPr>
      </w:pPr>
      <w:bookmarkStart w:id="4" w:name="_Toc35393790"/>
      <w:bookmarkStart w:id="5" w:name="_Toc28359002"/>
      <w:bookmarkStart w:id="6" w:name="_Toc28359079"/>
      <w:bookmarkStart w:id="7" w:name="_Toc35393621"/>
      <w:bookmarkStart w:id="8" w:name="_Hlk24379207"/>
      <w:bookmarkStart w:id="9" w:name="_Hlk92355554"/>
      <w:r>
        <w:rPr>
          <w:rFonts w:hint="eastAsia"/>
          <w:b/>
          <w:strike w:val="0"/>
          <w:color w:val="auto"/>
        </w:rPr>
        <w:t>一、项目基本情况</w:t>
      </w:r>
      <w:bookmarkEnd w:id="4"/>
      <w:bookmarkEnd w:id="5"/>
      <w:bookmarkEnd w:id="6"/>
      <w:bookmarkEnd w:id="7"/>
    </w:p>
    <w:p w14:paraId="55822AD8">
      <w:pPr>
        <w:ind w:firstLine="420"/>
        <w:rPr>
          <w:rFonts w:hint="eastAsia" w:eastAsia="宋体"/>
          <w:strike w:val="0"/>
          <w:color w:val="auto"/>
          <w:lang w:eastAsia="zh-CN"/>
        </w:rPr>
      </w:pPr>
      <w:r>
        <w:rPr>
          <w:rFonts w:hint="eastAsia"/>
          <w:strike w:val="0"/>
          <w:color w:val="auto"/>
        </w:rPr>
        <w:t>项目编号：</w:t>
      </w:r>
      <w:r>
        <w:rPr>
          <w:rFonts w:hint="eastAsia" w:ascii="宋体" w:hAnsi="宋体"/>
          <w:bCs/>
          <w:strike w:val="0"/>
          <w:color w:val="auto"/>
          <w:lang w:eastAsia="zh-CN"/>
        </w:rPr>
        <w:t>QZZC2025-G1-220231-QZSZ</w:t>
      </w:r>
    </w:p>
    <w:p w14:paraId="20CD6916">
      <w:pPr>
        <w:ind w:firstLine="420"/>
        <w:rPr>
          <w:rFonts w:hint="eastAsia" w:eastAsia="宋体"/>
          <w:strike w:val="0"/>
          <w:color w:val="auto"/>
          <w:lang w:eastAsia="zh-CN"/>
        </w:rPr>
      </w:pPr>
      <w:r>
        <w:rPr>
          <w:rFonts w:hint="eastAsia"/>
          <w:strike w:val="0"/>
          <w:color w:val="auto"/>
        </w:rPr>
        <w:t>项目名称：</w:t>
      </w:r>
      <w:r>
        <w:rPr>
          <w:rFonts w:hint="eastAsia" w:ascii="宋体" w:hAnsi="宋体"/>
          <w:strike w:val="0"/>
          <w:color w:val="auto"/>
          <w:szCs w:val="21"/>
          <w:lang w:eastAsia="zh-CN"/>
        </w:rPr>
        <w:t>2025年浦北县教育局教学设备采购</w:t>
      </w:r>
    </w:p>
    <w:bookmarkEnd w:id="8"/>
    <w:p w14:paraId="126DF845">
      <w:pPr>
        <w:ind w:firstLine="420"/>
        <w:rPr>
          <w:rFonts w:hint="default" w:ascii="Times New Roman" w:hAnsi="Times New Roman" w:eastAsia="宋体" w:cs="Times New Roman"/>
          <w:strike w:val="0"/>
          <w:color w:val="auto"/>
          <w:lang w:val="en-US" w:eastAsia="zh-CN"/>
        </w:rPr>
      </w:pPr>
      <w:r>
        <w:rPr>
          <w:rFonts w:hint="eastAsia"/>
          <w:strike w:val="0"/>
          <w:color w:val="auto"/>
        </w:rPr>
        <w:t>预算总金额(元</w:t>
      </w:r>
      <w:r>
        <w:rPr>
          <w:rFonts w:hint="eastAsia" w:ascii="Times New Roman" w:hAnsi="Times New Roman" w:eastAsia="宋体" w:cs="Times New Roman"/>
          <w:strike w:val="0"/>
          <w:color w:val="auto"/>
        </w:rPr>
        <w:t>)：</w:t>
      </w:r>
      <w:r>
        <w:rPr>
          <w:rFonts w:hint="eastAsia" w:ascii="Times New Roman" w:hAnsi="Times New Roman" w:eastAsia="宋体" w:cs="Times New Roman"/>
          <w:strike w:val="0"/>
          <w:color w:val="auto"/>
          <w:lang w:val="en-US" w:eastAsia="zh-CN"/>
        </w:rPr>
        <w:t>3422000.00</w:t>
      </w:r>
    </w:p>
    <w:p w14:paraId="70995A1E">
      <w:pPr>
        <w:ind w:firstLine="420"/>
        <w:rPr>
          <w:strike w:val="0"/>
          <w:color w:val="auto"/>
        </w:rPr>
      </w:pPr>
      <w:r>
        <w:rPr>
          <w:rFonts w:hint="eastAsia"/>
          <w:strike w:val="0"/>
          <w:color w:val="auto"/>
        </w:rPr>
        <w:t>采购需求：</w:t>
      </w:r>
    </w:p>
    <w:p w14:paraId="49A59AC5">
      <w:pPr>
        <w:ind w:firstLine="420"/>
        <w:rPr>
          <w:rFonts w:hint="eastAsia"/>
          <w:strike w:val="0"/>
          <w:color w:val="auto"/>
        </w:rPr>
      </w:pPr>
    </w:p>
    <w:p w14:paraId="370ED493">
      <w:pPr>
        <w:ind w:firstLine="420"/>
        <w:rPr>
          <w:rFonts w:hint="default" w:eastAsia="宋体"/>
          <w:strike w:val="0"/>
          <w:color w:val="auto"/>
          <w:highlight w:val="none"/>
          <w:lang w:val="en-US" w:eastAsia="zh-CN"/>
        </w:rPr>
      </w:pPr>
      <w:r>
        <w:rPr>
          <w:rFonts w:hint="eastAsia"/>
          <w:strike w:val="0"/>
          <w:color w:val="auto"/>
          <w:highlight w:val="none"/>
          <w:lang w:val="en-US" w:eastAsia="zh-CN"/>
        </w:rPr>
        <w:t>标项一</w:t>
      </w:r>
    </w:p>
    <w:p w14:paraId="39BCC221">
      <w:pPr>
        <w:ind w:firstLine="420"/>
        <w:rPr>
          <w:rFonts w:hint="eastAsia" w:eastAsia="宋体"/>
          <w:strike w:val="0"/>
          <w:color w:val="auto"/>
          <w:highlight w:val="none"/>
          <w:lang w:eastAsia="zh-CN"/>
        </w:rPr>
      </w:pPr>
      <w:r>
        <w:rPr>
          <w:rFonts w:hint="eastAsia"/>
          <w:strike w:val="0"/>
          <w:color w:val="auto"/>
          <w:highlight w:val="none"/>
        </w:rPr>
        <w:t>标项名称：</w:t>
      </w:r>
      <w:r>
        <w:rPr>
          <w:rFonts w:hint="eastAsia" w:ascii="宋体" w:hAnsi="宋体"/>
          <w:strike w:val="0"/>
          <w:color w:val="auto"/>
          <w:szCs w:val="21"/>
          <w:highlight w:val="none"/>
          <w:lang w:eastAsia="zh-CN"/>
        </w:rPr>
        <w:t>浦北县第九小学教学设备采购</w:t>
      </w:r>
    </w:p>
    <w:p w14:paraId="16940D00">
      <w:pPr>
        <w:ind w:firstLine="420"/>
        <w:rPr>
          <w:rFonts w:hint="eastAsia"/>
          <w:strike w:val="0"/>
          <w:color w:val="auto"/>
          <w:highlight w:val="none"/>
        </w:rPr>
      </w:pPr>
      <w:r>
        <w:rPr>
          <w:rFonts w:hint="eastAsia"/>
          <w:strike w:val="0"/>
          <w:color w:val="auto"/>
          <w:highlight w:val="none"/>
        </w:rPr>
        <w:t>数量：1</w:t>
      </w:r>
    </w:p>
    <w:p w14:paraId="1E2C5E36">
      <w:pPr>
        <w:ind w:firstLine="420"/>
        <w:rPr>
          <w:rFonts w:hint="eastAsia" w:ascii="Times New Roman" w:hAnsi="Times New Roman" w:eastAsia="宋体" w:cs="Times New Roman"/>
          <w:strike w:val="0"/>
          <w:color w:val="auto"/>
          <w:highlight w:val="none"/>
        </w:rPr>
      </w:pPr>
      <w:r>
        <w:rPr>
          <w:rFonts w:hint="eastAsia"/>
          <w:strike w:val="0"/>
          <w:color w:val="auto"/>
          <w:highlight w:val="none"/>
        </w:rPr>
        <w:t>预算金额(元</w:t>
      </w:r>
      <w:r>
        <w:rPr>
          <w:rFonts w:hint="eastAsia" w:ascii="Times New Roman" w:hAnsi="Times New Roman" w:eastAsia="宋体" w:cs="Times New Roman"/>
          <w:strike w:val="0"/>
          <w:color w:val="auto"/>
          <w:highlight w:val="none"/>
        </w:rPr>
        <w:t>)：1,877,000.00</w:t>
      </w:r>
    </w:p>
    <w:p w14:paraId="6BA5CD6C">
      <w:pPr>
        <w:ind w:firstLine="420"/>
        <w:rPr>
          <w:rFonts w:hint="eastAsia" w:ascii="宋体" w:hAnsi="宋体" w:eastAsia="宋体" w:cs="Times New Roman"/>
          <w:strike w:val="0"/>
          <w:color w:val="auto"/>
          <w:szCs w:val="21"/>
          <w:highlight w:val="none"/>
          <w:lang w:eastAsia="zh-CN"/>
        </w:rPr>
      </w:pPr>
      <w:r>
        <w:rPr>
          <w:rFonts w:hint="eastAsia" w:ascii="宋体" w:hAnsi="宋体" w:eastAsia="宋体" w:cs="Times New Roman"/>
          <w:strike w:val="0"/>
          <w:color w:val="auto"/>
          <w:szCs w:val="21"/>
          <w:highlight w:val="none"/>
          <w:lang w:eastAsia="zh-CN"/>
        </w:rPr>
        <w:t>简要规格描述或项目基本概况介绍、用途：</w:t>
      </w:r>
      <w:r>
        <w:rPr>
          <w:rFonts w:hint="eastAsia" w:ascii="宋体" w:hAnsi="宋体" w:eastAsia="宋体" w:cs="Times New Roman"/>
          <w:strike w:val="0"/>
          <w:color w:val="auto"/>
          <w:szCs w:val="21"/>
          <w:highlight w:val="none"/>
          <w:lang w:val="en-US" w:eastAsia="zh-CN"/>
        </w:rPr>
        <w:t>计算机、多媒体教学设备、</w:t>
      </w:r>
      <w:r>
        <w:rPr>
          <w:rFonts w:hint="eastAsia" w:ascii="宋体" w:hAnsi="宋体" w:eastAsia="宋体" w:cs="Times New Roman"/>
          <w:strike w:val="0"/>
          <w:color w:val="auto"/>
          <w:szCs w:val="21"/>
          <w:highlight w:val="none"/>
          <w:lang w:eastAsia="zh-CN"/>
        </w:rPr>
        <w:t>课桌椅、其他实验实习设备、体育器材、音乐教学器材</w:t>
      </w:r>
      <w:r>
        <w:rPr>
          <w:rFonts w:hint="eastAsia" w:ascii="宋体" w:hAnsi="宋体" w:eastAsia="宋体" w:cs="Times New Roman"/>
          <w:strike w:val="0"/>
          <w:color w:val="auto"/>
          <w:szCs w:val="21"/>
          <w:highlight w:val="none"/>
          <w:lang w:val="en-US" w:eastAsia="zh-CN"/>
        </w:rPr>
        <w:t>等教学设备等一批，</w:t>
      </w:r>
      <w:r>
        <w:rPr>
          <w:rFonts w:hint="eastAsia" w:ascii="宋体" w:hAnsi="宋体" w:eastAsia="宋体" w:cs="Times New Roman"/>
          <w:strike w:val="0"/>
          <w:color w:val="auto"/>
          <w:szCs w:val="21"/>
          <w:highlight w:val="none"/>
          <w:lang w:eastAsia="zh-CN"/>
        </w:rPr>
        <w:t>具体详见采购需求。</w:t>
      </w:r>
    </w:p>
    <w:p w14:paraId="007D4EF9">
      <w:pPr>
        <w:ind w:firstLine="420"/>
        <w:rPr>
          <w:strike w:val="0"/>
          <w:color w:val="auto"/>
          <w:highlight w:val="none"/>
        </w:rPr>
      </w:pPr>
      <w:r>
        <w:rPr>
          <w:rFonts w:hint="eastAsia"/>
          <w:strike w:val="0"/>
          <w:color w:val="auto"/>
          <w:highlight w:val="none"/>
        </w:rPr>
        <w:t>最高限价(如有</w:t>
      </w:r>
      <w:r>
        <w:rPr>
          <w:strike w:val="0"/>
          <w:color w:val="auto"/>
          <w:highlight w:val="none"/>
        </w:rPr>
        <w:t>)</w:t>
      </w:r>
      <w:r>
        <w:rPr>
          <w:rFonts w:hint="eastAsia"/>
          <w:strike w:val="0"/>
          <w:color w:val="auto"/>
          <w:highlight w:val="none"/>
        </w:rPr>
        <w:t>：</w:t>
      </w:r>
    </w:p>
    <w:p w14:paraId="1BE16EAF">
      <w:pPr>
        <w:ind w:firstLine="420"/>
        <w:rPr>
          <w:rFonts w:hint="eastAsia" w:ascii="Times New Roman" w:hAnsi="Times New Roman" w:eastAsia="宋体" w:cs="Times New Roman"/>
          <w:strike w:val="0"/>
          <w:color w:val="auto"/>
          <w:highlight w:val="none"/>
          <w:lang w:val="en-US" w:eastAsia="zh-CN"/>
        </w:rPr>
      </w:pPr>
      <w:r>
        <w:rPr>
          <w:rFonts w:hint="eastAsia" w:ascii="Times New Roman" w:hAnsi="Times New Roman" w:eastAsia="宋体" w:cs="Times New Roman"/>
          <w:strike w:val="0"/>
          <w:color w:val="auto"/>
          <w:highlight w:val="none"/>
          <w:lang w:val="en-US" w:eastAsia="zh-CN"/>
        </w:rPr>
        <w:t>合同履行期限：</w:t>
      </w:r>
      <w:r>
        <w:rPr>
          <w:rFonts w:hint="eastAsia" w:ascii="宋体" w:hAnsi="宋体" w:eastAsia="宋体" w:cs="宋体"/>
          <w:strike w:val="0"/>
          <w:color w:val="auto"/>
          <w:szCs w:val="21"/>
          <w:highlight w:val="none"/>
        </w:rPr>
        <w:t>自签订合同之日起</w:t>
      </w:r>
      <w:r>
        <w:rPr>
          <w:rFonts w:hint="eastAsia" w:ascii="宋体" w:hAnsi="宋体" w:eastAsia="宋体" w:cs="宋体"/>
          <w:strike w:val="0"/>
          <w:color w:val="auto"/>
          <w:szCs w:val="21"/>
          <w:highlight w:val="none"/>
          <w:lang w:val="en-US" w:eastAsia="zh-CN"/>
        </w:rPr>
        <w:t>30</w:t>
      </w:r>
      <w:r>
        <w:rPr>
          <w:rFonts w:hint="eastAsia" w:ascii="宋体" w:hAnsi="宋体" w:eastAsia="宋体" w:cs="宋体"/>
          <w:strike w:val="0"/>
          <w:color w:val="auto"/>
          <w:szCs w:val="21"/>
          <w:highlight w:val="none"/>
        </w:rPr>
        <w:t>日内交付使用。</w:t>
      </w:r>
    </w:p>
    <w:p w14:paraId="5ECF9BEC">
      <w:pPr>
        <w:ind w:firstLine="420"/>
        <w:rPr>
          <w:strike w:val="0"/>
          <w:color w:val="auto"/>
          <w:highlight w:val="none"/>
        </w:rPr>
      </w:pPr>
      <w:r>
        <w:rPr>
          <w:rFonts w:hint="eastAsia"/>
          <w:strike w:val="0"/>
          <w:color w:val="auto"/>
          <w:highlight w:val="none"/>
        </w:rPr>
        <w:t>本标项(</w:t>
      </w:r>
      <w:r>
        <w:rPr>
          <w:rFonts w:hint="eastAsia"/>
          <w:strike w:val="0"/>
          <w:color w:val="auto"/>
          <w:highlight w:val="none"/>
          <w:lang w:val="en-US" w:eastAsia="zh-CN"/>
        </w:rPr>
        <w:t>否</w:t>
      </w:r>
      <w:r>
        <w:rPr>
          <w:strike w:val="0"/>
          <w:color w:val="auto"/>
          <w:highlight w:val="none"/>
        </w:rPr>
        <w:t>)</w:t>
      </w:r>
      <w:r>
        <w:rPr>
          <w:rFonts w:hint="eastAsia"/>
          <w:strike w:val="0"/>
          <w:color w:val="auto"/>
          <w:highlight w:val="none"/>
        </w:rPr>
        <w:t>接受联合体投标。</w:t>
      </w:r>
    </w:p>
    <w:p w14:paraId="5F3B7026">
      <w:pPr>
        <w:ind w:firstLine="420"/>
        <w:rPr>
          <w:rFonts w:hint="eastAsia"/>
          <w:strike w:val="0"/>
          <w:color w:val="auto"/>
          <w:highlight w:val="none"/>
        </w:rPr>
      </w:pPr>
      <w:r>
        <w:rPr>
          <w:rFonts w:hint="eastAsia"/>
          <w:strike w:val="0"/>
          <w:color w:val="auto"/>
          <w:highlight w:val="none"/>
        </w:rPr>
        <w:t>备注：</w:t>
      </w:r>
    </w:p>
    <w:p w14:paraId="6DD29E9F">
      <w:pPr>
        <w:ind w:firstLine="420"/>
        <w:rPr>
          <w:rFonts w:hint="eastAsia"/>
          <w:strike w:val="0"/>
          <w:color w:val="auto"/>
          <w:highlight w:val="yellow"/>
          <w:lang w:val="en-US" w:eastAsia="zh-CN"/>
        </w:rPr>
      </w:pPr>
    </w:p>
    <w:p w14:paraId="38F1637D">
      <w:pPr>
        <w:ind w:firstLine="420"/>
        <w:rPr>
          <w:rFonts w:hint="default" w:eastAsia="宋体"/>
          <w:strike w:val="0"/>
          <w:color w:val="auto"/>
          <w:highlight w:val="none"/>
          <w:lang w:val="en-US" w:eastAsia="zh-CN"/>
        </w:rPr>
      </w:pPr>
      <w:r>
        <w:rPr>
          <w:rFonts w:hint="eastAsia"/>
          <w:strike w:val="0"/>
          <w:color w:val="auto"/>
          <w:highlight w:val="none"/>
          <w:lang w:val="en-US" w:eastAsia="zh-CN"/>
        </w:rPr>
        <w:t>标项二</w:t>
      </w:r>
    </w:p>
    <w:p w14:paraId="7CA90BF1">
      <w:pPr>
        <w:ind w:firstLine="420"/>
        <w:rPr>
          <w:rFonts w:hint="eastAsia" w:eastAsia="宋体"/>
          <w:strike w:val="0"/>
          <w:color w:val="auto"/>
          <w:highlight w:val="none"/>
          <w:lang w:eastAsia="zh-CN"/>
        </w:rPr>
      </w:pPr>
      <w:r>
        <w:rPr>
          <w:rFonts w:hint="eastAsia"/>
          <w:strike w:val="0"/>
          <w:color w:val="auto"/>
          <w:highlight w:val="none"/>
        </w:rPr>
        <w:t>标项名称：</w:t>
      </w:r>
      <w:r>
        <w:rPr>
          <w:rFonts w:hint="eastAsia" w:ascii="宋体" w:hAnsi="宋体"/>
          <w:strike w:val="0"/>
          <w:color w:val="auto"/>
          <w:szCs w:val="21"/>
          <w:highlight w:val="none"/>
          <w:lang w:eastAsia="zh-CN"/>
        </w:rPr>
        <w:t>浦北县第十小学</w:t>
      </w:r>
      <w:r>
        <w:rPr>
          <w:rFonts w:hint="eastAsia" w:ascii="宋体" w:hAnsi="宋体" w:eastAsia="宋体" w:cs="Times New Roman"/>
          <w:strike w:val="0"/>
          <w:color w:val="auto"/>
          <w:szCs w:val="21"/>
          <w:highlight w:val="none"/>
          <w:lang w:eastAsia="zh-CN"/>
        </w:rPr>
        <w:t>和浦北县六硍镇寄宿制学校教学</w:t>
      </w:r>
      <w:r>
        <w:rPr>
          <w:rFonts w:hint="eastAsia" w:ascii="宋体" w:hAnsi="宋体"/>
          <w:strike w:val="0"/>
          <w:color w:val="auto"/>
          <w:szCs w:val="21"/>
          <w:highlight w:val="none"/>
          <w:lang w:eastAsia="zh-CN"/>
        </w:rPr>
        <w:t>设备采购</w:t>
      </w:r>
    </w:p>
    <w:p w14:paraId="171C2AD3">
      <w:pPr>
        <w:ind w:firstLine="420"/>
        <w:rPr>
          <w:rFonts w:hint="eastAsia"/>
          <w:strike w:val="0"/>
          <w:color w:val="auto"/>
          <w:highlight w:val="none"/>
        </w:rPr>
      </w:pPr>
      <w:r>
        <w:rPr>
          <w:rFonts w:hint="eastAsia"/>
          <w:strike w:val="0"/>
          <w:color w:val="auto"/>
          <w:highlight w:val="none"/>
        </w:rPr>
        <w:t>数量：1</w:t>
      </w:r>
    </w:p>
    <w:p w14:paraId="309A2BC0">
      <w:pPr>
        <w:ind w:firstLine="420"/>
        <w:rPr>
          <w:rFonts w:hint="eastAsia" w:ascii="Times New Roman" w:hAnsi="Times New Roman" w:eastAsia="宋体" w:cs="Times New Roman"/>
          <w:strike w:val="0"/>
          <w:color w:val="auto"/>
          <w:highlight w:val="none"/>
        </w:rPr>
      </w:pPr>
      <w:r>
        <w:rPr>
          <w:rFonts w:hint="eastAsia"/>
          <w:strike w:val="0"/>
          <w:color w:val="auto"/>
          <w:highlight w:val="none"/>
        </w:rPr>
        <w:t>预算金额(元</w:t>
      </w:r>
      <w:r>
        <w:rPr>
          <w:rFonts w:hint="eastAsia" w:ascii="Times New Roman" w:hAnsi="Times New Roman" w:eastAsia="宋体" w:cs="Times New Roman"/>
          <w:strike w:val="0"/>
          <w:color w:val="auto"/>
          <w:highlight w:val="none"/>
        </w:rPr>
        <w:t>)：1,545,000.00</w:t>
      </w:r>
    </w:p>
    <w:p w14:paraId="6D6C322A">
      <w:pPr>
        <w:ind w:firstLine="420"/>
        <w:rPr>
          <w:rFonts w:hint="eastAsia" w:ascii="宋体" w:hAnsi="宋体" w:eastAsia="宋体" w:cs="Times New Roman"/>
          <w:strike w:val="0"/>
          <w:color w:val="auto"/>
          <w:szCs w:val="21"/>
          <w:highlight w:val="none"/>
          <w:lang w:val="en-US" w:eastAsia="zh-CN"/>
        </w:rPr>
      </w:pPr>
      <w:r>
        <w:rPr>
          <w:rFonts w:hint="eastAsia" w:ascii="宋体" w:hAnsi="宋体" w:eastAsia="宋体" w:cs="Times New Roman"/>
          <w:strike w:val="0"/>
          <w:color w:val="auto"/>
          <w:szCs w:val="21"/>
          <w:highlight w:val="none"/>
          <w:lang w:val="en-US" w:eastAsia="zh-CN"/>
        </w:rPr>
        <w:t>简要规格描述或项目基本概况介绍、用途：多媒体、计算机、科学实验室成套设备、教学仪器、心理健康等教学设备等一批，具体详见采购需求。</w:t>
      </w:r>
    </w:p>
    <w:p w14:paraId="3942EF33">
      <w:pPr>
        <w:ind w:firstLine="420"/>
        <w:rPr>
          <w:strike w:val="0"/>
          <w:color w:val="auto"/>
          <w:highlight w:val="none"/>
        </w:rPr>
      </w:pPr>
      <w:r>
        <w:rPr>
          <w:rFonts w:hint="eastAsia"/>
          <w:strike w:val="0"/>
          <w:color w:val="auto"/>
          <w:highlight w:val="none"/>
        </w:rPr>
        <w:t>最高限价(如有</w:t>
      </w:r>
      <w:r>
        <w:rPr>
          <w:strike w:val="0"/>
          <w:color w:val="auto"/>
          <w:highlight w:val="none"/>
        </w:rPr>
        <w:t>)</w:t>
      </w:r>
      <w:r>
        <w:rPr>
          <w:rFonts w:hint="eastAsia"/>
          <w:strike w:val="0"/>
          <w:color w:val="auto"/>
          <w:highlight w:val="none"/>
        </w:rPr>
        <w:t>：</w:t>
      </w:r>
    </w:p>
    <w:p w14:paraId="26CB103A">
      <w:pPr>
        <w:ind w:firstLine="420"/>
        <w:rPr>
          <w:rFonts w:hint="eastAsia" w:ascii="Times New Roman" w:hAnsi="Times New Roman" w:eastAsia="宋体" w:cs="Times New Roman"/>
          <w:strike w:val="0"/>
          <w:color w:val="auto"/>
          <w:highlight w:val="none"/>
          <w:lang w:val="en-US" w:eastAsia="zh-CN"/>
        </w:rPr>
      </w:pPr>
      <w:r>
        <w:rPr>
          <w:rFonts w:hint="eastAsia" w:ascii="Times New Roman" w:hAnsi="Times New Roman" w:eastAsia="宋体" w:cs="Times New Roman"/>
          <w:strike w:val="0"/>
          <w:color w:val="auto"/>
          <w:highlight w:val="none"/>
          <w:lang w:val="en-US" w:eastAsia="zh-CN"/>
        </w:rPr>
        <w:t>合同履行期限：</w:t>
      </w:r>
      <w:r>
        <w:rPr>
          <w:rFonts w:hint="eastAsia" w:ascii="宋体" w:hAnsi="宋体" w:eastAsia="宋体" w:cs="宋体"/>
          <w:strike w:val="0"/>
          <w:color w:val="auto"/>
          <w:szCs w:val="21"/>
          <w:highlight w:val="none"/>
        </w:rPr>
        <w:t>自签订合同之日起</w:t>
      </w:r>
      <w:r>
        <w:rPr>
          <w:rFonts w:hint="eastAsia" w:ascii="宋体" w:hAnsi="宋体" w:eastAsia="宋体" w:cs="宋体"/>
          <w:strike w:val="0"/>
          <w:color w:val="auto"/>
          <w:szCs w:val="21"/>
          <w:highlight w:val="none"/>
          <w:lang w:val="en-US" w:eastAsia="zh-CN"/>
        </w:rPr>
        <w:t>45</w:t>
      </w:r>
      <w:r>
        <w:rPr>
          <w:rFonts w:hint="eastAsia" w:ascii="宋体" w:hAnsi="宋体" w:eastAsia="宋体" w:cs="宋体"/>
          <w:strike w:val="0"/>
          <w:color w:val="auto"/>
          <w:szCs w:val="21"/>
          <w:highlight w:val="none"/>
        </w:rPr>
        <w:t>日内交付使用。</w:t>
      </w:r>
    </w:p>
    <w:p w14:paraId="002C7F09">
      <w:pPr>
        <w:ind w:firstLine="420"/>
        <w:rPr>
          <w:strike w:val="0"/>
          <w:color w:val="auto"/>
          <w:highlight w:val="none"/>
        </w:rPr>
      </w:pPr>
      <w:r>
        <w:rPr>
          <w:rFonts w:hint="eastAsia"/>
          <w:strike w:val="0"/>
          <w:color w:val="auto"/>
          <w:highlight w:val="none"/>
        </w:rPr>
        <w:t>本标项(</w:t>
      </w:r>
      <w:r>
        <w:rPr>
          <w:rFonts w:hint="eastAsia"/>
          <w:strike w:val="0"/>
          <w:color w:val="auto"/>
          <w:highlight w:val="none"/>
          <w:lang w:val="en-US" w:eastAsia="zh-CN"/>
        </w:rPr>
        <w:t>否</w:t>
      </w:r>
      <w:r>
        <w:rPr>
          <w:strike w:val="0"/>
          <w:color w:val="auto"/>
          <w:highlight w:val="none"/>
        </w:rPr>
        <w:t>)</w:t>
      </w:r>
      <w:r>
        <w:rPr>
          <w:rFonts w:hint="eastAsia"/>
          <w:strike w:val="0"/>
          <w:color w:val="auto"/>
          <w:highlight w:val="none"/>
        </w:rPr>
        <w:t>接受联合体投标。</w:t>
      </w:r>
    </w:p>
    <w:p w14:paraId="0D1AD6DC">
      <w:pPr>
        <w:ind w:firstLine="420"/>
        <w:rPr>
          <w:rFonts w:hint="eastAsia"/>
          <w:strike w:val="0"/>
          <w:color w:val="auto"/>
          <w:highlight w:val="none"/>
        </w:rPr>
      </w:pPr>
      <w:r>
        <w:rPr>
          <w:rFonts w:hint="eastAsia"/>
          <w:strike w:val="0"/>
          <w:color w:val="auto"/>
          <w:highlight w:val="none"/>
        </w:rPr>
        <w:t>备注：</w:t>
      </w:r>
    </w:p>
    <w:p w14:paraId="42CEA207">
      <w:pPr>
        <w:pStyle w:val="33"/>
        <w:rPr>
          <w:rFonts w:hint="eastAsia"/>
          <w:strike w:val="0"/>
          <w:color w:val="auto"/>
        </w:rPr>
      </w:pPr>
    </w:p>
    <w:p w14:paraId="1971EA0C">
      <w:pPr>
        <w:ind w:firstLine="0" w:firstLineChars="0"/>
        <w:rPr>
          <w:b/>
          <w:strike w:val="0"/>
          <w:color w:val="auto"/>
        </w:rPr>
      </w:pPr>
      <w:bookmarkStart w:id="10" w:name="_Toc35393791"/>
      <w:bookmarkStart w:id="11" w:name="_Toc28359080"/>
      <w:bookmarkStart w:id="12" w:name="_Toc35393622"/>
      <w:bookmarkStart w:id="13" w:name="_Toc28359003"/>
      <w:r>
        <w:rPr>
          <w:rFonts w:hint="eastAsia"/>
          <w:b/>
          <w:strike w:val="0"/>
          <w:color w:val="auto"/>
        </w:rPr>
        <w:t>二、申请人的资格要求：</w:t>
      </w:r>
      <w:bookmarkEnd w:id="10"/>
      <w:bookmarkEnd w:id="11"/>
      <w:bookmarkEnd w:id="12"/>
      <w:bookmarkEnd w:id="13"/>
      <w:bookmarkStart w:id="14" w:name="_Toc35393623"/>
      <w:bookmarkStart w:id="15" w:name="_Toc28359081"/>
      <w:bookmarkStart w:id="16" w:name="_Toc28359004"/>
      <w:bookmarkStart w:id="17" w:name="_Toc35393792"/>
    </w:p>
    <w:p w14:paraId="215B4119">
      <w:pPr>
        <w:ind w:firstLine="420"/>
        <w:rPr>
          <w:rFonts w:hint="eastAsia" w:ascii="Times New Roman" w:hAnsi="Times New Roman" w:eastAsia="宋体" w:cs="Times New Roman"/>
          <w:strike w:val="0"/>
          <w:color w:val="auto"/>
        </w:rPr>
      </w:pPr>
      <w:r>
        <w:rPr>
          <w:rFonts w:hint="eastAsia"/>
          <w:strike w:val="0"/>
          <w:color w:val="auto"/>
        </w:rPr>
        <w:t>1.满足《中华人民共和国政府采购法》第二十二条规定；</w:t>
      </w:r>
    </w:p>
    <w:p w14:paraId="137C43D4">
      <w:pPr>
        <w:ind w:firstLine="420"/>
        <w:rPr>
          <w:rFonts w:hint="eastAsia" w:ascii="Times New Roman" w:hAnsi="Times New Roman" w:eastAsia="宋体" w:cs="Times New Roman"/>
          <w:strike w:val="0"/>
          <w:color w:val="auto"/>
        </w:rPr>
      </w:pPr>
      <w:r>
        <w:rPr>
          <w:rFonts w:hint="eastAsia" w:ascii="Times New Roman" w:hAnsi="Times New Roman" w:eastAsia="宋体" w:cs="Times New Roman"/>
          <w:strike w:val="0"/>
          <w:color w:val="auto"/>
          <w:lang w:val="en-US" w:eastAsia="zh-CN"/>
        </w:rPr>
        <w:t>2.</w:t>
      </w:r>
      <w:r>
        <w:rPr>
          <w:rFonts w:hint="eastAsia" w:ascii="Times New Roman" w:hAnsi="Times New Roman" w:eastAsia="宋体" w:cs="Times New Roman"/>
          <w:strike w:val="0"/>
          <w:color w:val="auto"/>
        </w:rPr>
        <w:t>落实政</w:t>
      </w:r>
      <w:r>
        <w:rPr>
          <w:rFonts w:hint="eastAsia"/>
          <w:strike w:val="0"/>
          <w:color w:val="auto"/>
        </w:rPr>
        <w:t>府采购政策需满足的资格要</w:t>
      </w:r>
      <w:r>
        <w:rPr>
          <w:rFonts w:hint="eastAsia" w:ascii="Times New Roman" w:hAnsi="Times New Roman" w:eastAsia="宋体" w:cs="Times New Roman"/>
          <w:strike w:val="0"/>
          <w:color w:val="auto"/>
        </w:rPr>
        <w:t>求：</w:t>
      </w:r>
      <w:r>
        <w:rPr>
          <w:rFonts w:hint="eastAsia" w:ascii="Times New Roman" w:hAnsi="Times New Roman" w:eastAsia="宋体" w:cs="Times New Roman"/>
          <w:strike w:val="0"/>
          <w:color w:val="auto"/>
          <w:lang w:val="en-US" w:eastAsia="zh-CN"/>
        </w:rPr>
        <w:t>标项一、标项二：无。</w:t>
      </w:r>
    </w:p>
    <w:p w14:paraId="501FB3C2">
      <w:pPr>
        <w:ind w:firstLine="435" w:firstLineChars="0"/>
        <w:rPr>
          <w:rFonts w:hint="eastAsia" w:eastAsia="宋体"/>
          <w:strike w:val="0"/>
          <w:color w:val="auto"/>
          <w:lang w:eastAsia="zh-CN"/>
        </w:rPr>
      </w:pPr>
      <w:r>
        <w:rPr>
          <w:rFonts w:hint="eastAsia"/>
          <w:strike w:val="0"/>
          <w:color w:val="auto"/>
        </w:rPr>
        <w:t>3.本项目的特定资格要求：无</w:t>
      </w:r>
      <w:r>
        <w:rPr>
          <w:rFonts w:hint="eastAsia"/>
          <w:strike w:val="0"/>
          <w:color w:val="auto"/>
          <w:lang w:eastAsia="zh-CN"/>
        </w:rPr>
        <w:t>。</w:t>
      </w:r>
    </w:p>
    <w:p w14:paraId="4F725876">
      <w:pPr>
        <w:ind w:firstLine="0" w:firstLineChars="0"/>
        <w:rPr>
          <w:b/>
          <w:strike w:val="0"/>
          <w:color w:val="auto"/>
        </w:rPr>
      </w:pPr>
      <w:r>
        <w:rPr>
          <w:rFonts w:hint="eastAsia"/>
          <w:b/>
          <w:strike w:val="0"/>
          <w:color w:val="auto"/>
        </w:rPr>
        <w:t>三、获取招标文件</w:t>
      </w:r>
      <w:bookmarkEnd w:id="14"/>
      <w:bookmarkEnd w:id="15"/>
      <w:bookmarkEnd w:id="16"/>
      <w:bookmarkEnd w:id="17"/>
    </w:p>
    <w:p w14:paraId="4F596376">
      <w:pPr>
        <w:ind w:firstLine="420"/>
        <w:jc w:val="left"/>
        <w:rPr>
          <w:strike w:val="0"/>
          <w:color w:val="auto"/>
        </w:rPr>
      </w:pPr>
      <w:bookmarkStart w:id="18" w:name="_Toc38370141"/>
      <w:r>
        <w:rPr>
          <w:rFonts w:hint="eastAsia"/>
          <w:strike w:val="0"/>
          <w:color w:val="auto"/>
        </w:rPr>
        <w:t>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1</w:t>
      </w:r>
      <w:r>
        <w:rPr>
          <w:rFonts w:hint="eastAsia" w:ascii="宋体" w:hAnsi="宋体"/>
          <w:strike w:val="0"/>
          <w:color w:val="auto"/>
          <w:szCs w:val="21"/>
        </w:rPr>
        <w:t>日</w:t>
      </w:r>
      <w:r>
        <w:rPr>
          <w:rFonts w:hint="eastAsia"/>
          <w:strike w:val="0"/>
          <w:color w:val="auto"/>
        </w:rPr>
        <w:t>至</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8</w:t>
      </w:r>
      <w:r>
        <w:rPr>
          <w:rFonts w:hint="eastAsia" w:ascii="宋体" w:hAnsi="宋体"/>
          <w:strike w:val="0"/>
          <w:color w:val="auto"/>
          <w:szCs w:val="21"/>
        </w:rPr>
        <w:t>日</w:t>
      </w:r>
      <w:r>
        <w:rPr>
          <w:rFonts w:hint="eastAsia"/>
          <w:strike w:val="0"/>
          <w:color w:val="auto"/>
        </w:rPr>
        <w:t xml:space="preserve"> ，每天上午00:00至12:00，下午12:00至23:59（北京时间，法定节假日除外）</w:t>
      </w:r>
    </w:p>
    <w:p w14:paraId="2AC2C028">
      <w:pPr>
        <w:ind w:firstLine="420"/>
        <w:rPr>
          <w:rFonts w:hint="eastAsia"/>
          <w:strike w:val="0"/>
          <w:color w:val="auto"/>
        </w:rPr>
      </w:pPr>
      <w:r>
        <w:rPr>
          <w:rFonts w:hint="eastAsia"/>
          <w:strike w:val="0"/>
          <w:color w:val="auto"/>
        </w:rPr>
        <w:t>地点(网址</w:t>
      </w:r>
      <w:r>
        <w:rPr>
          <w:strike w:val="0"/>
          <w:color w:val="auto"/>
        </w:rPr>
        <w:t>)</w:t>
      </w:r>
      <w:r>
        <w:rPr>
          <w:rFonts w:hint="eastAsia"/>
          <w:strike w:val="0"/>
          <w:color w:val="auto"/>
        </w:rPr>
        <w:t>：</w:t>
      </w:r>
      <w:r>
        <w:rPr>
          <w:rFonts w:hint="eastAsia" w:ascii="宋体" w:hAnsi="宋体"/>
          <w:strike w:val="0"/>
          <w:color w:val="auto"/>
          <w:szCs w:val="21"/>
        </w:rPr>
        <w:t>广西政府采购云平台（https://www.gcy.zfcg.gxzf.gov.cn/）</w:t>
      </w:r>
    </w:p>
    <w:p w14:paraId="7EB2EA0C">
      <w:pPr>
        <w:ind w:firstLine="420"/>
        <w:rPr>
          <w:strike w:val="0"/>
          <w:color w:val="auto"/>
        </w:rPr>
      </w:pPr>
      <w:r>
        <w:rPr>
          <w:rFonts w:hint="eastAsia"/>
          <w:strike w:val="0"/>
          <w:color w:val="auto"/>
        </w:rPr>
        <w:t>方式：供应商登录广西政府采购云平台(以下称“政采云平台”)在线获取招标文件（进入“项目采购”应用选择项目，获取招标文件）</w:t>
      </w:r>
    </w:p>
    <w:p w14:paraId="2DFFE0AC">
      <w:pPr>
        <w:ind w:firstLine="420"/>
        <w:rPr>
          <w:rFonts w:hint="eastAsia"/>
          <w:strike w:val="0"/>
          <w:color w:val="auto"/>
        </w:rPr>
      </w:pPr>
      <w:r>
        <w:rPr>
          <w:rFonts w:hint="eastAsia"/>
          <w:strike w:val="0"/>
          <w:color w:val="auto"/>
        </w:rPr>
        <w:t>售价(元</w:t>
      </w:r>
      <w:r>
        <w:rPr>
          <w:strike w:val="0"/>
          <w:color w:val="auto"/>
        </w:rPr>
        <w:t>)</w:t>
      </w:r>
      <w:r>
        <w:rPr>
          <w:rFonts w:hint="eastAsia"/>
          <w:strike w:val="0"/>
          <w:color w:val="auto"/>
        </w:rPr>
        <w:t xml:space="preserve">：0 </w:t>
      </w:r>
    </w:p>
    <w:p w14:paraId="181B5940">
      <w:pPr>
        <w:ind w:firstLine="0" w:firstLineChars="0"/>
        <w:rPr>
          <w:b/>
          <w:strike w:val="0"/>
          <w:color w:val="auto"/>
        </w:rPr>
      </w:pPr>
      <w:r>
        <w:rPr>
          <w:rFonts w:hint="eastAsia"/>
          <w:b/>
          <w:bCs/>
          <w:strike w:val="0"/>
          <w:color w:val="auto"/>
        </w:rPr>
        <w:t>四、</w:t>
      </w:r>
      <w:bookmarkEnd w:id="18"/>
      <w:bookmarkStart w:id="19" w:name="_Toc28359005"/>
      <w:bookmarkStart w:id="20" w:name="_Toc28359082"/>
      <w:bookmarkStart w:id="21" w:name="_Toc35393793"/>
      <w:bookmarkStart w:id="22" w:name="_Toc35393624"/>
      <w:r>
        <w:rPr>
          <w:rFonts w:hint="eastAsia"/>
          <w:b/>
          <w:strike w:val="0"/>
          <w:color w:val="auto"/>
        </w:rPr>
        <w:t>投标文件</w:t>
      </w:r>
      <w:bookmarkEnd w:id="19"/>
      <w:bookmarkEnd w:id="20"/>
      <w:r>
        <w:rPr>
          <w:rFonts w:hint="eastAsia"/>
          <w:b/>
          <w:strike w:val="0"/>
          <w:color w:val="auto"/>
        </w:rPr>
        <w:t>提交截止时间、开标时间和</w:t>
      </w:r>
      <w:bookmarkEnd w:id="21"/>
      <w:bookmarkEnd w:id="22"/>
      <w:r>
        <w:rPr>
          <w:rFonts w:hint="eastAsia"/>
          <w:b/>
          <w:strike w:val="0"/>
          <w:color w:val="auto"/>
        </w:rPr>
        <w:t>地点</w:t>
      </w:r>
    </w:p>
    <w:p w14:paraId="5E7F1B58">
      <w:pPr>
        <w:ind w:firstLine="420"/>
        <w:rPr>
          <w:strike w:val="0"/>
          <w:color w:val="auto"/>
        </w:rPr>
      </w:pPr>
      <w:r>
        <w:rPr>
          <w:rFonts w:hint="eastAsia"/>
          <w:strike w:val="0"/>
          <w:color w:val="auto"/>
        </w:rPr>
        <w:t>提交投标文件截止时间：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22</w:t>
      </w:r>
      <w:r>
        <w:rPr>
          <w:rFonts w:hint="eastAsia" w:ascii="宋体" w:hAnsi="宋体"/>
          <w:strike w:val="0"/>
          <w:color w:val="auto"/>
          <w:szCs w:val="21"/>
        </w:rPr>
        <w:t>日</w:t>
      </w:r>
      <w:r>
        <w:rPr>
          <w:rFonts w:hint="eastAsia" w:ascii="宋体" w:hAnsi="宋体"/>
          <w:strike w:val="0"/>
          <w:color w:val="auto"/>
          <w:szCs w:val="21"/>
          <w:lang w:val="en-US" w:eastAsia="zh-CN"/>
        </w:rPr>
        <w:t>10</w:t>
      </w:r>
      <w:r>
        <w:rPr>
          <w:rFonts w:hint="eastAsia" w:ascii="宋体" w:hAnsi="宋体"/>
          <w:strike w:val="0"/>
          <w:color w:val="auto"/>
          <w:szCs w:val="21"/>
        </w:rPr>
        <w:t>:</w:t>
      </w:r>
      <w:r>
        <w:rPr>
          <w:rFonts w:hint="eastAsia" w:ascii="宋体" w:hAnsi="宋体"/>
          <w:strike w:val="0"/>
          <w:color w:val="auto"/>
          <w:szCs w:val="21"/>
          <w:lang w:val="en-US" w:eastAsia="zh-CN"/>
        </w:rPr>
        <w:t>00</w:t>
      </w:r>
      <w:r>
        <w:rPr>
          <w:rFonts w:hint="eastAsia"/>
          <w:strike w:val="0"/>
          <w:color w:val="auto"/>
        </w:rPr>
        <w:t>（北京时间）</w:t>
      </w:r>
    </w:p>
    <w:p w14:paraId="244F552C">
      <w:pPr>
        <w:ind w:firstLine="420"/>
        <w:rPr>
          <w:rFonts w:ascii="宋体" w:hAnsi="宋体" w:cs="Courier New"/>
          <w:strike w:val="0"/>
          <w:color w:val="auto"/>
          <w:szCs w:val="21"/>
        </w:rPr>
      </w:pPr>
      <w:r>
        <w:rPr>
          <w:rFonts w:hint="eastAsia"/>
          <w:strike w:val="0"/>
          <w:color w:val="auto"/>
        </w:rPr>
        <w:t>投标地点(网址）：</w:t>
      </w:r>
      <w:r>
        <w:rPr>
          <w:rFonts w:hint="eastAsia" w:ascii="宋体" w:hAnsi="宋体"/>
          <w:strike w:val="0"/>
          <w:color w:val="auto"/>
          <w:szCs w:val="21"/>
        </w:rPr>
        <w:t>广西政府采购云平台（https://www.gcy.zfcg.gxzf.gov.cn/）</w:t>
      </w:r>
    </w:p>
    <w:p w14:paraId="215B8AC5">
      <w:pPr>
        <w:ind w:firstLine="420"/>
        <w:rPr>
          <w:rFonts w:ascii="宋体" w:hAnsi="宋体" w:cs="Courier New"/>
          <w:strike w:val="0"/>
          <w:color w:val="auto"/>
          <w:szCs w:val="21"/>
        </w:rPr>
      </w:pPr>
      <w:r>
        <w:rPr>
          <w:rFonts w:hint="eastAsia" w:ascii="宋体" w:hAnsi="宋体" w:cs="Courier New"/>
          <w:strike w:val="0"/>
          <w:color w:val="auto"/>
          <w:szCs w:val="21"/>
        </w:rPr>
        <w:t>开标时间：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22</w:t>
      </w:r>
      <w:r>
        <w:rPr>
          <w:rFonts w:hint="eastAsia" w:ascii="宋体" w:hAnsi="宋体"/>
          <w:strike w:val="0"/>
          <w:color w:val="auto"/>
          <w:szCs w:val="21"/>
        </w:rPr>
        <w:t>日</w:t>
      </w:r>
      <w:r>
        <w:rPr>
          <w:rFonts w:hint="eastAsia" w:ascii="宋体" w:hAnsi="宋体"/>
          <w:strike w:val="0"/>
          <w:color w:val="auto"/>
          <w:szCs w:val="21"/>
          <w:lang w:val="en-US" w:eastAsia="zh-CN"/>
        </w:rPr>
        <w:t>10</w:t>
      </w:r>
      <w:r>
        <w:rPr>
          <w:rFonts w:hint="eastAsia" w:ascii="宋体" w:hAnsi="宋体"/>
          <w:strike w:val="0"/>
          <w:color w:val="auto"/>
          <w:szCs w:val="21"/>
        </w:rPr>
        <w:t>:</w:t>
      </w:r>
      <w:r>
        <w:rPr>
          <w:rFonts w:hint="eastAsia" w:ascii="宋体" w:hAnsi="宋体"/>
          <w:strike w:val="0"/>
          <w:color w:val="auto"/>
          <w:szCs w:val="21"/>
          <w:lang w:val="en-US" w:eastAsia="zh-CN"/>
        </w:rPr>
        <w:t>00</w:t>
      </w:r>
      <w:r>
        <w:rPr>
          <w:rFonts w:hint="eastAsia" w:ascii="宋体" w:hAnsi="宋体" w:cs="Courier New"/>
          <w:strike w:val="0"/>
          <w:color w:val="auto"/>
          <w:szCs w:val="21"/>
        </w:rPr>
        <w:t>（北京时间）</w:t>
      </w:r>
    </w:p>
    <w:p w14:paraId="26596C74">
      <w:pPr>
        <w:ind w:firstLine="420"/>
        <w:rPr>
          <w:rFonts w:ascii="宋体" w:hAnsi="宋体" w:cs="Courier New"/>
          <w:strike w:val="0"/>
          <w:color w:val="auto"/>
          <w:szCs w:val="21"/>
        </w:rPr>
      </w:pPr>
      <w:r>
        <w:rPr>
          <w:rFonts w:hint="eastAsia" w:ascii="宋体" w:hAnsi="宋体" w:cs="Courier New"/>
          <w:strike w:val="0"/>
          <w:color w:val="auto"/>
          <w:szCs w:val="21"/>
        </w:rPr>
        <w:t>开标地点：</w:t>
      </w:r>
      <w:bookmarkStart w:id="23" w:name="_Toc28359007"/>
      <w:bookmarkStart w:id="24" w:name="_Toc35393625"/>
      <w:bookmarkStart w:id="25" w:name="_Toc35393794"/>
      <w:bookmarkStart w:id="26" w:name="_Toc28359084"/>
      <w:r>
        <w:rPr>
          <w:rFonts w:hint="eastAsia" w:ascii="宋体" w:hAnsi="宋体" w:cs="Courier New"/>
          <w:strike w:val="0"/>
          <w:color w:val="auto"/>
          <w:szCs w:val="21"/>
        </w:rPr>
        <w:t>广西钦州市金海湾东大街8号市政务服务中心三楼开标室</w:t>
      </w:r>
    </w:p>
    <w:p w14:paraId="0C27CA87">
      <w:pPr>
        <w:ind w:firstLine="0" w:firstLineChars="0"/>
        <w:rPr>
          <w:b/>
          <w:strike w:val="0"/>
          <w:color w:val="auto"/>
        </w:rPr>
      </w:pPr>
      <w:r>
        <w:rPr>
          <w:rFonts w:hint="eastAsia"/>
          <w:b/>
          <w:strike w:val="0"/>
          <w:color w:val="auto"/>
        </w:rPr>
        <w:t>五、公告期限</w:t>
      </w:r>
      <w:bookmarkEnd w:id="23"/>
      <w:bookmarkEnd w:id="24"/>
      <w:bookmarkEnd w:id="25"/>
      <w:bookmarkEnd w:id="26"/>
    </w:p>
    <w:p w14:paraId="3E35A5BC">
      <w:pPr>
        <w:ind w:firstLine="420"/>
        <w:rPr>
          <w:strike w:val="0"/>
          <w:color w:val="auto"/>
        </w:rPr>
      </w:pPr>
      <w:r>
        <w:rPr>
          <w:rFonts w:hint="eastAsia"/>
          <w:strike w:val="0"/>
          <w:color w:val="auto"/>
        </w:rPr>
        <w:t>自本公告发布之日起5个工作日。</w:t>
      </w:r>
    </w:p>
    <w:p w14:paraId="63ABA8DE">
      <w:pPr>
        <w:ind w:firstLine="0" w:firstLineChars="0"/>
        <w:rPr>
          <w:b/>
          <w:strike w:val="0"/>
          <w:color w:val="auto"/>
        </w:rPr>
      </w:pPr>
      <w:bookmarkStart w:id="27" w:name="_Toc35393627"/>
      <w:bookmarkStart w:id="28" w:name="_Toc35393796"/>
      <w:bookmarkStart w:id="29" w:name="_Toc28359008"/>
      <w:bookmarkStart w:id="30" w:name="_Toc28359085"/>
      <w:r>
        <w:rPr>
          <w:rFonts w:hint="eastAsia"/>
          <w:b/>
          <w:strike w:val="0"/>
          <w:color w:val="auto"/>
        </w:rPr>
        <w:t>六、其他补充事宜</w:t>
      </w:r>
    </w:p>
    <w:p w14:paraId="1FE432D0">
      <w:pPr>
        <w:ind w:firstLine="420"/>
        <w:rPr>
          <w:rFonts w:hint="eastAsia"/>
          <w:strike w:val="0"/>
          <w:color w:val="auto"/>
        </w:rPr>
      </w:pPr>
      <w:r>
        <w:rPr>
          <w:rFonts w:hint="eastAsia"/>
          <w:strike w:val="0"/>
          <w:color w:val="auto"/>
        </w:rPr>
        <w:t>1</w:t>
      </w:r>
      <w:r>
        <w:rPr>
          <w:strike w:val="0"/>
          <w:color w:val="auto"/>
        </w:rPr>
        <w:t>.</w:t>
      </w:r>
      <w:r>
        <w:rPr>
          <w:rFonts w:hint="eastAsia"/>
          <w:bCs/>
          <w:strike w:val="0"/>
          <w:color w:val="auto"/>
        </w:rPr>
        <w:t>本项目须要落实的政府采购政策</w:t>
      </w:r>
      <w:r>
        <w:rPr>
          <w:rFonts w:hint="eastAsia"/>
          <w:b/>
          <w:strike w:val="0"/>
          <w:color w:val="auto"/>
        </w:rPr>
        <w:t>：</w:t>
      </w:r>
    </w:p>
    <w:p w14:paraId="0C2C457A">
      <w:pPr>
        <w:ind w:left="420" w:leftChars="200" w:firstLine="0" w:firstLineChars="0"/>
        <w:rPr>
          <w:rFonts w:hint="eastAsia" w:ascii="Times New Roman" w:hAnsi="Times New Roman" w:eastAsia="宋体" w:cs="Times New Roman"/>
          <w:strike w:val="0"/>
          <w:color w:val="auto"/>
          <w:highlight w:val="none"/>
        </w:rPr>
      </w:pPr>
      <w:r>
        <w:rPr>
          <w:rFonts w:hint="eastAsia" w:ascii="Times New Roman" w:hAnsi="Times New Roman" w:eastAsia="宋体" w:cs="Times New Roman"/>
          <w:strike w:val="0"/>
          <w:color w:val="auto"/>
          <w:highlight w:val="none"/>
        </w:rPr>
        <w:t>(1)财政部 工业和信息化部关于印发《政府采购促进中小企业发展管理办法》的通知(财库﹝2020﹞46号)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(2)财政部 司法部关于政府采购支持监狱企业发展有关问题的通知 (财库﹝2014﹞68号)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(3)财政部 民政部 中国残疾人联合会关于促进残疾人就业政府采购政策的通知 (财库﹝2017﹞141号)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(4)财政部 发展改革委 生态环境部 市场监管总局关于调整优化节能产品、环境标志产品政府采购执行机制的通知（财库〔2019〕9号）</w:t>
      </w:r>
      <w:r>
        <w:rPr>
          <w:rFonts w:hint="eastAsia" w:ascii="Times New Roman" w:hAnsi="Times New Roman" w:eastAsia="宋体" w:cs="Times New Roman"/>
          <w:strike w:val="0"/>
          <w:color w:val="auto"/>
          <w:highlight w:val="none"/>
        </w:rPr>
        <w:br w:type="textWrapping"/>
      </w:r>
      <w:r>
        <w:rPr>
          <w:rFonts w:hint="eastAsia" w:ascii="Times New Roman" w:hAnsi="Times New Roman" w:eastAsia="宋体" w:cs="Times New Roman"/>
          <w:strike w:val="0"/>
          <w:color w:val="auto"/>
          <w:highlight w:val="none"/>
        </w:rPr>
        <w:t>(5) 财政部 发展改革委 关于印发节能产品政府采购品目清单的通知（财库〔2019〕19号）</w:t>
      </w:r>
    </w:p>
    <w:p w14:paraId="694BD87F">
      <w:pPr>
        <w:ind w:left="420" w:leftChars="200" w:firstLine="0" w:firstLineChars="0"/>
        <w:rPr>
          <w:strike w:val="0"/>
          <w:color w:val="auto"/>
        </w:rPr>
      </w:pPr>
      <w:r>
        <w:rPr>
          <w:rFonts w:hint="eastAsia" w:ascii="Times New Roman" w:hAnsi="Times New Roman" w:eastAsia="宋体" w:cs="Times New Roman"/>
          <w:strike w:val="0"/>
          <w:color w:val="auto"/>
          <w:highlight w:val="none"/>
        </w:rPr>
        <w:t>(</w:t>
      </w:r>
      <w:r>
        <w:rPr>
          <w:rFonts w:hint="eastAsia" w:ascii="Times New Roman" w:hAnsi="Times New Roman" w:eastAsia="宋体" w:cs="Times New Roman"/>
          <w:strike w:val="0"/>
          <w:color w:val="auto"/>
          <w:highlight w:val="none"/>
          <w:lang w:val="en-US" w:eastAsia="zh-CN"/>
        </w:rPr>
        <w:t>6</w:t>
      </w:r>
      <w:r>
        <w:rPr>
          <w:rFonts w:hint="eastAsia" w:ascii="Times New Roman" w:hAnsi="Times New Roman" w:eastAsia="宋体" w:cs="Times New Roman"/>
          <w:strike w:val="0"/>
          <w:color w:val="auto"/>
          <w:highlight w:val="none"/>
        </w:rPr>
        <w:t>) 国家市场监督管理总局 《强制性产品认证管理规定》</w:t>
      </w:r>
    </w:p>
    <w:p w14:paraId="22BB4A93">
      <w:pPr>
        <w:ind w:firstLine="420"/>
        <w:rPr>
          <w:rFonts w:hint="eastAsia" w:eastAsia="宋体"/>
          <w:b/>
          <w:strike w:val="0"/>
          <w:color w:val="auto"/>
          <w:highlight w:val="none"/>
          <w:lang w:eastAsia="zh-CN"/>
        </w:rPr>
      </w:pPr>
      <w:r>
        <w:rPr>
          <w:strike w:val="0"/>
          <w:color w:val="auto"/>
          <w:highlight w:val="none"/>
        </w:rPr>
        <w:t>2.</w:t>
      </w:r>
      <w:r>
        <w:rPr>
          <w:rFonts w:hint="eastAsia"/>
          <w:strike w:val="0"/>
          <w:color w:val="auto"/>
          <w:highlight w:val="none"/>
        </w:rPr>
        <w:t>投标保证金：</w:t>
      </w:r>
      <w:r>
        <w:rPr>
          <w:rFonts w:hint="eastAsia"/>
          <w:strike w:val="0"/>
          <w:color w:val="auto"/>
          <w:highlight w:val="none"/>
          <w:lang w:val="en-US" w:eastAsia="zh-CN"/>
        </w:rPr>
        <w:t>标项一：18</w:t>
      </w:r>
      <w:r>
        <w:rPr>
          <w:rFonts w:hint="eastAsia"/>
          <w:strike w:val="0"/>
          <w:color w:val="auto"/>
          <w:highlight w:val="none"/>
        </w:rPr>
        <w:t>000.00元</w:t>
      </w:r>
      <w:r>
        <w:rPr>
          <w:rFonts w:hint="eastAsia"/>
          <w:strike w:val="0"/>
          <w:color w:val="auto"/>
          <w:highlight w:val="none"/>
          <w:lang w:eastAsia="zh-CN"/>
        </w:rPr>
        <w:t>；</w:t>
      </w:r>
      <w:r>
        <w:rPr>
          <w:rFonts w:hint="eastAsia"/>
          <w:strike w:val="0"/>
          <w:color w:val="auto"/>
          <w:highlight w:val="none"/>
          <w:lang w:val="en-US" w:eastAsia="zh-CN"/>
        </w:rPr>
        <w:t>标项二：15</w:t>
      </w:r>
      <w:r>
        <w:rPr>
          <w:rFonts w:hint="eastAsia"/>
          <w:strike w:val="0"/>
          <w:color w:val="auto"/>
          <w:highlight w:val="none"/>
        </w:rPr>
        <w:t>000.00元</w:t>
      </w:r>
    </w:p>
    <w:p w14:paraId="56233B97">
      <w:pPr>
        <w:ind w:firstLine="420"/>
        <w:rPr>
          <w:strike w:val="0"/>
          <w:color w:val="auto"/>
        </w:rPr>
      </w:pPr>
      <w:r>
        <w:rPr>
          <w:rFonts w:hint="eastAsia"/>
          <w:strike w:val="0"/>
          <w:color w:val="auto"/>
        </w:rPr>
        <w:t>提交形式:以支票、汇票、本票、网上银行支付或者金融机构、担保机构出具的保函等非现金形式提交。</w:t>
      </w:r>
    </w:p>
    <w:p w14:paraId="79ABD7B4">
      <w:pPr>
        <w:ind w:firstLine="420"/>
        <w:rPr>
          <w:b/>
          <w:strike w:val="0"/>
          <w:color w:val="auto"/>
        </w:rPr>
      </w:pPr>
      <w:bookmarkStart w:id="31" w:name="_Hlk91771226"/>
      <w:r>
        <w:rPr>
          <w:rFonts w:hint="eastAsia"/>
          <w:strike w:val="0"/>
          <w:color w:val="auto"/>
        </w:rPr>
        <w:t>以支票、汇票、本票、保函等形式提交保证金的，投标人必须将票据、保函等原件于投标文件提交截止时间前递交至本中心财务室（</w:t>
      </w:r>
      <w:r>
        <w:rPr>
          <w:rFonts w:hint="eastAsia" w:ascii="宋体" w:hAnsi="宋体" w:cs="宋体"/>
          <w:bCs/>
          <w:strike w:val="0"/>
          <w:color w:val="auto"/>
          <w:kern w:val="0"/>
          <w:szCs w:val="21"/>
        </w:rPr>
        <w:t>地址:广西钦州市钦南区水东街区金海湾东大街8号市政务服务中心二楼市采购中心财务室，</w:t>
      </w:r>
      <w:r>
        <w:rPr>
          <w:rFonts w:hint="eastAsia"/>
          <w:strike w:val="0"/>
          <w:color w:val="auto"/>
        </w:rPr>
        <w:t>联系方式:0</w:t>
      </w:r>
      <w:r>
        <w:rPr>
          <w:strike w:val="0"/>
          <w:color w:val="auto"/>
        </w:rPr>
        <w:t>777</w:t>
      </w:r>
      <w:r>
        <w:rPr>
          <w:rFonts w:hint="eastAsia"/>
          <w:strike w:val="0"/>
          <w:color w:val="auto"/>
        </w:rPr>
        <w:t>-</w:t>
      </w:r>
      <w:r>
        <w:rPr>
          <w:strike w:val="0"/>
          <w:color w:val="auto"/>
        </w:rPr>
        <w:t>2886026</w:t>
      </w:r>
      <w:r>
        <w:rPr>
          <w:rFonts w:hint="eastAsia"/>
          <w:strike w:val="0"/>
          <w:color w:val="auto"/>
        </w:rPr>
        <w:t>）。</w:t>
      </w:r>
    </w:p>
    <w:bookmarkEnd w:id="31"/>
    <w:p w14:paraId="3EB4FCC0">
      <w:pPr>
        <w:ind w:firstLine="420"/>
        <w:rPr>
          <w:rFonts w:hint="eastAsia"/>
          <w:strike w:val="0"/>
          <w:color w:val="auto"/>
        </w:rPr>
      </w:pPr>
      <w:r>
        <w:rPr>
          <w:rFonts w:hint="eastAsia"/>
          <w:strike w:val="0"/>
          <w:color w:val="auto"/>
        </w:rPr>
        <w:t>网上银行支付形式提交的，投标人必须于投标文件递交截止时间前从投标人账户缴存至本中心银行账户（以到账时间为准）。</w:t>
      </w:r>
    </w:p>
    <w:p w14:paraId="7D6B8379">
      <w:pPr>
        <w:ind w:firstLine="420"/>
        <w:rPr>
          <w:rFonts w:hint="eastAsia"/>
          <w:strike w:val="0"/>
          <w:color w:val="auto"/>
        </w:rPr>
      </w:pPr>
      <w:r>
        <w:rPr>
          <w:rFonts w:hint="eastAsia"/>
          <w:strike w:val="0"/>
          <w:color w:val="auto"/>
        </w:rPr>
        <w:t>本中心银行账户：</w:t>
      </w:r>
    </w:p>
    <w:p w14:paraId="430E12D5">
      <w:pPr>
        <w:ind w:firstLine="420"/>
        <w:rPr>
          <w:rFonts w:hint="eastAsia"/>
          <w:strike w:val="0"/>
          <w:color w:val="auto"/>
        </w:rPr>
      </w:pPr>
      <w:r>
        <w:rPr>
          <w:rFonts w:hint="eastAsia"/>
          <w:strike w:val="0"/>
          <w:color w:val="auto"/>
        </w:rPr>
        <w:t>开户名称:钦州市政府采购中心</w:t>
      </w:r>
    </w:p>
    <w:p w14:paraId="34FC15BC">
      <w:pPr>
        <w:ind w:firstLine="420"/>
        <w:rPr>
          <w:rFonts w:hint="eastAsia"/>
          <w:strike w:val="0"/>
          <w:color w:val="auto"/>
        </w:rPr>
      </w:pPr>
      <w:r>
        <w:rPr>
          <w:rFonts w:hint="eastAsia"/>
          <w:strike w:val="0"/>
          <w:color w:val="auto"/>
        </w:rPr>
        <w:t>开户银行:中国工商银行股份有限公司钦州市永福东支行</w:t>
      </w:r>
    </w:p>
    <w:p w14:paraId="60AEA57D">
      <w:pPr>
        <w:ind w:firstLine="420"/>
        <w:rPr>
          <w:strike w:val="0"/>
          <w:color w:val="auto"/>
        </w:rPr>
      </w:pPr>
      <w:r>
        <w:rPr>
          <w:rFonts w:hint="eastAsia"/>
          <w:strike w:val="0"/>
          <w:color w:val="auto"/>
        </w:rPr>
        <w:t>银行账号:2115591229100078724</w:t>
      </w:r>
    </w:p>
    <w:p w14:paraId="6E6726E4">
      <w:pPr>
        <w:ind w:firstLine="420"/>
        <w:rPr>
          <w:rFonts w:hint="eastAsia"/>
          <w:strike w:val="0"/>
          <w:color w:val="auto"/>
        </w:rPr>
      </w:pPr>
      <w:r>
        <w:rPr>
          <w:rFonts w:hint="eastAsia"/>
          <w:strike w:val="0"/>
          <w:color w:val="auto"/>
        </w:rPr>
        <w:t>注：投标人无法选择以上开户银行的，请选择“中国工商银行股份有限公司钦州分行”进行缴存。</w:t>
      </w:r>
    </w:p>
    <w:p w14:paraId="4D6E45CE">
      <w:pPr>
        <w:ind w:firstLine="420"/>
        <w:rPr>
          <w:strike w:val="0"/>
          <w:color w:val="auto"/>
        </w:rPr>
      </w:pPr>
      <w:r>
        <w:rPr>
          <w:strike w:val="0"/>
          <w:color w:val="auto"/>
        </w:rPr>
        <w:t>3.</w:t>
      </w:r>
      <w:bookmarkStart w:id="32" w:name="_Hlk91598380"/>
      <w:r>
        <w:rPr>
          <w:rFonts w:hint="eastAsia"/>
          <w:strike w:val="0"/>
          <w:color w:val="auto"/>
        </w:rPr>
        <w:t>全流程电子化</w:t>
      </w:r>
      <w:bookmarkEnd w:id="32"/>
      <w:r>
        <w:rPr>
          <w:rFonts w:hint="eastAsia"/>
          <w:strike w:val="0"/>
          <w:color w:val="auto"/>
        </w:rPr>
        <w:t>要求：</w:t>
      </w:r>
    </w:p>
    <w:p w14:paraId="01D262C6">
      <w:pPr>
        <w:ind w:firstLine="420"/>
        <w:rPr>
          <w:rFonts w:hint="eastAsia"/>
          <w:strike w:val="0"/>
          <w:color w:val="auto"/>
        </w:rPr>
      </w:pPr>
      <w:r>
        <w:rPr>
          <w:rFonts w:hint="eastAsia"/>
          <w:strike w:val="0"/>
          <w:color w:val="auto"/>
        </w:rPr>
        <w:t>本项目为全流程电子化项目，潜在投标人应做好参与全流程电子化交易的充分准备，熟悉掌握电子化采购项目操作指南</w:t>
      </w:r>
      <w:bookmarkStart w:id="33" w:name="_Hlk154044590"/>
      <w:r>
        <w:rPr>
          <w:rFonts w:hint="eastAsia"/>
          <w:strike w:val="0"/>
          <w:color w:val="auto"/>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bookmarkEnd w:id="33"/>
      <w:r>
        <w:rPr>
          <w:rFonts w:hint="eastAsia"/>
          <w:strike w:val="0"/>
          <w:color w:val="auto"/>
        </w:rPr>
        <w:t>。因未注册入库、未办理CA数字证书、CA证书故障、操作不当等原因造成投标失败等后果由投标人承担。</w:t>
      </w:r>
    </w:p>
    <w:p w14:paraId="49BA444E">
      <w:pPr>
        <w:ind w:firstLine="420"/>
        <w:rPr>
          <w:strike w:val="0"/>
          <w:color w:val="auto"/>
        </w:rPr>
      </w:pPr>
      <w:r>
        <w:rPr>
          <w:strike w:val="0"/>
          <w:color w:val="auto"/>
        </w:rPr>
        <w:t>(1)</w:t>
      </w:r>
      <w:r>
        <w:rPr>
          <w:rFonts w:hint="eastAsia"/>
          <w:strike w:val="0"/>
          <w:color w:val="auto"/>
        </w:rPr>
        <w:t>依法获取招标文件：投标人须在获取招标文件时间内登录</w:t>
      </w:r>
      <w:r>
        <w:rPr>
          <w:strike w:val="0"/>
          <w:color w:val="auto"/>
        </w:rPr>
        <w:fldChar w:fldCharType="begin"/>
      </w:r>
      <w:r>
        <w:rPr>
          <w:strike w:val="0"/>
          <w:color w:val="auto"/>
        </w:rPr>
        <w:instrText xml:space="preserve"> </w:instrText>
      </w:r>
      <w:r>
        <w:rPr>
          <w:rFonts w:hint="eastAsia"/>
          <w:strike w:val="0"/>
          <w:color w:val="auto"/>
        </w:rPr>
        <w:instrText xml:space="preserve">HYPERLINK "https://www.zcygov.cn/"</w:instrText>
      </w:r>
      <w:r>
        <w:rPr>
          <w:strike w:val="0"/>
          <w:color w:val="auto"/>
        </w:rPr>
        <w:instrText xml:space="preserve"> </w:instrText>
      </w:r>
      <w:r>
        <w:rPr>
          <w:strike w:val="0"/>
          <w:color w:val="auto"/>
        </w:rPr>
        <w:fldChar w:fldCharType="separate"/>
      </w:r>
      <w:r>
        <w:rPr>
          <w:rStyle w:val="60"/>
          <w:rFonts w:hint="eastAsia"/>
          <w:strike w:val="0"/>
          <w:color w:val="auto"/>
          <w:u w:val="none"/>
        </w:rPr>
        <w:t>政府采购云平台</w:t>
      </w:r>
      <w:r>
        <w:rPr>
          <w:strike w:val="0"/>
          <w:color w:val="auto"/>
        </w:rPr>
        <w:fldChar w:fldCharType="end"/>
      </w:r>
      <w:r>
        <w:rPr>
          <w:rFonts w:hint="eastAsia"/>
          <w:strike w:val="0"/>
          <w:color w:val="auto"/>
        </w:rPr>
        <w:t>申请下载招标文件才视作依法获取招标文件。</w:t>
      </w:r>
    </w:p>
    <w:p w14:paraId="45708578">
      <w:pPr>
        <w:ind w:firstLine="420"/>
        <w:rPr>
          <w:b/>
          <w:strike w:val="0"/>
          <w:color w:val="auto"/>
        </w:rPr>
      </w:pPr>
      <w:r>
        <w:rPr>
          <w:rFonts w:hint="eastAsia"/>
          <w:strike w:val="0"/>
          <w:color w:val="auto"/>
        </w:rPr>
        <w:t>(</w:t>
      </w:r>
      <w:r>
        <w:rPr>
          <w:strike w:val="0"/>
          <w:color w:val="auto"/>
        </w:rPr>
        <w:t>2)</w:t>
      </w:r>
      <w:r>
        <w:rPr>
          <w:rFonts w:hint="eastAsia"/>
          <w:strike w:val="0"/>
          <w:color w:val="auto"/>
        </w:rPr>
        <w:t>投标人应通过广西政府采购云平台客户端制作投标文件，供应商自行前往下载安装</w:t>
      </w:r>
      <w:bookmarkStart w:id="34" w:name="_Hlk154044625"/>
      <w:r>
        <w:rPr>
          <w:rFonts w:hint="eastAsia"/>
          <w:strike w:val="0"/>
          <w:color w:val="auto"/>
        </w:rPr>
        <w:t>（</w:t>
      </w:r>
      <w:bookmarkStart w:id="35" w:name="_Hlk152682913"/>
      <w:r>
        <w:rPr>
          <w:strike w:val="0"/>
          <w:color w:val="auto"/>
        </w:rPr>
        <w:fldChar w:fldCharType="begin"/>
      </w:r>
      <w:r>
        <w:rPr>
          <w:strike w:val="0"/>
          <w:color w:val="auto"/>
        </w:rPr>
        <w:instrText xml:space="preserve">HYPERLINK "https://sitecdn.zcycdn.com/zcy-client/bidding-client-new/official/guangxi/GuangXiSetup.exe"</w:instrText>
      </w:r>
      <w:r>
        <w:rPr>
          <w:strike w:val="0"/>
          <w:color w:val="auto"/>
        </w:rPr>
        <w:fldChar w:fldCharType="separate"/>
      </w:r>
      <w:r>
        <w:rPr>
          <w:rStyle w:val="60"/>
          <w:rFonts w:hint="eastAsia"/>
          <w:strike w:val="0"/>
          <w:color w:val="auto"/>
          <w:u w:val="none"/>
        </w:rPr>
        <w:t>客</w:t>
      </w:r>
      <w:bookmarkStart w:id="36" w:name="_Hlt164066873"/>
      <w:bookmarkStart w:id="37" w:name="_Hlt164066874"/>
      <w:r>
        <w:rPr>
          <w:rStyle w:val="60"/>
          <w:rFonts w:hint="eastAsia"/>
          <w:strike w:val="0"/>
          <w:color w:val="auto"/>
          <w:u w:val="none"/>
        </w:rPr>
        <w:t>户</w:t>
      </w:r>
      <w:bookmarkEnd w:id="36"/>
      <w:bookmarkEnd w:id="37"/>
      <w:bookmarkStart w:id="38" w:name="_Hlt164066604"/>
      <w:bookmarkStart w:id="39" w:name="_Hlt164066605"/>
      <w:r>
        <w:rPr>
          <w:rStyle w:val="60"/>
          <w:rFonts w:hint="eastAsia"/>
          <w:strike w:val="0"/>
          <w:color w:val="auto"/>
          <w:u w:val="none"/>
        </w:rPr>
        <w:t>端</w:t>
      </w:r>
      <w:bookmarkEnd w:id="38"/>
      <w:bookmarkEnd w:id="39"/>
      <w:bookmarkStart w:id="40" w:name="_Hlt151995012"/>
      <w:bookmarkStart w:id="41" w:name="_Hlt164066618"/>
      <w:bookmarkStart w:id="42" w:name="_Hlt164066617"/>
      <w:bookmarkStart w:id="43" w:name="_Hlt151995013"/>
      <w:r>
        <w:rPr>
          <w:rStyle w:val="60"/>
          <w:rFonts w:hint="eastAsia"/>
          <w:strike w:val="0"/>
          <w:color w:val="auto"/>
          <w:u w:val="none"/>
        </w:rPr>
        <w:t>下</w:t>
      </w:r>
      <w:bookmarkEnd w:id="40"/>
      <w:bookmarkEnd w:id="41"/>
      <w:bookmarkEnd w:id="42"/>
      <w:bookmarkEnd w:id="43"/>
      <w:bookmarkStart w:id="44" w:name="_Hlt152683317"/>
      <w:bookmarkStart w:id="45" w:name="_Hlt152683104"/>
      <w:bookmarkStart w:id="46" w:name="_Hlt152683103"/>
      <w:bookmarkStart w:id="47" w:name="_Hlt152683316"/>
      <w:r>
        <w:rPr>
          <w:rStyle w:val="60"/>
          <w:rFonts w:hint="eastAsia"/>
          <w:strike w:val="0"/>
          <w:color w:val="auto"/>
          <w:u w:val="none"/>
        </w:rPr>
        <w:t>载</w:t>
      </w:r>
      <w:bookmarkEnd w:id="44"/>
      <w:bookmarkEnd w:id="45"/>
      <w:bookmarkEnd w:id="46"/>
      <w:bookmarkEnd w:id="47"/>
      <w:r>
        <w:rPr>
          <w:strike w:val="0"/>
          <w:color w:val="auto"/>
        </w:rPr>
        <w:fldChar w:fldCharType="end"/>
      </w:r>
      <w:bookmarkEnd w:id="35"/>
      <w:r>
        <w:rPr>
          <w:rFonts w:hint="eastAsia"/>
          <w:strike w:val="0"/>
          <w:color w:val="auto"/>
        </w:rPr>
        <w:t>）</w:t>
      </w:r>
      <w:bookmarkEnd w:id="34"/>
      <w:r>
        <w:rPr>
          <w:rFonts w:hint="eastAsia"/>
          <w:strike w:val="0"/>
          <w:color w:val="auto"/>
        </w:rPr>
        <w:t>。</w:t>
      </w:r>
    </w:p>
    <w:p w14:paraId="31D5CC1D">
      <w:pPr>
        <w:ind w:firstLine="420"/>
        <w:rPr>
          <w:strike w:val="0"/>
          <w:color w:val="auto"/>
        </w:rPr>
      </w:pPr>
      <w:r>
        <w:rPr>
          <w:rFonts w:hint="eastAsia"/>
          <w:strike w:val="0"/>
          <w:color w:val="auto"/>
        </w:rPr>
        <w:t>(</w:t>
      </w:r>
      <w:r>
        <w:rPr>
          <w:strike w:val="0"/>
          <w:color w:val="auto"/>
        </w:rPr>
        <w:t>3)</w:t>
      </w:r>
      <w:r>
        <w:rPr>
          <w:rFonts w:hint="eastAsia"/>
          <w:strike w:val="0"/>
          <w:color w:val="auto"/>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6D94CB77">
      <w:pPr>
        <w:ind w:firstLine="420"/>
        <w:rPr>
          <w:rFonts w:hint="eastAsia"/>
          <w:b/>
          <w:strike w:val="0"/>
          <w:color w:val="auto"/>
        </w:rPr>
      </w:pPr>
      <w:r>
        <w:rPr>
          <w:rFonts w:hint="eastAsia"/>
          <w:strike w:val="0"/>
          <w:color w:val="auto"/>
        </w:rPr>
        <w:t>(</w:t>
      </w:r>
      <w:r>
        <w:rPr>
          <w:strike w:val="0"/>
          <w:color w:val="auto"/>
        </w:rPr>
        <w:t>4)</w:t>
      </w:r>
      <w:r>
        <w:rPr>
          <w:b/>
          <w:strike w:val="0"/>
          <w:color w:val="auto"/>
        </w:rPr>
        <w:t xml:space="preserve"> </w:t>
      </w:r>
      <w:r>
        <w:rPr>
          <w:rFonts w:hint="eastAsia"/>
          <w:strike w:val="0"/>
          <w:color w:val="auto"/>
        </w:rPr>
        <w:t>投标人法定代表人或委托代理人须按时登录</w:t>
      </w:r>
      <w:bookmarkStart w:id="48" w:name="_Hlk90367388"/>
      <w:r>
        <w:rPr>
          <w:rFonts w:hint="eastAsia" w:ascii="宋体" w:hAnsi="宋体" w:cs="Courier New"/>
          <w:strike w:val="0"/>
          <w:color w:val="auto"/>
          <w:szCs w:val="21"/>
        </w:rPr>
        <w:t>政采云远程开标大厅</w:t>
      </w:r>
      <w:bookmarkEnd w:id="48"/>
      <w:r>
        <w:rPr>
          <w:rFonts w:hint="eastAsia"/>
          <w:strike w:val="0"/>
          <w:color w:val="auto"/>
        </w:rPr>
        <w:t>，保持全程在线并关注开标评标进度，评标期间评标委员会提出澄清等要求时，投标人须在规定时间内进行应答，否则按招标文件或政采云平台的相关规定执行。</w:t>
      </w:r>
    </w:p>
    <w:p w14:paraId="32A59398">
      <w:pPr>
        <w:ind w:firstLine="420"/>
        <w:rPr>
          <w:rFonts w:hAnsi="宋体"/>
          <w:strike w:val="0"/>
          <w:color w:val="auto"/>
        </w:rPr>
      </w:pPr>
      <w:r>
        <w:rPr>
          <w:rFonts w:hint="eastAsia"/>
          <w:strike w:val="0"/>
          <w:color w:val="auto"/>
        </w:rPr>
        <w:t>(</w:t>
      </w:r>
      <w:r>
        <w:rPr>
          <w:strike w:val="0"/>
          <w:color w:val="auto"/>
        </w:rPr>
        <w:t>5)</w:t>
      </w:r>
      <w:r>
        <w:rPr>
          <w:rFonts w:hint="eastAsia"/>
          <w:strike w:val="0"/>
          <w:color w:val="auto"/>
        </w:rPr>
        <w:t>投标人参与投标过程中涉及政府采购云平台的问题，请咨询政采云</w:t>
      </w:r>
      <w:r>
        <w:rPr>
          <w:rFonts w:hint="eastAsia" w:hAnsi="宋体"/>
          <w:strike w:val="0"/>
          <w:color w:val="auto"/>
        </w:rPr>
        <w:t>技术支持热线：</w:t>
      </w:r>
      <w:r>
        <w:rPr>
          <w:rFonts w:hAnsi="宋体"/>
          <w:strike w:val="0"/>
          <w:color w:val="auto"/>
        </w:rPr>
        <w:t>95763</w:t>
      </w:r>
      <w:r>
        <w:rPr>
          <w:rFonts w:hint="eastAsia" w:hAnsi="宋体"/>
          <w:strike w:val="0"/>
          <w:color w:val="auto"/>
        </w:rPr>
        <w:t>。</w:t>
      </w:r>
    </w:p>
    <w:p w14:paraId="62EC0770">
      <w:pPr>
        <w:ind w:firstLine="420"/>
        <w:rPr>
          <w:rFonts w:hAnsi="宋体"/>
          <w:strike w:val="0"/>
          <w:color w:val="auto"/>
        </w:rPr>
      </w:pPr>
      <w:r>
        <w:rPr>
          <w:rFonts w:hAnsi="宋体"/>
          <w:strike w:val="0"/>
          <w:color w:val="auto"/>
        </w:rPr>
        <w:t>4.</w:t>
      </w:r>
      <w:r>
        <w:rPr>
          <w:rFonts w:hint="eastAsia" w:hAnsi="宋体"/>
          <w:strike w:val="0"/>
          <w:color w:val="auto"/>
        </w:rPr>
        <w:t>查询媒体：</w:t>
      </w:r>
      <w:bookmarkStart w:id="49" w:name="_Hlk97804124"/>
      <w:r>
        <w:rPr>
          <w:rFonts w:hAnsi="宋体"/>
          <w:strike w:val="0"/>
          <w:color w:val="auto"/>
        </w:rPr>
        <w:fldChar w:fldCharType="begin"/>
      </w:r>
      <w:r>
        <w:rPr>
          <w:rFonts w:hAnsi="宋体"/>
          <w:strike w:val="0"/>
          <w:color w:val="auto"/>
        </w:rPr>
        <w:instrText xml:space="preserve">HYPERLINK "http://www.ccgp.gov.cn/"</w:instrText>
      </w:r>
      <w:r>
        <w:rPr>
          <w:rFonts w:hAnsi="宋体"/>
          <w:strike w:val="0"/>
          <w:color w:val="auto"/>
        </w:rPr>
        <w:fldChar w:fldCharType="separate"/>
      </w:r>
      <w:r>
        <w:rPr>
          <w:rStyle w:val="60"/>
          <w:rFonts w:hint="eastAsia" w:hAnsi="宋体"/>
          <w:strike w:val="0"/>
          <w:color w:val="auto"/>
          <w:u w:val="none"/>
        </w:rPr>
        <w:t>中国政府</w:t>
      </w:r>
      <w:bookmarkStart w:id="50" w:name="_Hlt97804064"/>
      <w:bookmarkStart w:id="51" w:name="_Hlt97804063"/>
      <w:r>
        <w:rPr>
          <w:rStyle w:val="60"/>
          <w:rFonts w:hint="eastAsia" w:hAnsi="宋体"/>
          <w:strike w:val="0"/>
          <w:color w:val="auto"/>
          <w:u w:val="none"/>
        </w:rPr>
        <w:t>采</w:t>
      </w:r>
      <w:bookmarkEnd w:id="50"/>
      <w:bookmarkEnd w:id="51"/>
      <w:r>
        <w:rPr>
          <w:rStyle w:val="60"/>
          <w:rFonts w:hint="eastAsia" w:hAnsi="宋体"/>
          <w:strike w:val="0"/>
          <w:color w:val="auto"/>
          <w:u w:val="none"/>
        </w:rPr>
        <w:t>购</w:t>
      </w:r>
      <w:bookmarkStart w:id="52" w:name="_Hlt97804091"/>
      <w:bookmarkStart w:id="53" w:name="_Hlt97804090"/>
      <w:r>
        <w:rPr>
          <w:rStyle w:val="60"/>
          <w:rFonts w:hint="eastAsia" w:hAnsi="宋体"/>
          <w:strike w:val="0"/>
          <w:color w:val="auto"/>
          <w:u w:val="none"/>
        </w:rPr>
        <w:t>网</w:t>
      </w:r>
      <w:bookmarkEnd w:id="52"/>
      <w:bookmarkEnd w:id="53"/>
      <w:r>
        <w:rPr>
          <w:rFonts w:hAnsi="宋体"/>
          <w:strike w:val="0"/>
          <w:color w:val="auto"/>
        </w:rPr>
        <w:fldChar w:fldCharType="end"/>
      </w:r>
      <w:r>
        <w:rPr>
          <w:rFonts w:hint="eastAsia" w:hAnsi="宋体"/>
          <w:strike w:val="0"/>
          <w:color w:val="auto"/>
        </w:rPr>
        <w:t>、</w:t>
      </w:r>
      <w:r>
        <w:rPr>
          <w:strike w:val="0"/>
          <w:color w:val="auto"/>
        </w:rPr>
        <w:fldChar w:fldCharType="begin"/>
      </w:r>
      <w:r>
        <w:rPr>
          <w:strike w:val="0"/>
          <w:color w:val="auto"/>
        </w:rPr>
        <w:instrText xml:space="preserve"> HYPERLINK "http://zfcg.gxzf.gov.cn/" </w:instrText>
      </w:r>
      <w:r>
        <w:rPr>
          <w:strike w:val="0"/>
          <w:color w:val="auto"/>
        </w:rPr>
        <w:fldChar w:fldCharType="separate"/>
      </w:r>
      <w:r>
        <w:rPr>
          <w:rFonts w:hint="eastAsia" w:hAnsi="宋体"/>
          <w:strike w:val="0"/>
          <w:color w:val="auto"/>
        </w:rPr>
        <w:t>广西政府</w:t>
      </w:r>
      <w:bookmarkStart w:id="54" w:name="_Hlt97804098"/>
      <w:bookmarkStart w:id="55" w:name="_Hlt97804099"/>
      <w:r>
        <w:rPr>
          <w:rFonts w:hint="eastAsia" w:hAnsi="宋体"/>
          <w:strike w:val="0"/>
          <w:color w:val="auto"/>
        </w:rPr>
        <w:t>采</w:t>
      </w:r>
      <w:bookmarkEnd w:id="54"/>
      <w:bookmarkEnd w:id="55"/>
      <w:r>
        <w:rPr>
          <w:rFonts w:hint="eastAsia" w:hAnsi="宋体"/>
          <w:strike w:val="0"/>
          <w:color w:val="auto"/>
        </w:rPr>
        <w:t>购网</w:t>
      </w:r>
      <w:r>
        <w:rPr>
          <w:rFonts w:hAnsi="宋体"/>
          <w:strike w:val="0"/>
          <w:color w:val="auto"/>
        </w:rPr>
        <w:fldChar w:fldCharType="end"/>
      </w:r>
      <w:r>
        <w:rPr>
          <w:rFonts w:hint="eastAsia" w:hAnsi="宋体"/>
          <w:strike w:val="0"/>
          <w:color w:val="auto"/>
        </w:rPr>
        <w:t>。</w:t>
      </w:r>
      <w:bookmarkEnd w:id="49"/>
    </w:p>
    <w:p w14:paraId="45424396">
      <w:pPr>
        <w:ind w:firstLine="420"/>
        <w:jc w:val="left"/>
        <w:rPr>
          <w:rFonts w:hAnsi="宋体"/>
          <w:strike w:val="0"/>
          <w:color w:val="auto"/>
        </w:rPr>
      </w:pPr>
      <w:r>
        <w:rPr>
          <w:rFonts w:hint="eastAsia" w:hAnsi="宋体"/>
          <w:strike w:val="0"/>
          <w:color w:val="auto"/>
        </w:rPr>
        <w:t>5</w:t>
      </w:r>
      <w:r>
        <w:rPr>
          <w:rFonts w:hAnsi="宋体"/>
          <w:strike w:val="0"/>
          <w:color w:val="auto"/>
        </w:rPr>
        <w:t>.</w:t>
      </w:r>
      <w:r>
        <w:rPr>
          <w:rFonts w:hint="eastAsia" w:hAnsi="宋体"/>
          <w:strike w:val="0"/>
          <w:color w:val="auto"/>
        </w:rPr>
        <w:t>钦州市政府采购中心联系方式：</w:t>
      </w:r>
    </w:p>
    <w:p w14:paraId="31200FEF">
      <w:pPr>
        <w:ind w:firstLine="420"/>
        <w:jc w:val="left"/>
        <w:rPr>
          <w:rFonts w:hAnsi="宋体"/>
          <w:strike w:val="0"/>
          <w:color w:val="auto"/>
        </w:rPr>
      </w:pPr>
      <w:r>
        <w:rPr>
          <w:rFonts w:hAnsi="宋体"/>
          <w:strike w:val="0"/>
          <w:color w:val="auto"/>
        </w:rPr>
        <w:t>(1)</w:t>
      </w:r>
      <w:r>
        <w:rPr>
          <w:rFonts w:hint="eastAsia" w:hAnsi="宋体"/>
          <w:strike w:val="0"/>
          <w:color w:val="auto"/>
        </w:rPr>
        <w:t>采购部(招标文件</w:t>
      </w:r>
      <w:r>
        <w:rPr>
          <w:rFonts w:hAnsi="宋体"/>
          <w:strike w:val="0"/>
          <w:color w:val="auto"/>
        </w:rPr>
        <w:t>)</w:t>
      </w:r>
    </w:p>
    <w:p w14:paraId="7FFFE992">
      <w:pPr>
        <w:ind w:firstLine="420"/>
        <w:jc w:val="left"/>
        <w:rPr>
          <w:rFonts w:hAnsi="宋体"/>
          <w:strike w:val="0"/>
          <w:color w:val="auto"/>
        </w:rPr>
      </w:pPr>
      <w:r>
        <w:rPr>
          <w:rFonts w:hint="eastAsia" w:hAnsi="宋体"/>
          <w:strike w:val="0"/>
          <w:color w:val="auto"/>
        </w:rPr>
        <w:t>联系人：苏晓婷</w:t>
      </w:r>
      <w:r>
        <w:rPr>
          <w:rFonts w:hAnsi="宋体"/>
          <w:strike w:val="0"/>
          <w:color w:val="auto"/>
        </w:rPr>
        <w:t xml:space="preserve">  </w:t>
      </w:r>
      <w:r>
        <w:rPr>
          <w:rFonts w:hint="eastAsia" w:hAnsi="宋体"/>
          <w:strike w:val="0"/>
          <w:color w:val="auto"/>
        </w:rPr>
        <w:t xml:space="preserve"> 联系方式：0777-2886022</w:t>
      </w:r>
    </w:p>
    <w:p w14:paraId="32B5DD46">
      <w:pPr>
        <w:ind w:firstLine="420"/>
        <w:jc w:val="left"/>
        <w:rPr>
          <w:rFonts w:hAnsi="宋体"/>
          <w:strike w:val="0"/>
          <w:color w:val="auto"/>
        </w:rPr>
      </w:pPr>
      <w:r>
        <w:rPr>
          <w:rFonts w:hint="eastAsia" w:hAnsi="宋体"/>
          <w:strike w:val="0"/>
          <w:color w:val="auto"/>
        </w:rPr>
        <w:t>(</w:t>
      </w:r>
      <w:r>
        <w:rPr>
          <w:rFonts w:hAnsi="宋体"/>
          <w:strike w:val="0"/>
          <w:color w:val="auto"/>
        </w:rPr>
        <w:t>2)</w:t>
      </w:r>
      <w:r>
        <w:rPr>
          <w:rFonts w:hint="eastAsia" w:hAnsi="宋体"/>
          <w:strike w:val="0"/>
          <w:color w:val="auto"/>
        </w:rPr>
        <w:t>综合二部(保证金、开评标、中标及合同管理)</w:t>
      </w:r>
    </w:p>
    <w:p w14:paraId="02B78D74">
      <w:pPr>
        <w:ind w:firstLine="420"/>
        <w:jc w:val="left"/>
        <w:rPr>
          <w:rFonts w:hint="eastAsia" w:hAnsi="宋体"/>
          <w:strike w:val="0"/>
          <w:color w:val="auto"/>
        </w:rPr>
      </w:pPr>
      <w:r>
        <w:rPr>
          <w:rFonts w:hint="eastAsia" w:hAnsi="宋体"/>
          <w:strike w:val="0"/>
          <w:color w:val="auto"/>
        </w:rPr>
        <w:t>联系人：陈侃</w:t>
      </w:r>
      <w:r>
        <w:rPr>
          <w:rFonts w:hint="eastAsia" w:hAnsi="宋体"/>
          <w:strike w:val="0"/>
          <w:color w:val="auto"/>
          <w:lang w:eastAsia="zh-CN"/>
        </w:rPr>
        <w:t>、</w:t>
      </w:r>
      <w:r>
        <w:rPr>
          <w:rFonts w:hint="eastAsia" w:hAnsi="宋体"/>
          <w:strike w:val="0"/>
          <w:color w:val="auto"/>
        </w:rPr>
        <w:t>陈启梅</w:t>
      </w:r>
      <w:r>
        <w:rPr>
          <w:rFonts w:hAnsi="宋体"/>
          <w:strike w:val="0"/>
          <w:color w:val="auto"/>
        </w:rPr>
        <w:t xml:space="preserve"> </w:t>
      </w:r>
      <w:r>
        <w:rPr>
          <w:rFonts w:hint="eastAsia" w:hAnsi="宋体"/>
          <w:strike w:val="0"/>
          <w:color w:val="auto"/>
        </w:rPr>
        <w:t xml:space="preserve"> 联系方式：</w:t>
      </w:r>
      <w:r>
        <w:rPr>
          <w:rFonts w:hAnsi="宋体"/>
          <w:strike w:val="0"/>
          <w:color w:val="auto"/>
        </w:rPr>
        <w:t xml:space="preserve"> </w:t>
      </w:r>
      <w:r>
        <w:rPr>
          <w:rFonts w:hint="eastAsia" w:hAnsi="宋体"/>
          <w:strike w:val="0"/>
          <w:color w:val="auto"/>
        </w:rPr>
        <w:t>0777-2886006</w:t>
      </w:r>
    </w:p>
    <w:p w14:paraId="6A225B75">
      <w:pPr>
        <w:ind w:firstLine="0" w:firstLineChars="0"/>
        <w:rPr>
          <w:b/>
          <w:strike w:val="0"/>
          <w:color w:val="auto"/>
        </w:rPr>
      </w:pPr>
      <w:r>
        <w:rPr>
          <w:rFonts w:hint="eastAsia"/>
          <w:b/>
          <w:strike w:val="0"/>
          <w:color w:val="auto"/>
        </w:rPr>
        <w:t>七、对本次招标提出询问，请按</w:t>
      </w:r>
      <w:r>
        <w:rPr>
          <w:b/>
          <w:strike w:val="0"/>
          <w:color w:val="auto"/>
        </w:rPr>
        <w:t>以下方式</w:t>
      </w:r>
      <w:r>
        <w:rPr>
          <w:rFonts w:hint="eastAsia"/>
          <w:b/>
          <w:strike w:val="0"/>
          <w:color w:val="auto"/>
        </w:rPr>
        <w:t>联系</w:t>
      </w:r>
      <w:bookmarkEnd w:id="27"/>
      <w:bookmarkEnd w:id="28"/>
      <w:bookmarkEnd w:id="29"/>
      <w:bookmarkEnd w:id="30"/>
    </w:p>
    <w:bookmarkEnd w:id="9"/>
    <w:p w14:paraId="267D2F7F">
      <w:pPr>
        <w:ind w:firstLine="420"/>
        <w:rPr>
          <w:strike w:val="0"/>
          <w:color w:val="auto"/>
        </w:rPr>
      </w:pPr>
      <w:r>
        <w:rPr>
          <w:rFonts w:hint="eastAsia"/>
          <w:strike w:val="0"/>
          <w:color w:val="auto"/>
        </w:rPr>
        <w:t>1.采购人信息</w:t>
      </w:r>
    </w:p>
    <w:p w14:paraId="3F7249C8">
      <w:pPr>
        <w:ind w:firstLine="420"/>
        <w:rPr>
          <w:rFonts w:hint="default" w:ascii="Times New Roman" w:hAnsi="Times New Roman" w:eastAsia="宋体" w:cs="Times New Roman"/>
          <w:strike w:val="0"/>
          <w:color w:val="auto"/>
          <w:lang w:val="en-US" w:eastAsia="zh-CN"/>
        </w:rPr>
      </w:pPr>
      <w:r>
        <w:rPr>
          <w:rFonts w:hint="eastAsia"/>
          <w:strike w:val="0"/>
          <w:color w:val="auto"/>
        </w:rPr>
        <w:t>名称</w:t>
      </w:r>
      <w:r>
        <w:rPr>
          <w:rFonts w:hint="eastAsia" w:ascii="Times New Roman" w:hAnsi="Times New Roman" w:eastAsia="宋体" w:cs="Times New Roman"/>
          <w:strike w:val="0"/>
          <w:color w:val="auto"/>
        </w:rPr>
        <w:t>：</w:t>
      </w:r>
      <w:r>
        <w:rPr>
          <w:rFonts w:hint="eastAsia" w:ascii="Times New Roman" w:hAnsi="Times New Roman" w:eastAsia="宋体" w:cs="Times New Roman"/>
          <w:strike w:val="0"/>
          <w:color w:val="auto"/>
          <w:lang w:val="en-US" w:eastAsia="zh-CN"/>
        </w:rPr>
        <w:t>浦北县教育局</w:t>
      </w:r>
    </w:p>
    <w:p w14:paraId="1803C229">
      <w:pPr>
        <w:ind w:firstLine="420"/>
        <w:rPr>
          <w:rFonts w:hint="eastAsia" w:ascii="Times New Roman" w:hAnsi="Times New Roman" w:eastAsia="宋体" w:cs="Times New Roman"/>
          <w:strike w:val="0"/>
          <w:color w:val="auto"/>
        </w:rPr>
      </w:pPr>
      <w:r>
        <w:rPr>
          <w:rFonts w:hint="eastAsia" w:ascii="Times New Roman" w:hAnsi="Times New Roman" w:eastAsia="宋体" w:cs="Times New Roman"/>
          <w:strike w:val="0"/>
          <w:color w:val="auto"/>
        </w:rPr>
        <w:t>地址：浦北县小江镇民兴39号</w:t>
      </w:r>
    </w:p>
    <w:p w14:paraId="788D429B">
      <w:pPr>
        <w:ind w:firstLine="420"/>
        <w:rPr>
          <w:rFonts w:hint="default" w:ascii="Times New Roman" w:hAnsi="Times New Roman" w:eastAsia="宋体" w:cs="Times New Roman"/>
          <w:strike w:val="0"/>
          <w:color w:val="auto"/>
          <w:lang w:val="en-US" w:eastAsia="zh-CN"/>
        </w:rPr>
      </w:pPr>
      <w:r>
        <w:rPr>
          <w:rFonts w:hint="eastAsia" w:ascii="Times New Roman" w:hAnsi="Times New Roman" w:eastAsia="宋体" w:cs="Times New Roman"/>
          <w:strike w:val="0"/>
          <w:color w:val="auto"/>
        </w:rPr>
        <w:t>项目联系人：</w:t>
      </w:r>
      <w:r>
        <w:rPr>
          <w:rFonts w:hint="eastAsia" w:cs="Times New Roman"/>
          <w:strike w:val="0"/>
          <w:color w:val="auto"/>
          <w:lang w:val="en-US" w:eastAsia="zh-CN"/>
        </w:rPr>
        <w:t xml:space="preserve">冯慧敏 </w:t>
      </w:r>
    </w:p>
    <w:p w14:paraId="30AF7483">
      <w:pPr>
        <w:ind w:firstLine="420"/>
        <w:rPr>
          <w:rFonts w:hint="default" w:ascii="Times New Roman" w:hAnsi="Times New Roman" w:eastAsia="宋体" w:cs="Times New Roman"/>
          <w:strike w:val="0"/>
          <w:color w:val="auto"/>
          <w:lang w:val="en-US" w:eastAsia="zh-CN"/>
        </w:rPr>
      </w:pPr>
      <w:r>
        <w:rPr>
          <w:rFonts w:hint="eastAsia" w:ascii="Times New Roman" w:hAnsi="Times New Roman" w:eastAsia="宋体" w:cs="Times New Roman"/>
          <w:strike w:val="0"/>
          <w:color w:val="auto"/>
        </w:rPr>
        <w:t>项目联系方式</w:t>
      </w:r>
      <w:bookmarkStart w:id="56" w:name="_Toc28359009"/>
      <w:bookmarkStart w:id="57" w:name="_Toc28359086"/>
      <w:r>
        <w:rPr>
          <w:rFonts w:hint="eastAsia" w:ascii="Times New Roman" w:hAnsi="Times New Roman" w:eastAsia="宋体" w:cs="Times New Roman"/>
          <w:strike w:val="0"/>
          <w:color w:val="auto"/>
        </w:rPr>
        <w:t>：</w:t>
      </w:r>
      <w:bookmarkStart w:id="58" w:name="_Hlk92356946"/>
      <w:r>
        <w:rPr>
          <w:rFonts w:hint="eastAsia" w:ascii="Times New Roman" w:hAnsi="Times New Roman" w:eastAsia="宋体" w:cs="Times New Roman"/>
          <w:strike w:val="0"/>
          <w:color w:val="auto"/>
        </w:rPr>
        <w:t>0777-821</w:t>
      </w:r>
      <w:r>
        <w:rPr>
          <w:rFonts w:hint="eastAsia" w:cs="Times New Roman"/>
          <w:strike w:val="0"/>
          <w:color w:val="auto"/>
          <w:lang w:val="en-US" w:eastAsia="zh-CN"/>
        </w:rPr>
        <w:t>2232</w:t>
      </w:r>
    </w:p>
    <w:p w14:paraId="2B74B0EE">
      <w:pPr>
        <w:ind w:firstLine="420"/>
        <w:rPr>
          <w:strike w:val="0"/>
          <w:color w:val="auto"/>
        </w:rPr>
      </w:pPr>
      <w:r>
        <w:rPr>
          <w:rFonts w:hint="eastAsia"/>
          <w:strike w:val="0"/>
          <w:color w:val="auto"/>
        </w:rPr>
        <w:t>2.采购代理机构信息</w:t>
      </w:r>
      <w:bookmarkEnd w:id="56"/>
      <w:bookmarkEnd w:id="57"/>
    </w:p>
    <w:p w14:paraId="6C544C7F">
      <w:pPr>
        <w:ind w:firstLine="420"/>
        <w:rPr>
          <w:strike w:val="0"/>
          <w:color w:val="auto"/>
        </w:rPr>
      </w:pPr>
      <w:r>
        <w:rPr>
          <w:rFonts w:hint="eastAsia"/>
          <w:strike w:val="0"/>
          <w:color w:val="auto"/>
        </w:rPr>
        <w:t>名称：钦州市政府采购中心</w:t>
      </w:r>
    </w:p>
    <w:p w14:paraId="42FAB21A">
      <w:pPr>
        <w:ind w:firstLine="420"/>
        <w:rPr>
          <w:strike w:val="0"/>
          <w:color w:val="auto"/>
        </w:rPr>
      </w:pPr>
      <w:r>
        <w:rPr>
          <w:rFonts w:hint="eastAsia"/>
          <w:strike w:val="0"/>
          <w:color w:val="auto"/>
        </w:rPr>
        <w:t>地址：钦州市金海湾东大街8号</w:t>
      </w:r>
    </w:p>
    <w:p w14:paraId="260ADF5E">
      <w:pPr>
        <w:ind w:firstLine="420"/>
        <w:rPr>
          <w:rFonts w:hint="eastAsia"/>
          <w:strike w:val="0"/>
          <w:color w:val="auto"/>
        </w:rPr>
      </w:pPr>
      <w:r>
        <w:rPr>
          <w:rFonts w:hint="eastAsia"/>
          <w:strike w:val="0"/>
          <w:color w:val="auto"/>
        </w:rPr>
        <w:t>项目联系人：苏晓婷</w:t>
      </w:r>
    </w:p>
    <w:p w14:paraId="17E40408">
      <w:pPr>
        <w:ind w:firstLine="420"/>
        <w:rPr>
          <w:strike w:val="0"/>
          <w:color w:val="auto"/>
        </w:rPr>
      </w:pPr>
      <w:r>
        <w:rPr>
          <w:rFonts w:hint="eastAsia"/>
          <w:strike w:val="0"/>
          <w:color w:val="auto"/>
        </w:rPr>
        <w:t>项目联系方式：</w:t>
      </w:r>
      <w:bookmarkStart w:id="59" w:name="_Toc28359087"/>
      <w:bookmarkStart w:id="60" w:name="_Toc28359010"/>
      <w:r>
        <w:rPr>
          <w:rFonts w:hint="eastAsia"/>
          <w:strike w:val="0"/>
          <w:color w:val="auto"/>
        </w:rPr>
        <w:t>0777-2886022</w:t>
      </w:r>
    </w:p>
    <w:bookmarkEnd w:id="58"/>
    <w:bookmarkEnd w:id="59"/>
    <w:bookmarkEnd w:id="60"/>
    <w:p w14:paraId="5BB93AF1">
      <w:pPr>
        <w:ind w:firstLine="0" w:firstLineChars="0"/>
        <w:jc w:val="left"/>
        <w:rPr>
          <w:rFonts w:hint="eastAsia"/>
          <w:strike w:val="0"/>
          <w:color w:val="auto"/>
        </w:rPr>
      </w:pPr>
      <w:r>
        <w:rPr>
          <w:strike w:val="0"/>
          <w:color w:val="auto"/>
        </w:rPr>
        <w:br w:type="page"/>
      </w:r>
    </w:p>
    <w:p w14:paraId="3814ECD8">
      <w:pPr>
        <w:ind w:firstLine="0" w:firstLineChars="0"/>
        <w:jc w:val="left"/>
        <w:rPr>
          <w:rFonts w:hint="eastAsia"/>
          <w:strike w:val="0"/>
          <w:color w:val="auto"/>
        </w:rPr>
      </w:pPr>
    </w:p>
    <w:p w14:paraId="566D7CA1">
      <w:pPr>
        <w:ind w:firstLine="0" w:firstLineChars="0"/>
        <w:jc w:val="left"/>
        <w:rPr>
          <w:rFonts w:hint="eastAsia"/>
          <w:strike w:val="0"/>
          <w:color w:val="auto"/>
        </w:rPr>
      </w:pPr>
    </w:p>
    <w:p w14:paraId="23A23D7D">
      <w:pPr>
        <w:ind w:firstLine="0" w:firstLineChars="0"/>
        <w:jc w:val="left"/>
        <w:rPr>
          <w:rFonts w:hint="eastAsia"/>
          <w:strike w:val="0"/>
          <w:color w:val="auto"/>
        </w:rPr>
      </w:pPr>
    </w:p>
    <w:p w14:paraId="64F65A81">
      <w:pPr>
        <w:ind w:firstLine="0" w:firstLineChars="0"/>
        <w:jc w:val="left"/>
        <w:rPr>
          <w:rFonts w:hint="eastAsia"/>
          <w:strike w:val="0"/>
          <w:color w:val="auto"/>
        </w:rPr>
      </w:pPr>
    </w:p>
    <w:p w14:paraId="3DA73EF2">
      <w:pPr>
        <w:ind w:firstLine="0" w:firstLineChars="0"/>
        <w:jc w:val="left"/>
        <w:rPr>
          <w:rFonts w:hint="eastAsia"/>
          <w:strike w:val="0"/>
          <w:color w:val="auto"/>
        </w:rPr>
      </w:pPr>
    </w:p>
    <w:p w14:paraId="455A0DC2">
      <w:pPr>
        <w:ind w:firstLine="0" w:firstLineChars="0"/>
        <w:jc w:val="left"/>
        <w:rPr>
          <w:rFonts w:hint="eastAsia"/>
          <w:strike w:val="0"/>
          <w:color w:val="auto"/>
        </w:rPr>
      </w:pPr>
    </w:p>
    <w:p w14:paraId="493944FE">
      <w:pPr>
        <w:ind w:firstLine="0" w:firstLineChars="0"/>
        <w:jc w:val="left"/>
        <w:rPr>
          <w:rFonts w:hint="eastAsia"/>
          <w:strike w:val="0"/>
          <w:color w:val="auto"/>
        </w:rPr>
      </w:pPr>
    </w:p>
    <w:p w14:paraId="747C4703">
      <w:pPr>
        <w:ind w:firstLine="0" w:firstLineChars="0"/>
        <w:jc w:val="left"/>
        <w:rPr>
          <w:strike w:val="0"/>
          <w:color w:val="auto"/>
        </w:rPr>
      </w:pPr>
    </w:p>
    <w:p w14:paraId="501F6E40">
      <w:pPr>
        <w:ind w:firstLine="0" w:firstLineChars="0"/>
        <w:jc w:val="left"/>
        <w:rPr>
          <w:strike w:val="0"/>
          <w:color w:val="auto"/>
        </w:rPr>
      </w:pPr>
    </w:p>
    <w:p w14:paraId="45981B42">
      <w:pPr>
        <w:ind w:firstLine="0" w:firstLineChars="0"/>
        <w:jc w:val="left"/>
        <w:rPr>
          <w:strike w:val="0"/>
          <w:color w:val="auto"/>
        </w:rPr>
      </w:pPr>
    </w:p>
    <w:p w14:paraId="3639599F">
      <w:pPr>
        <w:ind w:firstLine="0" w:firstLineChars="0"/>
        <w:jc w:val="left"/>
        <w:rPr>
          <w:rFonts w:hint="eastAsia"/>
          <w:strike w:val="0"/>
          <w:color w:val="auto"/>
        </w:rPr>
      </w:pPr>
    </w:p>
    <w:p w14:paraId="1E0BB352">
      <w:pPr>
        <w:pStyle w:val="48"/>
        <w:ind w:left="0" w:leftChars="0" w:right="0" w:rightChars="0" w:firstLine="0" w:firstLineChars="0"/>
        <w:jc w:val="center"/>
        <w:rPr>
          <w:rFonts w:hint="eastAsia"/>
          <w:strike w:val="0"/>
          <w:color w:val="auto"/>
        </w:rPr>
      </w:pPr>
      <w:bookmarkStart w:id="61" w:name="_Toc352700402"/>
      <w:bookmarkStart w:id="62" w:name="_Toc91512284"/>
      <w:r>
        <w:rPr>
          <w:rFonts w:hint="eastAsia"/>
          <w:strike w:val="0"/>
          <w:color w:val="auto"/>
        </w:rPr>
        <w:t xml:space="preserve">第二章  </w:t>
      </w:r>
      <w:bookmarkEnd w:id="61"/>
      <w:r>
        <w:rPr>
          <w:rFonts w:hint="eastAsia"/>
          <w:strike w:val="0"/>
          <w:color w:val="auto"/>
        </w:rPr>
        <w:t>项目需求</w:t>
      </w:r>
      <w:bookmarkEnd w:id="62"/>
      <w:bookmarkStart w:id="63" w:name="_Toc352700403"/>
    </w:p>
    <w:p w14:paraId="4DE41DE6">
      <w:pPr>
        <w:ind w:firstLine="0" w:firstLineChars="0"/>
        <w:rPr>
          <w:strike w:val="0"/>
          <w:color w:val="auto"/>
        </w:rPr>
      </w:pPr>
    </w:p>
    <w:p w14:paraId="65DF4A69">
      <w:pPr>
        <w:ind w:firstLine="0" w:firstLineChars="0"/>
        <w:rPr>
          <w:strike w:val="0"/>
          <w:color w:val="auto"/>
        </w:rPr>
      </w:pPr>
    </w:p>
    <w:p w14:paraId="22FA688B">
      <w:pPr>
        <w:ind w:firstLine="0" w:firstLineChars="0"/>
        <w:rPr>
          <w:strike w:val="0"/>
          <w:color w:val="auto"/>
        </w:rPr>
      </w:pPr>
    </w:p>
    <w:p w14:paraId="4CA8DA99">
      <w:pPr>
        <w:ind w:firstLine="0" w:firstLineChars="0"/>
        <w:rPr>
          <w:strike w:val="0"/>
          <w:color w:val="auto"/>
        </w:rPr>
      </w:pPr>
    </w:p>
    <w:p w14:paraId="1CF209DC">
      <w:pPr>
        <w:ind w:firstLine="0" w:firstLineChars="0"/>
        <w:rPr>
          <w:strike w:val="0"/>
          <w:color w:val="auto"/>
        </w:rPr>
      </w:pPr>
    </w:p>
    <w:p w14:paraId="6D9107A7">
      <w:pPr>
        <w:ind w:firstLine="0" w:firstLineChars="0"/>
        <w:rPr>
          <w:strike w:val="0"/>
          <w:color w:val="auto"/>
        </w:rPr>
      </w:pPr>
    </w:p>
    <w:p w14:paraId="40001053">
      <w:pPr>
        <w:ind w:firstLine="0" w:firstLineChars="0"/>
        <w:rPr>
          <w:strike w:val="0"/>
          <w:color w:val="auto"/>
        </w:rPr>
      </w:pPr>
    </w:p>
    <w:p w14:paraId="05924A16">
      <w:pPr>
        <w:ind w:firstLine="0" w:firstLineChars="0"/>
        <w:rPr>
          <w:strike w:val="0"/>
          <w:color w:val="auto"/>
        </w:rPr>
      </w:pPr>
    </w:p>
    <w:p w14:paraId="51BB8350">
      <w:pPr>
        <w:ind w:firstLine="0" w:firstLineChars="0"/>
        <w:rPr>
          <w:strike w:val="0"/>
          <w:color w:val="auto"/>
        </w:rPr>
      </w:pPr>
    </w:p>
    <w:p w14:paraId="792F5D53">
      <w:pPr>
        <w:ind w:firstLine="0" w:firstLineChars="0"/>
        <w:rPr>
          <w:strike w:val="0"/>
          <w:color w:val="auto"/>
        </w:rPr>
      </w:pPr>
    </w:p>
    <w:p w14:paraId="7BB34568">
      <w:pPr>
        <w:ind w:firstLine="0" w:firstLineChars="0"/>
        <w:rPr>
          <w:strike w:val="0"/>
          <w:color w:val="auto"/>
        </w:rPr>
      </w:pPr>
    </w:p>
    <w:p w14:paraId="45350D4A">
      <w:pPr>
        <w:ind w:firstLine="0" w:firstLineChars="0"/>
        <w:rPr>
          <w:strike w:val="0"/>
          <w:color w:val="auto"/>
        </w:rPr>
      </w:pPr>
    </w:p>
    <w:p w14:paraId="7CD03B05">
      <w:pPr>
        <w:ind w:firstLine="0" w:firstLineChars="0"/>
        <w:rPr>
          <w:strike w:val="0"/>
          <w:color w:val="auto"/>
        </w:rPr>
      </w:pPr>
    </w:p>
    <w:p w14:paraId="5DBCD76E">
      <w:pPr>
        <w:ind w:firstLine="0" w:firstLineChars="0"/>
        <w:rPr>
          <w:strike w:val="0"/>
          <w:color w:val="auto"/>
        </w:rPr>
      </w:pPr>
    </w:p>
    <w:p w14:paraId="6A4D3F25">
      <w:pPr>
        <w:ind w:firstLine="0" w:firstLineChars="0"/>
        <w:rPr>
          <w:strike w:val="0"/>
          <w:color w:val="auto"/>
        </w:rPr>
      </w:pPr>
    </w:p>
    <w:p w14:paraId="29C6D50D">
      <w:pPr>
        <w:ind w:firstLine="0" w:firstLineChars="0"/>
        <w:rPr>
          <w:strike w:val="0"/>
          <w:color w:val="auto"/>
        </w:rPr>
      </w:pPr>
    </w:p>
    <w:p w14:paraId="3353C65C">
      <w:pPr>
        <w:ind w:firstLine="0" w:firstLineChars="0"/>
        <w:rPr>
          <w:strike w:val="0"/>
          <w:color w:val="auto"/>
        </w:rPr>
      </w:pPr>
    </w:p>
    <w:p w14:paraId="02EE8935">
      <w:pPr>
        <w:ind w:firstLine="0" w:firstLineChars="0"/>
        <w:rPr>
          <w:strike w:val="0"/>
          <w:color w:val="auto"/>
        </w:rPr>
      </w:pPr>
    </w:p>
    <w:p w14:paraId="2B9F1BA5">
      <w:pPr>
        <w:ind w:firstLine="0" w:firstLineChars="0"/>
        <w:rPr>
          <w:strike w:val="0"/>
          <w:color w:val="auto"/>
        </w:rPr>
      </w:pPr>
    </w:p>
    <w:p w14:paraId="55A175D2">
      <w:pPr>
        <w:ind w:firstLine="0" w:firstLineChars="0"/>
        <w:rPr>
          <w:strike w:val="0"/>
          <w:color w:val="auto"/>
        </w:rPr>
      </w:pPr>
    </w:p>
    <w:p w14:paraId="4586EB1E">
      <w:pPr>
        <w:ind w:firstLine="0" w:firstLineChars="0"/>
        <w:rPr>
          <w:strike w:val="0"/>
          <w:color w:val="auto"/>
        </w:rPr>
      </w:pPr>
    </w:p>
    <w:p w14:paraId="1DC503AD">
      <w:pPr>
        <w:pStyle w:val="28"/>
        <w:spacing w:line="360" w:lineRule="auto"/>
        <w:ind w:firstLine="3975" w:firstLineChars="900"/>
        <w:outlineLvl w:val="0"/>
        <w:rPr>
          <w:strike w:val="0"/>
          <w:color w:val="auto"/>
        </w:rPr>
      </w:pPr>
      <w:r>
        <w:rPr>
          <w:rFonts w:hint="eastAsia" w:hAnsi="宋体" w:cs="宋体"/>
          <w:b/>
          <w:bCs/>
          <w:strike w:val="0"/>
          <w:color w:val="auto"/>
          <w:sz w:val="44"/>
        </w:rPr>
        <w:t>项 目 需 求</w:t>
      </w:r>
    </w:p>
    <w:p w14:paraId="29F2545F">
      <w:pPr>
        <w:adjustRightInd w:val="0"/>
        <w:spacing w:line="360" w:lineRule="auto"/>
        <w:ind w:firstLine="422"/>
        <w:rPr>
          <w:rFonts w:hint="eastAsia" w:ascii="宋体" w:hAnsi="宋体" w:cs="宋体"/>
          <w:bCs/>
          <w:strike w:val="0"/>
          <w:color w:val="auto"/>
          <w:szCs w:val="21"/>
          <w:highlight w:val="yellow"/>
        </w:rPr>
      </w:pPr>
      <w:r>
        <w:rPr>
          <w:rFonts w:hint="eastAsia" w:ascii="宋体" w:hAnsi="宋体" w:cs="宋体"/>
          <w:b/>
          <w:strike w:val="0"/>
          <w:color w:val="auto"/>
          <w:szCs w:val="21"/>
        </w:rPr>
        <w:t>说明：</w:t>
      </w:r>
    </w:p>
    <w:p w14:paraId="0572AFA2">
      <w:pPr>
        <w:spacing w:line="460" w:lineRule="exact"/>
        <w:ind w:firstLine="422"/>
        <w:rPr>
          <w:rFonts w:hint="eastAsia" w:ascii="宋体" w:hAnsi="宋体" w:cs="宋体"/>
          <w:b/>
          <w:bCs/>
          <w:strike w:val="0"/>
          <w:color w:val="auto"/>
          <w:szCs w:val="21"/>
        </w:rPr>
      </w:pPr>
      <w:r>
        <w:rPr>
          <w:rFonts w:hint="eastAsia" w:ascii="宋体" w:hAnsi="宋体" w:cs="宋体"/>
          <w:b/>
          <w:bCs/>
          <w:strike w:val="0"/>
          <w:color w:val="auto"/>
          <w:szCs w:val="21"/>
        </w:rPr>
        <w:t>1.根据《财政部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投标文件中提供所</w:t>
      </w:r>
      <w:r>
        <w:rPr>
          <w:rFonts w:hint="eastAsia" w:ascii="宋体" w:hAnsi="宋体" w:cs="宋体"/>
          <w:b/>
          <w:bCs/>
          <w:strike w:val="0"/>
          <w:color w:val="auto"/>
          <w:szCs w:val="21"/>
          <w:lang w:val="en-US" w:eastAsia="zh-CN"/>
        </w:rPr>
        <w:t>投标</w:t>
      </w:r>
      <w:r>
        <w:rPr>
          <w:rFonts w:hint="eastAsia" w:ascii="宋体" w:hAnsi="宋体" w:cs="宋体"/>
          <w:b/>
          <w:bCs/>
          <w:strike w:val="0"/>
          <w:color w:val="auto"/>
          <w:szCs w:val="21"/>
        </w:rPr>
        <w:t>产品的节能产品认证证书复印件（加盖供应商公章），否则投标文件按无效处理。</w:t>
      </w:r>
    </w:p>
    <w:p w14:paraId="5C0DB3EA">
      <w:pPr>
        <w:spacing w:line="460" w:lineRule="exact"/>
        <w:ind w:firstLine="422"/>
        <w:rPr>
          <w:rFonts w:ascii="宋体" w:hAnsi="宋体"/>
          <w:strike w:val="0"/>
          <w:color w:val="auto"/>
          <w:szCs w:val="21"/>
        </w:rPr>
      </w:pPr>
      <w:r>
        <w:rPr>
          <w:rFonts w:hint="eastAsia" w:ascii="宋体" w:hAnsi="宋体" w:cs="宋体"/>
          <w:b/>
          <w:bCs/>
          <w:strike w:val="0"/>
          <w:color w:val="auto"/>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投标无效。</w:t>
      </w:r>
    </w:p>
    <w:p w14:paraId="77E34D1C">
      <w:pPr>
        <w:spacing w:line="430" w:lineRule="exact"/>
        <w:ind w:firstLine="422"/>
        <w:rPr>
          <w:rFonts w:ascii="宋体" w:hAnsi="宋体"/>
          <w:b/>
          <w:bCs/>
          <w:strike w:val="0"/>
          <w:color w:val="auto"/>
          <w:szCs w:val="21"/>
        </w:rPr>
      </w:pPr>
      <w:r>
        <w:rPr>
          <w:rFonts w:hint="eastAsia" w:ascii="宋体" w:hAnsi="宋体"/>
          <w:b/>
          <w:bCs/>
          <w:strike w:val="0"/>
          <w:color w:val="auto"/>
          <w:szCs w:val="21"/>
        </w:rPr>
        <w:t>3.标注“★”号的条款为实质性响应条款，要求必须满足或优于，否则视为无效投标文件。标注“▲”号的项目条款或技术要求仅作为评审依据进行考核，具体见本招标文件第四章。</w:t>
      </w:r>
    </w:p>
    <w:p w14:paraId="1937ADDC">
      <w:pPr>
        <w:spacing w:line="430" w:lineRule="exact"/>
        <w:ind w:firstLine="420"/>
        <w:rPr>
          <w:rFonts w:ascii="宋体" w:hAnsi="宋体"/>
          <w:strike w:val="0"/>
          <w:color w:val="auto"/>
          <w:szCs w:val="21"/>
        </w:rPr>
      </w:pPr>
      <w:r>
        <w:rPr>
          <w:rFonts w:hint="eastAsia" w:ascii="宋体" w:hAnsi="宋体"/>
          <w:strike w:val="0"/>
          <w:color w:val="auto"/>
          <w:szCs w:val="21"/>
        </w:rPr>
        <w:t>4.本表中的品牌型号、技术参数及其性能（规格）仅起参考作用，供应商可选用其他品牌型号替代，</w:t>
      </w:r>
      <w:r>
        <w:rPr>
          <w:rFonts w:hint="eastAsia" w:ascii="宋体" w:hAnsi="宋体"/>
          <w:strike w:val="0"/>
          <w:color w:val="auto"/>
        </w:rPr>
        <w:t>但替代的产品整体上要相当于或优于参考品牌型号或其技术参数性能（规格）要求。</w:t>
      </w:r>
    </w:p>
    <w:p w14:paraId="0119A513">
      <w:pPr>
        <w:widowControl/>
        <w:ind w:firstLine="420"/>
        <w:jc w:val="left"/>
        <w:rPr>
          <w:rFonts w:hint="eastAsia" w:ascii="宋体" w:hAnsi="宋体" w:cs="宋体"/>
          <w:bCs/>
          <w:strike w:val="0"/>
          <w:color w:val="auto"/>
          <w:szCs w:val="21"/>
          <w:highlight w:val="yellow"/>
        </w:rPr>
      </w:pPr>
      <w:r>
        <w:rPr>
          <w:rFonts w:hint="eastAsia" w:ascii="宋体" w:hAnsi="宋体" w:cs="宋体"/>
          <w:strike w:val="0"/>
          <w:color w:val="auto"/>
          <w:kern w:val="0"/>
          <w:szCs w:val="21"/>
          <w:lang w:bidi="ar"/>
        </w:rPr>
        <w:t>5.投标人必须自行为其投标产品侵犯他人的知识产权或者专利成果的行为承担相应法律责任。</w:t>
      </w:r>
    </w:p>
    <w:p w14:paraId="4C6F5170">
      <w:pPr>
        <w:widowControl/>
        <w:ind w:firstLine="420"/>
        <w:jc w:val="left"/>
        <w:rPr>
          <w:rFonts w:hint="eastAsia" w:ascii="宋体" w:hAnsi="宋体" w:cs="宋体"/>
          <w:strike w:val="0"/>
          <w:color w:val="auto"/>
          <w:kern w:val="0"/>
          <w:szCs w:val="21"/>
          <w:lang w:bidi="ar"/>
        </w:rPr>
      </w:pPr>
      <w:r>
        <w:rPr>
          <w:rFonts w:hint="eastAsia" w:ascii="宋体" w:hAnsi="宋体" w:cs="宋体"/>
          <w:strike w:val="0"/>
          <w:color w:val="auto"/>
          <w:kern w:val="0"/>
          <w:szCs w:val="21"/>
          <w:lang w:bidi="ar"/>
        </w:rPr>
        <w:t>6.本项目不接受进口产品投标，如投标人采用进口产品投标则作无效投标处理。</w:t>
      </w:r>
      <w:bookmarkStart w:id="64" w:name="_Toc91512285"/>
    </w:p>
    <w:p w14:paraId="5FC1A8F4">
      <w:pPr>
        <w:widowControl/>
        <w:ind w:firstLine="420"/>
        <w:jc w:val="left"/>
        <w:rPr>
          <w:rFonts w:hint="eastAsia" w:ascii="宋体" w:hAnsi="宋体" w:cs="宋体"/>
          <w:strike w:val="0"/>
          <w:color w:val="auto"/>
          <w:kern w:val="0"/>
          <w:szCs w:val="21"/>
          <w:lang w:bidi="ar"/>
        </w:rPr>
      </w:pPr>
      <w:r>
        <w:rPr>
          <w:rFonts w:hint="eastAsia" w:ascii="宋体" w:hAnsi="宋体" w:cs="宋体"/>
          <w:strike w:val="0"/>
          <w:color w:val="auto"/>
          <w:kern w:val="0"/>
          <w:szCs w:val="21"/>
          <w:lang w:val="en-US" w:eastAsia="zh-CN" w:bidi="ar"/>
        </w:rPr>
        <w:t>7</w:t>
      </w:r>
      <w:r>
        <w:rPr>
          <w:rFonts w:hint="eastAsia" w:ascii="宋体" w:hAnsi="宋体" w:cs="宋体"/>
          <w:strike w:val="0"/>
          <w:color w:val="auto"/>
          <w:kern w:val="0"/>
          <w:szCs w:val="21"/>
          <w:lang w:bidi="ar"/>
        </w:rPr>
        <w:t>.本项目</w:t>
      </w:r>
      <w:r>
        <w:rPr>
          <w:rFonts w:hint="eastAsia" w:ascii="宋体" w:hAnsi="宋体" w:cs="宋体"/>
          <w:strike w:val="0"/>
          <w:color w:val="auto"/>
          <w:kern w:val="0"/>
          <w:szCs w:val="21"/>
          <w:lang w:val="en-US" w:eastAsia="zh-CN" w:bidi="ar"/>
        </w:rPr>
        <w:t>采购标的所属行业：</w:t>
      </w:r>
      <w:r>
        <w:rPr>
          <w:rFonts w:hint="eastAsia" w:ascii="宋体" w:hAnsi="宋体" w:cs="宋体"/>
          <w:b/>
          <w:bCs/>
          <w:strike w:val="0"/>
          <w:color w:val="auto"/>
          <w:kern w:val="0"/>
          <w:szCs w:val="21"/>
          <w:u w:val="single"/>
          <w:lang w:val="en-US" w:eastAsia="zh-CN" w:bidi="ar"/>
        </w:rPr>
        <w:t>工业</w:t>
      </w:r>
      <w:r>
        <w:rPr>
          <w:rFonts w:hint="eastAsia" w:ascii="宋体" w:hAnsi="宋体" w:cs="宋体"/>
          <w:b/>
          <w:bCs/>
          <w:strike w:val="0"/>
          <w:color w:val="auto"/>
          <w:kern w:val="0"/>
          <w:szCs w:val="21"/>
          <w:lang w:bidi="ar"/>
        </w:rPr>
        <w:t>。</w:t>
      </w:r>
    </w:p>
    <w:p w14:paraId="746A5143">
      <w:pPr>
        <w:spacing w:line="240" w:lineRule="auto"/>
        <w:ind w:firstLine="0" w:firstLineChars="0"/>
        <w:jc w:val="both"/>
        <w:rPr>
          <w:rFonts w:hint="eastAsia" w:ascii="宋体" w:hAnsi="宋体" w:eastAsia="宋体" w:cs="宋体"/>
          <w:b/>
          <w:bCs w:val="0"/>
          <w:strike w:val="0"/>
          <w:color w:val="auto"/>
          <w:sz w:val="21"/>
          <w:szCs w:val="21"/>
          <w:lang w:val="en-US" w:eastAsia="zh-CN"/>
        </w:rPr>
      </w:pPr>
    </w:p>
    <w:p w14:paraId="22F02F0B">
      <w:pPr>
        <w:spacing w:line="240" w:lineRule="auto"/>
        <w:ind w:firstLine="0" w:firstLineChars="0"/>
        <w:jc w:val="center"/>
        <w:rPr>
          <w:rFonts w:hint="default" w:ascii="宋体" w:hAnsi="宋体" w:eastAsia="宋体" w:cs="宋体"/>
          <w:b/>
          <w:bCs w:val="0"/>
          <w:strike w:val="0"/>
          <w:color w:val="auto"/>
          <w:sz w:val="21"/>
          <w:szCs w:val="21"/>
          <w:lang w:val="en-US" w:eastAsia="zh-CN"/>
        </w:rPr>
      </w:pPr>
      <w:r>
        <w:rPr>
          <w:rFonts w:hint="eastAsia" w:ascii="宋体" w:hAnsi="宋体" w:eastAsia="宋体" w:cs="宋体"/>
          <w:b/>
          <w:bCs w:val="0"/>
          <w:strike w:val="0"/>
          <w:color w:val="auto"/>
          <w:sz w:val="21"/>
          <w:szCs w:val="21"/>
          <w:lang w:val="en-US" w:eastAsia="zh-CN"/>
        </w:rPr>
        <w:t>标项一：浦北县第九小学教学设备采购</w:t>
      </w:r>
    </w:p>
    <w:tbl>
      <w:tblPr>
        <w:tblStyle w:val="52"/>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37"/>
        <w:gridCol w:w="30"/>
        <w:gridCol w:w="15"/>
        <w:gridCol w:w="5"/>
        <w:gridCol w:w="620"/>
        <w:gridCol w:w="65"/>
        <w:gridCol w:w="572"/>
        <w:gridCol w:w="6647"/>
        <w:gridCol w:w="787"/>
      </w:tblGrid>
      <w:tr w14:paraId="0587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top"/>
          </w:tcPr>
          <w:p w14:paraId="5BEB96AD">
            <w:pPr>
              <w:spacing w:line="240" w:lineRule="auto"/>
              <w:ind w:firstLine="0" w:firstLineChars="0"/>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lang w:val="en-US" w:eastAsia="zh-CN"/>
              </w:rPr>
              <w:t>一、计算机</w:t>
            </w:r>
          </w:p>
        </w:tc>
      </w:tr>
      <w:tr w14:paraId="58C1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09" w:type="dxa"/>
            <w:noWrap w:val="0"/>
            <w:vAlign w:val="center"/>
          </w:tcPr>
          <w:p w14:paraId="3C57D21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BF1CCC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440801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val="0"/>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3B1BA6B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val="0"/>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4C7DCD31">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CAEE74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both"/>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098B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027AB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04F01A4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学生计算机</w:t>
            </w:r>
          </w:p>
        </w:tc>
        <w:tc>
          <w:tcPr>
            <w:tcW w:w="690" w:type="dxa"/>
            <w:gridSpan w:val="3"/>
            <w:noWrap w:val="0"/>
            <w:vAlign w:val="center"/>
          </w:tcPr>
          <w:p w14:paraId="3115053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39A8710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41</w:t>
            </w:r>
          </w:p>
        </w:tc>
        <w:tc>
          <w:tcPr>
            <w:tcW w:w="6647" w:type="dxa"/>
            <w:noWrap w:val="0"/>
            <w:vAlign w:val="center"/>
          </w:tcPr>
          <w:p w14:paraId="03BB451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★一、CPU规格及型号</w:t>
            </w:r>
          </w:p>
          <w:p w14:paraId="3E65832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CPU≥8核8线程，主频≥2.7GHz，末级缓存≥8M，内存≥双通道DDR4-2666，设计功耗≥70W，位宽≥64位。</w:t>
            </w:r>
          </w:p>
          <w:p w14:paraId="5FF7738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★二、内存规格</w:t>
            </w:r>
          </w:p>
          <w:p w14:paraId="2ED2013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1.内存配置容量：≥8GB；</w:t>
            </w:r>
          </w:p>
          <w:p w14:paraId="09B0DF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2.内存类型：支持 DDR4/LPDDR4/LPDDR4X 及以上内存类型；</w:t>
            </w:r>
          </w:p>
          <w:p w14:paraId="77371BC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3.内存条配置数量（板载内存不涉及）：≥2。</w:t>
            </w:r>
          </w:p>
          <w:p w14:paraId="0248B3E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★三、主板规格</w:t>
            </w:r>
          </w:p>
          <w:p w14:paraId="6A1E56D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1.主板集成模块：集成资源扩展模块、计算处理模块、音频扩展模块等，主板的互联拓扑可通过处理器或交换电路实现；</w:t>
            </w:r>
          </w:p>
          <w:p w14:paraId="301386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2.主板支持的 CPU 和内存情况：≥8核8线程，主频≥2.7GHz，末级缓存≥8M，内存≥双通道DDR4-2666，设计功耗≥70W，位宽≥64位；内存条数量≥2；</w:t>
            </w:r>
          </w:p>
          <w:p w14:paraId="5EF4BF4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3.主板其他内置接口：≥SATA接口*2，≥M.2接口*2，≥USB接口*8，固态硬盘占用M.2接口*1</w:t>
            </w:r>
          </w:p>
          <w:p w14:paraId="22A0F96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4.单内存插槽最大可支持容量（板载内存不涉及）：≥16GB；</w:t>
            </w:r>
          </w:p>
          <w:p w14:paraId="22BADAA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5.内存插槽满配时提供的最高内存总容量：≥32GB。</w:t>
            </w:r>
          </w:p>
          <w:p w14:paraId="61DACF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★四、存储设备规格</w:t>
            </w:r>
          </w:p>
          <w:p w14:paraId="0352E21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1.固态盘数量：≥1 个； </w:t>
            </w:r>
          </w:p>
          <w:p w14:paraId="5D3B254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2.固态存储容量：≥512GB；</w:t>
            </w:r>
          </w:p>
          <w:p w14:paraId="553FCA9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3.机械硬盘数量：≥0个；</w:t>
            </w:r>
          </w:p>
          <w:p w14:paraId="6C0E815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4.机械硬盘总容量：≥1000GB；</w:t>
            </w:r>
          </w:p>
          <w:p w14:paraId="1FDB908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5.机械硬盘转速：≥5400rpm；</w:t>
            </w:r>
          </w:p>
          <w:p w14:paraId="367883C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6.机械硬盘形态：2.5 英寸或 3.5 英寸等；</w:t>
            </w:r>
          </w:p>
          <w:p w14:paraId="4CF45B5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7.固态存储形态：采用插卡或板载等形态，可选用符合M.2或2.5寸SATA或mSATA等标准的插卡形态；</w:t>
            </w:r>
          </w:p>
          <w:p w14:paraId="7503E4B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8.存储设备其他参数要求：a)固态盘应符合SJ/T 11654相关规定；b)机械硬盘准备时间应不大于30s；侧面固定螺丝孔数量可为 4 孔或 6 孔；工作状态环境温度应满足5℃-55℃；其它参数应符合GB/T 12628相关规定。</w:t>
            </w:r>
          </w:p>
          <w:p w14:paraId="48F107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★五、显卡规格</w:t>
            </w:r>
          </w:p>
          <w:p w14:paraId="6B9282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显卡类型：集成显卡；</w:t>
            </w:r>
          </w:p>
          <w:p w14:paraId="1962A5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★六、显示设备规格</w:t>
            </w:r>
          </w:p>
          <w:p w14:paraId="5FEF089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1.显示屏屏占比：≥80%；</w:t>
            </w:r>
          </w:p>
          <w:p w14:paraId="500248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2.显示屏分辨率：≥1920*1080；</w:t>
            </w:r>
          </w:p>
          <w:p w14:paraId="7AB1FE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3.显示屏尺寸：≥21.5英寸；</w:t>
            </w:r>
          </w:p>
          <w:p w14:paraId="6460A1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4.显示屏屏幕比例：16:9； </w:t>
            </w:r>
          </w:p>
          <w:p w14:paraId="2F65B6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5.显示器外观颜色：黑色；</w:t>
            </w:r>
          </w:p>
          <w:p w14:paraId="58C5F3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6.显示屏防蓝光：支持防蓝光模式，蓝光加权辐射亮度比应≤0.0012W/(·cd·sr)（瓦每坎特拉每球面度）；</w:t>
            </w:r>
          </w:p>
          <w:p w14:paraId="6CFCD7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7.显示屏低频闪：显示屏应支持低频闪≤-35dB；</w:t>
            </w:r>
          </w:p>
          <w:p w14:paraId="5FF99E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8.显示屏防炫目：显示屏镜面反射率≤10%。</w:t>
            </w:r>
          </w:p>
          <w:p w14:paraId="3FF9B8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★七、外设规格</w:t>
            </w:r>
          </w:p>
          <w:p w14:paraId="3B2E1F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1.鼠标数量：≥1个；</w:t>
            </w:r>
          </w:p>
          <w:p w14:paraId="7C181F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2.键盘数量：≥1个；</w:t>
            </w:r>
          </w:p>
          <w:p w14:paraId="34C6A3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3.键盘按键数目：≥104键；</w:t>
            </w:r>
          </w:p>
          <w:p w14:paraId="774FDF5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4.键盘连接方式：有线；</w:t>
            </w:r>
          </w:p>
          <w:p w14:paraId="061C519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5.键盘键程：2.3mm-4.0mm；</w:t>
            </w:r>
          </w:p>
          <w:p w14:paraId="24D0FC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6.键盘按键压力：按键压力应在0.54N±0.14N；</w:t>
            </w:r>
          </w:p>
          <w:p w14:paraId="36767B9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lang w:val="en-US" w:eastAsia="zh-CN"/>
              </w:rPr>
              <w:t>米；</w:t>
            </w:r>
          </w:p>
          <w:p w14:paraId="7CF0D0C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8.键盘颜色：黑色；</w:t>
            </w:r>
          </w:p>
          <w:p w14:paraId="0F2785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9.鼠标连接方式：有线；</w:t>
            </w:r>
          </w:p>
          <w:p w14:paraId="16A2933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10.有线鼠标连接线：≥1.8米；</w:t>
            </w:r>
          </w:p>
          <w:p w14:paraId="3F8610F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11.鼠标DPI分辨率：800-1600；</w:t>
            </w:r>
          </w:p>
          <w:p w14:paraId="14459E7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12.鼠标颜色：黑色；</w:t>
            </w:r>
          </w:p>
          <w:p w14:paraId="0B16A8F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13.鼠标其他要求：其它参数应符合GB/T 26245的相关规定。</w:t>
            </w:r>
          </w:p>
          <w:p w14:paraId="44877AE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★八、网络设备规格</w:t>
            </w:r>
          </w:p>
          <w:p w14:paraId="748ECB9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有线网卡数量：≥1。</w:t>
            </w:r>
          </w:p>
          <w:p w14:paraId="7704A5E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★九、外部接口规格</w:t>
            </w:r>
          </w:p>
          <w:p w14:paraId="55374F9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1.USB 接口数量：机箱前面板应提供不少于4个USB 接口（含2 个USB3.0及以上接口）；</w:t>
            </w:r>
          </w:p>
          <w:p w14:paraId="7ADBCAF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2.视频接口数量：≥1；</w:t>
            </w:r>
          </w:p>
          <w:p w14:paraId="19EEA3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3.音频接口数量：≥1。</w:t>
            </w:r>
          </w:p>
          <w:p w14:paraId="2742BD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★十、整机基础规格</w:t>
            </w:r>
          </w:p>
          <w:p w14:paraId="645BE2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5B495CA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2.状态指示灯：在产品显著位置提供状态指示功能；</w:t>
            </w:r>
          </w:p>
          <w:p w14:paraId="0F20A9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3.整机结构：</w:t>
            </w:r>
          </w:p>
          <w:p w14:paraId="1024C4D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a) 机箱应符合 GB/T 4208、GB/T 26246的相关规定；</w:t>
            </w:r>
          </w:p>
          <w:p w14:paraId="1818954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b) 产品内部结构应符合通用部件的安装需求；</w:t>
            </w:r>
          </w:p>
          <w:p w14:paraId="369A8B6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c)所有输入输出接口应符合相关国家或行业标准；</w:t>
            </w:r>
          </w:p>
          <w:p w14:paraId="2A0EA9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d)产品零部件应紧固无松动，可插拔部件应可靠连接，开关、按钮和其它控制部件应灵活可靠，布局应方便使用；</w:t>
            </w:r>
          </w:p>
          <w:p w14:paraId="15F73C2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e)所有I/O连接器及需插接线缆的部位应预留采购人操作空间，方便插拔解锁与插拔线缆；f)可插拔板卡插槽部位应预留安装、拆卸或更换板卡空间；</w:t>
            </w:r>
          </w:p>
          <w:p w14:paraId="19F7C0C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g)拆装可能接触到的金属剪口或金属尖角部位应做防划伤处理，以保证安全；</w:t>
            </w:r>
          </w:p>
          <w:p w14:paraId="51B98E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h) 整机内部走线应规整，固线结构和位置要合理可靠并做防割线处理，需便于理线和插拔操作，走线应不影响系统各主要部件组装和拆卸；</w:t>
            </w:r>
          </w:p>
          <w:p w14:paraId="2C7C45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i)如需通过孔走线，过线孔应做防割线处理；</w:t>
            </w:r>
          </w:p>
          <w:p w14:paraId="7519040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j)各插头位置和插拔方向应合理，应做到插拔无障碍设计，具备防呆设计，有效避免误操作；k)各主要部件拆装无障碍，使用常规工具拆装，无特殊拆装工具需求；</w:t>
            </w:r>
          </w:p>
          <w:p w14:paraId="7DE8C6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l)各主要部件拆装步骤要少，各自拆装需避免相互干扰；</w:t>
            </w:r>
          </w:p>
          <w:p w14:paraId="45BD93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m)对于整机或零部件外表面为高亮面的，应粘贴保护膜，保护膜需粘贴牢固，运输、组装等过程不易脱落，撕下无残留；n)其它要求应符合GB/T 9813.1的相关规定；</w:t>
            </w:r>
          </w:p>
          <w:p w14:paraId="2BEFE4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4.机箱防护要求：机箱应符合GB/T 4208中IP20防护要求；</w:t>
            </w:r>
          </w:p>
          <w:p w14:paraId="26055E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5.整机噪音：产品工作在空闲状态下，产品的声功率级应不超过4.5Bel；</w:t>
            </w:r>
          </w:p>
          <w:p w14:paraId="5F77F83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7C8DAAE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FDF968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8.机身材质：金属；</w:t>
            </w:r>
          </w:p>
          <w:p w14:paraId="05D3B24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9.机身颜色：黑色；</w:t>
            </w:r>
          </w:p>
          <w:p w14:paraId="2E1417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10.机箱尺寸容量：为便于升级扩展，机箱体积应≥15L且符合政采台式计算机采购标准。</w:t>
            </w:r>
          </w:p>
          <w:p w14:paraId="6570E9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★十一、CPU性能</w:t>
            </w:r>
          </w:p>
          <w:p w14:paraId="608C29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1.CPU 物理核数：≥8；</w:t>
            </w:r>
          </w:p>
          <w:p w14:paraId="52D080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2.CPU 主频：≥2.7GHz；</w:t>
            </w:r>
          </w:p>
          <w:p w14:paraId="39E2DE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3.CPU 末级缓存容量：≥8MB；</w:t>
            </w:r>
          </w:p>
          <w:p w14:paraId="0984F6C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4.CPU 支持的内存最高速率：≥2666MT/s。</w:t>
            </w:r>
          </w:p>
          <w:p w14:paraId="0075D2F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★十二、内存性能</w:t>
            </w:r>
          </w:p>
          <w:p w14:paraId="20CB061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内存读写速率：≥2666MT/s。</w:t>
            </w:r>
          </w:p>
          <w:p w14:paraId="21530E3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★十三、显卡性能</w:t>
            </w:r>
          </w:p>
          <w:p w14:paraId="335DE86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1.显示分辨率：≥1920*1080；</w:t>
            </w:r>
          </w:p>
          <w:p w14:paraId="433980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2.显卡显示芯片核心频率：≥300MHz；</w:t>
            </w:r>
          </w:p>
          <w:p w14:paraId="1F2D45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3.显存等效频率：≥1000MT/s；</w:t>
            </w:r>
          </w:p>
          <w:p w14:paraId="72423F7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4.显卡可支持多屏同时显示数量：显卡应支持2块屏幕同时显示，分辨率应不低于 1920*1080。</w:t>
            </w:r>
          </w:p>
          <w:p w14:paraId="56FA2A3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★十四、显示设备性能</w:t>
            </w:r>
          </w:p>
          <w:p w14:paraId="4DF57F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1.显示屏刷新率：≥75Hz；</w:t>
            </w:r>
          </w:p>
          <w:p w14:paraId="23B6DB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2.显示屏位深：≥8位；</w:t>
            </w:r>
          </w:p>
          <w:p w14:paraId="7C61A3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3.显示屏色域：≥99% sRGB；</w:t>
            </w:r>
          </w:p>
          <w:p w14:paraId="4CD6B63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4.显示屏色准：△E≤4；</w:t>
            </w:r>
          </w:p>
          <w:p w14:paraId="577B441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5.显示屏响应时间：≤5ms；</w:t>
            </w:r>
          </w:p>
          <w:p w14:paraId="55690C5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6.显示屏亮度：≥250尼特；</w:t>
            </w:r>
          </w:p>
          <w:p w14:paraId="1F9338A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7.显示屏亮度一致性：≥70%；</w:t>
            </w:r>
          </w:p>
          <w:p w14:paraId="70D1781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8.显示屏对比度：≥500：1；</w:t>
            </w:r>
          </w:p>
          <w:p w14:paraId="5E69A0D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9.显示屏其他参数：其它参数应符合SJ/T 11292的相关规定。  </w:t>
            </w:r>
          </w:p>
          <w:p w14:paraId="01CC99C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★十五、网络设备性能</w:t>
            </w:r>
          </w:p>
          <w:p w14:paraId="5DB1EB1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有线网卡速率：最高速率应不低于1000Mbps，应支持10Mbps、100Mbps、1000Mbps 速率自适应。</w:t>
            </w:r>
          </w:p>
          <w:p w14:paraId="6A85FC7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★十六、主板功能</w:t>
            </w:r>
          </w:p>
          <w:p w14:paraId="1E084C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1.内存扩展接口(板载内存不涉及)：≥2个；</w:t>
            </w:r>
          </w:p>
          <w:p w14:paraId="0119C3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 USB瞬间过流保护：支持有瞬间过流保护功能；</w:t>
            </w:r>
          </w:p>
          <w:p w14:paraId="7EADFA7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3.主板防静电保护：支持防静电保护功能；</w:t>
            </w:r>
          </w:p>
          <w:p w14:paraId="7F53D1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63D6176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★十七、显卡功能</w:t>
            </w:r>
          </w:p>
          <w:p w14:paraId="6B60D1B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显卡外接显示接口：显卡至少支持 VGA、HDMI、DVI、DP、Type-C中1种显示接口，并与显示器接口相匹配。</w:t>
            </w:r>
          </w:p>
          <w:p w14:paraId="454E416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★十八、显示设备功能</w:t>
            </w:r>
          </w:p>
          <w:p w14:paraId="02FB53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1.显示器接口：显示器应与显卡外接显示接口匹配；</w:t>
            </w:r>
          </w:p>
          <w:p w14:paraId="274C7C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2.显示器支架：显示器应提供显示器支架，支持屏幕旋转、升降；</w:t>
            </w:r>
          </w:p>
          <w:p w14:paraId="564CE9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3.显示器参数调节：a)提供 OSD 选单按钮用于调节色彩、模式等；b)支持色温、亮度、对比度调节。</w:t>
            </w:r>
          </w:p>
          <w:p w14:paraId="1C4E54F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★十九、存储功能</w:t>
            </w:r>
          </w:p>
          <w:p w14:paraId="444864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1.存储功能：通过SATA固态存储/PCIe固态存储/UFS固态存储/SATA硬磁盘等存储部件提供存储功能。</w:t>
            </w:r>
          </w:p>
          <w:p w14:paraId="4DF2C53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★二十、网络设备功能</w:t>
            </w:r>
          </w:p>
          <w:p w14:paraId="0F8F38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1.网络功能：a)支持网络连接、网络开启/关闭功能；b)支持访问网络和数据交换功能；</w:t>
            </w:r>
          </w:p>
          <w:p w14:paraId="3ACE6F5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2.数据传输：支持数据传输能力，并提供数据流量和异常日志记录功能；</w:t>
            </w:r>
          </w:p>
          <w:p w14:paraId="1AB0055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3.有线网卡接口类型：支持 RJ45 接口；</w:t>
            </w:r>
          </w:p>
          <w:p w14:paraId="28645D2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4.网络设备拆装：网络设备支持物理拆装，包括无线网卡和蓝牙模块等。</w:t>
            </w:r>
          </w:p>
          <w:p w14:paraId="56BB929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★二十一、外部接口功能</w:t>
            </w:r>
          </w:p>
          <w:p w14:paraId="245F7FA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1.音频接口类型：支持 3.5mm 孔径 3 段式或 4 段式接口；</w:t>
            </w:r>
          </w:p>
          <w:p w14:paraId="2BB743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2.视频接口类型：至少支持 VGA、HDMI、DVI、DP、Type-C中1 种显示接口；</w:t>
            </w:r>
          </w:p>
          <w:p w14:paraId="61B74A7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3.HDMI、DP、Type-C 显示接口要求：若提供 HDMI 或DP或 Type-C作为显示接口，应支持音频和视频同步输出。</w:t>
            </w:r>
          </w:p>
          <w:p w14:paraId="766E9A6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★二十二、电源功能</w:t>
            </w:r>
          </w:p>
          <w:p w14:paraId="30C608D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电源线适配能力：电源适配器电线组件应符合GB/T 15934的要求。</w:t>
            </w:r>
          </w:p>
          <w:p w14:paraId="11E38EE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★二十三、操作系统及软件功能</w:t>
            </w:r>
          </w:p>
          <w:p w14:paraId="3F54EA7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（1）操作系统</w:t>
            </w:r>
          </w:p>
          <w:p w14:paraId="0A9F58F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1.中文信息处理要求：符合GB 18030的相关规定；</w:t>
            </w:r>
          </w:p>
          <w:p w14:paraId="61F72F8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2.操作系统备份及还原功能：支持操作系统备份及还原功能；</w:t>
            </w:r>
          </w:p>
          <w:p w14:paraId="4177DB9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3.固件备份还原能力：支持备份及还原固件的功能；</w:t>
            </w:r>
          </w:p>
          <w:p w14:paraId="1899ECB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4.操作系统及驱动升级：支持通过网络、闪存盘等方式对操作系统、驱动进行升级；</w:t>
            </w:r>
          </w:p>
          <w:p w14:paraId="7F4BCA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5.固件升级：支持通过网络、闪存盘等方式对固件进行升级；</w:t>
            </w:r>
          </w:p>
          <w:p w14:paraId="7067D8D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6.BIOS支持关闭通讯接口：支持BIOS关闭以太网及USB接口；</w:t>
            </w:r>
          </w:p>
          <w:p w14:paraId="727E5C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7.固件查看信息：支持查看固件版本、内存信息、主板信息、处理器信息和系统时间信息等功能；</w:t>
            </w:r>
          </w:p>
          <w:p w14:paraId="246ACF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8.固件设置启动顺序：支持设置启动顺序功能，并按照设置的启动顺序启动；</w:t>
            </w:r>
          </w:p>
          <w:p w14:paraId="432A448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9.固件设置口令：支持设置口令、修改口令、验证口令功能；</w:t>
            </w:r>
          </w:p>
          <w:p w14:paraId="2231096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10.固件设置网络引导：支持网络引导启动和关闭功能；</w:t>
            </w:r>
          </w:p>
          <w:p w14:paraId="48E688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11.预装正版国产办公软件；</w:t>
            </w:r>
          </w:p>
          <w:p w14:paraId="4ECAE1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12.windows应用迁移软件</w:t>
            </w:r>
          </w:p>
          <w:p w14:paraId="1F4101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①用户首次使用软件时，软件会自动完成GA安装，保障Windows应用的体验效果。</w:t>
            </w:r>
          </w:p>
          <w:p w14:paraId="7F89FBF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②产品支持Legacy+MBR和UEFI+GPT引导安装。</w:t>
            </w:r>
          </w:p>
          <w:p w14:paraId="726B841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③产品支持一键检测设备软硬件环境是否满足部署要求，输出满足项和不满足项。</w:t>
            </w:r>
          </w:p>
          <w:p w14:paraId="033F94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④产品提供双工作区和系统融合两种模式供用户选择</w:t>
            </w:r>
          </w:p>
          <w:p w14:paraId="2B021E2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⑤产品支持图形化引导，自助安装：全图形化引导安装，支持一键扫描安装环境，用户单双击即可完成安装。</w:t>
            </w:r>
          </w:p>
          <w:p w14:paraId="3A2A375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⑥产品支持网络自动匹配、网络禁用等企业级网络管理，实现对迁移后系统的安全管控。</w:t>
            </w:r>
          </w:p>
          <w:p w14:paraId="04372F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⑦为保证八桂教学通等应用的兼容和稳定性，windows应用迁移软件需与国产操作系统同品牌。</w:t>
            </w:r>
          </w:p>
          <w:p w14:paraId="6A8A36D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（2）支持国产云教室管理平台：</w:t>
            </w:r>
          </w:p>
          <w:p w14:paraId="5C3AA14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（3）支持多媒体电子教室桌面管理系统</w:t>
            </w:r>
          </w:p>
          <w:p w14:paraId="7C90AC1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★二十四、存储设备可靠性</w:t>
            </w:r>
          </w:p>
          <w:p w14:paraId="7512BBA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1.固态存储寿命：TBW ≥ 80TB（条件：256GB硬盘容量）；</w:t>
            </w:r>
          </w:p>
          <w:p w14:paraId="01CAF59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2.机械硬盘寿命：通电时间≥5万小时。</w:t>
            </w:r>
          </w:p>
          <w:p w14:paraId="6159F41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★二十五、显示设备可靠性</w:t>
            </w:r>
          </w:p>
          <w:p w14:paraId="336873C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显示屏屏幕失效点：符合GB/T 9813.2的要求。</w:t>
            </w:r>
          </w:p>
          <w:p w14:paraId="4DDFAC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★二十六、外设可靠性</w:t>
            </w:r>
          </w:p>
          <w:p w14:paraId="5CA95D9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1.键盘按键寿命：≥1000 万次；</w:t>
            </w:r>
          </w:p>
          <w:p w14:paraId="2EF630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2.鼠标按键寿命：≥500 万次；</w:t>
            </w:r>
          </w:p>
          <w:p w14:paraId="71C10E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3.键盘鼠标线材寿命：键盘鼠标所用线材经±60°弯折不低于 3000 次，功能、外观完好；</w:t>
            </w:r>
          </w:p>
          <w:p w14:paraId="2DCCBAC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4.风扇寿命：≥4 万小时。</w:t>
            </w:r>
          </w:p>
          <w:p w14:paraId="6DD8852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★二十七、整机可靠性要求</w:t>
            </w:r>
          </w:p>
          <w:p w14:paraId="7A39D07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1.电磁兼容性要求的抗扰度：符合GB/T 9254.2的规定；</w:t>
            </w:r>
          </w:p>
          <w:p w14:paraId="48175C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2.环境条件要求的气候环境适应性：符合GB/T 9813.1中规定；</w:t>
            </w:r>
          </w:p>
          <w:p w14:paraId="01F5339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3.环境条件要求的振动适应性：符合GB/T 9813.1中规定；</w:t>
            </w:r>
          </w:p>
          <w:p w14:paraId="368BF2B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4.环境条件要求的冲击适应性：符合GB/T 9813.1中规定；</w:t>
            </w:r>
          </w:p>
          <w:p w14:paraId="5BF825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5.环境条件要求的碰撞适应性：符合GB/T 9813.1中规定；</w:t>
            </w:r>
          </w:p>
          <w:p w14:paraId="6AF34D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6.环境条件要求的运输包装件跌落适应性：符合GB/T 9813.1中规定；</w:t>
            </w:r>
          </w:p>
          <w:p w14:paraId="1891E9E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7.MTBF 测试：MTBF(m1)≥3万小时。</w:t>
            </w:r>
          </w:p>
          <w:p w14:paraId="41545B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★二十八、兼容要求</w:t>
            </w:r>
          </w:p>
          <w:p w14:paraId="45C6765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1.常用软件兼容：支持流式软件、版式软件、浏览器、邮件采购人端、解压软件、多媒体、图形图像处理等常用软件；</w:t>
            </w:r>
          </w:p>
          <w:p w14:paraId="110635C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2.数据库兼容：兼容 3 个及以上厂商的数据库产品；</w:t>
            </w:r>
          </w:p>
          <w:p w14:paraId="5136DC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3.中间件兼容：兼容 3 个及以上厂商中间件产品；</w:t>
            </w:r>
          </w:p>
          <w:p w14:paraId="6ADB580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4.平台软件兼容：兼容 3 个及以上厂商云计算及大数据平台。</w:t>
            </w:r>
          </w:p>
          <w:p w14:paraId="35538C6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★二十九、包装及运输要求</w:t>
            </w:r>
          </w:p>
          <w:p w14:paraId="7FFE20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标志、包装、运输和贮存：符合GB/T 9813.1和商品包装政府采购需求标准的相关规定。</w:t>
            </w:r>
          </w:p>
          <w:p w14:paraId="226ECA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★三十、服务要求</w:t>
            </w:r>
          </w:p>
          <w:p w14:paraId="1143F7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1.配置检查工具：供应商提供自检测试工具；</w:t>
            </w:r>
          </w:p>
          <w:p w14:paraId="1DBB341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25D423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3.服务周期：a)设备停产后应继续提供质量保障服务（含备品备件），服务终止时间与最后一批设备交付时间间隔不低于6年；b)产品停止服务时间应提前 1 年告知；c)应明确产品发布日期；</w:t>
            </w:r>
          </w:p>
          <w:p w14:paraId="5F8E80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33CCE5C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5.培训服务：供应商提供培训材料、产品手册、培训视频等培训相关内容；</w:t>
            </w:r>
          </w:p>
          <w:p w14:paraId="5CA40E7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6.典型问题解决手册：供应商提供典型问题解决说明文档或视频；</w:t>
            </w:r>
          </w:p>
          <w:p w14:paraId="41BC09E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7.厂家升级软件与扩容服务：供应商提供上门升级部件/软件与扩容的增值服务；</w:t>
            </w:r>
          </w:p>
          <w:p w14:paraId="42E3433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8.整机质量服务要求：免费服务周期（含换件和维修）应不小于3年；</w:t>
            </w:r>
          </w:p>
          <w:p w14:paraId="6415D5F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9.合格证书要求：供应商提供产品合格证；</w:t>
            </w:r>
          </w:p>
          <w:p w14:paraId="298EE0E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10.开箱组装/使用指导要求：供应商提供开箱组装/使用指导；</w:t>
            </w:r>
          </w:p>
          <w:p w14:paraId="3D7ED9B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11.驱动下载服务要求：供应商提供驱动光盘或下载方式；</w:t>
            </w:r>
          </w:p>
          <w:p w14:paraId="5FE5FC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12.兼容适配软件下载服务要求：供应商提供兼容适配软件下载渠道（光盘、网站）。</w:t>
            </w:r>
          </w:p>
          <w:p w14:paraId="7089C92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13.含正版国产操作系统及正版国产办公软件。</w:t>
            </w:r>
          </w:p>
          <w:p w14:paraId="13793B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★三十一、供应链合规性</w:t>
            </w:r>
          </w:p>
          <w:p w14:paraId="32C305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lang w:val="en-US" w:eastAsia="zh-CN"/>
              </w:rPr>
              <w:t>年的备件服务能力（自购买之日起），或提供可兼容原设备的升级换代产品；</w:t>
            </w:r>
          </w:p>
          <w:p w14:paraId="48706F9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★三十二、供应链质量</w:t>
            </w:r>
          </w:p>
          <w:p w14:paraId="005359E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1.抗干扰性：当产品部件出现供应风险时，供应商应通知采购人并提供风险应对方案确保产品的服务保障；</w:t>
            </w:r>
          </w:p>
          <w:p w14:paraId="7A62C4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w:t>
            </w:r>
            <w:r>
              <w:rPr>
                <w:rFonts w:hint="eastAsia" w:ascii="宋体" w:hAnsi="宋体" w:cs="宋体"/>
                <w:strike w:val="0"/>
                <w:color w:val="auto"/>
                <w:sz w:val="21"/>
                <w:szCs w:val="21"/>
                <w:lang w:val="en-US" w:eastAsia="zh-CN"/>
              </w:rPr>
              <w:t>.</w:t>
            </w:r>
            <w:r>
              <w:rPr>
                <w:rFonts w:hint="eastAsia" w:ascii="宋体" w:hAnsi="宋体" w:eastAsia="宋体" w:cs="宋体"/>
                <w:strike w:val="0"/>
                <w:color w:val="auto"/>
                <w:sz w:val="21"/>
                <w:szCs w:val="21"/>
                <w:lang w:val="en-US" w:eastAsia="zh-CN"/>
              </w:rPr>
              <w:t>供应能力证明：确保产品的部件在产品服务周期内稳定供货;</w:t>
            </w:r>
          </w:p>
          <w:p w14:paraId="50460E2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★三十三、关键部件安全</w:t>
            </w:r>
          </w:p>
          <w:p w14:paraId="45907A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1.关键部件安全要求：CPU 和操作系统等关键部件应当符合安全可靠测评要求；（通过政府有关部门指定的中国信息安全测评中心和国家保密科技测评中心网站查看安全可靠测评结果）。</w:t>
            </w:r>
          </w:p>
          <w:p w14:paraId="4004AFB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注：投标人在填写《技术响应表》时，在“投标文件响应技术参数”明确给出所投计算机“CPU型号”及“操作系统”名称，否则视为投标无效。</w:t>
            </w:r>
          </w:p>
          <w:p w14:paraId="1ED757F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★三十四、整机安全性要求</w:t>
            </w:r>
          </w:p>
          <w:p w14:paraId="126E616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1.密码算法实现：CPU 芯片应符合 GM/T 0008 的相关规定，或芯片密码模块应符合 GB/T 37092或 GM/T 0028 的相关规定；</w:t>
            </w:r>
          </w:p>
          <w:p w14:paraId="2F3E930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4209F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3.固件安全启动：支持固件安全启动功能，固件启动过程中只有通过启动校验才能正常启动；</w:t>
            </w:r>
          </w:p>
          <w:p w14:paraId="020A3B34">
            <w:pPr>
              <w:ind w:left="0" w:leftChars="0" w:firstLine="0" w:firstLineChars="0"/>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sz w:val="21"/>
                <w:szCs w:val="21"/>
                <w:lang w:val="en-US" w:eastAsia="zh-CN"/>
              </w:rPr>
              <w:t>4.限用物质的限量要求：符合 GB/T 26572 中规定。</w:t>
            </w:r>
            <w:r>
              <w:rPr>
                <w:rFonts w:hint="eastAsia" w:ascii="宋体" w:hAnsi="宋体" w:cs="宋体"/>
                <w:b/>
                <w:bCs/>
                <w:strike w:val="0"/>
                <w:dstrike w:val="0"/>
                <w:color w:val="auto"/>
                <w:kern w:val="2"/>
                <w:sz w:val="21"/>
                <w:szCs w:val="21"/>
                <w:highlight w:val="none"/>
                <w:lang w:val="en-US" w:eastAsia="zh-CN" w:bidi="ar"/>
              </w:rPr>
              <w:t xml:space="preserve">   </w:t>
            </w:r>
          </w:p>
        </w:tc>
        <w:tc>
          <w:tcPr>
            <w:tcW w:w="787" w:type="dxa"/>
            <w:noWrap w:val="0"/>
            <w:vAlign w:val="center"/>
          </w:tcPr>
          <w:p w14:paraId="318F9AD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6677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3565E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BE1ED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w:t>
            </w:r>
            <w:r>
              <w:rPr>
                <w:rFonts w:hint="eastAsia" w:ascii="宋体" w:hAnsi="宋体" w:eastAsia="宋体" w:cs="宋体"/>
                <w:strike w:val="0"/>
                <w:color w:val="auto"/>
                <w:sz w:val="21"/>
                <w:szCs w:val="21"/>
                <w:vertAlign w:val="baseline"/>
              </w:rPr>
              <w:t>计算</w:t>
            </w:r>
            <w:r>
              <w:rPr>
                <w:rFonts w:hint="eastAsia" w:ascii="宋体" w:hAnsi="宋体" w:eastAsia="宋体" w:cs="宋体"/>
                <w:i w:val="0"/>
                <w:iCs w:val="0"/>
                <w:strike w:val="0"/>
                <w:color w:val="auto"/>
                <w:kern w:val="0"/>
                <w:sz w:val="21"/>
                <w:szCs w:val="21"/>
                <w:u w:val="none"/>
                <w:lang w:val="en-US" w:eastAsia="zh-CN" w:bidi="ar"/>
              </w:rPr>
              <w:t>机</w:t>
            </w:r>
          </w:p>
        </w:tc>
        <w:tc>
          <w:tcPr>
            <w:tcW w:w="690" w:type="dxa"/>
            <w:gridSpan w:val="3"/>
            <w:noWrap w:val="0"/>
            <w:vAlign w:val="center"/>
          </w:tcPr>
          <w:p w14:paraId="463C77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48D831FF">
            <w:pPr>
              <w:keepNext w:val="0"/>
              <w:keepLines w:val="0"/>
              <w:pageBreakBefore w:val="0"/>
              <w:widowControl/>
              <w:suppressLineNumbers w:val="0"/>
              <w:kinsoku/>
              <w:wordWrap/>
              <w:overflowPunct/>
              <w:topLinePunct w:val="0"/>
              <w:bidi w:val="0"/>
              <w:spacing w:line="440" w:lineRule="exact"/>
              <w:ind w:right="-916" w:rightChars="-436" w:firstLine="0" w:firstLineChars="0"/>
              <w:jc w:val="both"/>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9C9C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★一、CPU规格及型号</w:t>
            </w:r>
          </w:p>
          <w:p w14:paraId="336DB57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配置1颗国产X86架构CPU，每颗CPU物理核心数≥8核，每颗CPU主频≥3.0GHz，所有核心智能频率可提升至≥3.3GHz，三级缓存≥16MB，功耗≥65W，支持超线程技术；</w:t>
            </w:r>
          </w:p>
          <w:p w14:paraId="2218C72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★二、内存规格</w:t>
            </w:r>
          </w:p>
          <w:p w14:paraId="45892B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1.内存配置容量：≥16GB；</w:t>
            </w:r>
          </w:p>
          <w:p w14:paraId="23DBE00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2.内存类型：支持 DDR4/LPDDR4/LPDDR4X 及以上内存类型；</w:t>
            </w:r>
          </w:p>
          <w:p w14:paraId="1CAF4FD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3.内存条配置数量（板载内存不涉及）：≥4。</w:t>
            </w:r>
          </w:p>
          <w:p w14:paraId="2200726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★三、主板规格</w:t>
            </w:r>
          </w:p>
          <w:p w14:paraId="008559A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1.主板集成模块：集成资源扩展模块、计算处理模块、音频扩展模块等，主板的互联拓扑可通过处理器或交换电路实现；</w:t>
            </w:r>
          </w:p>
          <w:p w14:paraId="0E8DED9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2.主板支持的 CPU 和内存情况：≥8核16线程，主频≥3.0GHz，末级缓存≥16M，内存≥双通道DDR4-2666，设计功耗≥65W，位宽≥64位；内存条数量≥4；</w:t>
            </w:r>
          </w:p>
          <w:p w14:paraId="17E7D7F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3.主板其他内置接口：≥SATA接口*4，≥M.2接口*2，≥USB接口*8，固态硬盘占用M.2接口*1</w:t>
            </w:r>
          </w:p>
          <w:p w14:paraId="42ADBF8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4.单内存插槽最大可支持容量（板载内存不涉及）：≥16GB；</w:t>
            </w:r>
          </w:p>
          <w:p w14:paraId="5FC528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5.内存插槽满配时提供的最高内存总容量：≥64GB。</w:t>
            </w:r>
          </w:p>
          <w:p w14:paraId="1134C1B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★四、存储设备规格</w:t>
            </w:r>
          </w:p>
          <w:p w14:paraId="4BDF36E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1.固态盘数量：≥1 个； </w:t>
            </w:r>
          </w:p>
          <w:p w14:paraId="680F74F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2.固态存储容量：≥512GB；</w:t>
            </w:r>
          </w:p>
          <w:p w14:paraId="3ACC556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3.机械硬盘数量：≥0个；</w:t>
            </w:r>
          </w:p>
          <w:p w14:paraId="36A753F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4.机械硬盘总容量：≥1000GB；</w:t>
            </w:r>
          </w:p>
          <w:p w14:paraId="72C8F3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5.机械硬盘转速：≥5400rpm；</w:t>
            </w:r>
          </w:p>
          <w:p w14:paraId="5C6823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6.机械硬盘形态：2.5 英寸或 3.5 英寸等；</w:t>
            </w:r>
          </w:p>
          <w:p w14:paraId="5E9A2B0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7.固态存储形态：采用插卡或板载等形态，可选用符合M.2或2.5寸SATA或mSATA等标准的插卡形态；</w:t>
            </w:r>
          </w:p>
          <w:p w14:paraId="308A670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8.存储设备其他参数要求：a)固态盘应符合SJ/T 11654相关规定；b)机械硬盘准备时间应不大于30s；侧面固定螺丝孔数量可为 4 孔或 6 孔；工作状态环境温度应满足5℃-55℃；其它参数应符合GB/T 12628相关规定。</w:t>
            </w:r>
          </w:p>
          <w:p w14:paraId="29B950B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★五、显卡规格</w:t>
            </w:r>
          </w:p>
          <w:p w14:paraId="25F217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显卡类型：2G独立显卡；</w:t>
            </w:r>
          </w:p>
          <w:p w14:paraId="705B347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★六、显示设备规格</w:t>
            </w:r>
          </w:p>
          <w:p w14:paraId="09982B1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1.显示屏屏占比：≥80%；</w:t>
            </w:r>
          </w:p>
          <w:p w14:paraId="1D2B654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2.显示屏分辨率：≥1920*1080；</w:t>
            </w:r>
          </w:p>
          <w:p w14:paraId="119CA8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3.显示屏尺寸：≥23.8英寸；</w:t>
            </w:r>
          </w:p>
          <w:p w14:paraId="646B6AB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4.显示屏屏幕比例：16:9； </w:t>
            </w:r>
          </w:p>
          <w:p w14:paraId="62B79A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5.显示器外观颜色：黑色；</w:t>
            </w:r>
          </w:p>
          <w:p w14:paraId="53FF1AD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6.显示屏防蓝光：支持防蓝光模式，蓝光加权辐射亮度比应≤0.0012W/(·cd·sr)（瓦每坎特拉每球面度）；</w:t>
            </w:r>
          </w:p>
          <w:p w14:paraId="58F4A57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7.显示屏低频闪：显示屏应支持低频闪≤-35dB；</w:t>
            </w:r>
          </w:p>
          <w:p w14:paraId="566920B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8.显示屏防炫目：显示屏镜面反射率≤10%。</w:t>
            </w:r>
          </w:p>
          <w:p w14:paraId="3B00FE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★七、外设规格</w:t>
            </w:r>
          </w:p>
          <w:p w14:paraId="2F32C3B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1.鼠标数量：≥1个；</w:t>
            </w:r>
          </w:p>
          <w:p w14:paraId="4B9766C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2.键盘数量：≥1个；</w:t>
            </w:r>
          </w:p>
          <w:p w14:paraId="7D2485A3">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3.键盘按键数目：≥104键；</w:t>
            </w:r>
          </w:p>
          <w:p w14:paraId="7BC41B7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4.键盘连接方式：有线；</w:t>
            </w:r>
          </w:p>
          <w:p w14:paraId="6B3BCD2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5.键盘键程：2.3mm-4.0mm；</w:t>
            </w:r>
          </w:p>
          <w:p w14:paraId="23A901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6.键盘按键压力：按键压力应在0.54N±0.14N；</w:t>
            </w:r>
          </w:p>
          <w:p w14:paraId="637A632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lang w:val="en-US" w:eastAsia="zh-CN"/>
              </w:rPr>
              <w:t>米；</w:t>
            </w:r>
          </w:p>
          <w:p w14:paraId="6E26CFE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8.键盘颜色：黑色；</w:t>
            </w:r>
          </w:p>
          <w:p w14:paraId="11F12A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9.鼠标连接方式：有线；</w:t>
            </w:r>
          </w:p>
          <w:p w14:paraId="1015CC8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10.有线鼠标连接线：≥1.8米；</w:t>
            </w:r>
          </w:p>
          <w:p w14:paraId="0D44127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11.鼠标DPI分辨率：800-1600；</w:t>
            </w:r>
          </w:p>
          <w:p w14:paraId="4DF21EA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12.鼠标颜色：黑色；</w:t>
            </w:r>
          </w:p>
          <w:p w14:paraId="00F5606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13.鼠标其他要求：其它参数应符合GB/T 26245的相关规定，支持键盘按键开机功能。</w:t>
            </w:r>
          </w:p>
          <w:p w14:paraId="4DE79B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★八、网络设备规格</w:t>
            </w:r>
          </w:p>
          <w:p w14:paraId="0AD3679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有线网卡数量：≥1。</w:t>
            </w:r>
          </w:p>
          <w:p w14:paraId="1E410F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★九、外部接口规格</w:t>
            </w:r>
          </w:p>
          <w:p w14:paraId="53804DF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1.USB 接口数量：机箱前面板应提供不少于4个USB 接口（含2 个USB3.0及以上接口）；</w:t>
            </w:r>
          </w:p>
          <w:p w14:paraId="2D54A5D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2.视频接口数量：≥1；</w:t>
            </w:r>
          </w:p>
          <w:p w14:paraId="4A7EFD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3.音频接口数量：≥1。</w:t>
            </w:r>
          </w:p>
          <w:p w14:paraId="1275B98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★十、整机基础规格</w:t>
            </w:r>
          </w:p>
          <w:p w14:paraId="64A04EA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1.整机外观：a) 产品表面不应有凹痕、划伤、裂缝、变形和污染等。表面涂层均匀，不应起泡、龟裂、脱落和磨损，金属零部件无锈蚀及其它机械损伤；b) 产品表面说明功能的文字、符号、标志，应清晰、端正、牢固；</w:t>
            </w:r>
          </w:p>
          <w:p w14:paraId="20F5B2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2.状态指示灯：在产品显著位置提供状态指示功能；</w:t>
            </w:r>
          </w:p>
          <w:p w14:paraId="7C5904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1AD3B21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4.机箱防护要求：机箱应符合GB/T 4208中IP20防护要求；</w:t>
            </w:r>
          </w:p>
          <w:p w14:paraId="04EAE0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5.整机噪音：产品工作在空闲状态下，产品的声功率级应不超过3.0Bel；</w:t>
            </w:r>
          </w:p>
          <w:p w14:paraId="3C1B454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1F5E47B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06397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8.机身材质：金属；</w:t>
            </w:r>
          </w:p>
          <w:p w14:paraId="08455D5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9.机身颜色：黑色；</w:t>
            </w:r>
          </w:p>
          <w:p w14:paraId="35A2B42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10.机箱尺寸容量：为便于升级扩展，机箱体积应≥7L且符合政采台式计算机采购标准。</w:t>
            </w:r>
          </w:p>
          <w:p w14:paraId="55E78E8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★十一、CPU性能</w:t>
            </w:r>
          </w:p>
          <w:p w14:paraId="3A5EDA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1.CPU 物理核数：≥8；</w:t>
            </w:r>
          </w:p>
          <w:p w14:paraId="7FA95D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2.CPU 主频：≥3.0GHz；</w:t>
            </w:r>
          </w:p>
          <w:p w14:paraId="619E494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3.CPU 末级缓存容量：≥16MB；</w:t>
            </w:r>
          </w:p>
          <w:p w14:paraId="2832FA6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4.CPU 支持的内存最高速率：≥2666MT/s。</w:t>
            </w:r>
          </w:p>
          <w:p w14:paraId="79E742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★十二、内存性能</w:t>
            </w:r>
          </w:p>
          <w:p w14:paraId="4098DBC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内存读写速率：≥2666MT/s。</w:t>
            </w:r>
          </w:p>
          <w:p w14:paraId="79DF7F2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★十三、显卡性能</w:t>
            </w:r>
          </w:p>
          <w:p w14:paraId="10AC01D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1.显示分辨率：≥1920*1080；</w:t>
            </w:r>
          </w:p>
          <w:p w14:paraId="39760F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2.显卡显示芯片核心频率：≥300MHz；</w:t>
            </w:r>
          </w:p>
          <w:p w14:paraId="2B5FCF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3.显存等效频率：≥1000MT/s；</w:t>
            </w:r>
          </w:p>
          <w:p w14:paraId="1E8CEC8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4.显卡可支持多屏同时显示数量：显卡应支持2块屏幕同时显示，分辨率应不低于 1920*1080。</w:t>
            </w:r>
          </w:p>
          <w:p w14:paraId="54BD0E4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★十四、显示设备性能</w:t>
            </w:r>
          </w:p>
          <w:p w14:paraId="6FCC0FD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1.显示屏刷新率：≥75Hz；</w:t>
            </w:r>
          </w:p>
          <w:p w14:paraId="01B621C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2.显示屏位深：≥8位；</w:t>
            </w:r>
          </w:p>
          <w:p w14:paraId="7345BCD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3.显示屏色域：≥99% sRGB；</w:t>
            </w:r>
          </w:p>
          <w:p w14:paraId="2C95557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4.显示屏色准：△E≤4；</w:t>
            </w:r>
          </w:p>
          <w:p w14:paraId="4FBF013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5.显示屏响应时间：≤5ms；</w:t>
            </w:r>
          </w:p>
          <w:p w14:paraId="36D0B8B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6.显示屏亮度：≥250尼特；</w:t>
            </w:r>
          </w:p>
          <w:p w14:paraId="130B63A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7.显示屏亮度一致性：≥70%；</w:t>
            </w:r>
          </w:p>
          <w:p w14:paraId="57E517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8.显示屏对比度：≥500：1；</w:t>
            </w:r>
          </w:p>
          <w:p w14:paraId="4AED0C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 xml:space="preserve">9.显示屏其他参数：其它参数应符合SJ/T 11292的相关规定。  </w:t>
            </w:r>
          </w:p>
          <w:p w14:paraId="37C60EE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★十五、网络设备性能</w:t>
            </w:r>
          </w:p>
          <w:p w14:paraId="670AD47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有线网卡速率：最高速率应不低于1000Mbps，应支持10Mbps、100Mbps、1000Mbps 速率自适应。</w:t>
            </w:r>
          </w:p>
          <w:p w14:paraId="4617E06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★十六、主板功能</w:t>
            </w:r>
          </w:p>
          <w:p w14:paraId="4EE2231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1.内存扩展接口(板载内存不涉及)：≥4个；</w:t>
            </w:r>
          </w:p>
          <w:p w14:paraId="5650EA9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2.主板 USB瞬间过流保护：支持有瞬间过流保护功能；</w:t>
            </w:r>
          </w:p>
          <w:p w14:paraId="037321A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3.主板防静电保护：支持防静电保护功能；</w:t>
            </w:r>
          </w:p>
          <w:p w14:paraId="3CF485C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2A1803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★十七、显卡功能</w:t>
            </w:r>
          </w:p>
          <w:p w14:paraId="15A1D55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显卡外接显示接口：显卡至少支持 VGA、HDMI、DVI、DP、Type-C中1种显示接口，并与显示器接口相匹配。</w:t>
            </w:r>
          </w:p>
          <w:p w14:paraId="009FBC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★十八、显示设备功能</w:t>
            </w:r>
          </w:p>
          <w:p w14:paraId="6B2D12F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1.显示器接口：显示器应与显卡外接显示接口匹配；</w:t>
            </w:r>
          </w:p>
          <w:p w14:paraId="40D5D3F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2.显示器支架：显示器应提供显示器支架，支持屏幕旋转、升降；</w:t>
            </w:r>
          </w:p>
          <w:p w14:paraId="3AF627A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3.显示器参数调节：a)提供 OSD 选单按钮用于调节色彩、模式等；b)支持色温、亮度、对比度调节。</w:t>
            </w:r>
          </w:p>
          <w:p w14:paraId="04F318E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★十九、存储功能</w:t>
            </w:r>
          </w:p>
          <w:p w14:paraId="30053AC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存储功能：通过SATA固态存储/PCIe固态存储/UFS固态存储/SATA硬磁盘等存储部件提供存储功能。</w:t>
            </w:r>
          </w:p>
          <w:p w14:paraId="589BB7B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★二十、网络设备功能</w:t>
            </w:r>
          </w:p>
          <w:p w14:paraId="53C695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1.网络功能：a)支持网络连接、网络开启/关闭功能；b)支持访问网络和数据交换功能；</w:t>
            </w:r>
          </w:p>
          <w:p w14:paraId="570AC28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2.数据传输：支持数据传输能力，并提供数据流量和异常日志记录功能；</w:t>
            </w:r>
          </w:p>
          <w:p w14:paraId="0F8A9F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3.有线网卡接口类型：支持 RJ45 接口；</w:t>
            </w:r>
          </w:p>
          <w:p w14:paraId="04D3F2E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4.网络设备拆装：网络设备支持物理拆装，包括无线网卡和蓝牙模块等。</w:t>
            </w:r>
          </w:p>
          <w:p w14:paraId="2CCAED5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★二十一、外部接口功能</w:t>
            </w:r>
          </w:p>
          <w:p w14:paraId="0E9EAB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1.音频接口类型：支持 3.5mm 孔径 3 段式或 4 段式接口；</w:t>
            </w:r>
          </w:p>
          <w:p w14:paraId="01F5246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2.视频接口类型：至少支持 VGA、HDMI、DVI、DP、Type-C中1 种显示接口；</w:t>
            </w:r>
          </w:p>
          <w:p w14:paraId="74ABCBF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3.HDMI、DP、Type-C 显示接口要求：若提供 HDMI 或DP或 Type-C作为显示接口，应支持音频和视频同步输出。</w:t>
            </w:r>
          </w:p>
          <w:p w14:paraId="7428D4A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★二十二、电源功能</w:t>
            </w:r>
          </w:p>
          <w:p w14:paraId="049A355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1.电源线适配能力：电源适配器电线组件应符合GB/T 15934的要求。</w:t>
            </w:r>
          </w:p>
          <w:p w14:paraId="2023A3C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2.电源功率250W以上，可扩展500W功率，满足升级需求。</w:t>
            </w:r>
          </w:p>
          <w:p w14:paraId="2178A00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★二十三、操作系统及软件功能</w:t>
            </w:r>
          </w:p>
          <w:p w14:paraId="57EDA4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（一）操作系统</w:t>
            </w:r>
          </w:p>
          <w:p w14:paraId="0BD756D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1.中文信息处理要求：符合GB 18030的相关规定；</w:t>
            </w:r>
          </w:p>
          <w:p w14:paraId="76AF725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2.操作系统备份及还原功能：支持操作系统备份及还原功能；</w:t>
            </w:r>
          </w:p>
          <w:p w14:paraId="1A934CF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3.固件备份还原能力：支持备份及还原固件的功能；</w:t>
            </w:r>
          </w:p>
          <w:p w14:paraId="3F9140F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4.操作系统及驱动升级：支持通过网络、闪存盘等方式对操作系统、驱动进行升级；</w:t>
            </w:r>
          </w:p>
          <w:p w14:paraId="7948ED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5.固件升级：支持通过网络、闪存盘等方式对固件进行升级；</w:t>
            </w:r>
          </w:p>
          <w:p w14:paraId="2E0CB37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6.BIOS支持关闭通讯接口：支持BIOS关闭以太网及USB接口；</w:t>
            </w:r>
          </w:p>
          <w:p w14:paraId="05E8AC8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7.固件查看信息：支持查看固件版本、内存信息、主板信息、处理器信息和系统时间信息等功能；</w:t>
            </w:r>
          </w:p>
          <w:p w14:paraId="167572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8.固件设置启动顺序：支持设置启动顺序功能，并按照设置的启动顺序启动；</w:t>
            </w:r>
          </w:p>
          <w:p w14:paraId="391D167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9.固件设置口令：支持设置口令、修改口令、验证口令功能；</w:t>
            </w:r>
          </w:p>
          <w:p w14:paraId="1AEEB02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10.固件设置网络引导：支持网络引导启动和关闭功能；</w:t>
            </w:r>
          </w:p>
          <w:p w14:paraId="7C79166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11.预装正版国产办公软件；</w:t>
            </w:r>
          </w:p>
          <w:p w14:paraId="50C312D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12.应用迁移软件</w:t>
            </w:r>
          </w:p>
          <w:p w14:paraId="01A5A4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①用户首次使用软件时，软件会自动完成GA安装，保障应用的体验效果。</w:t>
            </w:r>
          </w:p>
          <w:p w14:paraId="32F8783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②产品支持Legacy+MBR和UEFI+GPT引导安装。</w:t>
            </w:r>
          </w:p>
          <w:p w14:paraId="5EE192D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③产品支持一键检测设备软硬件环境是否满足部署要求，输出满足项和不满足项。</w:t>
            </w:r>
          </w:p>
          <w:p w14:paraId="1EA0D79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④产品提供双工作区和系统融合两种模式供用户选择</w:t>
            </w:r>
          </w:p>
          <w:p w14:paraId="0B1F03B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⑤产品支持图形化引导，自助安装：全图形化引导安装，支持一键扫描安装环境，用户单双击即可完成安装。</w:t>
            </w:r>
          </w:p>
          <w:p w14:paraId="319F718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⑥产品支持网络自动匹配、网络禁用等企业级网络管理，实现对迁移后系统的安全管控。</w:t>
            </w:r>
          </w:p>
          <w:p w14:paraId="16D44E9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⑦为保证八桂教学通等应用的兼容和稳定性，windows应用迁移软件需与国产操作系统同品牌。</w:t>
            </w:r>
          </w:p>
          <w:p w14:paraId="5E4652F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★二十四、存储设备可靠性</w:t>
            </w:r>
          </w:p>
          <w:p w14:paraId="67D934B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1.固态存储寿命：TBW ≥ 80TB（条件：256GB硬盘容量）；</w:t>
            </w:r>
          </w:p>
          <w:p w14:paraId="136EC35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2.机械硬盘寿命：通电时间≥5万小时。</w:t>
            </w:r>
          </w:p>
          <w:p w14:paraId="0C962C2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★二十五、显示设备可靠性</w:t>
            </w:r>
          </w:p>
          <w:p w14:paraId="7C266A1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显示屏屏幕失效点：符合GB/T 9813.2的要求。</w:t>
            </w:r>
          </w:p>
          <w:p w14:paraId="68644AB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★二十六、外设可靠性</w:t>
            </w:r>
          </w:p>
          <w:p w14:paraId="215802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1.键盘按键寿命：≥1000 万次；</w:t>
            </w:r>
          </w:p>
          <w:p w14:paraId="2DF07DB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2.鼠标按键寿命：≥500 万次；</w:t>
            </w:r>
          </w:p>
          <w:p w14:paraId="429CCE9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3.键盘鼠标线材寿命：键盘鼠标所用线材经±60°弯折不低于 3000 次，功能、外观完好；</w:t>
            </w:r>
          </w:p>
          <w:p w14:paraId="33B6F13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4.风扇寿命：≥4 万小时。</w:t>
            </w:r>
          </w:p>
          <w:p w14:paraId="7171E10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★二十七、整机可靠性要求</w:t>
            </w:r>
          </w:p>
          <w:p w14:paraId="1582AB4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1.电磁兼容性要求的抗扰度：符合GB/T 9254.2的规定；</w:t>
            </w:r>
          </w:p>
          <w:p w14:paraId="783CA00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2.环境条件要求的气候环境适应性：符合GB/T 9813.1中规定；</w:t>
            </w:r>
          </w:p>
          <w:p w14:paraId="0D5000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3.环境条件要求的振动适应性：符合GB/T 9813.1中规定；</w:t>
            </w:r>
          </w:p>
          <w:p w14:paraId="2103309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4.环境条件要求的冲击适应性：符合GB/T 9813.1中规定；</w:t>
            </w:r>
          </w:p>
          <w:p w14:paraId="4CBBDAD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5.环境条件要求的碰撞适应性：符合GB/T 9813.1中规定；</w:t>
            </w:r>
          </w:p>
          <w:p w14:paraId="32882E4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6.环境条件要求的运输包装件跌落适应性：符合GB/T 9813.1中规定；</w:t>
            </w:r>
          </w:p>
          <w:p w14:paraId="3310784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7.MTBF 测试：MTBF(m1)≥3万小时。</w:t>
            </w:r>
          </w:p>
          <w:p w14:paraId="5D44F769">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★二十八、兼容要求</w:t>
            </w:r>
          </w:p>
          <w:p w14:paraId="047AE08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1.常用软件兼容：支持流式软件、版式软件、浏览器、邮件采购人端、解压软件、多媒体、图形图像处理等常用软件；</w:t>
            </w:r>
          </w:p>
          <w:p w14:paraId="0422D61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2.数据库兼容：兼容 3 个及以上厂商的数据库产品；</w:t>
            </w:r>
          </w:p>
          <w:p w14:paraId="5B0F8A5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3.中间件兼容：兼容 3 个及以上厂商中间件产品；</w:t>
            </w:r>
          </w:p>
          <w:p w14:paraId="075D1D1C">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4.平台软件兼容：兼容 3 个及以上厂商云计算及大数据平台。</w:t>
            </w:r>
          </w:p>
          <w:p w14:paraId="3CF3A93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★二十九、包装及运输要求</w:t>
            </w:r>
          </w:p>
          <w:p w14:paraId="2CDB4F7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标志、包装、运输和贮存：符合GB/T 9813.1和商品包装政府采购需求标准的相关规定。</w:t>
            </w:r>
          </w:p>
          <w:p w14:paraId="51B8969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★三十、服务要求</w:t>
            </w:r>
          </w:p>
          <w:p w14:paraId="7280747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1.配置检查工具：供应商提供自检测试工具；</w:t>
            </w:r>
          </w:p>
          <w:p w14:paraId="63A451A6">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2EE1A41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3.服务周期：a)设备停产后应继续提供质量保障服务（含备品备件），服务终止时间与最后一批设备交付时间间隔不低于6年；b)产品停止服务时间应提前 1 年告知；c)应明确产品发布日期；</w:t>
            </w:r>
          </w:p>
          <w:p w14:paraId="2D437701">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2E25F41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5.培训服务：供应商提供培训材料、产品手册、培训视频等培训相关内容；</w:t>
            </w:r>
          </w:p>
          <w:p w14:paraId="2E44B810">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6.典型问题解决手册：供应商提供典型问题解决说明文档或视频；</w:t>
            </w:r>
          </w:p>
          <w:p w14:paraId="1F184B7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7.厂家升级软件与扩容服务：供应商提供上门升级部件/软件与扩容的增值服务；</w:t>
            </w:r>
          </w:p>
          <w:p w14:paraId="0398339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8.整机质量服务要求：免费服务周期（含换件和维修）应不小于3年；</w:t>
            </w:r>
          </w:p>
          <w:p w14:paraId="42230D3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9.合格证书要求：供应商提供产品合格证；</w:t>
            </w:r>
          </w:p>
          <w:p w14:paraId="22B1CBC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10.开箱组装/使用指导要求：供应商提供开箱组装/使用指导；</w:t>
            </w:r>
          </w:p>
          <w:p w14:paraId="509456E4">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11.驱动下载服务要求：供应商提供驱动光盘或下载方式；</w:t>
            </w:r>
          </w:p>
          <w:p w14:paraId="25D301C5">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12.兼容适配软件下载服务要求：供应商提供兼容适配软件下载渠道（光盘、网站）。</w:t>
            </w:r>
          </w:p>
          <w:p w14:paraId="2B87387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13.含正版国产操作系统及正版国产办公软件。</w:t>
            </w:r>
          </w:p>
          <w:p w14:paraId="4FF7EBD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★三十一、供应链合规性</w:t>
            </w:r>
          </w:p>
          <w:p w14:paraId="5CE265B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lang w:val="en-US" w:eastAsia="zh-CN"/>
              </w:rPr>
              <w:t>年的备件服务能力（自购买之日起），或提供可兼容原设备的升级换代产品；</w:t>
            </w:r>
          </w:p>
          <w:p w14:paraId="632B52C2">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★三十二、供应链质量</w:t>
            </w:r>
          </w:p>
          <w:p w14:paraId="1446A1C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1.抗干扰性：当产品部件出现供应风险时，供应商应通知采购人并提供风险应对方案确保产品的服务保障；</w:t>
            </w:r>
          </w:p>
          <w:p w14:paraId="684D5A88">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 供应能力证明：确保产品的部件在产品服务周期内稳定供货;</w:t>
            </w:r>
          </w:p>
          <w:p w14:paraId="13BFB48A">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★三十三、关键部件安全</w:t>
            </w:r>
          </w:p>
          <w:p w14:paraId="08AD5A8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关键部件安全要求：CPU 和操作系统等关键部件应当符合安全可靠测评要求；（通过政府有关部门指定的中国信息安全测评中心和国家保密科技测评中心网站查看安全可靠测评结果）。</w:t>
            </w:r>
          </w:p>
          <w:p w14:paraId="660985AF">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注：投标人在填写《技术响应表》时，在“投标文件响应技术参数”明确给出所投计算机“CPU型号”及“操作系统”名称，否则视为投标无效。</w:t>
            </w:r>
          </w:p>
          <w:p w14:paraId="6C1E95F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★三十四、整机安全性要求</w:t>
            </w:r>
          </w:p>
          <w:p w14:paraId="27F472D7">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1.密码算法实现：CPU 芯片应符合 GM/T 0008 的相关规定，或芯片密码模块应符合 GB/T 37092或 GM/T 0028 的相关规定；</w:t>
            </w:r>
          </w:p>
          <w:p w14:paraId="71ED44AB">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612E008E">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3.固件安全启动：支持固件安全启动功能，固件启动过程中只有通过启动校验才能正常启动；</w:t>
            </w:r>
          </w:p>
          <w:p w14:paraId="0CD78D9B">
            <w:pPr>
              <w:ind w:left="0" w:leftChars="0" w:firstLine="0" w:firstLineChars="0"/>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sz w:val="21"/>
                <w:szCs w:val="21"/>
                <w:lang w:val="en-US" w:eastAsia="zh-CN"/>
              </w:rPr>
              <w:t>4.限用物质的限量要求：符合 GB/T 26572 中规定。</w:t>
            </w:r>
          </w:p>
        </w:tc>
        <w:tc>
          <w:tcPr>
            <w:tcW w:w="787" w:type="dxa"/>
            <w:noWrap w:val="0"/>
            <w:vAlign w:val="center"/>
          </w:tcPr>
          <w:p w14:paraId="13A6D4B0">
            <w:pPr>
              <w:keepNext w:val="0"/>
              <w:keepLines w:val="0"/>
              <w:pageBreakBefore w:val="0"/>
              <w:widowControl/>
              <w:suppressLineNumbers w:val="0"/>
              <w:kinsoku/>
              <w:wordWrap/>
              <w:overflowPunct/>
              <w:topLinePunct w:val="0"/>
              <w:bidi w:val="0"/>
              <w:spacing w:line="440" w:lineRule="exact"/>
              <w:ind w:right="-916" w:rightChars="-436" w:firstLine="0" w:firstLineChars="0"/>
              <w:jc w:val="both"/>
              <w:textAlignment w:val="bottom"/>
              <w:rPr>
                <w:rFonts w:hint="eastAsia" w:ascii="宋体" w:hAnsi="宋体" w:eastAsia="宋体" w:cs="宋体"/>
                <w:strike w:val="0"/>
                <w:color w:val="auto"/>
                <w:sz w:val="21"/>
                <w:szCs w:val="21"/>
                <w:vertAlign w:val="baseline"/>
                <w:lang w:val="en-US" w:eastAsia="zh-CN"/>
              </w:rPr>
            </w:pPr>
          </w:p>
        </w:tc>
      </w:tr>
      <w:tr w14:paraId="3B0B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D39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3AF615B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教师电脑桌</w:t>
            </w:r>
          </w:p>
        </w:tc>
        <w:tc>
          <w:tcPr>
            <w:tcW w:w="690" w:type="dxa"/>
            <w:gridSpan w:val="3"/>
            <w:noWrap w:val="0"/>
            <w:vAlign w:val="center"/>
          </w:tcPr>
          <w:p w14:paraId="68071A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5781C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8825D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1、规格尺寸≥1200*600*750，颜色要求：原木色；</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2、桌面采用2.5cm厚E1级别三聚氰胺板材，板材特点防污耐磨防腐蚀硬度高不易变形，封边截面采用优质PVC封边条，高温热熔胶经封边机一次注塑成型技术，耐磨粘度高，不易开裂；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3、桌腿40*40mm方管厚度0.9mm，外表为全环保喷塑工艺，环保无味，耐用；桌脚底部使用专用ABS防滑垫，防止桌子滑动，防止地面划伤；</w:t>
            </w:r>
          </w:p>
        </w:tc>
        <w:tc>
          <w:tcPr>
            <w:tcW w:w="787" w:type="dxa"/>
            <w:noWrap w:val="0"/>
            <w:vAlign w:val="center"/>
          </w:tcPr>
          <w:p w14:paraId="3204D4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C50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F65BB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409BC3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学生电脑桌椅</w:t>
            </w:r>
          </w:p>
        </w:tc>
        <w:tc>
          <w:tcPr>
            <w:tcW w:w="690" w:type="dxa"/>
            <w:gridSpan w:val="3"/>
            <w:noWrap w:val="0"/>
            <w:vAlign w:val="center"/>
          </w:tcPr>
          <w:p w14:paraId="71BAF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BFB7A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21</w:t>
            </w:r>
          </w:p>
        </w:tc>
        <w:tc>
          <w:tcPr>
            <w:tcW w:w="6647" w:type="dxa"/>
            <w:noWrap w:val="0"/>
            <w:vAlign w:val="center"/>
          </w:tcPr>
          <w:p w14:paraId="505386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2.五金配件：采用东泰牌优质五金配件，平滑度及滑动性好，承载力强，安全系数高。所有五金件均通过国际标准盐雾测试48小时以上。</w:t>
            </w:r>
          </w:p>
        </w:tc>
        <w:tc>
          <w:tcPr>
            <w:tcW w:w="787" w:type="dxa"/>
            <w:noWrap w:val="0"/>
            <w:vAlign w:val="center"/>
          </w:tcPr>
          <w:p w14:paraId="533FB1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74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B9493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5</w:t>
            </w:r>
          </w:p>
        </w:tc>
        <w:tc>
          <w:tcPr>
            <w:tcW w:w="882" w:type="dxa"/>
            <w:gridSpan w:val="3"/>
            <w:noWrap w:val="0"/>
            <w:vAlign w:val="center"/>
          </w:tcPr>
          <w:p w14:paraId="6258C1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系统集成</w:t>
            </w:r>
          </w:p>
        </w:tc>
        <w:tc>
          <w:tcPr>
            <w:tcW w:w="690" w:type="dxa"/>
            <w:gridSpan w:val="3"/>
            <w:noWrap w:val="0"/>
            <w:vAlign w:val="center"/>
          </w:tcPr>
          <w:p w14:paraId="52ED69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0B8562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6647" w:type="dxa"/>
            <w:noWrap w:val="0"/>
            <w:vAlign w:val="center"/>
          </w:tcPr>
          <w:p w14:paraId="424BAC9B">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含网线、音视频线、电源线、线盒、钉子、胶布等满足本项目需求的线材及辅材。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1.系统集成所需材料要求符合国标标准；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2.要求所有布线均入线盒，不能裸露在外；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3.布线规范，横平竖直。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4.设备安装、调试、运维、培训等服务。</w:t>
            </w:r>
          </w:p>
        </w:tc>
        <w:tc>
          <w:tcPr>
            <w:tcW w:w="787" w:type="dxa"/>
            <w:noWrap w:val="0"/>
            <w:vAlign w:val="center"/>
          </w:tcPr>
          <w:p w14:paraId="42F538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4B2D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A9BBEC8">
            <w:pPr>
              <w:keepNext w:val="0"/>
              <w:keepLines w:val="0"/>
              <w:pageBreakBefore w:val="0"/>
              <w:kinsoku/>
              <w:wordWrap/>
              <w:overflowPunct/>
              <w:topLinePunct w:val="0"/>
              <w:bidi w:val="0"/>
              <w:spacing w:line="440" w:lineRule="exact"/>
              <w:ind w:firstLine="0" w:firstLineChars="0"/>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二、多媒体教学设备</w:t>
            </w:r>
          </w:p>
        </w:tc>
      </w:tr>
      <w:tr w14:paraId="1A5C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20428367">
            <w:pPr>
              <w:keepNext w:val="0"/>
              <w:keepLines w:val="0"/>
              <w:pageBreakBefore w:val="0"/>
              <w:kinsoku/>
              <w:wordWrap/>
              <w:overflowPunct/>
              <w:topLinePunct w:val="0"/>
              <w:bidi w:val="0"/>
              <w:spacing w:line="440" w:lineRule="exact"/>
              <w:ind w:firstLine="0" w:firstLineChars="0"/>
              <w:rPr>
                <w:rFonts w:hint="eastAsia" w:ascii="宋体" w:hAnsi="宋体" w:eastAsia="宋体" w:cs="宋体"/>
                <w:b/>
                <w:bCs/>
                <w:strike w:val="0"/>
                <w:color w:val="auto"/>
                <w:sz w:val="21"/>
                <w:szCs w:val="21"/>
                <w:lang w:val="en-US" w:eastAsia="zh-CN"/>
              </w:rPr>
            </w:pPr>
            <w:r>
              <w:rPr>
                <w:rFonts w:hint="eastAsia" w:ascii="宋体" w:hAnsi="宋体" w:eastAsia="宋体" w:cs="宋体"/>
                <w:b/>
                <w:bCs/>
                <w:strike w:val="0"/>
                <w:color w:val="auto"/>
                <w:sz w:val="21"/>
                <w:szCs w:val="21"/>
                <w:lang w:val="en-US" w:eastAsia="zh-CN"/>
              </w:rPr>
              <w:t>（一）教学一体机</w:t>
            </w:r>
          </w:p>
        </w:tc>
      </w:tr>
      <w:tr w14:paraId="2DFA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376F381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460339D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67F7FE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44F4BF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F784194">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4D39356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2F08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97F91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DB8D9B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86英寸</w:t>
            </w:r>
            <w:r>
              <w:rPr>
                <w:rFonts w:hint="eastAsia" w:ascii="宋体" w:hAnsi="宋体" w:eastAsia="宋体" w:cs="宋体"/>
                <w:strike w:val="0"/>
                <w:color w:val="auto"/>
                <w:sz w:val="21"/>
                <w:szCs w:val="21"/>
                <w:vertAlign w:val="baseline"/>
                <w:lang w:val="en-US" w:eastAsia="zh-CN"/>
              </w:rPr>
              <w:t>交互一体机</w:t>
            </w:r>
          </w:p>
        </w:tc>
        <w:tc>
          <w:tcPr>
            <w:tcW w:w="690" w:type="dxa"/>
            <w:gridSpan w:val="3"/>
            <w:noWrap w:val="0"/>
            <w:vAlign w:val="center"/>
          </w:tcPr>
          <w:p w14:paraId="66E9471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4153725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center"/>
          </w:tcPr>
          <w:p w14:paraId="6797FF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（1）显示屏参数</w:t>
            </w:r>
          </w:p>
          <w:p w14:paraId="000257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1.采用A规液晶显示屏，LED背光，屏幕尺寸≥86英寸，物理分辨率为UHD超高清4K，显示分辨率≥3840×2160，刷新率≥60Hz，显示比例16:9，可视角度≥178° 。</w:t>
            </w:r>
          </w:p>
          <w:p w14:paraId="0AA54E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2.整机亮度：≥350cd/m²，对比度：≥4000:1，整机显示色域NTSC≥72%，在sRGB模式下可做到高色准△E≤1.5，还原真实教学色彩。</w:t>
            </w:r>
          </w:p>
          <w:p w14:paraId="4084E9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3.▲整机背光系统采用DC调光技术，背光光源稳定无频闪，有效消除背光频闪，摄像设备拍摄时画面无条纹闪烁，不会出现可察觉的闪烁。</w:t>
            </w:r>
          </w:p>
          <w:p w14:paraId="7782BE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4.整机液晶面板与防护钢化玻璃采用零贴合设计，钢化玻璃和液晶显示层间隙&lt;1mm，减少显示面板与玻璃间的偏光、散射，画面显示更加清晰通透、可视角度更广。</w:t>
            </w:r>
          </w:p>
          <w:p w14:paraId="1B6411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（2）整机规格参数</w:t>
            </w:r>
          </w:p>
          <w:p w14:paraId="7BA572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1.内置安卓系统，CPU采用64位四核，配置不低于 Cortex-A73处理器，安卓系统版本≥14.0，内存不低于4GB DDR4，存储不低于32GB。</w:t>
            </w:r>
          </w:p>
          <w:p w14:paraId="77A536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一、2.整机具备不低于6个前置接口，包括3个USB3.0，1路Type C接口，1个HDMI2.0输入接口、1个Touch触控USB Type-B接口，前置接口具备中文标识，方便识别与使用。</w:t>
            </w:r>
          </w:p>
          <w:p w14:paraId="68E9FA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二、3.整机具备不低于10个后置接口，包括1个USB2.0接口,1个USB3.0 接口,1个 USB Touch接口，2个 HDMI2.0 输入接口，1个 RJ45 网络接口(支持安卓和 Windows 双系统上网)，1个RS232 输入接口，1个Line out 3.5mm 音频输出接口,1个Mic IN 3.5mm音频输入接口、1个optical 光音频输出接口、1个 OPS 80pin 接口。</w:t>
            </w:r>
          </w:p>
          <w:p w14:paraId="13F43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4.整机内置蓝牙模块，蓝牙协议支持不低于5.4版本，工作距离≥12米，可连接蓝牙音响等外部蓝牙设备。</w:t>
            </w:r>
          </w:p>
          <w:p w14:paraId="388145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前置物理按键不低于8个，支持复合功能，采用中文标识，功能包括但不限于电源、护眼、设置、返回、主页、录屏、自定义，自定义包括但不限于返回内置电脑、白板、批注、截图功能等功能，快速帮助教师实现功能切换。</w:t>
            </w:r>
          </w:p>
          <w:p w14:paraId="028B0F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6.内置不低于2.2声道音箱，包含低音单元，额定总功率不低于30W。</w:t>
            </w:r>
          </w:p>
          <w:p w14:paraId="034758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7.整机支持2.4G&amp;5G双频段，支持WIFI6。</w:t>
            </w:r>
          </w:p>
          <w:p w14:paraId="58E2D6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8.▲整机支持一键启动录屏功能，录屏支持安卓系统和内置电脑系统下录屏，并支持两个系统切换录屏不中断。</w:t>
            </w:r>
          </w:p>
          <w:p w14:paraId="0449D1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9.前置USB接口支持Windows 及Android 双系统读取，将U盘插入任意前置USB接口，均能被Windows及Android 系统识别。</w:t>
            </w:r>
          </w:p>
          <w:p w14:paraId="778B7D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10.支持单独听功能，显示屏熄屏关闭后，在黑屏状态下，可进行音频播放。</w:t>
            </w:r>
          </w:p>
          <w:p w14:paraId="4EB492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11.无需借助PC，内置专业硬件自检维护工具，不接受第三方工具，可一键进行硬件自检，包括但不限于对OPS电脑状态、网络状态、光强进行故障提示。</w:t>
            </w:r>
          </w:p>
          <w:p w14:paraId="77D2A9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12.整机在无内置OPS电脑情况下，安卓系统可通过有线网络接入互联网也可通过WIFI接入无线网络访问网页或观看在线视频。</w:t>
            </w:r>
          </w:p>
          <w:p w14:paraId="37320D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（3）触控参数</w:t>
            </w:r>
          </w:p>
          <w:p w14:paraId="7A6DAEC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1.▲触控技术：整机系统和Windows系统支持不小于</w:t>
            </w:r>
            <w:r>
              <w:rPr>
                <w:rFonts w:hint="eastAsia" w:ascii="宋体" w:hAnsi="宋体" w:cs="宋体"/>
                <w:i w:val="0"/>
                <w:iCs w:val="0"/>
                <w:strike w:val="0"/>
                <w:color w:val="auto"/>
                <w:kern w:val="0"/>
                <w:sz w:val="21"/>
                <w:szCs w:val="21"/>
                <w:u w:val="none"/>
                <w:lang w:val="en-US" w:eastAsia="zh-CN" w:bidi="ar"/>
              </w:rPr>
              <w:t>20</w:t>
            </w:r>
            <w:r>
              <w:rPr>
                <w:rFonts w:hint="eastAsia" w:ascii="宋体" w:hAnsi="宋体" w:eastAsia="宋体" w:cs="宋体"/>
                <w:i w:val="0"/>
                <w:iCs w:val="0"/>
                <w:strike w:val="0"/>
                <w:color w:val="auto"/>
                <w:kern w:val="0"/>
                <w:sz w:val="21"/>
                <w:szCs w:val="21"/>
                <w:u w:val="none"/>
                <w:lang w:val="en-US" w:eastAsia="zh-CN" w:bidi="ar"/>
              </w:rPr>
              <w:t>点触控，无需安装驱动和校准定位。</w:t>
            </w:r>
          </w:p>
          <w:p w14:paraId="1131FA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2.支持快速息屏，支持五指长按大屏可快速息屏，短按电源键即可点亮大屏。</w:t>
            </w:r>
          </w:p>
          <w:p w14:paraId="2136957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（4）摄像头和拾音麦。</w:t>
            </w:r>
          </w:p>
          <w:p w14:paraId="6BAF44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1.单手提笔书写时，掌托贴着整机表面的钢化玻璃时，系统能自动滤除掌托对触控识别的影响，书写笔能正常书写。</w:t>
            </w:r>
          </w:p>
          <w:p w14:paraId="5E3C80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2.整机内置非独立不低于4800万像素的高清摄像头，整机支持输出摄像头视场角≥120度。</w:t>
            </w:r>
          </w:p>
          <w:p w14:paraId="7D7BD1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3.整机内置非独立外扩展的不低于8阵列降噪麦克风，支持回音消除，可识别距离不小于12米，拾音角度≥180 度。</w:t>
            </w:r>
          </w:p>
          <w:p w14:paraId="3EC694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（7）、内置OPS电脑需求</w:t>
            </w:r>
          </w:p>
          <w:p w14:paraId="1E55A0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1.采用英特尔定义的标准OPS 80pin接口定义。</w:t>
            </w:r>
          </w:p>
          <w:p w14:paraId="5B74D9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2.内置OPS电脑采用抽拉式模块化设计，无任何外接电源线和信号线，方便检测维护;</w:t>
            </w:r>
          </w:p>
          <w:p w14:paraId="2A4BD96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3.不低于Intel 十二代I5及以上CPU； 16GB DDR4及以上内存；256G </w:t>
            </w:r>
          </w:p>
          <w:p w14:paraId="4F426C24">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SSD及以上硬盘，不少于6个USB接口。</w:t>
            </w:r>
          </w:p>
        </w:tc>
        <w:tc>
          <w:tcPr>
            <w:tcW w:w="787" w:type="dxa"/>
            <w:noWrap w:val="0"/>
            <w:vAlign w:val="center"/>
          </w:tcPr>
          <w:p w14:paraId="68A42AC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21FE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9ED1E1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5A88C9D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视频展台</w:t>
            </w:r>
          </w:p>
        </w:tc>
        <w:tc>
          <w:tcPr>
            <w:tcW w:w="690" w:type="dxa"/>
            <w:gridSpan w:val="3"/>
            <w:noWrap w:val="0"/>
            <w:vAlign w:val="center"/>
          </w:tcPr>
          <w:p w14:paraId="796E4D3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76F0494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center"/>
          </w:tcPr>
          <w:p w14:paraId="2D0019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硬件参数</w:t>
            </w:r>
          </w:p>
          <w:p w14:paraId="300DC7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1、整机环保材质，圆弧倒角，托板采用磁吸+机械锁+阻尼开合收拢，非气压杆联动，防止托板打开跌落，保护师生安全。</w:t>
            </w:r>
          </w:p>
          <w:p w14:paraId="39376C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2、视频展台要求800万像素，图像幅面A4。</w:t>
            </w:r>
          </w:p>
          <w:p w14:paraId="2BCA3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3、视频展台带抬臂启动软件功能，打开镜头臂杆即可启动教学软件，合拢臂杆可关闭软件。</w:t>
            </w:r>
          </w:p>
          <w:p w14:paraId="3ED20C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4、带2个USB数据连接口，可挂墙或者放在桌面上使用。</w:t>
            </w:r>
          </w:p>
          <w:p w14:paraId="4049F8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5、采用自动对焦镜头，可通过触摸的方式对焦，也可在软件上控制，减少因课件翻页和光线变化时出现频繁对焦的情况，提高教学演示效率。</w:t>
            </w:r>
          </w:p>
          <w:p w14:paraId="5676BD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6、箱内的拍摄杆要求模块化可拆卸，不用拆卸挂箱即可更换臂杆，方便布线和维护。</w:t>
            </w:r>
          </w:p>
          <w:p w14:paraId="09D9C9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7、展示托板正上方具备LED补光灯，保证展示区域的亮度及展示效果，补光灯开关采用触摸按键设计。 </w:t>
            </w:r>
          </w:p>
          <w:p w14:paraId="0E1371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二、软件参数</w:t>
            </w:r>
          </w:p>
          <w:p w14:paraId="22BE57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1、展台成像画面可以实时批注，预设多种笔划粗细及颜色选择，支持对展台成像画面联同批注内容进行同步缩放、移动。</w:t>
            </w:r>
          </w:p>
          <w:p w14:paraId="413C44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2、图像特技：二维码扫码、延时拍照、聚光灯、负片、镜像、黑白、自动曝光、视频冻结、旋转、同屏对比教学、屏幕录制。</w:t>
            </w:r>
          </w:p>
          <w:p w14:paraId="23217C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3、软件自带虚拟黑板功能，截取实物展示的某一重点内容在虚拟黑板模式下进行单独批注讲解，板书支持保存和二次打开、编辑，使授课变得简单轻松。</w:t>
            </w:r>
          </w:p>
          <w:p w14:paraId="276983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4、软件支持故障自检功能，帮助用户检测“无画面”的原因，并给出引导性的修复和解决方案，可判断硬件连接、解码器、显卡驱动、摄像头占用等问题。</w:t>
            </w:r>
          </w:p>
        </w:tc>
        <w:tc>
          <w:tcPr>
            <w:tcW w:w="787" w:type="dxa"/>
            <w:noWrap w:val="0"/>
            <w:vAlign w:val="center"/>
          </w:tcPr>
          <w:p w14:paraId="75C0F28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5F36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8576C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4D0249C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strike w:val="0"/>
                <w:color w:val="auto"/>
              </w:rPr>
              <w:t>多媒体教学专用控制设备</w:t>
            </w:r>
          </w:p>
        </w:tc>
        <w:tc>
          <w:tcPr>
            <w:tcW w:w="690" w:type="dxa"/>
            <w:gridSpan w:val="3"/>
            <w:noWrap w:val="0"/>
            <w:vAlign w:val="center"/>
          </w:tcPr>
          <w:p w14:paraId="095014C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173A6A4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11</w:t>
            </w:r>
          </w:p>
        </w:tc>
        <w:tc>
          <w:tcPr>
            <w:tcW w:w="6647" w:type="dxa"/>
            <w:noWrap w:val="0"/>
            <w:vAlign w:val="top"/>
          </w:tcPr>
          <w:p w14:paraId="6FA4CE3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1.整机最大外形尺寸≤260 * 289 * 47（mm）；</w:t>
            </w:r>
          </w:p>
          <w:p w14:paraId="6C335CF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▲2.整机正面采用铝合金外壳设计，外部无任何可见的内部功能模块连接线；采用顶部出线，出线接口使用线槽屏蔽盖；</w:t>
            </w:r>
          </w:p>
          <w:p w14:paraId="721AC66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3.整机采用一体设计，产品边缘采用圆角包边防护；背板采用金属材质，有效屏蔽内部电路器件辐射；</w:t>
            </w:r>
          </w:p>
          <w:p w14:paraId="36FE2F7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4.整机壁挂式固定方式，挂壁后使用螺丝进行锁紧固定，避免模块脱落；</w:t>
            </w:r>
          </w:p>
          <w:p w14:paraId="22008B5D">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w:t>
            </w:r>
          </w:p>
          <w:p w14:paraId="3DB52A8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▲6.整机支持红绿双色工作状态LED指示灯；绿色常亮表示正常工作；红色常亮代表故障；红色闪烁代表系统处于升级过程；</w:t>
            </w:r>
          </w:p>
          <w:p w14:paraId="2BD5A9D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7.整机底部支持独立按键；在休眠模式下，短按唤醒算力模块；在任何情况下长按底部按键5秒以上，系统重启；</w:t>
            </w:r>
          </w:p>
          <w:p w14:paraId="5C8EDF5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8.整机内置网卡，支持不少于2路网口连接以太网，实现有线上网功能；</w:t>
            </w:r>
          </w:p>
          <w:p w14:paraId="46E812D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9.整机内置独立千兆网络交换机，满足外接的多媒体教学设备（一体机/智慧黑板），实现与AI算力模块单元之间通信；</w:t>
            </w:r>
          </w:p>
          <w:p w14:paraId="514B4E4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▲10.整机处理器内核不低于8核A53内核芯片，主频≥2.3GHz；</w:t>
            </w:r>
          </w:p>
          <w:p w14:paraId="037C0BB3">
            <w:pPr>
              <w:keepNext w:val="0"/>
              <w:keepLines w:val="0"/>
              <w:pageBreakBefore w:val="0"/>
              <w:widowControl w:val="0"/>
              <w:numPr>
                <w:ilvl w:val="0"/>
                <w:numId w:val="1"/>
              </w:numPr>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整机系统支持不低于linux 5.4，采用LPDDR4内存，内存容量大于等于16GB；采用SSD存储，支持TCG-OPAL 2.0硬件加密功能，存储容量大于等于256GB；</w:t>
            </w:r>
          </w:p>
          <w:p w14:paraId="70A0638F">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40123CE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▲13.整机存储器支持TCG-OPAL 2.0硬件加密功能，既不影响硬盘读写性能又保障用户数据安全，每一块存储器密钥均根据特定算法生成，和设备一一绑定；</w:t>
            </w:r>
          </w:p>
          <w:p w14:paraId="2D0A1DE0">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▲14.整机支持通过web管理后台实现定时开关机、远程关机功能、查看设备在线状态；</w:t>
            </w:r>
          </w:p>
          <w:p w14:paraId="1DEF34C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15.支持云端在线系统固件升级；</w:t>
            </w:r>
          </w:p>
          <w:p w14:paraId="115FAFA9">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16.整机处于无任务并无人操作状态下，5分钟后自动进入低功耗模式；</w:t>
            </w:r>
          </w:p>
          <w:p w14:paraId="23569D50">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17.支持AC220V独立供电，功耗≤80W；</w:t>
            </w:r>
          </w:p>
        </w:tc>
        <w:tc>
          <w:tcPr>
            <w:tcW w:w="787" w:type="dxa"/>
            <w:noWrap w:val="0"/>
            <w:vAlign w:val="center"/>
          </w:tcPr>
          <w:p w14:paraId="1D1E163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1C5C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2ABC4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5E6C067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推拉米黄板</w:t>
            </w:r>
          </w:p>
        </w:tc>
        <w:tc>
          <w:tcPr>
            <w:tcW w:w="690" w:type="dxa"/>
            <w:gridSpan w:val="3"/>
            <w:noWrap w:val="0"/>
            <w:vAlign w:val="center"/>
          </w:tcPr>
          <w:p w14:paraId="1904229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AC3B98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6647" w:type="dxa"/>
            <w:noWrap w:val="0"/>
            <w:vAlign w:val="top"/>
          </w:tcPr>
          <w:p w14:paraId="2056CD0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p>
          <w:p w14:paraId="2DF71091">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2、基本尺寸：≥4000mm×1305mm，可根据所配电子产品适当调整，确保与一体机的有效配套。</w:t>
            </w:r>
          </w:p>
          <w:p w14:paraId="63685EE0">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3、书写板面：环保教学专用彩色涂层钢板，浅米黄色，厚度≥0.3mm，硬度≥4H，板面可吸附磁针、磁片，书写面光滑、平整，颜色均匀，坚固耐用、哑光，投影可视效果佳，有效地保护了师生的视力健康。</w:t>
            </w:r>
          </w:p>
          <w:p w14:paraId="51D039A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4、内芯材料：高强度、吸音、聚苯乙烯泡沫板。</w:t>
            </w:r>
          </w:p>
          <w:p w14:paraId="1911F6CB">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5、背板：采用优质防锈热镀锌钢板，厚度≥0.25mm，流水线一次成型，间隔80mm压有20mm凹槽加强筋,确保均布承压不低于635N，凹槽造型美观、增加强度，更加耐用。</w:t>
            </w:r>
          </w:p>
          <w:p w14:paraId="13B283E1">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6、覆板：采用环保型双组份聚氨酯胶水，自动化流水线覆板作业，牵引、滴胶、刷胶、压固、切割下料一次完成，确保粘接牢固板面平整，甲醛释放量≤0.3mg/L，符合GB/T 28231-2011《书写板安全卫生要求》。</w:t>
            </w:r>
          </w:p>
          <w:p w14:paraId="6268CF7D">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边框：采用工业用高强度铝合金型材，电泳香槟色，模具挤压一次成型，上框规格57mm×78mm，左右框规格29mm×100mm。轨道上置隐藏式平滑轮滑道，结构性解决滑轮受灰尘影响的情况，配有宽度≥30mm的板托，板托与滑动系统分离，与边框一次模具成形，可放置书写笔，方便实用。</w:t>
            </w:r>
          </w:p>
          <w:p w14:paraId="7CE5FD8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8、包角材料：采用抗老化高强度ABS工程塑料注塑成型。规格：100mm×29mm×29mm，采用双壁成腔流线型设计，≥R25mm的圆角，正面带黑板品牌LOGO标识，无尖角毛刺，符合JY0001-2003《教学仪器设备产品一般质量要求》。</w:t>
            </w:r>
          </w:p>
          <w:p w14:paraId="6F154B86">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14:paraId="56C0FE7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10、限位档：黑板边框内部两侧安装滑动板限位档，防止活动黑板开启时撞击立框。</w:t>
            </w:r>
          </w:p>
          <w:p w14:paraId="1D12000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11、易维护性：一体机上下配同色同质书写板，上下可根据一体机尺寸进行微调，两侧用H型边框与固定板配合，可自由拆装。使一体机不用拆整个黑板即可直接拆装维护，减少麻烦，延长使用寿命。</w:t>
            </w:r>
          </w:p>
          <w:p w14:paraId="43715B2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12、安全性：一把锁实现对滑动黑板的锁定，钥匙通用，方便实用。</w:t>
            </w:r>
          </w:p>
          <w:p w14:paraId="39046BC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13、安装：配装自制钢制安装件，规格95*50*60mm，隐形安装、没有外露的挂接件，符合GB 21027-2007《学生用品的安全通用要求》。</w:t>
            </w:r>
          </w:p>
          <w:p w14:paraId="72C5EEB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rPr>
              <w:t>14、包装：采用环保型材料，符合国家产品包装要求，单套或双套纸箱独立包装，箱体印有制造商名称、LOGO标识、地址、服务热线等信息。</w:t>
            </w:r>
          </w:p>
        </w:tc>
        <w:tc>
          <w:tcPr>
            <w:tcW w:w="787" w:type="dxa"/>
            <w:noWrap w:val="0"/>
            <w:vAlign w:val="center"/>
          </w:tcPr>
          <w:p w14:paraId="20A7A83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11</w:t>
            </w:r>
          </w:p>
        </w:tc>
      </w:tr>
      <w:tr w14:paraId="173A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CC2FA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5</w:t>
            </w:r>
          </w:p>
        </w:tc>
        <w:tc>
          <w:tcPr>
            <w:tcW w:w="882" w:type="dxa"/>
            <w:gridSpan w:val="3"/>
            <w:noWrap w:val="0"/>
            <w:vAlign w:val="center"/>
          </w:tcPr>
          <w:p w14:paraId="3C2EED9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应用软件</w:t>
            </w:r>
          </w:p>
        </w:tc>
        <w:tc>
          <w:tcPr>
            <w:tcW w:w="690" w:type="dxa"/>
            <w:gridSpan w:val="3"/>
            <w:noWrap w:val="0"/>
            <w:vAlign w:val="center"/>
          </w:tcPr>
          <w:p w14:paraId="53536EA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49178E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6647" w:type="dxa"/>
            <w:noWrap w:val="0"/>
            <w:vAlign w:val="top"/>
          </w:tcPr>
          <w:p w14:paraId="4884EE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1.整机全通道支持在任意应用下打开墨水屏显示模式，墨水屏模式可和纸质护眼模式进行双模式叠加。</w:t>
            </w:r>
          </w:p>
          <w:p w14:paraId="545B10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任意通道下（不仅限于Android、Windows、HDMI），可以在任意通道任意画面任意软件所有显示内容下实现画面纹理的实时调整；支持纸质纹理：牛皮纸、素描纸、宣纸、水彩纸、水纹纸，支持纹理强度调节；支持色温调节。</w:t>
            </w:r>
          </w:p>
          <w:p w14:paraId="49CC66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3.侧边栏相关工具支持浮窗化，可在 OPS 或其他通道下打开侧边栏工具窗口化显示，无需切换通道打开应用。</w:t>
            </w:r>
          </w:p>
          <w:p w14:paraId="15F625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两指调用悬浮菜单功能，可跟随手势位置显示在对应位置。悬浮菜单可在任意信号源通道下均可调出使用，且支持移动到屏幕任意位置。悬浮菜单默认支持6个快捷应用,快速应用可自定义，悬浮菜单中的应用可根据使用需求进行不少于32 种应用或功能的替换。悬浮菜单中的应用可根据使用需求进行应用或功能的替换。</w:t>
            </w:r>
          </w:p>
          <w:p w14:paraId="729357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具备任意通道下的左右双侧边栏按键设计,侧边栏支持开启与收起。侧边栏具备至少以下常用功能:主页、返回、多任务、支持小工具及应用快捷打开，支持不少于20种小工具、支持亮度及声音的快速调节，支持信号源、关机、重启、休眠及0SD菜单的快速调整。</w:t>
            </w:r>
          </w:p>
          <w:p w14:paraId="11DFB9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6、支持侧边栏快速打开OSD菜单，OSD菜单可支持调节声音、屏幕、显示、调整，屏幕调整包含 护眼模式、像素偏移、自动背光、自动节能。</w:t>
            </w:r>
          </w:p>
          <w:p w14:paraId="178B25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7、侧边栏支持投屏码显示，可快速显示投屏码在侧边栏，方便查看。</w:t>
            </w:r>
          </w:p>
          <w:p w14:paraId="057DA6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8.整机支持手机快速传屏功能，当手机接触到大屏 NFC后，手机即可快速选择将手机画面内容及声音内容传至大屏，同时大屏可反控手机画面内容。</w:t>
            </w:r>
          </w:p>
          <w:p w14:paraId="12AF8D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9.支持手势识别功能，支持五指长按、五指左滑、五指右滑、五指抓取、五指下滑手势，可将各手势滑动方向定义为“无、主页、返回、截屏、熄屏、应用切换及多任务操作。</w:t>
            </w:r>
          </w:p>
          <w:p w14:paraId="171413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10.整机可通过U盘一键导入、导出本机配置信息。</w:t>
            </w:r>
          </w:p>
          <w:p w14:paraId="757A42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11.整机支持不少于30种系统语言设置。</w:t>
            </w:r>
          </w:p>
          <w:p w14:paraId="20F34C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12.整机支持AI声场和AI画质功能，打开AI声场功能后可根据当前声音情况调整整机声音，适应环境声音；打开AI画质功能后可根据当前屏幕显示情况，自动调整到适合当前屏幕的画质参数，适应屏幕画面。</w:t>
            </w:r>
          </w:p>
          <w:p w14:paraId="7C7ECF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13.整机支持在信号源内可快速切换至直播通道，显示直播内容，方便老师快速展示校园第一课或学校电视台等内容。</w:t>
            </w:r>
          </w:p>
          <w:p w14:paraId="2B86450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14.整机支持在关机状态下长按电源键进入安全模式，可支持Android 还原、ops 还原、硬件检测相关功能。</w:t>
            </w:r>
          </w:p>
          <w:p w14:paraId="280232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15.整机支持屏蔽整机蓝牙Wifi，热点功能，屏蔽后整机不出现相关功能。</w:t>
            </w:r>
          </w:p>
          <w:p w14:paraId="24A5B9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16.整机支持在整机固件OTA升级时，可同步升级触摸框固件。</w:t>
            </w:r>
          </w:p>
          <w:p w14:paraId="406BF0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17.整机支持设备锁，遥控锁，触摸锁、按键锁、设置锁、USB锁、屏幕锁、应用锁等相关功能。</w:t>
            </w:r>
          </w:p>
          <w:p w14:paraId="1CE678B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18.整机支持在全通道侧边栏打开文件快传工具，用户可以扫描二维码后快速将手机文件传送到大屏文件中。</w:t>
            </w:r>
          </w:p>
          <w:p w14:paraId="4E87DF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（6）、安卓白板软件</w:t>
            </w:r>
          </w:p>
          <w:p w14:paraId="5AB592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1.支持手掌智能擦除，可根据手掌擦除面积与屏幕的接触面大小自动调整；白板书写内容支持不少于4种导出格式；支持16种以上平面图形工具;支持9 种以上立体图形工具。</w:t>
            </w:r>
          </w:p>
          <w:p w14:paraId="7EF02C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2.支持元素及书写内容快速回溯到之前任意状态，可根据用户情况自行决定回溯到前序的书写状态。</w:t>
            </w:r>
          </w:p>
          <w:p w14:paraId="0F0C69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3.支持自动背光功能，使用白板软件时，可根据用户书写操作智能调节屏幕亮度。</w:t>
            </w:r>
          </w:p>
          <w:p w14:paraId="7CD850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4.支持分屏功能，白板支持6分屏书写，互相隔离，互不干扰，支持多个学生同时进行独立书写及擦除等动作。</w:t>
            </w:r>
          </w:p>
          <w:p w14:paraId="1CF47D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5.支持智能笔笔触，支持手写图形自动识别为标准图形，支持手写内容识别为标准内容。支持不少于三种手写识别的语言类型。</w:t>
            </w:r>
          </w:p>
          <w:p w14:paraId="6BC7FE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6.支持自定义白板工具栏的工具，支持不少于18种工具的备选。</w:t>
            </w:r>
          </w:p>
          <w:p w14:paraId="0B5320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7.支持元素周期表，同时可调整温度显示在不同温度下元素的固液气状态，支持拖动元素展示元素化合后的结果，化合元素支持插入白板内表示，同时支持快速搜索显示化合物内容。</w:t>
            </w:r>
          </w:p>
          <w:p w14:paraId="0C513B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8、支持将白板内容导出到云盘内。</w:t>
            </w:r>
          </w:p>
          <w:p w14:paraId="677905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9、支持白板内插入表格工具，表格支持划线增加行列，当划线穿过表格某行或某列时，会自动增加行列，表格会根据书写内容大小自动调整表格大小。</w:t>
            </w:r>
          </w:p>
        </w:tc>
        <w:tc>
          <w:tcPr>
            <w:tcW w:w="787" w:type="dxa"/>
            <w:noWrap w:val="0"/>
            <w:vAlign w:val="center"/>
          </w:tcPr>
          <w:p w14:paraId="4B577F1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2BC5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D374FCF">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三、</w:t>
            </w:r>
            <w:r>
              <w:rPr>
                <w:rFonts w:hint="eastAsia" w:ascii="宋体" w:hAnsi="宋体" w:eastAsia="宋体" w:cs="宋体"/>
                <w:b/>
                <w:bCs/>
                <w:strike w:val="0"/>
                <w:color w:val="auto"/>
                <w:sz w:val="21"/>
                <w:szCs w:val="21"/>
                <w:lang w:val="en-US" w:eastAsia="zh-CN"/>
              </w:rPr>
              <w:t>计算机</w:t>
            </w:r>
          </w:p>
        </w:tc>
      </w:tr>
      <w:tr w14:paraId="0C69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EC502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73FF48C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7889097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3CC5D48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53848B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6D27B13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备注</w:t>
            </w:r>
          </w:p>
        </w:tc>
      </w:tr>
      <w:tr w14:paraId="0FB4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79D3C87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254FAC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教师计算机</w:t>
            </w:r>
          </w:p>
        </w:tc>
        <w:tc>
          <w:tcPr>
            <w:tcW w:w="690" w:type="dxa"/>
            <w:gridSpan w:val="3"/>
            <w:noWrap w:val="0"/>
            <w:vAlign w:val="center"/>
          </w:tcPr>
          <w:p w14:paraId="4059719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693E8CA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30</w:t>
            </w:r>
          </w:p>
        </w:tc>
        <w:tc>
          <w:tcPr>
            <w:tcW w:w="6647" w:type="dxa"/>
            <w:noWrap w:val="0"/>
            <w:vAlign w:val="center"/>
          </w:tcPr>
          <w:p w14:paraId="538A25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★一、CPU规格及型号</w:t>
            </w:r>
          </w:p>
          <w:p w14:paraId="2E0B73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配置1颗国产X86架构CPU，每颗CPU物理核心数≥8核，每颗CPU主频≥3.0GHz，所有核心智能频率可提升至≥3.3GHz，三级缓存≥16MB，功耗≥65W，支持超线程技术；</w:t>
            </w:r>
          </w:p>
          <w:p w14:paraId="3D25BA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★二、内存规格</w:t>
            </w:r>
          </w:p>
          <w:p w14:paraId="032F04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1.内存配置容量：≥16GB；</w:t>
            </w:r>
          </w:p>
          <w:p w14:paraId="59B01C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2.内存类型：支持 DDR4/LPDDR4/LPDDR4X 及以上内存类型；</w:t>
            </w:r>
          </w:p>
          <w:p w14:paraId="2E5696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3.内存条配置数量（板载内存不涉及）：≥4。</w:t>
            </w:r>
          </w:p>
          <w:p w14:paraId="252A99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★三、主板规格</w:t>
            </w:r>
          </w:p>
          <w:p w14:paraId="5EF431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1.主板集成模块：集成资源扩展模块、计算处理模块、音频扩展模块等，主板的互联拓扑可通过处理器或交换电路实现；</w:t>
            </w:r>
          </w:p>
          <w:p w14:paraId="40175D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2.主板支持的 CPU 和内存情况：≥8核16线程，主频≥3.0GHz，末级缓存≥16M，内存≥双通道DDR4-2666，设计功耗≥65W，位宽≥64位；内存条数量≥4；</w:t>
            </w:r>
          </w:p>
          <w:p w14:paraId="62BDA4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3.主板其他内置接口：≥SATA接口*4，≥M.2接口*2，≥USB接口*8，固态硬盘占用M.2接口*1</w:t>
            </w:r>
          </w:p>
          <w:p w14:paraId="72D974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4.单内存插槽最大可支持容量（板载内存不涉及）：≥16GB；</w:t>
            </w:r>
          </w:p>
          <w:p w14:paraId="5E5E23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5.内存插槽满配时提供的最高内存总容量：≥64GB。</w:t>
            </w:r>
          </w:p>
          <w:p w14:paraId="30F5A4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★四、存储设备规格</w:t>
            </w:r>
          </w:p>
          <w:p w14:paraId="6F5F4C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1.固态盘数量：≥1 个； </w:t>
            </w:r>
          </w:p>
          <w:p w14:paraId="202E98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2.固态存储容量：≥512GB；</w:t>
            </w:r>
          </w:p>
          <w:p w14:paraId="0F5BD1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3.机械硬盘数量：≥0个；</w:t>
            </w:r>
          </w:p>
          <w:p w14:paraId="0485D5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4.机械硬盘总容量：≥1000GB；</w:t>
            </w:r>
          </w:p>
          <w:p w14:paraId="2A724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5.机械硬盘转速：≥5400rpm；</w:t>
            </w:r>
          </w:p>
          <w:p w14:paraId="399306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6.机械硬盘形态：2.5 英寸或 3.5 英寸等；</w:t>
            </w:r>
          </w:p>
          <w:p w14:paraId="0AC653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7.固态存储形态：采用插卡或板载等形态，可选用符合M.2或2.5寸SATA或mSATA等标准的插卡形态；</w:t>
            </w:r>
          </w:p>
          <w:p w14:paraId="60266A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8.存储设备其他参数要求：a)固态盘应符合SJ/T 11654相关规定；b)机械硬盘准备时间应不大于30s；侧面固定螺丝孔数量可为 4 孔或 6 孔；工作状态环境温度应满足5℃-55℃；其它参数应符合GB/T 12628相关规定。</w:t>
            </w:r>
          </w:p>
          <w:p w14:paraId="0603EB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★五、显卡规格</w:t>
            </w:r>
          </w:p>
          <w:p w14:paraId="5FAC37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显卡类型：2G独立显卡；</w:t>
            </w:r>
          </w:p>
          <w:p w14:paraId="02B36D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★六、显示设备规格</w:t>
            </w:r>
          </w:p>
          <w:p w14:paraId="1F7B49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1.显示屏屏占比：≥80%；</w:t>
            </w:r>
          </w:p>
          <w:p w14:paraId="078461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2.显示屏分辨率：≥1920*1080；</w:t>
            </w:r>
          </w:p>
          <w:p w14:paraId="47AEDD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3.显示屏尺寸：≥23.8英寸；</w:t>
            </w:r>
          </w:p>
          <w:p w14:paraId="192687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4.显示屏屏幕比例：16:9； </w:t>
            </w:r>
          </w:p>
          <w:p w14:paraId="36C979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5.显示器外观颜色：黑色；</w:t>
            </w:r>
          </w:p>
          <w:p w14:paraId="7E6651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6.显示屏防蓝光：支持防蓝光模式，蓝光加权辐射亮度比应≤0.0012W/(·cd·sr)（瓦每坎特拉每球面度）；</w:t>
            </w:r>
          </w:p>
          <w:p w14:paraId="7DB75D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7.显示屏低频闪：显示屏应支持低频闪≤-35dB；</w:t>
            </w:r>
          </w:p>
          <w:p w14:paraId="5FD58C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8.显示屏防炫目：显示屏镜面反射率≤10%。</w:t>
            </w:r>
          </w:p>
          <w:p w14:paraId="287800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★七、外设规格</w:t>
            </w:r>
          </w:p>
          <w:p w14:paraId="1AA1FE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1.鼠标数量：≥1个；</w:t>
            </w:r>
          </w:p>
          <w:p w14:paraId="1D0817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2.键盘数量：≥1个；</w:t>
            </w:r>
          </w:p>
          <w:p w14:paraId="406492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3.键盘按键数目：≥104键；</w:t>
            </w:r>
          </w:p>
          <w:p w14:paraId="26B458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4.键盘连接方式：有线；</w:t>
            </w:r>
          </w:p>
          <w:p w14:paraId="42A2B0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5.键盘键程：2.3mm-4.0mm；</w:t>
            </w:r>
          </w:p>
          <w:p w14:paraId="7DAAD0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6.键盘按键压力：按键压力应在0.54N±0.14N；</w:t>
            </w:r>
          </w:p>
          <w:p w14:paraId="53E444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7.有线键盘连接线：≥1.</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米；</w:t>
            </w:r>
          </w:p>
          <w:p w14:paraId="2A997E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8.键盘颜色：黑色；</w:t>
            </w:r>
          </w:p>
          <w:p w14:paraId="2732D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9.鼠标连接方式：有线；</w:t>
            </w:r>
          </w:p>
          <w:p w14:paraId="2BBDD2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10.有线鼠标连接线：≥1.8米；</w:t>
            </w:r>
          </w:p>
          <w:p w14:paraId="1EE82D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11.鼠标DPI分辨率：800-1600；</w:t>
            </w:r>
          </w:p>
          <w:p w14:paraId="0A0AC0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12.鼠标颜色：黑色；</w:t>
            </w:r>
          </w:p>
          <w:p w14:paraId="55E06B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13.鼠标其他要求：其它参数应符合GB/T 26245的相关规定，支持键盘按键开机功能。</w:t>
            </w:r>
          </w:p>
          <w:p w14:paraId="4811E0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★八、网络设备规格</w:t>
            </w:r>
          </w:p>
          <w:p w14:paraId="64853F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有线网卡数量：≥1。</w:t>
            </w:r>
          </w:p>
          <w:p w14:paraId="247BB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★九、外部接口规格</w:t>
            </w:r>
          </w:p>
          <w:p w14:paraId="66FCD3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1.USB 接口数量：机箱前面板应提供不少于4个USB 接口（含2 个USB3.0及以上接口）；</w:t>
            </w:r>
          </w:p>
          <w:p w14:paraId="646D90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2.视频接口数量：≥1；</w:t>
            </w:r>
          </w:p>
          <w:p w14:paraId="4066F9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3.音频接口数量：≥1。</w:t>
            </w:r>
          </w:p>
          <w:p w14:paraId="29E551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★十、整机基础规格</w:t>
            </w:r>
          </w:p>
          <w:p w14:paraId="6827EB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1.整机外观：a) 产品表面不应有凹痕、划伤、裂缝、变形和污染等。表面涂层均匀，不应起泡、龟裂、脱落和磨损，金属零部件无锈蚀及其它机械损伤；b) 产品表面说明功能的文字、符号、标志，应清晰、端正、牢固；</w:t>
            </w:r>
          </w:p>
          <w:p w14:paraId="09A221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2.状态指示灯：在产品显著位置提供状态指示功能；</w:t>
            </w:r>
          </w:p>
          <w:p w14:paraId="7540F9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14:paraId="22FFD8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4.机箱防护要求：机箱应符合GB/T 4208中IP20防护要求；</w:t>
            </w:r>
          </w:p>
          <w:p w14:paraId="6AACCC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5.整机噪音：产品工作在空闲状态下，产品的声功率级应不超过3.0Bel；</w:t>
            </w:r>
          </w:p>
          <w:p w14:paraId="037FA9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14:paraId="2A36F3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7.整机能效限定值：产品能效限定值应达到GB 28380-2012标准中能效等级2级及以上；</w:t>
            </w:r>
            <w:r>
              <w:rPr>
                <w:rFonts w:hint="eastAsia" w:ascii="宋体" w:hAnsi="宋体" w:cs="宋体"/>
                <w:color w:val="auto"/>
                <w:kern w:val="0"/>
                <w:highlight w:val="none"/>
                <w:lang w:val="en-US" w:eastAsia="zh-CN" w:bidi="ar"/>
              </w:rPr>
              <w:t>产品型号获得</w:t>
            </w:r>
            <w:r>
              <w:rPr>
                <w:rFonts w:hint="eastAsia" w:ascii="宋体" w:hAnsi="宋体" w:eastAsia="宋体" w:cs="宋体"/>
                <w:color w:val="auto"/>
                <w:kern w:val="0"/>
                <w:highlight w:val="none"/>
                <w:lang w:val="en-US" w:eastAsia="zh-CN" w:bidi="ar"/>
              </w:rPr>
              <w:t>依据国家确定的认证机构出具的、处于有效期之内的节能产品认证证书。</w:t>
            </w:r>
          </w:p>
          <w:p w14:paraId="7D4149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8.机身材质：金属；</w:t>
            </w:r>
          </w:p>
          <w:p w14:paraId="63A81C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9.机身颜色：黑色；</w:t>
            </w:r>
          </w:p>
          <w:p w14:paraId="67048B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10.机箱尺寸容量：为便于升级扩展，机箱体积应≥7L且符合政采台式计算机采购标准。</w:t>
            </w:r>
          </w:p>
          <w:p w14:paraId="13C2CC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★十一、CPU性能</w:t>
            </w:r>
          </w:p>
          <w:p w14:paraId="2296BE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1.CPU 物理核数：≥8；</w:t>
            </w:r>
          </w:p>
          <w:p w14:paraId="49DF4A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2.CPU 主频：≥3.0GHz；</w:t>
            </w:r>
          </w:p>
          <w:p w14:paraId="6F8971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3.CPU 末级缓存容量：≥16MB；</w:t>
            </w:r>
          </w:p>
          <w:p w14:paraId="2DEE8D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4.CPU 支持的内存最高速率：≥2666MT/s。</w:t>
            </w:r>
          </w:p>
          <w:p w14:paraId="7698A7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★十二、内存性能</w:t>
            </w:r>
          </w:p>
          <w:p w14:paraId="522B4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内存读写速率：≥2666MT/s。</w:t>
            </w:r>
          </w:p>
          <w:p w14:paraId="59C2F7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★十三、显卡性能</w:t>
            </w:r>
          </w:p>
          <w:p w14:paraId="7D1E1D7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1.显示分辨率：≥1920*1080；</w:t>
            </w:r>
          </w:p>
          <w:p w14:paraId="41049C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2.显卡显示芯片核心频率：≥300MHz；</w:t>
            </w:r>
          </w:p>
          <w:p w14:paraId="2E2414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3.显存等效频率：≥1000MT/s；</w:t>
            </w:r>
          </w:p>
          <w:p w14:paraId="6E69A1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4.显卡可支持多屏同时显示数量：显卡应支持2块屏幕同时显示，分辨率应不低于 1920*1080。</w:t>
            </w:r>
          </w:p>
          <w:p w14:paraId="62D351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★十四、显示设备性能</w:t>
            </w:r>
          </w:p>
          <w:p w14:paraId="66B4E4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1.显示屏刷新率：≥75Hz；</w:t>
            </w:r>
          </w:p>
          <w:p w14:paraId="4D9D0A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2.显示屏位深：≥8位；</w:t>
            </w:r>
          </w:p>
          <w:p w14:paraId="38AEFE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3.显示屏色域：≥99% sRGB；</w:t>
            </w:r>
          </w:p>
          <w:p w14:paraId="2EDAE4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4.显示屏色准：△E≤4；</w:t>
            </w:r>
          </w:p>
          <w:p w14:paraId="46C30D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5.显示屏响应时间：≤5ms；</w:t>
            </w:r>
          </w:p>
          <w:p w14:paraId="408BFC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6.显示屏亮度：≥250尼特；</w:t>
            </w:r>
          </w:p>
          <w:p w14:paraId="30C983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7.显示屏亮度一致性：≥70%；</w:t>
            </w:r>
          </w:p>
          <w:p w14:paraId="0647E2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8.显示屏对比度：≥500：1；</w:t>
            </w:r>
          </w:p>
          <w:p w14:paraId="431CEC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9.显示屏其他参数：其它参数应符合SJ/T 11292的相关规定。  </w:t>
            </w:r>
          </w:p>
          <w:p w14:paraId="256F59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★十五、网络设备性能</w:t>
            </w:r>
          </w:p>
          <w:p w14:paraId="729BE3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有线网卡速率：最高速率应不低于1000Mbps，应支持10Mbps、100Mbps、1000Mbps 速率自适应。</w:t>
            </w:r>
          </w:p>
          <w:p w14:paraId="05FDDA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★十六、主板功能</w:t>
            </w:r>
          </w:p>
          <w:p w14:paraId="4EB67F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1.内存扩展接口(板载内存不涉及)：≥4个；</w:t>
            </w:r>
          </w:p>
          <w:p w14:paraId="1128AA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2.主板 USB瞬间过流保护：支持有瞬间过流保护功能；</w:t>
            </w:r>
          </w:p>
          <w:p w14:paraId="2034C0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3.主板防静电保护：支持防静电保护功能；</w:t>
            </w:r>
          </w:p>
          <w:p w14:paraId="1134EF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6E5BBA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★十七、显卡功能</w:t>
            </w:r>
          </w:p>
          <w:p w14:paraId="38FC06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显卡外接显示接口：显卡至少支持 VGA、HDMI、DVI、DP、Type-C中1种显示接口，并与显示器接口相匹配。</w:t>
            </w:r>
          </w:p>
          <w:p w14:paraId="13D775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★十八、显示设备功能</w:t>
            </w:r>
          </w:p>
          <w:p w14:paraId="39BF5A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1.显示器接口：显示器应与显卡外接显示接口匹配；</w:t>
            </w:r>
          </w:p>
          <w:p w14:paraId="6A56C2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2.显示器支架：显示器应提供显示器支架，支持屏幕旋转、升降；</w:t>
            </w:r>
          </w:p>
          <w:p w14:paraId="76DB42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3.显示器参数调节：a)提供 OSD 选单按钮用于调节色彩、模式等；b)支持色温、亮度、对比度调节。</w:t>
            </w:r>
          </w:p>
          <w:p w14:paraId="4684A9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★十九、存储功能</w:t>
            </w:r>
          </w:p>
          <w:p w14:paraId="022AB6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存储功能：通过SATA固态存储/PCIe固态存储/UFS固态存储/SATA硬磁盘等存储部件提供存储功能。</w:t>
            </w:r>
          </w:p>
          <w:p w14:paraId="12C4E4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★二十、网络设备功能</w:t>
            </w:r>
          </w:p>
          <w:p w14:paraId="007F7D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1.网络功能：a)支持网络连接、网络开启/关闭功能；b)支持访问网络和数据交换功能；</w:t>
            </w:r>
          </w:p>
          <w:p w14:paraId="0A8278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2.数据传输：支持数据传输能力，并提供数据流量和异常日志记录功能；</w:t>
            </w:r>
          </w:p>
          <w:p w14:paraId="7777541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3.有线网卡接口类型：支持 RJ45 接口；</w:t>
            </w:r>
          </w:p>
          <w:p w14:paraId="0A0313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4.网络设备拆装：网络设备支持物理拆装，包括无线网卡和蓝牙模块等。</w:t>
            </w:r>
          </w:p>
          <w:p w14:paraId="7E1C35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★二十一、外部接口功能</w:t>
            </w:r>
          </w:p>
          <w:p w14:paraId="0EFA083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1.音频接口类型：支持 3.5mm 孔径 3 段式或 4 段式接口；</w:t>
            </w:r>
          </w:p>
          <w:p w14:paraId="16C09E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2.视频接口类型：至少支持 VGA、HDMI、DVI、DP、Type-C中1 种显示接口；</w:t>
            </w:r>
          </w:p>
          <w:p w14:paraId="4B27C6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3.HDMI、DP、Type-C 显示接口要求：若提供 HDMI 或DP或 Type-C作为显示接口，应支持音频和视频同步输出。</w:t>
            </w:r>
          </w:p>
          <w:p w14:paraId="48AA12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★二十二、电源功能</w:t>
            </w:r>
          </w:p>
          <w:p w14:paraId="760081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1.电源线适配能力：电源适配器电线组件应符合GB/T 15934的要求。</w:t>
            </w:r>
          </w:p>
          <w:p w14:paraId="0A4649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2.电源功率250W以上，可扩展500W功率，满足升级需求。</w:t>
            </w:r>
          </w:p>
          <w:p w14:paraId="16CBD2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★二十三、操作系统及软件功能</w:t>
            </w:r>
          </w:p>
          <w:p w14:paraId="3D6CB8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（一）操作系统</w:t>
            </w:r>
          </w:p>
          <w:p w14:paraId="2A88E6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1.中文信息处理要求：符合GB 18030的相关规定；</w:t>
            </w:r>
          </w:p>
          <w:p w14:paraId="330C9C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2.操作系统备份及还原功能：支持操作系统备份及还原功能；</w:t>
            </w:r>
          </w:p>
          <w:p w14:paraId="636135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3.固件备份还原能力：支持备份及还原固件的功能；</w:t>
            </w:r>
          </w:p>
          <w:p w14:paraId="4A0D0B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4.操作系统及驱动升级：支持通过网络、闪存盘等方式对操作系统、驱动进行升级；</w:t>
            </w:r>
          </w:p>
          <w:p w14:paraId="7E8F9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5.固件升级：支持通过网络、闪存盘等方式对固件进行升级；</w:t>
            </w:r>
          </w:p>
          <w:p w14:paraId="7887B3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6.BIOS支持关闭通讯接口：支持BIOS关闭以太网及USB接口；</w:t>
            </w:r>
          </w:p>
          <w:p w14:paraId="79228A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7.固件查看信息：支持查看固件版本、内存信息、主板信息、处理器信息和系统时间信息等功能；</w:t>
            </w:r>
          </w:p>
          <w:p w14:paraId="03D0E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8.固件设置启动顺序：支持设置启动顺序功能，并按照设置的启动顺序启动；</w:t>
            </w:r>
          </w:p>
          <w:p w14:paraId="47A73B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9.固件设置口令：支持设置口令、修改口令、验证口令功能；</w:t>
            </w:r>
          </w:p>
          <w:p w14:paraId="02E348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10.固件设置网络引导：支持网络引导启动和关闭功能；</w:t>
            </w:r>
          </w:p>
          <w:p w14:paraId="754588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11.预装正版国产办公软件；</w:t>
            </w:r>
          </w:p>
          <w:p w14:paraId="7931607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12.应用迁移软件</w:t>
            </w:r>
          </w:p>
          <w:p w14:paraId="78CE42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①用户首次使用软件时，软件会自动完成GA安装，保障应用的体验效果。</w:t>
            </w:r>
          </w:p>
          <w:p w14:paraId="6CC1C2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②产品支持Legacy+MBR和UEFI+GPT引导安装。</w:t>
            </w:r>
          </w:p>
          <w:p w14:paraId="793838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③产品支持一键检测设备软硬件环境是否满足部署要求，输出满足项和不满足项。</w:t>
            </w:r>
          </w:p>
          <w:p w14:paraId="318FEB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④产品提供双工作区和系统融合两种模式供用户选择</w:t>
            </w:r>
          </w:p>
          <w:p w14:paraId="34EB263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⑤产品支持图形化引导，自助安装：全图形化引导安装，支持一键扫描安装环境，用户单双击即可完成安装。</w:t>
            </w:r>
          </w:p>
          <w:p w14:paraId="1305C3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⑥产品支持网络自动匹配、网络禁用等企业级网络管理，实现对迁移后系统的安全管控。</w:t>
            </w:r>
          </w:p>
          <w:p w14:paraId="6A8D25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⑦为保证八桂教学通等应用的兼容和稳定性，windows应用迁移软件需与国产操作系统同品牌。</w:t>
            </w:r>
          </w:p>
          <w:p w14:paraId="7A1D1C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★二十四、存储设备可靠性</w:t>
            </w:r>
          </w:p>
          <w:p w14:paraId="5E9CBB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1.固态存储寿命：TBW ≥ 80TB（条件：256GB硬盘容量）；</w:t>
            </w:r>
          </w:p>
          <w:p w14:paraId="50505E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2.机械硬盘寿命：通电时间≥5万小时。</w:t>
            </w:r>
          </w:p>
          <w:p w14:paraId="5996DF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★二十五、显示设备可靠性</w:t>
            </w:r>
          </w:p>
          <w:p w14:paraId="0D0FC8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显示屏屏幕失效点：符合GB/T 9813.2的要求。</w:t>
            </w:r>
          </w:p>
          <w:p w14:paraId="27E725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★二十六、外设可靠性</w:t>
            </w:r>
          </w:p>
          <w:p w14:paraId="4E3DE4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1.键盘按键寿命：≥1000 万次；</w:t>
            </w:r>
          </w:p>
          <w:p w14:paraId="750B40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2.鼠标按键寿命：≥500 万次；</w:t>
            </w:r>
          </w:p>
          <w:p w14:paraId="7B26EE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3.键盘鼠标线材寿命：键盘鼠标所用线材经±60°弯折不低于 3000 次，功能、外观完好；</w:t>
            </w:r>
          </w:p>
          <w:p w14:paraId="4EA8A4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4.风扇寿命：≥4 万小时。</w:t>
            </w:r>
          </w:p>
          <w:p w14:paraId="0BA49F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★二十七、整机可靠性要求</w:t>
            </w:r>
          </w:p>
          <w:p w14:paraId="139CFE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1.电磁兼容性要求的抗扰度：符合GB/T 9254.2的规定；</w:t>
            </w:r>
          </w:p>
          <w:p w14:paraId="610A2C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2.环境条件要求的气候环境适应性：符合GB/T 9813.1中规定；</w:t>
            </w:r>
          </w:p>
          <w:p w14:paraId="2B1B9B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3.环境条件要求的振动适应性：符合GB/T 9813.1中规定；</w:t>
            </w:r>
          </w:p>
          <w:p w14:paraId="7EAEB8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4.环境条件要求的冲击适应性：符合GB/T 9813.1中规定；</w:t>
            </w:r>
          </w:p>
          <w:p w14:paraId="25FC25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5.环境条件要求的碰撞适应性：符合GB/T 9813.1中规定；</w:t>
            </w:r>
          </w:p>
          <w:p w14:paraId="766004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6.环境条件要求的运输包装件跌落适应性：符合GB/T 9813.1中规定；</w:t>
            </w:r>
          </w:p>
          <w:p w14:paraId="513D44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7.MTBF 测试：MTBF(m1)≥3万小时。</w:t>
            </w:r>
          </w:p>
          <w:p w14:paraId="57F8FF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★二十八、兼容要求</w:t>
            </w:r>
          </w:p>
          <w:p w14:paraId="186102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1.常用软件兼容：支持流式软件、版式软件、浏览器、邮件采购人端、解压软件、多媒体、图形图像处理等常用软件；</w:t>
            </w:r>
          </w:p>
          <w:p w14:paraId="1766952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2.数据库兼容：兼容 3 个及以上厂商的数据库产品；</w:t>
            </w:r>
          </w:p>
          <w:p w14:paraId="2BB3D7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3.中间件兼容：兼容 3 个及以上厂商中间件产品；</w:t>
            </w:r>
          </w:p>
          <w:p w14:paraId="46801A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4.平台软件兼容：兼容 3 个及以上厂商云计算及大数据平台。</w:t>
            </w:r>
          </w:p>
          <w:p w14:paraId="24ABE4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★二十九、包装及运输要求</w:t>
            </w:r>
          </w:p>
          <w:p w14:paraId="189B6D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标志、包装、运输和贮存：符合GB/T 9813.1和商品包装政府采购需求标准的相关规定。</w:t>
            </w:r>
          </w:p>
          <w:p w14:paraId="07C980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★三十、服务要求</w:t>
            </w:r>
          </w:p>
          <w:p w14:paraId="3AE10F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1.配置检查工具：供应商提供自检测试工具；</w:t>
            </w:r>
          </w:p>
          <w:p w14:paraId="3D451A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2.服务响应：a)供应商提供电话、电子邮件、远程连接等多种形式服务；b)供应商提供同城 4h、异地 12h 技术响应服务，2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p w14:paraId="6B305B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3.服务周期：a)设备停产后应继续提供质量保障服务（含备品备件），服务终止时间与最后一批设备交付时间间隔不低于6年；b)产品停止服务时间应提前 1 年告知；c)应明确产品发布日期；</w:t>
            </w:r>
          </w:p>
          <w:p w14:paraId="083FA7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预装操作系统（操作系统需正版授权至最终使用客户）：预装符合桌面操作系统政府采购需求标准的正版操作系统；预装的操作系统符合《操作系统政府采购需求标准》中加*指标要求（财政部工业和信息化部关于印发《操作系统政府采购需求标准（2023年版）》的通知）；</w:t>
            </w:r>
          </w:p>
          <w:p w14:paraId="732EB3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5.培训服务：供应商提供培训材料、产品手册、培训视频等培训相关内容；</w:t>
            </w:r>
          </w:p>
          <w:p w14:paraId="3FE68E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6.典型问题解决手册：供应商提供典型问题解决说明文档或视频；</w:t>
            </w:r>
          </w:p>
          <w:p w14:paraId="0082F3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7.厂家升级软件与扩容服务：供应商提供上门升级部件/软件与扩容的增值服务；</w:t>
            </w:r>
          </w:p>
          <w:p w14:paraId="0217B5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8.整机质量服务要求：免费服务周期（含换件和维修）应不小于3年；</w:t>
            </w:r>
          </w:p>
          <w:p w14:paraId="676F36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9.合格证书要求：供应商提供产品合格证；</w:t>
            </w:r>
          </w:p>
          <w:p w14:paraId="277C80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10.开箱组装/使用指导要求：供应商提供开箱组装/使用指导；</w:t>
            </w:r>
          </w:p>
          <w:p w14:paraId="64CA86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11.驱动下载服务要求：供应商提供驱动光盘或下载方式；</w:t>
            </w:r>
          </w:p>
          <w:p w14:paraId="03DB8F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12.兼容适配软件下载服务要求：供应商提供兼容适配软件下载渠道（光盘、网站）。</w:t>
            </w:r>
          </w:p>
          <w:p w14:paraId="4C4E2C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13.含正版国产操作系统及正版国产办公软件。</w:t>
            </w:r>
          </w:p>
          <w:p w14:paraId="5FE023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★三十一、供应链合规性</w:t>
            </w:r>
          </w:p>
          <w:p w14:paraId="738F45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产品部件保障：供应商保障产品主要部件，提供</w:t>
            </w:r>
            <w:r>
              <w:rPr>
                <w:rFonts w:hint="eastAsia" w:ascii="宋体" w:hAnsi="宋体" w:cs="宋体"/>
                <w:strike w:val="0"/>
                <w:color w:val="auto"/>
                <w:sz w:val="21"/>
                <w:szCs w:val="21"/>
                <w:lang w:val="en-US" w:eastAsia="zh-CN"/>
              </w:rPr>
              <w:t>6</w:t>
            </w:r>
            <w:r>
              <w:rPr>
                <w:rFonts w:hint="eastAsia" w:ascii="宋体" w:hAnsi="宋体" w:eastAsia="宋体" w:cs="宋体"/>
                <w:strike w:val="0"/>
                <w:color w:val="auto"/>
                <w:sz w:val="21"/>
                <w:szCs w:val="21"/>
              </w:rPr>
              <w:t>年的备件服务能力（自购买之日起），或提供可兼容原设备的升级换代产品；</w:t>
            </w:r>
          </w:p>
          <w:p w14:paraId="73522EB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★三十二、供应链质量</w:t>
            </w:r>
          </w:p>
          <w:p w14:paraId="2ECB9A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1.抗干扰性：当产品部件出现供应风险时，供应商应通知采购人并提供风险应对方案确保产品的服务保障；</w:t>
            </w:r>
          </w:p>
          <w:p w14:paraId="5F4434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 供应能力证明：确保产品的部件在产品服务周期内稳定供货;</w:t>
            </w:r>
          </w:p>
          <w:p w14:paraId="1B67C1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★三十三、关键部件安全</w:t>
            </w:r>
          </w:p>
          <w:p w14:paraId="2622B6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关键部件安全要求：CPU 和操作系统等关键部件应当符合安全可靠测评要求；（通过政府有关部门指定的中国信息安全测评中心和国家保密科技测评中心网站查看安全可靠测评结果）。</w:t>
            </w:r>
          </w:p>
          <w:p w14:paraId="174278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注：投标人在填写《技术响应表》时，在“投标文件响应技术参数”明确给出所投计算机“CPU型号”及“操作系统”名称，否则视为投标无效。</w:t>
            </w:r>
          </w:p>
          <w:p w14:paraId="3238FA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★三十四、整机安全性要求</w:t>
            </w:r>
          </w:p>
          <w:p w14:paraId="39BD20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1.密码算法实现：CPU 芯片应符合 GM/T 0008 的相关规定，或芯片密码模块应符合 GB/T 37092或 GM/T 0028 的相关规定；</w:t>
            </w:r>
          </w:p>
          <w:p w14:paraId="3524F7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2.信息安全基本要求：a) 产品应符合 GB/T 39276 的 5.2 的规定；b) 生产厂商应建立漏洞跟踪表，保证产品版本涉及到的漏洞(如驱动程序等)可查看；c) 产品不得包含已知的恶意代码或漏洞，不存在未声明的指令、功能、接口；</w:t>
            </w:r>
          </w:p>
          <w:p w14:paraId="2BFA26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3.固件安全启动：支持固件安全启动功能，固件启动过程中只有通过启动校验才能正常启动；</w:t>
            </w:r>
          </w:p>
          <w:p w14:paraId="3F2FF399">
            <w:pPr>
              <w:ind w:left="0" w:leftChars="0" w:firstLine="0" w:firstLineChars="0"/>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rPr>
              <w:t>4.限用物质的限量要求：符合 GB/T 26572 中规定。</w:t>
            </w:r>
          </w:p>
        </w:tc>
        <w:tc>
          <w:tcPr>
            <w:tcW w:w="787" w:type="dxa"/>
            <w:noWrap w:val="0"/>
            <w:vAlign w:val="center"/>
          </w:tcPr>
          <w:p w14:paraId="182725C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586A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1323FFEC">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vertAlign w:val="baseline"/>
                <w:lang w:eastAsia="zh-CN"/>
              </w:rPr>
              <w:t>四、</w:t>
            </w:r>
            <w:r>
              <w:rPr>
                <w:rFonts w:hint="eastAsia" w:ascii="宋体" w:hAnsi="宋体" w:eastAsia="宋体" w:cs="宋体"/>
                <w:b/>
                <w:bCs/>
                <w:strike w:val="0"/>
                <w:color w:val="auto"/>
                <w:sz w:val="21"/>
                <w:szCs w:val="21"/>
                <w:lang w:val="en-US" w:eastAsia="zh-CN"/>
              </w:rPr>
              <w:t>计算机</w:t>
            </w:r>
          </w:p>
        </w:tc>
      </w:tr>
      <w:tr w14:paraId="4B3B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AEDF8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E0E72C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3332BC7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60EBF5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b w:val="0"/>
                <w:bCs/>
                <w:strike w:val="0"/>
                <w:color w:val="auto"/>
                <w:kern w:val="0"/>
                <w:sz w:val="21"/>
                <w:szCs w:val="21"/>
                <w:lang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15E79ED2">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p w14:paraId="09A3A85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单价</w:t>
            </w:r>
          </w:p>
        </w:tc>
        <w:tc>
          <w:tcPr>
            <w:tcW w:w="787" w:type="dxa"/>
            <w:noWrap w:val="0"/>
            <w:vAlign w:val="center"/>
          </w:tcPr>
          <w:p w14:paraId="06A5777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63C7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9" w:type="dxa"/>
            <w:noWrap w:val="0"/>
            <w:vAlign w:val="center"/>
          </w:tcPr>
          <w:p w14:paraId="2F12AFD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0D3595C">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eastAsia="zh-CN"/>
              </w:rPr>
              <w:t>学生</w:t>
            </w:r>
            <w:r>
              <w:rPr>
                <w:rFonts w:hint="eastAsia" w:ascii="宋体" w:hAnsi="宋体" w:eastAsia="宋体" w:cs="宋体"/>
                <w:strike w:val="0"/>
                <w:color w:val="auto"/>
                <w:sz w:val="21"/>
                <w:szCs w:val="21"/>
                <w:vertAlign w:val="baseline"/>
              </w:rPr>
              <w:t>计算机</w:t>
            </w:r>
          </w:p>
        </w:tc>
        <w:tc>
          <w:tcPr>
            <w:tcW w:w="690" w:type="dxa"/>
            <w:gridSpan w:val="3"/>
            <w:noWrap w:val="0"/>
            <w:vAlign w:val="center"/>
          </w:tcPr>
          <w:p w14:paraId="276F6E17">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7AA8B7F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strike w:val="0"/>
                <w:color w:val="auto"/>
                <w:kern w:val="2"/>
                <w:sz w:val="21"/>
                <w:szCs w:val="21"/>
                <w:vertAlign w:val="baseline"/>
                <w:lang w:val="en-US" w:eastAsia="zh-CN" w:bidi="ar-SA"/>
              </w:rPr>
              <w:t>60</w:t>
            </w:r>
          </w:p>
        </w:tc>
        <w:tc>
          <w:tcPr>
            <w:tcW w:w="6647" w:type="dxa"/>
            <w:noWrap w:val="0"/>
            <w:vAlign w:val="center"/>
          </w:tcPr>
          <w:p w14:paraId="20F364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509537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★CPU：物理核心≥8核，主频≥2.7GHz，末级缓存≥8M，线程数≥8，热设计功耗≥70W, CPU 支持的内存最高速率≥2666MT/s；</w:t>
            </w:r>
          </w:p>
          <w:p w14:paraId="1DF2AA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10E82C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★1.内存配置容量：≥8GB；</w:t>
            </w:r>
          </w:p>
          <w:p w14:paraId="5E7826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400466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★3.内存条配置数量（板载内存不涉及）：≥1；</w:t>
            </w:r>
          </w:p>
          <w:p w14:paraId="5C080A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350578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46A589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CPU情况：物理核心≥8核，主频≥2.7GHz，末级缓存≥8M，线程数≥8，热设计功耗≥70W, CPU 支持的内存最高速率≥2666MT/s；</w:t>
            </w:r>
          </w:p>
          <w:p w14:paraId="006601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主板支持的内存情况：内存读写速率≥2666MT/s，内存条数量≥1；</w:t>
            </w:r>
          </w:p>
          <w:p w14:paraId="21E307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★4.主板其他内置接口：SATA接口≥1，M.2接口≥1；</w:t>
            </w:r>
          </w:p>
          <w:p w14:paraId="23E491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★5.单内存插槽最大可支持容量（板载内存不涉及）：≥16GB；</w:t>
            </w:r>
          </w:p>
          <w:p w14:paraId="31ACB9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★6.内存插槽满配时提供的最高内存总容量：≥32GB；</w:t>
            </w:r>
          </w:p>
          <w:p w14:paraId="4D266E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2CB81C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1B5383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★2.固态存储容量：≥256GB；</w:t>
            </w:r>
          </w:p>
          <w:p w14:paraId="3CDB5D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453F6A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2FD923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1F835F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★显卡类型：集成显卡；</w:t>
            </w:r>
          </w:p>
          <w:p w14:paraId="1FD2BD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5A89CD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★1.尺寸：≥21英寸</w:t>
            </w:r>
          </w:p>
          <w:p w14:paraId="3537A3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79A952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763A7C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720AAD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699E18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505D3A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611A3D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7C1377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572E9D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622920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7DE55F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3E18F3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30AF11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322DB7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722944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412D07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14068F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30318B0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53E5CD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01B750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61970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7B400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7463FC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46C942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211B2B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56036F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2C6CC4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1FA1D8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 USB 接口（含2 个 USB3.0 及以上接口），且支持在关机状态下对外供电；机箱后面板应提供不少于 4 个 USB 接口（含2个 USB3.0 及以上接口）；</w:t>
            </w:r>
          </w:p>
          <w:p w14:paraId="3F74C3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★2.视频接口数量：≥1；</w:t>
            </w:r>
          </w:p>
          <w:p w14:paraId="39A6E1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★3.音频接口数量：≥1；</w:t>
            </w:r>
          </w:p>
          <w:p w14:paraId="4701ED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1BCC51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0A9A9A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10F09E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4ED44A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03A7B2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38FECC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666B32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0893C1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2698E8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01CB95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40C65A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20C63E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7769B7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33FA7C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2E6A91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7B28C2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33CAB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2E5057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776935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4EC10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51D40F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6F7599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115DBB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268324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5F68C63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568EF6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7B3118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3F7E54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1B11B3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8L；</w:t>
            </w:r>
          </w:p>
          <w:p w14:paraId="3DD20A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0A4682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3C78F8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主频：≥2.7GHz；</w:t>
            </w:r>
          </w:p>
          <w:p w14:paraId="34C46C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3.CPU线程数：≥8；</w:t>
            </w:r>
          </w:p>
          <w:p w14:paraId="00847F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末级缓存容量：≥8MB；</w:t>
            </w:r>
          </w:p>
          <w:p w14:paraId="5625BA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支持的内存最高速率：≥2666MT/s；</w:t>
            </w:r>
          </w:p>
          <w:p w14:paraId="723C2C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7AA55D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★内存读写速率：≥2666MT/s；</w:t>
            </w:r>
          </w:p>
          <w:p w14:paraId="58B6EB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3C451F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142B74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★2.显卡显示芯片核心频率：≥300MHz；</w:t>
            </w:r>
          </w:p>
          <w:p w14:paraId="5C9BA3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★3.显存等效频率：≥1000MT/s；</w:t>
            </w:r>
          </w:p>
          <w:p w14:paraId="0EF27C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685C2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78F1DA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02A90B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442D5D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5D7337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24AE97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1D2D86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3FAE5D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4E0D84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1CCAA9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10E54D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6BF9BD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6E434F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73462E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5ABFE1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★有线网卡速率：最高速率应不低于 1000Mbps，应支持10Mbps、100Mbps、1000Mbps 速率自适应；</w:t>
            </w:r>
          </w:p>
          <w:p w14:paraId="0AC695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10B3FA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41F67F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7DA363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6D5940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52AD5F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3FD00D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4C5CE3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309614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★存储功能：通过 SATA 固态存储/PCIe 固态存储/UFS 固态存储/SATA 硬磁盘等存储部件提供存储功能；</w:t>
            </w:r>
          </w:p>
          <w:p w14:paraId="5F7481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42E43A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7105C3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0553AF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476165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2C837C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2F53E0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508EF7B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5584AC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59885A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499859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41EDEE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0F3439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63E8A7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1864C9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6AC332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06E2E7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092079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12B15C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5AA55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3CBDB4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027FC3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718DC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360E21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152C93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.电脑应用助手</w:t>
            </w:r>
          </w:p>
          <w:p w14:paraId="6DC3B8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1）登录方式多样性：支持帐号/密码和手机微信扫码两种登录方式。用户首次登录时绑定微信ID与帐号的对应关系，绑定后可通过微信扫码登录，无需再次输入帐号/密码。</w:t>
            </w:r>
          </w:p>
          <w:p w14:paraId="777AD1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2）终端关联设备：设备通过微信扫码可绑定学校的设备管理系统，能设置当前设备类型与归属用户。</w:t>
            </w:r>
          </w:p>
          <w:p w14:paraId="522AE5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p>
          <w:p w14:paraId="2D4199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4）设备运行状态：能查看当前设备的内存、CPU、硬盘、系统盘、网速的实时占用状态信息。</w:t>
            </w:r>
          </w:p>
          <w:p w14:paraId="4FF804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5）整体描述：发送端软件发送文件至接收端软件。</w:t>
            </w:r>
          </w:p>
          <w:p w14:paraId="50C8B7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6）文件条件：支持一次发送多个文件；可发送图片、视频、文档等类型的文件。</w:t>
            </w:r>
          </w:p>
          <w:p w14:paraId="09F3B3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7）文件发送：可以从不同的文件夹拖动或选择文件至发送区；能查看待发送的文件列表，并可移除选择错误的文件。</w:t>
            </w:r>
          </w:p>
          <w:p w14:paraId="2AC15A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8）快捷发送：支持拖动文件至发送区进行文件发送。</w:t>
            </w:r>
          </w:p>
          <w:p w14:paraId="46153A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9）离线暂存：支持一次发送文件给多个接收端设备。接收端离线时文件能够暂存在云端，接收端设备在线后可进行自动下载。</w:t>
            </w:r>
          </w:p>
          <w:p w14:paraId="40895C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10）其他：支持查看发送进度；</w:t>
            </w:r>
          </w:p>
          <w:p w14:paraId="04B4C0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11）个性接收夹：在接收端设备上能够创建自己独立的文件接收夹。可个性化定义文件的名称与图标颜色；接收到新文件时有提示新文件；</w:t>
            </w:r>
          </w:p>
          <w:p w14:paraId="731519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337CC2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13）自动下载：支持接收端设备在线状态下可自动接收发送端设备发送的文件。</w:t>
            </w:r>
          </w:p>
          <w:p w14:paraId="46B143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14）自动清理：支持自动清理超过14天的文件。</w:t>
            </w:r>
          </w:p>
          <w:p w14:paraId="1BD147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15）状态查看：支持展示电脑实时的数据信息，包括CPU、内存、系统盘、总存储、实时网速数据信息，离线的设备展示最后的数据信息。</w:t>
            </w:r>
          </w:p>
          <w:p w14:paraId="00437B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5B05E0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p>
          <w:p w14:paraId="59D23A9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12D2B7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19）预览：能够在线预览图片、音视频、文档；支持预览的格式，包括，图片：BMP、GIF、JPE、JPEG、JPG、PNG；音频：WAV、MP3、OGG；视频：3GP、F4V、M4V、MKV、MP4、OGV、MOV；文档：DOC、DOCX、PDF、PPT、XLS、XLSX。</w:t>
            </w:r>
          </w:p>
          <w:p w14:paraId="7D4B5B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★20）发送到班级：用户可在资料夹中把多个文件发送至接收端软件中，发送的文件不限格式，接收端软件自动下载该文件。</w:t>
            </w:r>
          </w:p>
          <w:p w14:paraId="06D0E9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7D226D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22）最近使用课件：助手栏展示最近使用的前3条课件，点击课件支持在发送端软件内打开和编辑。</w:t>
            </w:r>
          </w:p>
          <w:p w14:paraId="745CAF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23)编辑：用户可自定义助手栏展示的内容，根据自己的需求能对内容进行移除、添加、移动位置，变更后数据会跟随当前登陆的账号，登录另一台电脑时会同步当前编辑的结果。</w:t>
            </w:r>
          </w:p>
          <w:p w14:paraId="7F797A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24)网站：支持用户主动添加网址，添加的网站会呈现在助手栏中，点击即可在发送端软件打开。</w:t>
            </w:r>
          </w:p>
          <w:p w14:paraId="653C15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★25)移动：用户能拖动助手栏到屏幕的任意位置，当用户拖动助手栏靠近屏幕边缘时会自动收到侧边；鼠标悬浮在侧边的时候，会弹出该助手栏，再次拖动助手栏会取消收起。</w:t>
            </w:r>
          </w:p>
          <w:p w14:paraId="27FE3B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26)对话式生成：根据输入的文字生成文本，并通过类人类对话的形式表达，还支持根据上下文进行多轮连续对话。</w:t>
            </w:r>
          </w:p>
          <w:p w14:paraId="458287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★27)写作：支持输入主题一键生成活动感想、发言稿、活动策划；支持选择生成的文字数量。</w:t>
            </w:r>
          </w:p>
          <w:p w14:paraId="75A1B1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28)评价：支持根据输入的学生姓名与评价维度生成评语。</w:t>
            </w:r>
          </w:p>
          <w:p w14:paraId="12ECF5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29)提示词：支持进入百宝箱后默认展示3条提示词，一键问询AI问题。</w:t>
            </w:r>
          </w:p>
          <w:p w14:paraId="4E32DB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30)生成编辑：支持对AI生成的内容复制或重新生成。</w:t>
            </w:r>
          </w:p>
          <w:p w14:paraId="78C0B5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★31)批量生成：支持批量生成学生的奖状，并可对奖状内容、奖励称号、颁奖人/单位、颁发日期、印章内容进行自定义编辑；支持选择生成的奖状模板。</w:t>
            </w:r>
          </w:p>
          <w:p w14:paraId="1C0319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32)下载：支持将生成的奖状一键下载到本地。</w:t>
            </w:r>
          </w:p>
          <w:p w14:paraId="47584F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1B3064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34)录屏：支持对全屏/区域的屏幕内容、电脑的声音、麦克风声音、摄像头内容进行录制；支持切换录制的分辨率。</w:t>
            </w:r>
          </w:p>
          <w:p w14:paraId="5FDCEF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35)录制中：支持录制过程中进行画笔标注与擦除；支持中途暂停录制和继续录制。</w:t>
            </w:r>
          </w:p>
          <w:p w14:paraId="749B02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36)录制结束：支持录制结束后进行文字快剪、视频编辑。</w:t>
            </w:r>
          </w:p>
          <w:p w14:paraId="30C320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37)传屏：支持把发送端设备的屏幕同步到班班通设备；传屏成功后支持在班班通设备反向触控发送端设备。</w:t>
            </w:r>
          </w:p>
          <w:p w14:paraId="02F2C1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38)设备连接：支持通过连接码的方式与班班通设备建立传屏关系；支持自动发现附近的班班通设备，一键连接班班通设备。</w:t>
            </w:r>
          </w:p>
          <w:p w14:paraId="375FB4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39)指令下发：支持对单个电脑或批量设备下发关机与重启指令、移动分组、移除设备。</w:t>
            </w:r>
          </w:p>
          <w:p w14:paraId="011A00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5B5882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★41)图片转格式：支持对图片进行在线转换格式，图片原始格式为bmp、jpg、jpeg、png、tif、webp、heic;转换为jpg、png;转换后支持下载图片到电脑本地。（投标文件中需提供包括但不限于厂家证明或功能截图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4CCBBC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42)提取文字：支持对图片进行在线文字识别；识别后支持对文字进行复制。</w:t>
            </w:r>
          </w:p>
          <w:p w14:paraId="0354B8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★43)文字快剪：支持提取视频的声音并转换成文字，自动识别出语气词，用户可选择删除，支持手动删除文字从而达到剪辑的目的。</w:t>
            </w:r>
          </w:p>
          <w:p w14:paraId="7CB001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512EC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45)退出关联：支持学校管理员可通过手机微信扫描接收端软件的二维码退出学校。退出后普通老师无法在该学校对该设备远程创建接收夹；</w:t>
            </w:r>
          </w:p>
          <w:p w14:paraId="59EFF0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p>
          <w:p w14:paraId="66E78B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47)设备信息：支持查看单个电脑的硬件信息与系统信息。</w:t>
            </w:r>
          </w:p>
          <w:p w14:paraId="1021AB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08C23F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3C400B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12B395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1BD762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113465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449294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47AA30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53A103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066B8B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4CF2FE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6E6A4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66B074B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56F96A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6E82E7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5AF379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2E5BD1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260F84C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7.静音舒适性：考虑工作环境的静音舒适，要求设备的噪声声功率级≤3.03Bel，噪声声压级≤23.86dB；★8.MTBF测试：MTBF(m1)≥30万小时。</w:t>
            </w:r>
          </w:p>
          <w:p w14:paraId="4C44EA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23C4DB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62DDE0A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1FE984C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0E9411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7DBCAE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5BAA9B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713E9B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186A26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5894D1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5339B7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3B35C0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53C725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234634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212BB9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519435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2BE12D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787" w:type="dxa"/>
            <w:noWrap w:val="0"/>
            <w:vAlign w:val="center"/>
          </w:tcPr>
          <w:p w14:paraId="7BF0055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19D6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F7517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7A4DD18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i w:val="0"/>
                <w:iCs w:val="0"/>
                <w:strike w:val="0"/>
                <w:color w:val="auto"/>
                <w:kern w:val="0"/>
                <w:sz w:val="21"/>
                <w:szCs w:val="21"/>
                <w:u w:val="none"/>
                <w:lang w:val="en-US" w:eastAsia="zh-CN" w:bidi="ar"/>
              </w:rPr>
              <w:t>主控计算机</w:t>
            </w:r>
          </w:p>
        </w:tc>
        <w:tc>
          <w:tcPr>
            <w:tcW w:w="690" w:type="dxa"/>
            <w:gridSpan w:val="3"/>
            <w:noWrap w:val="0"/>
            <w:vAlign w:val="center"/>
          </w:tcPr>
          <w:p w14:paraId="48E4211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5B02B1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2"/>
                <w:sz w:val="21"/>
                <w:szCs w:val="21"/>
                <w:vertAlign w:val="baseline"/>
                <w:lang w:val="en-US" w:eastAsia="zh-CN" w:bidi="ar-SA"/>
              </w:rPr>
              <w:t>1</w:t>
            </w:r>
          </w:p>
        </w:tc>
        <w:tc>
          <w:tcPr>
            <w:tcW w:w="6647" w:type="dxa"/>
            <w:noWrap w:val="0"/>
            <w:vAlign w:val="center"/>
          </w:tcPr>
          <w:p w14:paraId="474D69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2A20A6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★CPU：物理核心≥8核，主频≥3.0GHz，末级缓存容量≥16MB，线程数≥16，CPU PCle通道总数≥32，CPU基本功率≥65W, CPU 支持的内存最高速率≥3200MT/s；</w:t>
            </w:r>
          </w:p>
          <w:p w14:paraId="036A95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546242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★1.内存配置容量：≥16GB；</w:t>
            </w:r>
          </w:p>
          <w:p w14:paraId="187A05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7587BC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★3.内存条配置数量（板载内存不涉及）：≥2；</w:t>
            </w:r>
          </w:p>
          <w:p w14:paraId="3A217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59458C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154DEEE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CPU情况：物理核心≥8核，主频≥3.0GHz，末级缓存容量≥16MB，线程数≥16，CPU PCle通道总数≥32，CPU基本功率≥65W, CPU 支持的内存最高速率≥3200 MT/s；</w:t>
            </w:r>
          </w:p>
          <w:p w14:paraId="201E73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主板支持的内存情况：内存读写速率≥3200MT/s，内存条数量≥2；</w:t>
            </w:r>
          </w:p>
          <w:p w14:paraId="2458CE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★4.主板其他内置接口：≥4个SATA接口；≥M.2接口*1，≥USB接口★7，固态硬盘占用M.2接口*1，机械硬盘占用SATA接口*1</w:t>
            </w:r>
          </w:p>
          <w:p w14:paraId="7A621E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★5.单内存插槽最大可支持容量（板载内存不涉及）：≥32GB；</w:t>
            </w:r>
          </w:p>
          <w:p w14:paraId="433B9A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★6.内存插槽满配时提供的最高内存总容量：≥64GB；</w:t>
            </w:r>
          </w:p>
          <w:p w14:paraId="2B193C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133E23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1E61E4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★2.固态存储容量：≥512GB；</w:t>
            </w:r>
          </w:p>
          <w:p w14:paraId="4340CF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4E64E1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68AE65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0BFBC1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★1.显卡类型：独立显卡；</w:t>
            </w:r>
          </w:p>
          <w:p w14:paraId="76A7E4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★2.显存类型≥ LPDDR4  型；</w:t>
            </w:r>
          </w:p>
          <w:p w14:paraId="4D5E94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★3.独立显卡，显存容量≥2GB</w:t>
            </w:r>
          </w:p>
          <w:p w14:paraId="1BAEE7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6E6032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★1.尺寸：≥23英寸</w:t>
            </w:r>
          </w:p>
          <w:p w14:paraId="372CAF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0F7D5A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4A9438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1677E1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02ABEB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7462F2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1E7CDA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6DA1A3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210941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7D1300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263EB7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0EB011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6BFFD3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15C6B1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7F1FD8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288482A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7077087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07B0AB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14C393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2BE393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405D0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2DA3CC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77FEB4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78F878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42474F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1D097D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37F7D4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0B7CD8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个USB 接口（含2个USB3.0 及以上接口）；</w:t>
            </w:r>
          </w:p>
          <w:p w14:paraId="41A511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  2 ，视频接口类型至少支持 VGA、HDMI、DVI、DP、Type-C中 1 种显示接口，若提供 HDMI 或 DP或 Type-C作为显示接口，应支持音频和视频同步输出；</w:t>
            </w:r>
          </w:p>
          <w:p w14:paraId="5A5705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  5 ，音频接口类型支持 3.5mm孔径3段式或4段式接口。</w:t>
            </w:r>
          </w:p>
          <w:p w14:paraId="368458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51F03A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2166CD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0B89C6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06C888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41EADF3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1D2BD5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10AB3B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7225F9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3E2CCF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4A1AD0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5DBF32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713CAB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45A672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44C11D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7207AC1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759EA2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7D6695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6E5039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3F98F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019A8A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73A8EC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279ADB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6AE80D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4C92A4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0D7987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4B7473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D14B4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12CCD1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4C2289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15L；</w:t>
            </w:r>
          </w:p>
          <w:p w14:paraId="2CB5C7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1142BD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1BEA0F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主频：≥3.0GHz；</w:t>
            </w:r>
          </w:p>
          <w:p w14:paraId="730D4A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3.CPU线程数：≥16；</w:t>
            </w:r>
          </w:p>
          <w:p w14:paraId="3E7B44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末级缓存容量：≥16MB；</w:t>
            </w:r>
          </w:p>
          <w:p w14:paraId="23829E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支持的内存最高速率：≥3200MT/s；</w:t>
            </w:r>
          </w:p>
          <w:p w14:paraId="643703A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0FF934B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★内存读写速率：≥3200 MT/s；</w:t>
            </w:r>
          </w:p>
          <w:p w14:paraId="428C9E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4DC18D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3927AA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 1350MHz；</w:t>
            </w:r>
          </w:p>
          <w:p w14:paraId="126400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 3733 MMT/s；</w:t>
            </w:r>
          </w:p>
          <w:p w14:paraId="59C0128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6A4375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6E51FC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7589FC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5DD054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29A0AE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7E0412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279284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5BD932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341C7A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0625C5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2031D9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2FF079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328401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7BC890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0D65D4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有线网卡速率：最高速率应不低于 1000Mbps，应支持10Mbps、100Mbps、1000Mbps 速率自适应；</w:t>
            </w:r>
          </w:p>
          <w:p w14:paraId="65FB3A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76ABC22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0C1011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206D84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7DEFC1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1BFFC1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2EECA3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648F5A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0589B9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★存储功能：通过 SATA 固态存储/PCIe 固态存储/UFS 固态存储/SATA 硬磁盘等存储部件提供存储功能；</w:t>
            </w:r>
          </w:p>
          <w:p w14:paraId="1948A4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5456B6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2F6B5C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5842EC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0D5EA9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0E3FF8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35889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1414E3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30D860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4FB954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069DF62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20F30D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43F5DB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1F1518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35D4E8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40E43B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3AA324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47FF0D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1BC95B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1AC7EF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2A664E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70B030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6213145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6162BC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24BCFA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.管理平台</w:t>
            </w:r>
          </w:p>
          <w:p w14:paraId="10DC1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1）管理平台采用B/S架构，中文图形化操作界面；无需本地额外部署服务器等设备，通过浏览器打开即可运维管理云桌面终端设备，支持手机扫码登录/账号密码登录完成鉴权。</w:t>
            </w:r>
          </w:p>
          <w:p w14:paraId="330738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★2）具备基于广域网统一纳管多分支机构云桌面的能力，支持三层网络、多校区等复杂网络环境安装。</w:t>
            </w:r>
          </w:p>
          <w:p w14:paraId="3529B5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3）基于Web浏览器，提供用户统一登录认证功能，包括：手机号码注册、登录、忘记密码、扫码登录、账号管理功能。</w:t>
            </w:r>
          </w:p>
          <w:p w14:paraId="7BC466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4）支持PC终端设备与云桌面终端设备统一管理，支持在同一个设备分组中添加不同类型的PC和云桌面设备，并支持对选择的PC和云桌面设备的批量操作。</w:t>
            </w:r>
          </w:p>
          <w:p w14:paraId="619A40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5）支持查看全部设备和分组下设备的运行状态，包括CPU、内存、磁盘的使用率，CPU温度，实时上下行网速与上下行网络流量。</w:t>
            </w:r>
          </w:p>
          <w:p w14:paraId="296197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6）硬件资产管理：收集平台中所有云桌面终端和PC终端的硬件配置与状态信息，包括终端名称、主板型号、CPU型号、内存容量、最近运行时间、硬盘信息等。</w:t>
            </w:r>
          </w:p>
          <w:p w14:paraId="49E572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7）支持终端发现，无需安装插件或程序，仅通过浏览器即可扫描局域网内可访问互联网的终端设备进行批量配置，包括关联学校、关联分组、设置名称、配置网络。</w:t>
            </w:r>
          </w:p>
          <w:p w14:paraId="38AF6F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增强终端发现，安装插件后通过浏览器即可扫描局域网内不可访问互联网的终端设备进行批量配置，包括关联学校、关联分组、设置名称、配置网络（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1EB10F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9）支持远程管理终端设备，通过管理平台进行开机、关机、重启、还原、初始化、删除、配置更改、硬件信息查看、桌面运行状态查看等。</w:t>
            </w:r>
          </w:p>
          <w:p w14:paraId="3CDBD4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7FB861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11）支持终端设备分组管理，支持在终端组中添加不同型号的终端设备，支持为分组启用座位编号管理。</w:t>
            </w:r>
          </w:p>
          <w:p w14:paraId="0102B7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12）支持批量修改计算机名、IP地址；支持对使用Windows系统的终端，统一设置群组的计算机名，也支持单独设置群组内某一终端的计算机名。</w:t>
            </w:r>
          </w:p>
          <w:p w14:paraId="7A77F7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★13）支持终端批量配置，通过管理平台批量修改终端设备的所属组织（学校、校区）、设备名称、网络IP、上电自启BIOS配置、时间自动同步等设置，无需逐台配置。</w:t>
            </w:r>
          </w:p>
          <w:p w14:paraId="22D16C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14）支持日志信息管理，对终端、镜像等操作信息进行汇总，方便对常见问题的判断追查；支持保留桌面下发记录，包括终端名称，镜像名称，状态等信息。</w:t>
            </w:r>
          </w:p>
          <w:p w14:paraId="38833F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1CBBD9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16）支持通过账号登录、手机扫码登录、无账号访客登录启动的云桌面镜像均可访问公共数据分区（D盘）。</w:t>
            </w:r>
          </w:p>
          <w:p w14:paraId="39617D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17）支持终端云桌面系统升级，开启自动升级后，终端自动下载最新的终端版本并升级安装</w:t>
            </w:r>
          </w:p>
          <w:p w14:paraId="56502B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18）可由管理平台指定启动镜像且多个镜像系统环境可快速切换。</w:t>
            </w:r>
          </w:p>
          <w:p w14:paraId="11380B3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19）支持远程还原终端设备，在终端设备在云桌面镜像系统无法启动、系统异常时，可远程操作系统恢复；同时可选清空终端设备的公共数据分区（D盘）的数据。</w:t>
            </w:r>
          </w:p>
          <w:p w14:paraId="6E0004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20）支持配置终端设备的使用方式统一配置，可配置成开机自动启动云桌面镜像或进入云桌面系统。</w:t>
            </w:r>
          </w:p>
          <w:p w14:paraId="4E8229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支持配置终端设备使用鉴权方式统一配置，可配置成仅使用无账号登录、仅使用有账号登录、同时启用两种登录方式，支持同时配置不同登录方式的还原设置。（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5138FF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22）支持分别配置无账号登录、有账号登录方式的还原模式，开启还原后终端设备的云桌面镜像系统的使用记录与数据将不被保留。</w:t>
            </w:r>
          </w:p>
          <w:p w14:paraId="62CFF0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23）支持策略生命周期管理，包括新建、删除、启用、停用。</w:t>
            </w:r>
          </w:p>
          <w:p w14:paraId="54907A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24）支持设备计划关机，支持按照全部设备、指定分组、指定设备，设置终端关机操作，并可设置某时间单次执行或周期循环执行。</w:t>
            </w:r>
          </w:p>
          <w:p w14:paraId="2E4E35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25）支持一键打开管理平台的帮助手册。</w:t>
            </w:r>
          </w:p>
          <w:p w14:paraId="6399D3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p>
          <w:p w14:paraId="36BC0B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p w14:paraId="1F56B8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2C44229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656644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71A012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26E439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540618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742B96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6B22B3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31D1E4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1671E81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4F924F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3E01E5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3E3E50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633DDA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6808B1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523A56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20C795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39AC7094">
            <w:pPr>
              <w:keepNext w:val="0"/>
              <w:keepLines w:val="0"/>
              <w:pageBreakBefore w:val="0"/>
              <w:widowControl/>
              <w:numPr>
                <w:ilvl w:val="0"/>
                <w:numId w:val="2"/>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静音舒适性：考虑工作环境的静音舒适，要求设备的噪声声功率级≤3.03Bel，噪声声压级≤23.86dB；</w:t>
            </w:r>
          </w:p>
          <w:p w14:paraId="763268A2">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★8.MTBF测试：MTBF(m1)≥30万小时。</w:t>
            </w:r>
          </w:p>
          <w:p w14:paraId="10B4845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3C6D27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09FDFF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739661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38D4FFC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61E5880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00C225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0C30775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524307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0E5B8F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7090CC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6DE289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3D9D1D6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7987F4D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073927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06E33D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0E8408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787" w:type="dxa"/>
            <w:noWrap w:val="0"/>
            <w:vAlign w:val="center"/>
          </w:tcPr>
          <w:p w14:paraId="21EA4F39">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2F3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C997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7861A6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教室广播软件</w:t>
            </w:r>
          </w:p>
        </w:tc>
        <w:tc>
          <w:tcPr>
            <w:tcW w:w="690" w:type="dxa"/>
            <w:gridSpan w:val="3"/>
            <w:noWrap w:val="0"/>
            <w:vAlign w:val="center"/>
          </w:tcPr>
          <w:p w14:paraId="40BD1E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7C5CF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C45C0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1.登录方式多样性：支持账号/密码和手机微信扫码两种登录方式。</w:t>
            </w:r>
          </w:p>
          <w:p w14:paraId="46EC0F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2.设备管理：可实现实时监控学生机画面、以及进行统一的教学管理，文件共享和回收。</w:t>
            </w:r>
          </w:p>
          <w:p w14:paraId="5ABE1F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3.人员管理：学校超级管理员可以添加教师和管理员的角色，添加之后管理员能够绑定设备和进行正常的授课工作，教师只能在终端应用软件进行授课操作。</w:t>
            </w:r>
          </w:p>
          <w:p w14:paraId="6E256F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4.教师云空间：支持老师自定义上传、存储文件内容。</w:t>
            </w:r>
          </w:p>
          <w:p w14:paraId="246D47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支持上传的格式有：</w:t>
            </w:r>
          </w:p>
          <w:p w14:paraId="086FEB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文档：ppt、pptx、word、pdf;</w:t>
            </w:r>
          </w:p>
          <w:p w14:paraId="036E0E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图片：bmp、png、jpg、jpeg、gif;</w:t>
            </w:r>
          </w:p>
          <w:p w14:paraId="70BE50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音视频：mp3.wav、ogg、aac、mp4</w:t>
            </w:r>
          </w:p>
          <w:p w14:paraId="2B7A7C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5.教师广播：不需要借助任何外接设备，支持将教师机的画面以及声音广播给全班学生。</w:t>
            </w:r>
          </w:p>
          <w:p w14:paraId="666C70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6.学生演示：支持老师将指定学生的屏幕画面广播给其他所有学生，同时老师也能看到该指定学生的屏幕图像。</w:t>
            </w:r>
          </w:p>
          <w:p w14:paraId="227B65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7.下发课堂活动：在开启授课时支持教师发起不低于4种课堂活动，支持学生拖动答案进行作答，系统将自动判断是否正确。</w:t>
            </w:r>
          </w:p>
          <w:p w14:paraId="281251E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8.课堂活动作答：支持学生在完成教师下发的课堂活动时，查看自己的排名、耗时以及答题情况。</w:t>
            </w:r>
          </w:p>
          <w:p w14:paraId="3E7BE9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p>
          <w:p w14:paraId="78117A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10.切换课堂通知：当课堂通知大于或等于2条时，支持用户手动切换查看。</w:t>
            </w:r>
          </w:p>
          <w:p w14:paraId="1C81AF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11.教学白板课件同步：支持同步教学白板软件的课件内容，支持按照大小、更新时间进行排序，支持按照按照文件类型进行筛选。</w:t>
            </w:r>
          </w:p>
          <w:p w14:paraId="2B73A7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12.文件上传：支持上传“本地文件”到终端应用软件的教师云空间。</w:t>
            </w:r>
          </w:p>
          <w:p w14:paraId="12841C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13.文件共享：支持教师把云空间的文件批量共享给指定的多个授课班级，资料被删除后文件仍可重新下载。支持教师把已共享的资料进行取消共享。</w:t>
            </w:r>
          </w:p>
          <w:p w14:paraId="576316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14.授课班级状态：当作业空间存在多个班级的时候，支持显示当前正在授课班级。</w:t>
            </w:r>
          </w:p>
          <w:p w14:paraId="64F7D2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15.文件查看：当开启需输入姓名进入课堂功能时，系统支持按照班级学生的姓名归档查看学生提交的作业文件。</w:t>
            </w:r>
          </w:p>
          <w:p w14:paraId="50B6F5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16.导入文件共享：支持教师直接把“我的文件”内容导入共享给班级学生。</w:t>
            </w:r>
          </w:p>
          <w:p w14:paraId="06159B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17.黑屏管控：教师可以选定学生执行黑屏操作。</w:t>
            </w:r>
          </w:p>
          <w:p w14:paraId="0EEC130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18.离线自动黑屏：支持教师统一配置授课是否开启离线黑屏。</w:t>
            </w:r>
          </w:p>
        </w:tc>
        <w:tc>
          <w:tcPr>
            <w:tcW w:w="787" w:type="dxa"/>
            <w:noWrap w:val="0"/>
            <w:vAlign w:val="center"/>
          </w:tcPr>
          <w:p w14:paraId="205AC9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6C8B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88E2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7E1A037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云桌面机房运维管理系统</w:t>
            </w:r>
          </w:p>
        </w:tc>
        <w:tc>
          <w:tcPr>
            <w:tcW w:w="690" w:type="dxa"/>
            <w:gridSpan w:val="3"/>
            <w:noWrap w:val="0"/>
            <w:vAlign w:val="center"/>
          </w:tcPr>
          <w:p w14:paraId="00D688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68E9C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bottom"/>
          </w:tcPr>
          <w:p w14:paraId="214C9E9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（一）系统设计</w:t>
            </w:r>
          </w:p>
          <w:p w14:paraId="3E7242F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1.在配置管理平台使用终端设备时，支持多种身份识别方式。</w:t>
            </w:r>
          </w:p>
          <w:p w14:paraId="197D5EE6">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2.支持通过账号登录、手机扫码登录、无账号访客登录。</w:t>
            </w:r>
          </w:p>
          <w:p w14:paraId="0CE7975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p>
          <w:p w14:paraId="55FD012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w:t>
            </w:r>
          </w:p>
          <w:p w14:paraId="7AF9A18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5.支持终端设备运行时无需运行独立的虚拟化系统，终端设备配置的IP与进入云桌面镜像后的IP能够保持一致，同一个终端无需使用多个IP，简化运维管理与网络规划复杂度。</w:t>
            </w:r>
          </w:p>
          <w:p w14:paraId="1892723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6.支持在终端设备部署多个云桌面镜像切换使用，支持Windows、UOS、KylinOS、Ubuntu等桌面操作系统的云桌面镜像支持国产化操作系统的使用，包括但不限于UOS、银河麒麟。</w:t>
            </w:r>
          </w:p>
          <w:p w14:paraId="62459D5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7.支持在无法进入操作系统的情况下，快速恢复操作系统的使用，无需依赖网络、服务器、以及还原类软件。</w:t>
            </w:r>
          </w:p>
          <w:p w14:paraId="48663DA9">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8.支持包括Windows、统信、麒麟云桌面镜像，在对应云桌面镜像系统中查看设备的CPU型号、GPU型号、系统型号、BIOS版本等系统信息显示与终端物理设备一致。</w:t>
            </w:r>
          </w:p>
          <w:p w14:paraId="63D8BFC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p>
          <w:p w14:paraId="03D86D0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（二）管理平台设计</w:t>
            </w:r>
          </w:p>
          <w:p w14:paraId="249A911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管理平台采用B/S架构，中文图形化操作界面；无需本地额外部署服务器等设备，通过浏览器打开即可运维管理云桌面终端设备，支持手机扫码登录/账号密码登录完成鉴权。</w:t>
            </w:r>
          </w:p>
          <w:p w14:paraId="2D6B0EA2">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 具备基于广域网统一纳管多分支机构云桌面的能力，支持三层网络、多校区等复杂网络环境安装。</w:t>
            </w:r>
          </w:p>
          <w:p w14:paraId="54F0377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基于Web浏览器，提供用户统一登录认证功能，包括：手机号码注册、登录、忘记密码、扫码登录、账号管理功能。</w:t>
            </w:r>
          </w:p>
          <w:p w14:paraId="285CC25A">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4.支持PC终端设备与云桌面终端设备统一管理，支持在同一个设备分组中添加不同类型的PC和云桌面设备，并支持对选择的PC和云桌面设备的批量作。</w:t>
            </w:r>
          </w:p>
          <w:p w14:paraId="1B2DCDF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5.支持查看全部设备和分组下设备的运行状态，包括CPU、内存、磁盘的使用率，CPU温度，实时上下行网速与上下行网络流量。</w:t>
            </w:r>
          </w:p>
          <w:p w14:paraId="1C7DA2D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6.硬件资产管理：收集平台中所有云桌面终端和PC终端的硬件配置与状态信息，包括终端名称、主板型号、CPU型号、内存容量、最近运行时间、硬盘信息等。</w:t>
            </w:r>
          </w:p>
          <w:p w14:paraId="7D43661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 支持终端发现，无需安装插件或程序，仅通过浏览器即可扫描局域网内可访问互联网的终端设备进行批量配置，包括关联学校、关联分组、设置名称、配置网络。</w:t>
            </w:r>
          </w:p>
          <w:p w14:paraId="16FAE72F">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 支持增强终端发现，安装插件后通过浏览器即可扫描局域网内不可访问互联网的终端设备进行批量配置，包括关联学校、关联分组、设置名称、配置网络</w:t>
            </w:r>
          </w:p>
          <w:p w14:paraId="6E8C9607">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9.支持远程管理终端设备，通过管理平台进行开机、关机、重启、还原、初始化、删除、配置更改、硬件信息查看、桌面运行状态查看等。</w:t>
            </w:r>
          </w:p>
          <w:p w14:paraId="27193E4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p>
          <w:p w14:paraId="1EBDB882">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11.支持终端设备分组管理，支持在终端组中添加不同型号的终端设备，支持为分组启用座位编号管理。</w:t>
            </w:r>
          </w:p>
          <w:p w14:paraId="45A548DB">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12.支持批量修改计算机名、IP地址；支持对使用Windows系统的终端，统一设置群组的计算机名，也支持单独设置群组内某一终端的计算机名。</w:t>
            </w:r>
          </w:p>
          <w:p w14:paraId="563BF00C">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★13.支持终端批量配置，通过管理平台批量修改终端设备的所属组织（学校、校区）、设备名称、网络IP、上电自启BIOS配置、时间自动同步等设置，无需逐台配置。</w:t>
            </w:r>
          </w:p>
          <w:p w14:paraId="6FAD14BF">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14.支持日志信息管理，对终端、镜像等操作信息进行汇总，方便对常见问题的判断追查；支持保留桌面下发记录，包括终端名称，镜像名称，状态等信息。</w:t>
            </w:r>
          </w:p>
          <w:p w14:paraId="335202F3">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p>
          <w:p w14:paraId="02C6B088">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16.支持通过账号登录、手机扫码登录、无账号访客登录启动的云桌面镜像均可访问公共数据分区（D盘）。</w:t>
            </w:r>
          </w:p>
          <w:p w14:paraId="21433306">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17.支持终端云桌面系统升级，开启自动升级后，终端自动下载最新的终端版本并升级安装</w:t>
            </w:r>
          </w:p>
          <w:p w14:paraId="53F2A01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18.可由管理平台指定启动镜像且多个镜像系统环境可快速切换。</w:t>
            </w:r>
          </w:p>
          <w:p w14:paraId="37C9169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19.支持远程还原终端设备，在终端设备在云桌面镜像系统无法启动、系统异常时，可远程操作系统恢复；同时可选清空终端设备的公共数据分区（D盘）的数据。</w:t>
            </w:r>
          </w:p>
          <w:p w14:paraId="47D1379E">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20.支持配置终端设备的使用方式统一配置，可配置成开机自动启动云桌面镜像或进入云桌面系统。</w:t>
            </w:r>
          </w:p>
          <w:p w14:paraId="56BAF641">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支持配置终端设备使用鉴权方式统一配置，可配置成仅使用无账号登录、仅使用有账号登录、同时启用两种登录方式，支持同时配置不同登录方式的还原设置。22.支持分别配置无账号登录、有账号登录方式的还原模式，开启还原后终端设备的云桌面镜像系统的使用记录与数据将不被保留。</w:t>
            </w:r>
          </w:p>
          <w:p w14:paraId="09279B24">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23.支持策略生命周期管理，包括新建、删除、启用、停用。</w:t>
            </w:r>
          </w:p>
          <w:p w14:paraId="1CBE75B0">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24.支持设备计划关机，支持按照全部设备、指定分组、指定设备，设置终端关机操作，并可设置某时间单次执行或周期循环执行。</w:t>
            </w:r>
          </w:p>
          <w:p w14:paraId="0769BAA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25.支持一键打开管理平台的帮助手册。</w:t>
            </w:r>
          </w:p>
          <w:p w14:paraId="7D090B9D">
            <w:pPr>
              <w:keepNext w:val="0"/>
              <w:keepLines w:val="0"/>
              <w:pageBreakBefore w:val="0"/>
              <w:widowControl/>
              <w:suppressLineNumbers w:val="0"/>
              <w:kinsoku/>
              <w:wordWrap/>
              <w:overflowPunct/>
              <w:topLinePunct w:val="0"/>
              <w:autoSpaceDE/>
              <w:autoSpaceDN/>
              <w:bidi w:val="0"/>
              <w:adjustRightInd/>
              <w:snapToGrid/>
              <w:spacing w:line="440" w:lineRule="exact"/>
              <w:ind w:right="0" w:rightChars="0"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p>
          <w:p w14:paraId="7A5289A2">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 教职工管理：支持管理员手动添加教职工，教职工信息包括：教工</w:t>
            </w:r>
          </w:p>
          <w:p w14:paraId="49669ADC">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号，姓名，手机号码，角色，管理范围；添加方式包括：Excel批量导</w:t>
            </w:r>
          </w:p>
          <w:p w14:paraId="7AB3EFD0">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入，批量复制，手动添加；支持导出，查询，删除教职工；教职工支持</w:t>
            </w:r>
          </w:p>
          <w:p w14:paraId="64DD114D">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设置部门组织架构，支持多级组织架构，支持在组织架构节点上导入用</w:t>
            </w:r>
          </w:p>
          <w:p w14:paraId="78E247F3">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户。</w:t>
            </w:r>
          </w:p>
        </w:tc>
        <w:tc>
          <w:tcPr>
            <w:tcW w:w="787" w:type="dxa"/>
            <w:noWrap w:val="0"/>
            <w:vAlign w:val="bottom"/>
          </w:tcPr>
          <w:p w14:paraId="7A5DD094">
            <w:pPr>
              <w:keepNext w:val="0"/>
              <w:keepLines w:val="0"/>
              <w:pageBreakBefore w:val="0"/>
              <w:widowControl/>
              <w:suppressLineNumbers w:val="0"/>
              <w:kinsoku/>
              <w:wordWrap/>
              <w:overflowPunct/>
              <w:topLinePunct w:val="0"/>
              <w:bidi w:val="0"/>
              <w:spacing w:line="440" w:lineRule="exact"/>
              <w:ind w:right="-916" w:rightChars="-436" w:firstLine="0" w:firstLineChars="0"/>
              <w:jc w:val="left"/>
              <w:textAlignment w:val="bottom"/>
              <w:rPr>
                <w:rFonts w:hint="eastAsia" w:ascii="宋体" w:hAnsi="宋体" w:eastAsia="宋体" w:cs="宋体"/>
                <w:strike w:val="0"/>
                <w:color w:val="auto"/>
                <w:kern w:val="2"/>
                <w:sz w:val="21"/>
                <w:szCs w:val="21"/>
                <w:vertAlign w:val="baseline"/>
                <w:lang w:val="en-US" w:eastAsia="zh-CN" w:bidi="ar-SA"/>
              </w:rPr>
            </w:pPr>
          </w:p>
        </w:tc>
      </w:tr>
      <w:tr w14:paraId="1172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0F25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3F1B4D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教师电脑桌椅</w:t>
            </w:r>
          </w:p>
        </w:tc>
        <w:tc>
          <w:tcPr>
            <w:tcW w:w="690" w:type="dxa"/>
            <w:gridSpan w:val="3"/>
            <w:noWrap w:val="0"/>
            <w:vAlign w:val="center"/>
          </w:tcPr>
          <w:p w14:paraId="39345C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712E03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09A2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2.五金配件：采用优质五金配件，平滑度及滑动性好，承载力强，安全系数高。所有五金件均通过国际标准盐雾测试48小时以上。</w:t>
            </w:r>
          </w:p>
        </w:tc>
        <w:tc>
          <w:tcPr>
            <w:tcW w:w="787" w:type="dxa"/>
            <w:noWrap w:val="0"/>
            <w:vAlign w:val="center"/>
          </w:tcPr>
          <w:p w14:paraId="2763CC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774B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EA314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31B606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学生电脑桌椅</w:t>
            </w:r>
          </w:p>
        </w:tc>
        <w:tc>
          <w:tcPr>
            <w:tcW w:w="690" w:type="dxa"/>
            <w:gridSpan w:val="3"/>
            <w:noWrap w:val="0"/>
            <w:vAlign w:val="center"/>
          </w:tcPr>
          <w:p w14:paraId="565641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D4A48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w:t>
            </w:r>
          </w:p>
        </w:tc>
        <w:tc>
          <w:tcPr>
            <w:tcW w:w="6647" w:type="dxa"/>
            <w:noWrap w:val="0"/>
            <w:vAlign w:val="center"/>
          </w:tcPr>
          <w:p w14:paraId="42AC6A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2.五金配件：采用优质五金配件，平滑度及滑动性好，承载力强，安全系数高。所有五金件均通过国际标准盐雾测试48小时以上。</w:t>
            </w:r>
          </w:p>
        </w:tc>
        <w:tc>
          <w:tcPr>
            <w:tcW w:w="787" w:type="dxa"/>
            <w:noWrap w:val="0"/>
            <w:vAlign w:val="center"/>
          </w:tcPr>
          <w:p w14:paraId="2F268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635C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9278A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6A37B1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48口互联交换机</w:t>
            </w:r>
          </w:p>
        </w:tc>
        <w:tc>
          <w:tcPr>
            <w:tcW w:w="690" w:type="dxa"/>
            <w:gridSpan w:val="3"/>
            <w:noWrap w:val="0"/>
            <w:vAlign w:val="center"/>
          </w:tcPr>
          <w:p w14:paraId="657AC6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台</w:t>
            </w:r>
          </w:p>
        </w:tc>
        <w:tc>
          <w:tcPr>
            <w:tcW w:w="572" w:type="dxa"/>
            <w:noWrap w:val="0"/>
            <w:vAlign w:val="center"/>
          </w:tcPr>
          <w:p w14:paraId="790B45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C1714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48个10/100/1000Base-T RJ45端口；4个独立千兆SFP端口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支持IEEE 802.1Q VLAN，用户可以按需求灵活划分VLAN。</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支持语音VLAN，为语音数据流配置QoS参数，提高语音数据流的传输优先级、保证通话质量。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支持QoS，支持基于端口、基于802.1P和基于DSCP的三种优先级模式和Equ、SP、WRR、SP+WRR四种队列调度算法。</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支持ACL，通过配置匹配规则、处理操作以及时间权限来实现对数据包的过滤，提供灵活的安全访问控制策略。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支持IGMP V1/V2组播协议，支持IGMP Snooping，满足多终端高清视频监控和视频会议接入需求</w:t>
            </w:r>
          </w:p>
        </w:tc>
        <w:tc>
          <w:tcPr>
            <w:tcW w:w="787" w:type="dxa"/>
            <w:noWrap w:val="0"/>
            <w:vAlign w:val="center"/>
          </w:tcPr>
          <w:p w14:paraId="02C838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0F49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AEA729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2FAAAE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24口互联交换机</w:t>
            </w:r>
          </w:p>
        </w:tc>
        <w:tc>
          <w:tcPr>
            <w:tcW w:w="690" w:type="dxa"/>
            <w:gridSpan w:val="3"/>
            <w:noWrap w:val="0"/>
            <w:vAlign w:val="center"/>
          </w:tcPr>
          <w:p w14:paraId="1FEB90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台</w:t>
            </w:r>
          </w:p>
        </w:tc>
        <w:tc>
          <w:tcPr>
            <w:tcW w:w="572" w:type="dxa"/>
            <w:noWrap w:val="0"/>
            <w:vAlign w:val="center"/>
          </w:tcPr>
          <w:p w14:paraId="03B7CC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E01CC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1.设备性能：交换容量≥52Gbps，包转发率≥38.69Mpps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2.设备配置：提供千兆电口≥24个，千兆光口≥2个，无风扇静音设计自然散热，交流供电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规格表项：支持MAC地址≥8K</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运维：设备即插即用，无需配置管理</w:t>
            </w:r>
          </w:p>
        </w:tc>
        <w:tc>
          <w:tcPr>
            <w:tcW w:w="787" w:type="dxa"/>
            <w:noWrap w:val="0"/>
            <w:vAlign w:val="center"/>
          </w:tcPr>
          <w:p w14:paraId="25DCF0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p>
        </w:tc>
      </w:tr>
      <w:tr w14:paraId="320D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097B7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05BD8F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系统集成</w:t>
            </w:r>
          </w:p>
        </w:tc>
        <w:tc>
          <w:tcPr>
            <w:tcW w:w="690" w:type="dxa"/>
            <w:gridSpan w:val="3"/>
            <w:noWrap w:val="0"/>
            <w:vAlign w:val="center"/>
          </w:tcPr>
          <w:p w14:paraId="78B503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6BD6A1D0">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F0EFFD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含网线、音视频线、电源线、线盒、钉子、胶布等满足本项目需求的线材及辅材。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1.系统集成所需材料要求符合国标标准；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2.要求所有布线均入线盒，不能裸露在外；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3.布线规范，横平竖直。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4.设备安装、调试、运维、培训等服务。</w:t>
            </w:r>
          </w:p>
        </w:tc>
        <w:tc>
          <w:tcPr>
            <w:tcW w:w="787" w:type="dxa"/>
            <w:noWrap w:val="0"/>
            <w:vAlign w:val="center"/>
          </w:tcPr>
          <w:p w14:paraId="30734A8C">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44A6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1005B1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strike w:val="0"/>
                <w:color w:val="auto"/>
                <w:sz w:val="21"/>
                <w:szCs w:val="21"/>
                <w:vertAlign w:val="baseline"/>
                <w:lang w:val="en-US" w:eastAsia="zh-CN"/>
              </w:rPr>
              <w:t>10</w:t>
            </w:r>
          </w:p>
        </w:tc>
        <w:tc>
          <w:tcPr>
            <w:tcW w:w="882" w:type="dxa"/>
            <w:gridSpan w:val="3"/>
            <w:noWrap w:val="0"/>
            <w:vAlign w:val="center"/>
          </w:tcPr>
          <w:p w14:paraId="42AA32E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备授课软件</w:t>
            </w:r>
          </w:p>
        </w:tc>
        <w:tc>
          <w:tcPr>
            <w:tcW w:w="690" w:type="dxa"/>
            <w:gridSpan w:val="3"/>
            <w:noWrap w:val="0"/>
            <w:vAlign w:val="center"/>
          </w:tcPr>
          <w:p w14:paraId="55DF1BB5">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套</w:t>
            </w:r>
          </w:p>
        </w:tc>
        <w:tc>
          <w:tcPr>
            <w:tcW w:w="572" w:type="dxa"/>
            <w:noWrap w:val="0"/>
            <w:vAlign w:val="center"/>
          </w:tcPr>
          <w:p w14:paraId="5783F3BB">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60</w:t>
            </w:r>
          </w:p>
        </w:tc>
        <w:tc>
          <w:tcPr>
            <w:tcW w:w="6647" w:type="dxa"/>
            <w:noWrap w:val="0"/>
            <w:vAlign w:val="center"/>
          </w:tcPr>
          <w:p w14:paraId="1BC350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w:t>
            </w:r>
            <w:r>
              <w:rPr>
                <w:rFonts w:hint="eastAsia" w:ascii="宋体" w:hAnsi="宋体" w:eastAsia="宋体" w:cs="宋体"/>
                <w:i w:val="0"/>
                <w:iCs w:val="0"/>
                <w:strike w:val="0"/>
                <w:color w:val="auto"/>
                <w:kern w:val="0"/>
                <w:sz w:val="21"/>
                <w:szCs w:val="21"/>
                <w:u w:val="none"/>
                <w:lang w:val="en-US" w:eastAsia="zh-CN" w:bidi="ar"/>
              </w:rPr>
              <w:t>）教学平台为全校教师提供可扩展，易于学校管理，安全可靠的云存储空间，根据每名教师使用时长与教学资料制作频率提供可扩展升级至不小于200G的个人云空间。</w:t>
            </w:r>
          </w:p>
          <w:p w14:paraId="3F3057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2）PPT小工具：支持小组端进入PPT放映模式后提供批注、黑板、橡皮、撤销、批注分享等工具，满足学生小组研讨的使用</w:t>
            </w:r>
          </w:p>
          <w:p w14:paraId="200EE2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08CC9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★4）一键开课：教师可一键开课生成课程海报；学生扫描课程海报微信二维码即可加入直播课堂，无需额外安装APP。</w:t>
            </w:r>
          </w:p>
          <w:p w14:paraId="2281F9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5）剪辑重录：支持按照课件页面片段剪辑和重录微课，支持一键上传至云端保存。</w:t>
            </w:r>
          </w:p>
          <w:p w14:paraId="319696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★6）课程回放：课程结束后自动生成直播回放，报名课程的学生可反复学习；回放课程自动保存在云端，支持人工删除。</w:t>
            </w:r>
          </w:p>
          <w:p w14:paraId="1A7BDD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7）发起集备：支持选择教案、课件、胶囊资源上传发起集备研讨，支持设置多重访问权限，通过手机号搜索即可邀请外校老师，可用于跨校教研场景。</w:t>
            </w:r>
          </w:p>
          <w:p w14:paraId="3B5AA8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w:t>
            </w:r>
          </w:p>
        </w:tc>
        <w:tc>
          <w:tcPr>
            <w:tcW w:w="787" w:type="dxa"/>
            <w:noWrap w:val="0"/>
            <w:vAlign w:val="center"/>
          </w:tcPr>
          <w:p w14:paraId="432F07C1">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6E29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9B26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11</w:t>
            </w:r>
          </w:p>
        </w:tc>
        <w:tc>
          <w:tcPr>
            <w:tcW w:w="882" w:type="dxa"/>
            <w:gridSpan w:val="3"/>
            <w:noWrap w:val="0"/>
            <w:vAlign w:val="center"/>
          </w:tcPr>
          <w:p w14:paraId="21BD38B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管理教学软件</w:t>
            </w:r>
          </w:p>
        </w:tc>
        <w:tc>
          <w:tcPr>
            <w:tcW w:w="690" w:type="dxa"/>
            <w:gridSpan w:val="3"/>
            <w:noWrap w:val="0"/>
            <w:vAlign w:val="center"/>
          </w:tcPr>
          <w:p w14:paraId="16C38A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套</w:t>
            </w:r>
          </w:p>
        </w:tc>
        <w:tc>
          <w:tcPr>
            <w:tcW w:w="572" w:type="dxa"/>
            <w:noWrap w:val="0"/>
            <w:vAlign w:val="center"/>
          </w:tcPr>
          <w:p w14:paraId="7ED2E7F5">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default"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1</w:t>
            </w:r>
          </w:p>
        </w:tc>
        <w:tc>
          <w:tcPr>
            <w:tcW w:w="6647" w:type="dxa"/>
            <w:noWrap w:val="0"/>
            <w:vAlign w:val="center"/>
          </w:tcPr>
          <w:p w14:paraId="4B3F03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w:t>
            </w:r>
          </w:p>
          <w:p w14:paraId="2D9D0A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①支持二维码扫码登录和账号密码登录</w:t>
            </w:r>
          </w:p>
          <w:p w14:paraId="6A36E04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②支持使用社交软件或教学软件实现一键扫码联合登录</w:t>
            </w:r>
          </w:p>
          <w:p w14:paraId="533108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③提供无账号登录选项，无需账号信息即可进入系统授课</w:t>
            </w:r>
          </w:p>
          <w:p w14:paraId="291D51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2）设备管理：可实现实时监控学生机画面、以及进行统一的教学管理，文件共享和回收。</w:t>
            </w:r>
          </w:p>
          <w:p w14:paraId="334F1D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3）人员管理：学校超级管理员可以添加教师和管理员的角色，添加之后管理员能够绑定设备和进行正常的授课工作，教师只能在终端应用软件进行授课操作。</w:t>
            </w:r>
          </w:p>
          <w:p w14:paraId="64C6F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4）教师云空间：支持老师自定义上传、存储文件内容。</w:t>
            </w:r>
          </w:p>
          <w:p w14:paraId="616F12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支持上传的格式有：</w:t>
            </w:r>
          </w:p>
          <w:p w14:paraId="5CB94A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文档：ppt、pptx、word、pdf;</w:t>
            </w:r>
          </w:p>
          <w:p w14:paraId="002FE9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图片：bmp、png、jpg、jpeg、gif;</w:t>
            </w:r>
          </w:p>
          <w:p w14:paraId="6004C3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音视频：mp3、wav、vma、ogg、aac、mp4</w:t>
            </w:r>
          </w:p>
          <w:p w14:paraId="6C7EE8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5）学生画面监看：教师机可以监视全体、单一学生机的实时画面。</w:t>
            </w:r>
          </w:p>
          <w:p w14:paraId="76E42E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6）教师广播关闭接收端设备音频：教师发起屏幕广播后支持把学生接收端原先的播放的音频输出关闭。</w:t>
            </w:r>
          </w:p>
          <w:p w14:paraId="34568D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★7）教师广播批注：教师在屏幕广播状态下，提供授课小工具，包括提供可自由调整笔迹颜色及笔触粗细的画笔、黑板、橡皮擦、以及支持撤销和加页码，最多支持增加页数到10页。</w:t>
            </w:r>
          </w:p>
          <w:p w14:paraId="120F6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8）学生演示：支持老师将指定学生的屏幕画面广播给其他所有学生，同时老师也能看到该指定学生的屏幕图像。</w:t>
            </w:r>
          </w:p>
          <w:p w14:paraId="562390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★9）课件答题互动：支持同步课堂活动的课件并支持下发，下发后学生拖动答案进行作答，系统将自动判断正误。（投标文件中需提供包括但不限于厂家证明或功能截图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i w:val="0"/>
                <w:iCs w:val="0"/>
                <w:strike w:val="0"/>
                <w:color w:val="auto"/>
                <w:kern w:val="0"/>
                <w:sz w:val="21"/>
                <w:szCs w:val="21"/>
                <w:u w:val="none"/>
                <w:lang w:val="en-US" w:eastAsia="zh-CN" w:bidi="ar"/>
              </w:rPr>
              <w:t>并加盖供应商公章）</w:t>
            </w:r>
          </w:p>
          <w:p w14:paraId="29B763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10）课堂活动作答：支持学生在完成教师下发的课堂活动时，查看自己本次作答完成的排名、耗时以及答题情况。</w:t>
            </w:r>
          </w:p>
          <w:p w14:paraId="35C172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11）学生未进入课堂通知：教师可以在管理后台预先录入学生名单。授课时，教师选择相应的班级，学生在课程开始后只需输入自己的姓名即可完成签到。同时，教师端能够实时显示尚未签到的学生名单。</w:t>
            </w:r>
          </w:p>
          <w:p w14:paraId="18B7DE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12）切换课堂通知：在当课堂通知大于或等于2条时，支持用户手动切换查看。</w:t>
            </w:r>
          </w:p>
          <w:p w14:paraId="41DE1A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13）广播互动答题：在教师广播过程中，支持自动截取屏幕内容供学生答题，并在学生回答后在教师端展示答题数据。</w:t>
            </w:r>
          </w:p>
          <w:p w14:paraId="1CCEF3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14）离线续播：当教师对一台或多台学生设备进行广播教学时，学生终端在重启后能够自动重新加入当前的广播教学，实现离线续播。</w:t>
            </w:r>
          </w:p>
          <w:p w14:paraId="1796A11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15）学生名单管理：支持在管理后台导入、增加、删除、更改、查询班级学生名单，并同步到终端应用教学软件中。</w:t>
            </w:r>
          </w:p>
          <w:p w14:paraId="42FCE1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16）教师名单管理：支持在管理后台导入、增加、删除、更改、查询教师名单。</w:t>
            </w:r>
          </w:p>
          <w:p w14:paraId="41F476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★17）课件答题参与：课堂活动的参与按钮根据开课状态智能显示。</w:t>
            </w:r>
          </w:p>
          <w:p w14:paraId="2888C0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18）登录模式支持免输入姓名：在登录模式下，教师可选择允许特定设备免输入姓名直接进入课堂。</w:t>
            </w:r>
          </w:p>
          <w:p w14:paraId="039AEB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19）远程控制：支持教师端远程控制学生端的画面操作。</w:t>
            </w:r>
          </w:p>
          <w:p w14:paraId="46F218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20）教学白板课件同步：支持同步教学软件的课件内容，支持按照大小、更新时间进行排序，支持按照文件类型进行筛选。</w:t>
            </w:r>
          </w:p>
          <w:p w14:paraId="126D2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21）文件上传：支持上传“本地文件”到终端应用软件的教师云空间。</w:t>
            </w:r>
          </w:p>
          <w:p w14:paraId="49FE930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★22）文件共享：支持教师把云空间的文件批量共享给指定的多个授课班级，设备重启还原后，学生进入授课班级后仍可重新下载。支持教师把已共享的资料进行取消共享。</w:t>
            </w:r>
          </w:p>
          <w:p w14:paraId="6094A5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★23）授课班级状态：当作业空间存在多个班级的时候，支持显示当前正在授课班级。</w:t>
            </w:r>
          </w:p>
          <w:p w14:paraId="1C26CD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24）作业回收进度查看：回收作业过程中，支持自动统计已提交和未提交的学生名单。</w:t>
            </w:r>
          </w:p>
          <w:p w14:paraId="1163B6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25）文件传输：显示上传和下载完成的文件历史记录。</w:t>
            </w:r>
          </w:p>
          <w:p w14:paraId="3899BA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26）导入文件共享：支持教师直接把文件内容导入共享给班级学生。</w:t>
            </w:r>
          </w:p>
          <w:p w14:paraId="6DDE24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27）文件自动补发：学生端设备重启被还原时，系统自动重新下发资料，无需手动操作。</w:t>
            </w:r>
          </w:p>
          <w:p w14:paraId="029445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28）黑屏管控：教师可以选定学生执行黑屏操作。</w:t>
            </w:r>
          </w:p>
          <w:p w14:paraId="3782E5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29）离线自动黑屏：支持教师统一配置授课是否开启离线黑屏。</w:t>
            </w:r>
          </w:p>
          <w:p w14:paraId="416175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30）设备环境检测：开始授课后，若学生设备离线时会自动在教师端显示离线的设备总量以及对应离线的设备IP。</w:t>
            </w:r>
          </w:p>
          <w:p w14:paraId="258A2E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31）程序限制：支持设置应用程序白名单。</w:t>
            </w:r>
          </w:p>
          <w:p w14:paraId="3C6777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★32）自动获取学生端应用环境：开启授课后自动获取授课学生设备安装的应用环境，教师可以直接禁用管理学生设备的实际真实应用。</w:t>
            </w:r>
          </w:p>
          <w:p w14:paraId="5D7C2C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33）违规使用记录：支持显示最近一节课的违规使用应用程序的名称、违规操作人、设备IP，以及支持教师禁用和取消禁用学生使用违规应用程序。</w:t>
            </w:r>
          </w:p>
          <w:p w14:paraId="0BD8E23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34）一键禁用违规应用：支持教师对最近一节课的违规使用应用程序进行一键禁用。</w:t>
            </w:r>
          </w:p>
          <w:p w14:paraId="080593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35）网页限制：支持设定学生访问网站的白名单信息，对学生可以访问的网址进行管理。</w:t>
            </w:r>
          </w:p>
          <w:p w14:paraId="1251E0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36）应用防卸载：支持防止卸载学生端应用。</w:t>
            </w:r>
          </w:p>
          <w:p w14:paraId="3DC74A0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37）应用进程防杀：支持结束学生端应用进程时，立即自动重启应用。</w:t>
            </w:r>
          </w:p>
        </w:tc>
        <w:tc>
          <w:tcPr>
            <w:tcW w:w="787" w:type="dxa"/>
            <w:noWrap w:val="0"/>
            <w:vAlign w:val="center"/>
          </w:tcPr>
          <w:p w14:paraId="3A5DF2F8">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5C60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40168D8C">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b/>
                <w:bCs/>
                <w:strike w:val="0"/>
                <w:color w:val="auto"/>
                <w:sz w:val="21"/>
                <w:szCs w:val="21"/>
                <w:lang w:val="en-US" w:eastAsia="zh-CN"/>
              </w:rPr>
              <w:t>五、多媒体教学设备</w:t>
            </w:r>
          </w:p>
        </w:tc>
      </w:tr>
      <w:tr w14:paraId="337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D8EC309">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b/>
                <w:bCs/>
                <w:strike w:val="0"/>
                <w:color w:val="auto"/>
                <w:sz w:val="21"/>
                <w:szCs w:val="21"/>
                <w:lang w:val="en-US" w:eastAsia="zh-CN"/>
              </w:rPr>
              <w:t>（一）教学一体机</w:t>
            </w:r>
          </w:p>
        </w:tc>
      </w:tr>
      <w:tr w14:paraId="2330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0E69E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78606BF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66D6D1E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val="0"/>
                <w:strike w:val="0"/>
                <w:color w:val="auto"/>
                <w:kern w:val="0"/>
                <w:sz w:val="21"/>
                <w:szCs w:val="21"/>
                <w:lang w:bidi="ar"/>
              </w:rPr>
              <w:t>单位</w:t>
            </w:r>
          </w:p>
        </w:tc>
        <w:tc>
          <w:tcPr>
            <w:tcW w:w="572" w:type="dxa"/>
            <w:noWrap w:val="0"/>
            <w:vAlign w:val="center"/>
          </w:tcPr>
          <w:p w14:paraId="2EAA2AF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val="0"/>
                <w:strike w:val="0"/>
                <w:color w:val="auto"/>
                <w:kern w:val="0"/>
                <w:sz w:val="21"/>
                <w:szCs w:val="21"/>
                <w:lang w:bidi="ar"/>
              </w:rPr>
              <w:t>数量</w:t>
            </w:r>
          </w:p>
        </w:tc>
        <w:tc>
          <w:tcPr>
            <w:tcW w:w="6647" w:type="dxa"/>
            <w:noWrap w:val="0"/>
            <w:vAlign w:val="center"/>
          </w:tcPr>
          <w:p w14:paraId="62B70C6B">
            <w:pPr>
              <w:keepNext w:val="0"/>
              <w:keepLines w:val="0"/>
              <w:pageBreakBefore w:val="0"/>
              <w:widowControl/>
              <w:suppressLineNumbers w:val="0"/>
              <w:kinsoku/>
              <w:wordWrap/>
              <w:overflowPunct/>
              <w:topLinePunct w:val="0"/>
              <w:bidi w:val="0"/>
              <w:spacing w:line="440" w:lineRule="exact"/>
              <w:ind w:firstLine="2730" w:firstLineChars="130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28AB9DAB">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kern w:val="2"/>
                <w:sz w:val="21"/>
                <w:szCs w:val="21"/>
                <w:vertAlign w:val="baseline"/>
                <w:lang w:val="en-US" w:eastAsia="zh-CN" w:bidi="ar-SA"/>
              </w:rPr>
            </w:pPr>
          </w:p>
        </w:tc>
      </w:tr>
      <w:tr w14:paraId="34A1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985B44">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71CC122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86英寸</w:t>
            </w:r>
            <w:r>
              <w:rPr>
                <w:rFonts w:hint="eastAsia" w:ascii="宋体" w:hAnsi="宋体" w:eastAsia="宋体" w:cs="宋体"/>
                <w:strike w:val="0"/>
                <w:color w:val="auto"/>
                <w:sz w:val="21"/>
                <w:szCs w:val="21"/>
                <w:vertAlign w:val="baseline"/>
                <w:lang w:val="en-US" w:eastAsia="zh-CN"/>
              </w:rPr>
              <w:t>交互式平板一体机</w:t>
            </w:r>
          </w:p>
        </w:tc>
        <w:tc>
          <w:tcPr>
            <w:tcW w:w="690" w:type="dxa"/>
            <w:gridSpan w:val="3"/>
            <w:noWrap w:val="0"/>
            <w:vAlign w:val="center"/>
          </w:tcPr>
          <w:p w14:paraId="7CC9701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2FCBEE3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center"/>
          </w:tcPr>
          <w:p w14:paraId="1B7997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一、集体备课设计</w:t>
            </w:r>
          </w:p>
          <w:p w14:paraId="56D0B1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1、发起集备：支持选择教案、课件、胶囊资源上传发起集备研讨，支持设置多重访问权限，通过手机号搜索即可邀请外校老师，可用于跨校教研场景。</w:t>
            </w:r>
          </w:p>
          <w:p w14:paraId="628774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2、进入集备：支持搜索集备名称/老师昵称，或按照学科/学段/年级/教材章节，我参与的/我发起的几个维度进行筛选查看，支持手机端/PC端进入集备页面。</w:t>
            </w:r>
          </w:p>
          <w:p w14:paraId="5D651E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3、集备研讨：参备成员可通过评论区发表观点，通过评论回复，点赞等功能营造浓厚的研讨氛围，评论消息支持实时提醒，支持图片的上传。</w:t>
            </w:r>
          </w:p>
          <w:p w14:paraId="76AB95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4、在线批注：参备人在电脑端及手机端都可在线对教案进行随文式批注，追加批注，回复以及查看实时批注消息。支持对课件进行打点式的批注，通过批注快速定位研讨内容，高效完成协同备课。</w:t>
            </w:r>
          </w:p>
          <w:p w14:paraId="1D21A8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5、稿件编辑：完成本次研讨后，主备人可直接进入编辑页面编辑课件/教案，发布新稿件后，备课组进入下一轮打磨更新稿件后会给参备老师实时同步教研动态。</w:t>
            </w:r>
          </w:p>
          <w:p w14:paraId="4EFC08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6、稿件对比：可对集备中多稿的课件/教案/胶囊进行内容的横向对比，支持批注研讨过程数据对比回溯；</w:t>
            </w:r>
          </w:p>
          <w:p w14:paraId="7D24B3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7、获取稿件：参备成员可以随时获取和下载每一稿中的集备稿件到云课件，进行编辑或引用。</w:t>
            </w:r>
          </w:p>
          <w:p w14:paraId="71E643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8、完成集备：完成研讨后，可以生成集体备课报告。集备终稿会自动上传到校本资源库，主备人可自定义上传目录，参备人即可前往校本资源库获取集备终稿。</w:t>
            </w:r>
          </w:p>
          <w:p w14:paraId="5BD933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14:paraId="4AA333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二、整机接口设计与安全设计</w:t>
            </w:r>
          </w:p>
          <w:p w14:paraId="3ED785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1、侧置输入接口具备2路HDMI、1路RS232、1路USB接口。</w:t>
            </w:r>
          </w:p>
          <w:p w14:paraId="1DCD91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2、侧置输出接口具备1路音频输出、1路触控USB输出。</w:t>
            </w:r>
          </w:p>
          <w:p w14:paraId="0A75B6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3、前置输入接口3路USB接口（包含1路Type-C、2路USB）。</w:t>
            </w:r>
          </w:p>
          <w:p w14:paraId="41BBD2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4、支持通过Type-C接口U盘进行文件传输，兼容Type-C接口手机充电。</w:t>
            </w:r>
          </w:p>
          <w:p w14:paraId="4209F2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5、整机采用一体设计，外部无任何可见内部功能模块连接线。边角采用弧形设计，表面无尖锐边缘或凸起。</w:t>
            </w:r>
          </w:p>
          <w:p w14:paraId="725B16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6、整机采用全金属外壳设计，边框为金属一体成型。</w:t>
            </w:r>
          </w:p>
          <w:p w14:paraId="1E4985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7、整机屏幕边缘采用金属圆角包边防护，整机背板采用金属材质，有效屏蔽内部电路器件辐射；防潮耐盐雾蚀锈，适应多种教学环境。</w:t>
            </w:r>
          </w:p>
          <w:p w14:paraId="3033FB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三、屏幕显示以及扬声器设计</w:t>
            </w:r>
          </w:p>
          <w:p w14:paraId="595412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1、整机屏幕采用≥86英寸液晶显示器。</w:t>
            </w:r>
          </w:p>
          <w:p w14:paraId="290EA8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2、整机采用超高清LED液晶显示屏，显示比例16:9，分辨率3840×2160。</w:t>
            </w:r>
          </w:p>
          <w:p w14:paraId="720B5B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3、整机色域覆盖率（NTSC）≥72%</w:t>
            </w:r>
          </w:p>
          <w:p w14:paraId="34819C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4、整机背光系统支持DC调光方式，多级亮度调节，支持白颜色背景下最暗亮度≤100nit，用于提升显示对比度。</w:t>
            </w:r>
          </w:p>
          <w:p w14:paraId="6A02A9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5、灰阶等级≥256级。</w:t>
            </w:r>
          </w:p>
          <w:p w14:paraId="4057D6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6、整机屏幕蓝光占比（有害蓝光415～455nm能量综合）/（整体蓝光400～500能量综合）＜50%</w:t>
            </w:r>
          </w:p>
          <w:p w14:paraId="67A8BF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7、支持标准、多媒体和节能三种图像模式调节。</w:t>
            </w:r>
          </w:p>
          <w:p w14:paraId="3DAD97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8、支持自定义图像设置，可对对比度、屏幕色温、图像亮度、亮度范围、色彩空间调节设置。</w:t>
            </w:r>
          </w:p>
          <w:p w14:paraId="53903E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系统支持手势上滑调出人工智能画质调节模式（AI-PQ），在安卓通道下可根据屏幕内容自动调节画质参数，当屏幕出现人物、建筑、夜景等元素时，自动调整对比度、饱和度、锐利度、色调色相值、高光/阴影。</w:t>
            </w:r>
          </w:p>
          <w:p w14:paraId="2320A4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10、整机视网膜蓝光危害（蓝光加权辐射亮度LB）满足IEC TR 62778:2014蓝光危害RG0级别</w:t>
            </w:r>
          </w:p>
          <w:p w14:paraId="2FC3B8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11、整机全通道支持纸质护眼模式，可实现画面纹理的实时调整；支持纸质纹理：牛皮纸、素描纸、宣纸、水彩纸、水纹纸；支持透明度调节；支持色温调节。</w:t>
            </w:r>
          </w:p>
          <w:p w14:paraId="2E29E3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12、纸质护眼模式下，显示画面各像素点灰度不规则，减少背景干扰。</w:t>
            </w:r>
          </w:p>
          <w:p w14:paraId="09B9A6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13、整机扬声器采用模块化设计，无需打开背板即可单独拆卸，便于维护。</w:t>
            </w:r>
          </w:p>
          <w:p w14:paraId="253155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四、整体无线与网络功能设计</w:t>
            </w:r>
          </w:p>
          <w:p w14:paraId="0F5412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1、整机无需外接无线网卡，在Windows系统下可实现Wi-Fi无线上网连接、AP无线热点发射和BT蓝牙连接功能。</w:t>
            </w:r>
          </w:p>
          <w:p w14:paraId="6386D9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2、Wi-Fi和AP热点工作距离≥12m。</w:t>
            </w:r>
          </w:p>
          <w:p w14:paraId="2587DB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3、整机支持蓝牙Bluetooth 5.4标准，固件版本号HCI13.0/LMP13.0。</w:t>
            </w:r>
          </w:p>
          <w:p w14:paraId="22248A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4、整机PC端支持主动发现蓝牙外设从而连接（无需整机进入发现模式），支持连接外部蓝牙音箱播放音频。</w:t>
            </w:r>
          </w:p>
          <w:p w14:paraId="1EA852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5、整机支持发出频率为18kHz-22kHz超声波信号，智能手机通过麦克风接收后，智能手机与整机无需在同一局域网内，可实现配对，一键投屏，用户无需手动输入投屏码或扫码获取投屏码</w:t>
            </w:r>
          </w:p>
          <w:p w14:paraId="582468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14:paraId="428A55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7、整机内置双WiFi6无线网卡（不接受外接），在Android和Windows系统下，可实现Wi-Fi无线上网连接、AP无线热点发射。</w:t>
            </w:r>
          </w:p>
          <w:p w14:paraId="4CEFA5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8、整机内置双WiFi6无线网卡（不接受外接），在Android下支持无线设备同时连接数量≥32个，在Windows系统下支持无线设备同时连接≥8个；</w:t>
            </w:r>
          </w:p>
          <w:p w14:paraId="00A44F5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9、整机无需外接无线网卡，在Windows系统下接入无线网络，切换到嵌入式Android系统下可直接实现无线上网功能，不需手动重复设置。</w:t>
            </w:r>
          </w:p>
          <w:p w14:paraId="6EA779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10、Wi-Fi及AP热点支持频段2.4GHz/5GHz </w:t>
            </w:r>
          </w:p>
          <w:p w14:paraId="4E3A30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11、Wi-Fi制式支持IEEE 802.11 a/b/g/n/ac/ax；支持版本Wi-Fi6。</w:t>
            </w:r>
          </w:p>
          <w:p w14:paraId="45BAFFA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p>
          <w:p w14:paraId="5C59A2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五、侧边栏教学设计要求</w:t>
            </w:r>
          </w:p>
          <w:p w14:paraId="59BFCB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1、整机全通道侧边栏快捷菜单包含如下小工具：批注、降半屏、截屏、放大镜、倒计时、日历、聚光灯、秒表、冻屏、倒数日、答题、节拍器</w:t>
            </w:r>
          </w:p>
          <w:p w14:paraId="48332D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2、整机全通道侧边栏快捷菜单小工具支持自定义，支持设置对应小工具的显示/隐藏。</w:t>
            </w:r>
          </w:p>
          <w:p w14:paraId="1F74C3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3、整机全通道侧边栏支持使用批注小工具进行批注讲解，可切换书写笔颜色、截屏保存批注内容、清屏，可根据手与屏幕的接触面积自动调整板擦工具的大小。</w:t>
            </w:r>
          </w:p>
          <w:p w14:paraId="001538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4、整机全通道侧边栏支持将设备屏幕降低为半屏幕状态，点击上半屏幕可以返回全屏状态。</w:t>
            </w:r>
          </w:p>
          <w:p w14:paraId="32D13B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5、整机全通道侧边栏支持自行选择所需截取屏幕范围，点击截屏即可成功截取屏幕，并自动保存。</w:t>
            </w:r>
          </w:p>
          <w:p w14:paraId="1E452D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6、整机全通道侧边栏支持放大选中区域内容，并可支持对未选中区域关灯处理，实现聚光灯效果。</w:t>
            </w:r>
          </w:p>
          <w:p w14:paraId="609537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7、整机全通道侧边栏支持倒计时、正计时功能；倒计时，输入某特定时间值，可精确到秒，点击开始进入倒计时；正计时，点击开始计时便自动开始，并实时显示时间。</w:t>
            </w:r>
          </w:p>
          <w:p w14:paraId="170066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8、整机全通道侧边栏支持打开日历，查看日期。</w:t>
            </w:r>
          </w:p>
          <w:p w14:paraId="5F52C6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9、整机全通道侧边栏支持聚光灯，支持聚光灯高亮区域大小调节、区域移动。</w:t>
            </w:r>
          </w:p>
          <w:p w14:paraId="4D70CC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10、整机全通道侧边栏支持冻屏，将屏幕画面进行缩放。</w:t>
            </w:r>
          </w:p>
          <w:p w14:paraId="56C456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11、整机安卓和外接通道下侧边栏支持设置倒数日。</w:t>
            </w:r>
          </w:p>
          <w:p w14:paraId="2FBFB7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14:paraId="099899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13、整机安卓和外接通道下侧边栏支持节拍器，支持设置节拍、轻重、节拍播放速度。全通道下可支持通过自定义按键调出该功能。</w:t>
            </w:r>
          </w:p>
          <w:p w14:paraId="6443F5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14、整机支持在设备上通过摄像头获取教室内图像并自动识别图像内所有人员，并随机抽选1人。</w:t>
            </w:r>
          </w:p>
          <w:p w14:paraId="2B9028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15、整机支持在设备上通过摄像头获取教室内图像并自动识别图像内所有人员，并自动进行人数统计。</w:t>
            </w:r>
          </w:p>
          <w:p w14:paraId="7B2FCE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16、整机支持在设备上，通过侧边栏实现调用windows系统运行、打开文件夹、打开任务管理。</w:t>
            </w:r>
          </w:p>
          <w:p w14:paraId="3DB076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17、整机Windows通道支持在通过侧边栏调取软键盘。</w:t>
            </w:r>
          </w:p>
          <w:p w14:paraId="04445B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18、整机Windows通道支持对当前运行中的应用进行窗口最大化、窗口最小化、应用强制关闭。</w:t>
            </w:r>
          </w:p>
          <w:p w14:paraId="3286367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19、整机处于非内置PC通道下，支持通过侧边栏进入PC通道。</w:t>
            </w:r>
          </w:p>
          <w:p w14:paraId="292A52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20、整机全通道侧边栏快捷菜单支持快捷调节音量、亮度，支持自动亮度模式，支持点击静音按钮静音。</w:t>
            </w:r>
          </w:p>
          <w:p w14:paraId="74CA95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21、整机全通道侧边栏快捷菜单中应用软件可以进行切换，无需在已经开启的应用软件全屏模式下退出当前应用再选择更换。</w:t>
            </w:r>
          </w:p>
          <w:p w14:paraId="6330F2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22、整机全通道侧边栏支持自定义快捷菜单，支持windows应用固定，可将应用固定后，在侧边栏进行快捷打开。</w:t>
            </w:r>
          </w:p>
          <w:p w14:paraId="49250A3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23、整机全通道侧边栏快捷菜单中可实时查看物联设备的连接情况，点击设备图标即可调出中控菜单进行管控。</w:t>
            </w:r>
          </w:p>
          <w:p w14:paraId="19478D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24、整机全通道侧边栏快捷菜单支持简洁模式和常规模式切换。</w:t>
            </w:r>
          </w:p>
          <w:p w14:paraId="618E87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25、整机全通道侧边栏快捷菜单简洁模式，可进行打开批注、降半屏、主页的基础操作。</w:t>
            </w:r>
          </w:p>
          <w:p w14:paraId="479757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26、整机侧边栏内置自习工具，通过整机麦克风监测教室中学生音量大小，当学生音量大于阈值时，屏幕自动弹窗提醒进行自习纪律干预</w:t>
            </w:r>
          </w:p>
          <w:p w14:paraId="54E04B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六、整机系统设计</w:t>
            </w:r>
          </w:p>
          <w:p w14:paraId="56D5CD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（一）电脑系统</w:t>
            </w:r>
          </w:p>
          <w:p w14:paraId="16F5FC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1、CPU：搭载Intel  酷睿系列≥ i5  12代或以上配置CPU。</w:t>
            </w:r>
          </w:p>
          <w:p w14:paraId="675D76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2、内存：8 GB DDR4笔记本内存或以上配置。</w:t>
            </w:r>
          </w:p>
          <w:p w14:paraId="259EFD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3、硬盘：256 GB或以上SSD固态硬盘。</w:t>
            </w:r>
          </w:p>
          <w:p w14:paraId="5DE074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4、采用按压式卡扣，无需工具即可快速拆卸电脑模块。</w:t>
            </w:r>
          </w:p>
          <w:p w14:paraId="1024C0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5、PC 模块可抽拉式插入整机，可实现无单独接线的拔插。</w:t>
            </w:r>
          </w:p>
          <w:p w14:paraId="05C256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6、具有独立非外拓展的视频输出接口：≥1 路 HDMI。</w:t>
            </w:r>
          </w:p>
          <w:p w14:paraId="1C9361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7、具有独立非外拓展的电脑 USB 接口：至少具备 4个USB3.0 接口。</w:t>
            </w:r>
          </w:p>
          <w:p w14:paraId="299A7F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8、具有标准 PC 防盗锁孔，确保电脑模块安全防盗。</w:t>
            </w:r>
          </w:p>
          <w:p w14:paraId="3FB63F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9、和整机的连接采用万兆级接口，传输速率≥10Gbps。</w:t>
            </w:r>
          </w:p>
          <w:p w14:paraId="611B86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10、和整机的连接接口针脚数≤40pin。</w:t>
            </w:r>
          </w:p>
          <w:p w14:paraId="71D5A3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（二）触摸系统</w:t>
            </w:r>
          </w:p>
          <w:p w14:paraId="7C2F055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1、支持Windows 7、Windows 8、Windows 10、Windows11、Linux、Mac Os、UOS和麒麟系统外置电脑操作系统接入时，无需安装触摸驱动。</w:t>
            </w:r>
          </w:p>
          <w:p w14:paraId="1806C2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2、触摸分辨率32768×32768。</w:t>
            </w:r>
          </w:p>
          <w:p w14:paraId="0F3E65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3、书写触控延迟≤25ms</w:t>
            </w:r>
          </w:p>
          <w:p w14:paraId="66726A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4、整机触控书写功能集成预测算法，在书写速度≥50cm/s，支持笔迹距离笔的距离小于20mm。</w:t>
            </w:r>
          </w:p>
          <w:p w14:paraId="0C03AE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5、触摸响应≤4ms。</w:t>
            </w:r>
          </w:p>
          <w:p w14:paraId="124207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6、触摸最小识别物≤3mm。</w:t>
            </w:r>
          </w:p>
          <w:p w14:paraId="68E831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7、整机屏幕触摸有效识别高度不超过3mm，即触摸物体距离玻璃外表面高度不超过3mm时，触摸屏识别为点击操作。</w:t>
            </w:r>
          </w:p>
          <w:p w14:paraId="1B42B4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8、整机支持提笔书写，在Windows系统下可实现无需点击任意功能入口，当检测到红外笔笔尖接触屏幕时，自动进入书写模式。</w:t>
            </w:r>
          </w:p>
          <w:p w14:paraId="320EF9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9、整机支持手笔分离，通过提笔即写唤醒批注功能后，可进行手笔分离功能，使用笔正常书写，使用手指可以操作应用，进行点击操作。</w:t>
            </w:r>
          </w:p>
          <w:p w14:paraId="1D8F1A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10、整机触摸支持动态压力感应，支持无任何电子功能的普通书写笔在整机上书写或点压时，整机能感应压力变化，书写或点压过程笔迹呈现不同粗细。</w:t>
            </w:r>
          </w:p>
          <w:p w14:paraId="7F0057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11、支持同一支笔，笔头、笔尾书写不同的颜色，且颜色可自定义。12、支持智能板擦功能，系统可根据触控物体的形状自动识别出实物板擦，可擦除电子白板中的内容，无需依赖外部电子设备。</w:t>
            </w:r>
          </w:p>
          <w:p w14:paraId="327020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13、触摸屏具有防遮挡功能，触摸接收器在单点或多点遮挡后仍能正常书写。</w:t>
            </w:r>
          </w:p>
          <w:p w14:paraId="1BE461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14、采用红外触控技术，支持Windows系统中进行40点或以上触控，支持在Android系统中进行40点或以上触控。</w:t>
            </w:r>
          </w:p>
          <w:p w14:paraId="457B84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（三）安卓系统</w:t>
            </w:r>
          </w:p>
          <w:p w14:paraId="34ED17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1、整机嵌入式系统版本≥Android 14，主频≥1.8GHz，内存≥2GB，存储空间≥8GB。</w:t>
            </w:r>
          </w:p>
          <w:p w14:paraId="175662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2、嵌入式Android操作系统下，白板支持对已经书写的笔迹和形状和颜色进行更换。</w:t>
            </w:r>
          </w:p>
          <w:p w14:paraId="5346A8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3、在嵌入式系统下使用白板软件时，整机可自行调节屏幕亮度。</w:t>
            </w:r>
          </w:p>
          <w:p w14:paraId="12C27B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4、嵌入式Android操作系统下，互动白板支持不同背景颜色，同时提供学科背景，如：五线谱、信纸、田字格、英文格、篮球和足球场地平面图。</w:t>
            </w:r>
          </w:p>
          <w:p w14:paraId="4B3365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04D2B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6、无PC状态下，嵌入式系统内置互动白板支持全局漫游，并能在工具栏中对全局内容进行预览和移动。</w:t>
            </w:r>
          </w:p>
          <w:p w14:paraId="13F5E2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7、无PC状态下，嵌入式Android 操作系统下可使用白板书写、WPS 软件和网页浏览</w:t>
            </w:r>
          </w:p>
          <w:p w14:paraId="2032C9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8、在嵌入式Android操作系统下，能对TV多媒体USB所读取到的文件进行自动归类，可分类查找文档、板书、图片、音视频，检索后可直接在界面中打开。</w:t>
            </w:r>
          </w:p>
          <w:p w14:paraId="43F49C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9、支持智能书写功能，书写文字自动识别为标准印刷体，支持图形识别功能，可将多种手绘图形转化为矩形、三角形、圆形等标准图形。</w:t>
            </w:r>
          </w:p>
          <w:p w14:paraId="7DCCFF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10、整机嵌入式芯片内置 2TOPS AI 算力，可用于 AI 图像、音频处理。</w:t>
            </w:r>
          </w:p>
          <w:p w14:paraId="0A0C1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七、教学桌面设计</w:t>
            </w:r>
          </w:p>
          <w:p w14:paraId="6957E9A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1、整机设备开机启动后，自动进入教学桌面，支持账号登录、退出，自动获取个人云端教学课件列表、并可进入全部课件列表。</w:t>
            </w:r>
          </w:p>
          <w:p w14:paraId="7AC4FF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2、整机设备支持多种身份识别方式，支持通过账号登录、手机扫码登录，并支持账号安全登录检测。</w:t>
            </w:r>
          </w:p>
          <w:p w14:paraId="68FBD5E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3、整机设备支持统一互通的用户身份认证服务，账号登录后，打开教学白板软件教学应用工具时无需再次输入账号密码重复登录。</w:t>
            </w:r>
          </w:p>
          <w:p w14:paraId="44ED7E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4、整机设备教学桌面支持教学白板软件和文件管理软件；教学桌面首页支持自定义桌面应用，支持展示至少8个应用入口，并提供进入本机所有应用的入口。</w:t>
            </w:r>
          </w:p>
          <w:p w14:paraId="25DEBE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设备可将应用编辑到教学桌面首页，编辑方式支持从教学桌面首页进入编辑，支持在全部应用列表中进入编辑2种方式。教学桌面首页应用支持无需进入应用编辑页面，在首页指定应用上长按进行移除。6、整机设备教学桌面支持查看设备盘符，支持本地磁盘和外接U盘、移动硬盘，点击即可打开该磁盘查看磁盘文件。教学桌面支持显示存储空间状态，当存储空间即将满载时候进行红色标记明显提示。</w:t>
            </w:r>
          </w:p>
          <w:p w14:paraId="16E4475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7、整机设备教学桌面支持推荐应用，推荐应用支持移除。</w:t>
            </w:r>
          </w:p>
          <w:p w14:paraId="7074F5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8、整机设备教学桌面支持进行应用卸载。</w:t>
            </w:r>
          </w:p>
          <w:p w14:paraId="31893A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9、整机设备教学桌面的教师登录账号后，可自动获取并在桌面显示最近使用的教学课件，点击课件可直接进入授课模式；并支持查看所有个人教学课件资源。</w:t>
            </w:r>
          </w:p>
          <w:p w14:paraId="6F4A5C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10、整机设备教学桌面支持进行壁纸编辑，内置10张以上壁纸，支持自定义壁纸。</w:t>
            </w:r>
          </w:p>
          <w:p w14:paraId="60FEED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27CB46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12、整机设备教学桌面U盘文件查看窗口支持使用文件浏览器打开U盘。</w:t>
            </w:r>
          </w:p>
          <w:p w14:paraId="6EA0F16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13、整机设备教学桌面支持进行通道切换，当设备有其他输入源时，可在桌面点击信号源进行输入源切换。</w:t>
            </w:r>
          </w:p>
          <w:p w14:paraId="62FAD2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14、整机设备教学桌面支持进行锁屏操作。</w:t>
            </w:r>
          </w:p>
          <w:p w14:paraId="5A6BCE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15、整机设备教学桌面支持进行重启、关机操作。</w:t>
            </w:r>
          </w:p>
          <w:p w14:paraId="48AF0D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16、整机侧边栏内置朗读工具，通过整机麦克风监测教室中学生的朗读情况，并以游戏化界面反馈学生朗读音量大小。</w:t>
            </w:r>
          </w:p>
          <w:p w14:paraId="2287ED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八、整机硬件设计</w:t>
            </w:r>
          </w:p>
          <w:p w14:paraId="1ECC8E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1、三合一电源按键，同一电源物理按键完成Android系统和Windows系统的开机、节能熄屏、关机操作；关机状态下按按键开机；开机状态下按按键实现节能熄屏/唤醒，长按按键实现关机。</w:t>
            </w:r>
          </w:p>
          <w:p w14:paraId="0F6803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2、整机具备至少6个前置按键，可实现开关机、调出中控菜单、音量+/-、护眼、录屏操作。</w:t>
            </w:r>
          </w:p>
          <w:p w14:paraId="7EC853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3、支持经典护眼模式，可通过前置面板物理功能按键一键启用经典护眼模式。</w:t>
            </w:r>
          </w:p>
          <w:p w14:paraId="4E2744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4、设备支持通过前置面板物理按键一键启动录屏功能，可将屏幕中显示的课件、音频内容与人声同时录制。</w:t>
            </w:r>
          </w:p>
          <w:p w14:paraId="776CE6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5、前置 USB 接口具备防撞挡板设计，防撞挡板采用转轴式翻转。</w:t>
            </w:r>
          </w:p>
          <w:p w14:paraId="74FD1D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14:paraId="2C5A68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7、整机内置2.2声道扬声器，位于设备上边框，顶置朝前发声，前朝向10W高音扬声器2个，上朝向20W中低音扬声器2个，额定总功率60W。</w:t>
            </w:r>
          </w:p>
          <w:p w14:paraId="0D1731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8、整机可选择高级音效设置，支持在左右声道平衡显示范围中进行更改；中低频段显示调节范围125Hz～1KHz，高频段显示调节范围 2KHz～16KHz，分贝显示-12dB～12dB 调节范围。</w:t>
            </w:r>
          </w:p>
          <w:p w14:paraId="421181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9、整机内置非独立外扩展的4阵列麦克风，可用于对教室环境音频进行采集，麦克风拾音距离≥12米。</w:t>
            </w:r>
          </w:p>
          <w:p w14:paraId="0A01F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10、整机内置扬声器采用缝隙发声技术，喇叭采用槽式开口设计，不大于5.8mm</w:t>
            </w:r>
          </w:p>
          <w:p w14:paraId="6219F97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11、整机扬声器在100%音量下，可做到1米处声压级≥88db，10米处声压级≥79dB</w:t>
            </w:r>
          </w:p>
          <w:p w14:paraId="756090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12、内置摄像头、麦克风无需外接线材连接，无任何可见外接线材及模块化拼接痕迹，未占用整机设备端口。</w:t>
            </w:r>
          </w:p>
          <w:p w14:paraId="61F3F3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13、支持标准、听力、观影和AI空间感知音效模式，AI空间感知音效模式可通过内置麦克风采集教室物理环境声音，自动生成符合当前教室物理环境的频段、音量、音效。</w:t>
            </w:r>
          </w:p>
          <w:p w14:paraId="3A60A21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14、整机内置摄像头（非外扩），PC通道下支持通过视频展台软件调用摄像头进行二维码扫码识别。</w:t>
            </w:r>
          </w:p>
          <w:p w14:paraId="2C4DF5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15、具备摄像头工作指示灯，摄像头运行时，有指示灯提示。</w:t>
            </w:r>
          </w:p>
          <w:p w14:paraId="2C535D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16、整机上边框内置非独立摄像头，采用一体化集成设计，可拍摄≥1300万像素数的照片，可拍摄输出4K分辨率的视频。</w:t>
            </w:r>
          </w:p>
          <w:p w14:paraId="0C0AFE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17、整机摄像头对角线视场角≥120度</w:t>
            </w:r>
          </w:p>
          <w:p w14:paraId="6D6EDD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18、整机内置非独立的高清摄像头，可用于远程巡课。</w:t>
            </w:r>
          </w:p>
          <w:p w14:paraId="5CA140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19、整机摄像头支持人脸识别、清点人数、随机抽人；识别所有学生，显示标记，然后随机抽选，同时显示标记不少于60人。</w:t>
            </w:r>
          </w:p>
          <w:p w14:paraId="22530A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★20、整机支持通过人脸识别进行登录账号。</w:t>
            </w:r>
          </w:p>
          <w:p w14:paraId="2EF7FA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★21、整机摄像头支持环境色温判断，根据环境调节合适的显示图像效果。</w:t>
            </w:r>
          </w:p>
          <w:p w14:paraId="38E6E03D">
            <w:pPr>
              <w:keepNext w:val="0"/>
              <w:keepLines w:val="0"/>
              <w:pageBreakBefore w:val="0"/>
              <w:widowControl/>
              <w:numPr>
                <w:ilvl w:val="0"/>
                <w:numId w:val="3"/>
              </w:numPr>
              <w:suppressLineNumbers w:val="0"/>
              <w:kinsoku/>
              <w:wordWrap/>
              <w:overflowPunct/>
              <w:topLinePunct w:val="0"/>
              <w:bidi w:val="0"/>
              <w:spacing w:line="440" w:lineRule="exact"/>
              <w:ind w:firstLine="0" w:firstLineChars="0"/>
              <w:jc w:val="left"/>
              <w:textAlignment w:val="center"/>
              <w:rPr>
                <w:rFonts w:hint="eastAsia"/>
                <w:strike w:val="0"/>
                <w:color w:val="auto"/>
                <w:lang w:val="en-US" w:eastAsia="zh-CN"/>
              </w:rPr>
            </w:pPr>
            <w:r>
              <w:rPr>
                <w:rFonts w:hint="eastAsia" w:ascii="宋体" w:hAnsi="宋体" w:eastAsia="宋体" w:cs="宋体"/>
                <w:i w:val="0"/>
                <w:iCs w:val="0"/>
                <w:strike w:val="0"/>
                <w:color w:val="auto"/>
                <w:kern w:val="0"/>
                <w:sz w:val="21"/>
                <w:szCs w:val="21"/>
                <w:u w:val="none"/>
                <w:lang w:val="en-US" w:eastAsia="zh-CN" w:bidi="ar"/>
              </w:rPr>
              <w:t>整机支持在无任何外部设备的情况下，实时录制用户朗读内容， 识别用户声纹并进行统一身份登录，登录后自动获取个人云端教学课件列表，打开教学白板软件时可跳过软件自带登录步骤。</w:t>
            </w:r>
          </w:p>
          <w:p w14:paraId="101E21C1">
            <w:pPr>
              <w:keepNext w:val="0"/>
              <w:keepLines w:val="0"/>
              <w:pageBreakBefore w:val="0"/>
              <w:widowControl/>
              <w:numPr>
                <w:ilvl w:val="0"/>
                <w:numId w:val="4"/>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设备运维</w:t>
            </w:r>
          </w:p>
          <w:p w14:paraId="2647F7EF">
            <w:pPr>
              <w:keepNext w:val="0"/>
              <w:keepLines w:val="0"/>
              <w:pageBreakBefore w:val="0"/>
              <w:widowControl/>
              <w:numPr>
                <w:ilvl w:val="0"/>
                <w:numId w:val="5"/>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08E2E683">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36E771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批量磁盘清理：支持远程批量清理设备磁盘；支持清理指定磁盘的指定文件夹；支持清理系统盘备份、缓存、日志等文件；支持迁移系统盘视频、图片、音乐、文档文件；支持格式化非系统盘磁盘。（投标时须提供相关截图，要求截图内容能体现满足上述参数要求）</w:t>
            </w:r>
          </w:p>
          <w:p w14:paraId="18C74615">
            <w:pPr>
              <w:keepNext w:val="0"/>
              <w:keepLines w:val="0"/>
              <w:pageBreakBefore w:val="0"/>
              <w:widowControl/>
              <w:numPr>
                <w:ilvl w:val="0"/>
                <w:numId w:val="6"/>
              </w:numPr>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冰点还原及穿透：支持远程向已冰冻的设备发送指令、安装软件，在设备正常关机时触发穿透动作，穿透完成后，设备即可使用已安装软件、执行已接收指令，且穿透过程中无需人为解冻。</w:t>
            </w:r>
          </w:p>
          <w:p w14:paraId="10ED109A">
            <w:pPr>
              <w:keepNext w:val="0"/>
              <w:keepLines w:val="0"/>
              <w:pageBreakBefore w:val="0"/>
              <w:widowControl/>
              <w:numPr>
                <w:ilvl w:val="0"/>
                <w:numId w:val="0"/>
              </w:numPr>
              <w:suppressLineNumbers w:val="0"/>
              <w:kinsoku/>
              <w:wordWrap/>
              <w:overflowPunct/>
              <w:topLinePunct w:val="0"/>
              <w:bidi w:val="0"/>
              <w:spacing w:line="440" w:lineRule="exact"/>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 弹窗拦截：支持一键开启拦截能力；支持查看已上报的所有疑似风险窗口和上报次数，并支持拦截某个应用所有窗口、某个具体窗口；支持将某个应用、某个具体窗口加入白名单，不对软件进行拦截。</w:t>
            </w:r>
          </w:p>
          <w:p w14:paraId="43800F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 流量监管：支持查看校内当日班班通设备流量使用的具体情况、带宽利用率；支持对设备进行限速设置。</w:t>
            </w:r>
          </w:p>
          <w:p w14:paraId="2BC345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 网址过滤：支持设置网址访问黑名单、白名单，限制所有设备的网址访问。</w:t>
            </w:r>
          </w:p>
          <w:p w14:paraId="1EC8B7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248FFE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14:paraId="404E95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 智慧管控：支持用户自定义无人使用时间段，设备处于无人使用状态时，自动进入屏保、锁屏、息屏、关机状态。</w:t>
            </w:r>
          </w:p>
          <w:p w14:paraId="2B6A47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 软件静默安装：支持用户自主上传官方正版软件，支持批量将软件发送至班班通设备安装，软件自动静默安装，无需人工操作。</w:t>
            </w:r>
          </w:p>
          <w:p w14:paraId="0DCF8D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strike w:val="0"/>
                <w:color w:val="auto"/>
                <w:lang w:val="en-US" w:eastAsia="zh-CN"/>
              </w:rPr>
            </w:pPr>
            <w:r>
              <w:rPr>
                <w:rFonts w:hint="eastAsia" w:ascii="宋体" w:hAnsi="宋体" w:eastAsia="宋体" w:cs="宋体"/>
                <w:i w:val="0"/>
                <w:iCs w:val="0"/>
                <w:strike w:val="0"/>
                <w:color w:val="auto"/>
                <w:kern w:val="0"/>
                <w:sz w:val="21"/>
                <w:szCs w:val="21"/>
                <w:u w:val="none"/>
                <w:lang w:val="en-US" w:eastAsia="zh-CN" w:bidi="ar"/>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637CF2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14:paraId="640F7B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 个性化配置：支持管理者配置学校设备总览页需展示的组件内容、顺序；支持学校设置符合本校管理需要的设备使用率、网络/硬件/流畅度/安全达标率。</w:t>
            </w:r>
          </w:p>
          <w:p w14:paraId="3A2EA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十、教学PPT小工具</w:t>
            </w:r>
          </w:p>
          <w:p w14:paraId="77B20D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1、不借助其他软件情况下，播放PPT时即可实现书写、擦除功能；可支持课件所有页面的预览、可随意进行页面跳转和实现上下翻页。</w:t>
            </w:r>
          </w:p>
          <w:p w14:paraId="0542CD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2、不借助其他软件情况下，播放PPT时即可支持板中板功能，直接调用板中板辅助教学，可实现批注及加页，不影响课件整体内容。</w:t>
            </w:r>
          </w:p>
          <w:p w14:paraId="7F3EC6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28B15A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4、不借助其他软件情况下，播放PPT时即可调用放大镜、聚光灯小工具辅助教学。</w:t>
            </w:r>
          </w:p>
          <w:p w14:paraId="7A1323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十一、产品售后保障服务</w:t>
            </w:r>
          </w:p>
          <w:p w14:paraId="41C49E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1、全国24小时免费400电话保修、二维码扫描保修、区域化驻地技术工程师专线保修。</w:t>
            </w:r>
          </w:p>
          <w:p w14:paraId="4E0E580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2、微信售后报修服务：快速输入相关问题及所在区域进行在线保修，贴心服务人员实时在线提供客服专线报修，更好更快的解决售后故障问题带来的使用不便。</w:t>
            </w:r>
          </w:p>
          <w:p w14:paraId="7C0111D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3、微信问题查询服务：提供八大模块的问题查询及解决方案，现场完成简单故障的快速修复指导。</w:t>
            </w:r>
          </w:p>
        </w:tc>
        <w:tc>
          <w:tcPr>
            <w:tcW w:w="787" w:type="dxa"/>
            <w:noWrap w:val="0"/>
            <w:vAlign w:val="center"/>
          </w:tcPr>
          <w:p w14:paraId="2DF75B30">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2F14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E4E8A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2</w:t>
            </w:r>
          </w:p>
        </w:tc>
        <w:tc>
          <w:tcPr>
            <w:tcW w:w="882" w:type="dxa"/>
            <w:gridSpan w:val="3"/>
            <w:noWrap w:val="0"/>
            <w:vAlign w:val="center"/>
          </w:tcPr>
          <w:p w14:paraId="1D40B76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视频展台</w:t>
            </w:r>
          </w:p>
        </w:tc>
        <w:tc>
          <w:tcPr>
            <w:tcW w:w="690" w:type="dxa"/>
            <w:gridSpan w:val="3"/>
            <w:noWrap w:val="0"/>
            <w:vAlign w:val="center"/>
          </w:tcPr>
          <w:p w14:paraId="69FBDFD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台</w:t>
            </w:r>
          </w:p>
        </w:tc>
        <w:tc>
          <w:tcPr>
            <w:tcW w:w="572" w:type="dxa"/>
            <w:noWrap w:val="0"/>
            <w:vAlign w:val="center"/>
          </w:tcPr>
          <w:p w14:paraId="3432C258">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center"/>
          </w:tcPr>
          <w:p w14:paraId="17C3B1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p>
          <w:p w14:paraId="22DECF8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2、A4大小拍摄幅面，1080P动态视频预览达到30帧/秒；托板及挂墙部分采用金属加强，托板可承重3kg，整机壁挂式安装。</w:t>
            </w:r>
          </w:p>
          <w:p w14:paraId="07AA61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3、支持展台成像画面实时批注，预设多种笔划粗细及颜色供选择，且支持对展台成像画面联同批注内容进行同步缩放、移动。</w:t>
            </w:r>
          </w:p>
          <w:p w14:paraId="75BEA3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4、展示托板正上方具备LED补光灯，保证展示区域的亮度及展示效果，补光灯开关采用触摸按键设计，同时可通过交互智能平板中的软件直接控制开关；带自动对焦摄像头。</w:t>
            </w:r>
          </w:p>
          <w:p w14:paraId="23BB6DF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5、具有故障自动检测功能：在调用展台却无法出现镜头采集画面信号时，可自动出现检测链接，并给出导致性原因（如硬件连接、摄像头占用、配套软件版本等问题）。</w:t>
            </w:r>
          </w:p>
        </w:tc>
        <w:tc>
          <w:tcPr>
            <w:tcW w:w="787" w:type="dxa"/>
            <w:noWrap w:val="0"/>
            <w:vAlign w:val="center"/>
          </w:tcPr>
          <w:p w14:paraId="27A6AFAF">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3598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62537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3</w:t>
            </w:r>
          </w:p>
        </w:tc>
        <w:tc>
          <w:tcPr>
            <w:tcW w:w="882" w:type="dxa"/>
            <w:gridSpan w:val="3"/>
            <w:noWrap w:val="0"/>
            <w:vAlign w:val="center"/>
          </w:tcPr>
          <w:p w14:paraId="313ADE7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eastAsia="zh-CN"/>
              </w:rPr>
              <w:t>多媒体教学专用控制设备</w:t>
            </w:r>
          </w:p>
        </w:tc>
        <w:tc>
          <w:tcPr>
            <w:tcW w:w="690" w:type="dxa"/>
            <w:gridSpan w:val="3"/>
            <w:noWrap w:val="0"/>
            <w:vAlign w:val="center"/>
          </w:tcPr>
          <w:p w14:paraId="52CA4AB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6243EC8E">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15</w:t>
            </w:r>
          </w:p>
        </w:tc>
        <w:tc>
          <w:tcPr>
            <w:tcW w:w="6647" w:type="dxa"/>
            <w:noWrap w:val="0"/>
            <w:vAlign w:val="top"/>
          </w:tcPr>
          <w:p w14:paraId="3330435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1.整机最大外形尺寸≤260 * 289 * 47（mm）；</w:t>
            </w:r>
          </w:p>
          <w:p w14:paraId="0375E2C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▲2.整机正面采用铝合金外壳设计，外部无任何可见的内部功能模块连接线；出线接口使用线槽屏蔽盖</w:t>
            </w:r>
            <w:r>
              <w:rPr>
                <w:rFonts w:hint="eastAsia" w:ascii="宋体" w:hAnsi="宋体" w:cs="宋体"/>
                <w:strike w:val="0"/>
                <w:color w:val="auto"/>
                <w:kern w:val="2"/>
                <w:sz w:val="21"/>
                <w:szCs w:val="21"/>
                <w:vertAlign w:val="baseline"/>
                <w:lang w:val="en-US" w:eastAsia="zh-CN" w:bidi="ar-SA"/>
              </w:rPr>
              <w:t>；</w:t>
            </w:r>
          </w:p>
          <w:p w14:paraId="596A75F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3.整机采用一体设计，产品边缘采用圆角包边防护；背板采用金属材质，有效屏蔽内部电路器件辐射；</w:t>
            </w:r>
          </w:p>
          <w:p w14:paraId="72ABD11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4.整机壁挂式固定方式，挂壁后使用螺丝进行锁紧固定，避免模块脱落；</w:t>
            </w:r>
          </w:p>
          <w:p w14:paraId="7881E52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5.整机接口非外接拓展，不少于2路千兆以太网交换接口，一路连接外网（学校网络），一路连接多媒体教学设备（一体机/智慧黑板）；不少于3路支持PoE功能的千兆以太网接口，支持级联PoE功能的网络摄像机和阵列麦克风；不少于1路MicroSD卡接口，支持通过MicroSD卡升级整机系统软件；不少于1路Type-C 接口，支持调试和控制功能；6.整机支持红绿双色工作状态LED指示灯；绿色常亮表示正常工作；红色常亮代表故障；红色闪烁代表系统处于升级过程；</w:t>
            </w:r>
          </w:p>
          <w:p w14:paraId="08C285A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7.整机底部支持独立按键；在休眠模式下，短按唤醒算力模块；在任何情况下长按底部按键5秒以上，系统重启；</w:t>
            </w:r>
          </w:p>
          <w:p w14:paraId="54558F0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8.整机内置网卡，支持不少于2路网口连接以太网，实现有线上网功能；</w:t>
            </w:r>
          </w:p>
          <w:p w14:paraId="496A5154">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▲9.整机内置独立千兆网络交换机，满足外接的多媒体教学设备（一体机/智慧黑板），实现与AI算力模块单元之间通信；</w:t>
            </w:r>
          </w:p>
          <w:p w14:paraId="58A1C2F5">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▲10.整机处理器内核不低于8核A53内核芯片，主频≥2.3GHz；</w:t>
            </w:r>
          </w:p>
          <w:p w14:paraId="10452894">
            <w:pPr>
              <w:keepNext w:val="0"/>
              <w:keepLines w:val="0"/>
              <w:pageBreakBefore w:val="0"/>
              <w:widowControl w:val="0"/>
              <w:numPr>
                <w:ilvl w:val="0"/>
                <w:numId w:val="1"/>
              </w:numPr>
              <w:kinsoku/>
              <w:wordWrap/>
              <w:overflowPunct/>
              <w:topLinePunct w:val="0"/>
              <w:bidi w:val="0"/>
              <w:snapToGrid/>
              <w:spacing w:line="440" w:lineRule="exact"/>
              <w:ind w:left="0" w:leftChars="0"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整机系统支持不低于linux 5.4，采用LPDDR4内存，内存容量大于等于16GB；采用SSD存储，支持TCG-OPAL 2.0硬件加密功能，存储容量大于等于256GB；</w:t>
            </w:r>
          </w:p>
          <w:p w14:paraId="76E6AE67">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▲12.整机采用国产AI算力芯片，峰值算力不低于32TOPS@INT8峰值算力，支持H.264&amp;H.265解码格式，解码能力支持32x1080P@25fps，8x4K@25fps，不低于8K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14:paraId="7C84135B">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▲13.整机存储器支持TCG-OPAL 2.0硬件加密功能，既不影响硬盘读写性能又保障用户数据安全，每一块存储器密钥均根据特定算法生成，和设备一一绑定；</w:t>
            </w:r>
          </w:p>
          <w:p w14:paraId="32162F82">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▲14.整机支持通过web管理后台实现定时开关机、远程关机功能、查看设备在线状态；</w:t>
            </w:r>
          </w:p>
          <w:p w14:paraId="3E3DDF6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15.支持云端在线系统固件升级；</w:t>
            </w:r>
          </w:p>
          <w:p w14:paraId="190D606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16.整机处于无任务并无人操作状态下，5分钟后自动进入低功耗模式；</w:t>
            </w:r>
          </w:p>
          <w:p w14:paraId="4AB45DD4">
            <w:pPr>
              <w:keepNext w:val="0"/>
              <w:keepLines w:val="0"/>
              <w:pageBreakBefore w:val="0"/>
              <w:widowControl w:val="0"/>
              <w:kinsoku/>
              <w:wordWrap/>
              <w:overflowPunct/>
              <w:topLinePunct w:val="0"/>
              <w:bidi w:val="0"/>
              <w:snapToGrid/>
              <w:spacing w:line="440" w:lineRule="exact"/>
              <w:ind w:firstLine="0" w:firstLineChars="0"/>
              <w:jc w:val="both"/>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17.支持AC220V独立供电，功耗≤80W；</w:t>
            </w:r>
          </w:p>
        </w:tc>
        <w:tc>
          <w:tcPr>
            <w:tcW w:w="787" w:type="dxa"/>
            <w:noWrap w:val="0"/>
            <w:vAlign w:val="center"/>
          </w:tcPr>
          <w:p w14:paraId="138EFCC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p>
        </w:tc>
      </w:tr>
      <w:tr w14:paraId="7731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3C4A2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w:t>
            </w:r>
          </w:p>
        </w:tc>
        <w:tc>
          <w:tcPr>
            <w:tcW w:w="882" w:type="dxa"/>
            <w:gridSpan w:val="3"/>
            <w:noWrap w:val="0"/>
            <w:vAlign w:val="center"/>
          </w:tcPr>
          <w:p w14:paraId="571A0843">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推拉米黄板</w:t>
            </w:r>
          </w:p>
        </w:tc>
        <w:tc>
          <w:tcPr>
            <w:tcW w:w="690" w:type="dxa"/>
            <w:gridSpan w:val="3"/>
            <w:noWrap w:val="0"/>
            <w:vAlign w:val="center"/>
          </w:tcPr>
          <w:p w14:paraId="452BEEC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32EF02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14</w:t>
            </w:r>
          </w:p>
        </w:tc>
        <w:tc>
          <w:tcPr>
            <w:tcW w:w="6647" w:type="dxa"/>
            <w:noWrap w:val="0"/>
            <w:vAlign w:val="top"/>
          </w:tcPr>
          <w:p w14:paraId="15C84B7F">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p>
          <w:p w14:paraId="5D27157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2、基本尺寸：≥4000mm×1305mm，可根据所配电子产品适当调整，确保与一体机的有效配套。</w:t>
            </w:r>
          </w:p>
          <w:p w14:paraId="6317BCDC">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3、书写板面：环保教学专用彩色涂层钢板，浅米黄色，厚度≥0.3mm，硬度≥4H，板面可吸附磁针、磁片，书写面光滑、平整，颜色均匀，坚固耐用、哑光，投影可视效果佳，有效地保护了师生的视力健康。</w:t>
            </w:r>
          </w:p>
          <w:p w14:paraId="52709280">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4、内芯材料：高强度、吸音、聚苯乙烯泡沫板，采用国际适用工艺，书写无吱咔声，改善书写手感。</w:t>
            </w:r>
          </w:p>
          <w:p w14:paraId="4C8C10E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5、背板：采用优质防锈热镀锌钢板，厚度≥0.25mm，流水线一次成型，间隔80mm压有20mm凹槽加强筋,确保均布承压不低于635N，凹槽造型美观、增加强度，更加耐用。</w:t>
            </w:r>
          </w:p>
          <w:p w14:paraId="5775230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6、覆板：采用环保型双组份聚氨酯胶水，自动化流水线覆板作业，牵引、滴胶、刷胶、压固、切割下料一次完成，确保粘接牢固板面平整，甲醛释放量≤0.3mg/L，符合GB/T 28231-2011《书写板安全卫生要求》。</w:t>
            </w:r>
          </w:p>
          <w:p w14:paraId="64BDDA3E">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p>
          <w:p w14:paraId="05A7C626">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kern w:val="2"/>
                <w:sz w:val="21"/>
                <w:szCs w:val="21"/>
                <w:vertAlign w:val="baseline"/>
                <w:lang w:val="en-US" w:eastAsia="zh-CN" w:bidi="ar-SA"/>
              </w:rPr>
              <w:t>8、包角材料：采用抗老化高强度ABS工程塑料注塑成型。规格：100mm×29mm×29mm，采用双壁成腔流线型设计，≥R25mm的圆角，正面带黑板品牌LOGO标识，无尖角毛刺，符合JY0001-2003《教学仪器设备产品一般质量要求》。</w:t>
            </w:r>
          </w:p>
          <w:p w14:paraId="75C8254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kern w:val="2"/>
                <w:sz w:val="21"/>
                <w:szCs w:val="21"/>
                <w:vertAlign w:val="baseline"/>
                <w:lang w:val="en-US" w:eastAsia="zh-CN" w:bidi="ar-SA"/>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787" w:type="dxa"/>
            <w:noWrap w:val="0"/>
            <w:vAlign w:val="center"/>
          </w:tcPr>
          <w:p w14:paraId="374DE271">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p>
        </w:tc>
      </w:tr>
      <w:tr w14:paraId="3B7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1793C996">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六、课桌椅</w:t>
            </w:r>
          </w:p>
        </w:tc>
      </w:tr>
      <w:tr w14:paraId="664A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C99A3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1D7F94A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4F3D193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p>
        </w:tc>
        <w:tc>
          <w:tcPr>
            <w:tcW w:w="572" w:type="dxa"/>
            <w:noWrap w:val="0"/>
            <w:vAlign w:val="center"/>
          </w:tcPr>
          <w:p w14:paraId="6681B5B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p>
        </w:tc>
        <w:tc>
          <w:tcPr>
            <w:tcW w:w="6647" w:type="dxa"/>
            <w:noWrap w:val="0"/>
            <w:vAlign w:val="center"/>
          </w:tcPr>
          <w:p w14:paraId="30E11DBC">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7951496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1905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5341412">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49052E1D">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strike w:val="0"/>
                <w:color w:val="auto"/>
                <w:sz w:val="21"/>
                <w:szCs w:val="21"/>
                <w:vertAlign w:val="baseline"/>
              </w:rPr>
              <w:t>课桌椅</w:t>
            </w:r>
          </w:p>
        </w:tc>
        <w:tc>
          <w:tcPr>
            <w:tcW w:w="690" w:type="dxa"/>
            <w:gridSpan w:val="3"/>
            <w:noWrap w:val="0"/>
            <w:vAlign w:val="center"/>
          </w:tcPr>
          <w:p w14:paraId="1542985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套</w:t>
            </w:r>
          </w:p>
        </w:tc>
        <w:tc>
          <w:tcPr>
            <w:tcW w:w="572" w:type="dxa"/>
            <w:noWrap w:val="0"/>
            <w:vAlign w:val="center"/>
          </w:tcPr>
          <w:p w14:paraId="5063C8B6">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700</w:t>
            </w:r>
          </w:p>
        </w:tc>
        <w:tc>
          <w:tcPr>
            <w:tcW w:w="6647" w:type="dxa"/>
            <w:noWrap w:val="0"/>
            <w:vAlign w:val="top"/>
          </w:tcPr>
          <w:p w14:paraId="4A39EB98">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课桌尺寸：桌子高度可调节640-750mm*长度600mm*宽度：400mm</w:t>
            </w:r>
          </w:p>
          <w:p w14:paraId="11BA190E">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材质：架子冷轧钢1.0  桌面木质  桌面四周ABS塑料围一圈</w:t>
            </w:r>
          </w:p>
          <w:p w14:paraId="05399079">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厚度：</w:t>
            </w:r>
            <w:r>
              <w:rPr>
                <w:rFonts w:hint="eastAsia" w:ascii="宋体" w:hAnsi="宋体" w:eastAsia="宋体" w:cs="宋体"/>
                <w:strike w:val="0"/>
                <w:color w:val="auto"/>
                <w:sz w:val="21"/>
                <w:szCs w:val="21"/>
                <w:vertAlign w:val="baseline"/>
                <w:lang w:val="en-US" w:eastAsia="zh-CN"/>
              </w:rPr>
              <w:t>1.2</w:t>
            </w:r>
            <w:r>
              <w:rPr>
                <w:rFonts w:hint="eastAsia" w:ascii="宋体" w:hAnsi="宋体" w:eastAsia="宋体" w:cs="宋体"/>
                <w:strike w:val="0"/>
                <w:color w:val="auto"/>
                <w:sz w:val="21"/>
                <w:szCs w:val="21"/>
                <w:vertAlign w:val="baseline"/>
              </w:rPr>
              <w:t>颜色：架子灰白色， 桌面原木色</w:t>
            </w:r>
          </w:p>
          <w:p w14:paraId="028EB62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椅子尺寸：凳面高度可调节360mm-420mm*长370mm*宽400mm*</w:t>
            </w:r>
          </w:p>
          <w:p w14:paraId="310CC50C">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rPr>
              <w:t>材质：架子冷轧钢1.</w:t>
            </w:r>
            <w:r>
              <w:rPr>
                <w:rFonts w:hint="eastAsia" w:ascii="宋体" w:hAnsi="宋体" w:eastAsia="宋体" w:cs="宋体"/>
                <w:strike w:val="0"/>
                <w:color w:val="auto"/>
                <w:sz w:val="21"/>
                <w:szCs w:val="21"/>
                <w:vertAlign w:val="baseline"/>
                <w:lang w:val="en-US" w:eastAsia="zh-CN"/>
              </w:rPr>
              <w:t>2</w:t>
            </w:r>
            <w:r>
              <w:rPr>
                <w:rFonts w:hint="eastAsia" w:ascii="宋体" w:hAnsi="宋体" w:eastAsia="宋体" w:cs="宋体"/>
                <w:strike w:val="0"/>
                <w:color w:val="auto"/>
                <w:sz w:val="21"/>
                <w:szCs w:val="21"/>
                <w:vertAlign w:val="baseline"/>
              </w:rPr>
              <w:t xml:space="preserve">   凳面木质   凳面四周ABS塑料围一圈</w:t>
            </w:r>
          </w:p>
        </w:tc>
        <w:tc>
          <w:tcPr>
            <w:tcW w:w="787" w:type="dxa"/>
            <w:noWrap w:val="0"/>
            <w:vAlign w:val="center"/>
          </w:tcPr>
          <w:p w14:paraId="4E6F7F9A">
            <w:pPr>
              <w:keepNext w:val="0"/>
              <w:keepLines w:val="0"/>
              <w:pageBreakBefore w:val="0"/>
              <w:widowControl w:val="0"/>
              <w:kinsoku/>
              <w:wordWrap/>
              <w:overflowPunct/>
              <w:topLinePunct w:val="0"/>
              <w:bidi w:val="0"/>
              <w:snapToGrid/>
              <w:spacing w:line="440" w:lineRule="exact"/>
              <w:ind w:firstLine="0" w:firstLineChars="0"/>
              <w:jc w:val="center"/>
              <w:textAlignment w:val="auto"/>
              <w:rPr>
                <w:rFonts w:hint="eastAsia" w:ascii="宋体" w:hAnsi="宋体" w:eastAsia="宋体" w:cs="宋体"/>
                <w:strike w:val="0"/>
                <w:color w:val="auto"/>
                <w:sz w:val="21"/>
                <w:szCs w:val="21"/>
                <w:vertAlign w:val="baseline"/>
              </w:rPr>
            </w:pPr>
          </w:p>
        </w:tc>
      </w:tr>
      <w:tr w14:paraId="29DA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4A89EA4">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b/>
                <w:bCs/>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七、其他实验实习设备</w:t>
            </w:r>
          </w:p>
        </w:tc>
      </w:tr>
      <w:tr w14:paraId="0A3E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DE330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2A6DD79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7F9DEC7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11888B8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27B24A0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B5B3B5B">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3EFB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9AA7E0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2" w:type="dxa"/>
            <w:gridSpan w:val="3"/>
            <w:noWrap w:val="0"/>
            <w:vAlign w:val="center"/>
          </w:tcPr>
          <w:p w14:paraId="520073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教师演示台</w:t>
            </w:r>
          </w:p>
        </w:tc>
        <w:tc>
          <w:tcPr>
            <w:tcW w:w="690" w:type="dxa"/>
            <w:gridSpan w:val="3"/>
            <w:noWrap w:val="0"/>
            <w:vAlign w:val="center"/>
          </w:tcPr>
          <w:p w14:paraId="4E5ACE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3E88DE1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3E528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铝木结构，一体化台面，设置抽屉、柜子，基本参数如下：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1.台面尺寸（长宽高）2400mm×700mm×850mm；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2.台面：采用12.7mm厚理化板，且满足如下参数：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体框架：采用模具成型的专用铝合金型材制作，框架的立柱为45mm×45mm方管，框架的横梁为22mm×28mm方管，通过ABS专用连接件组装而成，保证组装接缝严密，连接牢固，无松动现象。铝合金型材的壁厚1.0mm。铝合金型材带凹槽，槽的宽度、深度与所采用的柜体板材相匹配，接缝严密，无晃动现象。铝合金型材表面经静电粉沫喷涂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4.台体衬板：用厚度≥15mm的彩色和灰白色双面三聚氰胺中纤维板作为台体衬板，其内芯的基材为聚木屑纤维板，外漏截面采用1.0mm厚塑制封边条机械封边；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5.桌脚：采用直径10mm的金属螺杆与ABS工程塑料一次注塑成型的脚垫，高度可调节，并可锁紧；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6.柜门铰链：采用金属定位铰链，铰链的壁厚1.0mm。</w:t>
            </w:r>
          </w:p>
        </w:tc>
        <w:tc>
          <w:tcPr>
            <w:tcW w:w="787" w:type="dxa"/>
            <w:noWrap w:val="0"/>
            <w:vAlign w:val="center"/>
          </w:tcPr>
          <w:p w14:paraId="236265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2539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36447A7">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529ED5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教师座椅</w:t>
            </w:r>
          </w:p>
        </w:tc>
        <w:tc>
          <w:tcPr>
            <w:tcW w:w="690" w:type="dxa"/>
            <w:gridSpan w:val="3"/>
            <w:noWrap w:val="0"/>
            <w:vAlign w:val="center"/>
          </w:tcPr>
          <w:p w14:paraId="52B1825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4EBDBCC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BD8E7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1.五轮气动升降转椅，椅面及靠背为高回弹高密度海绵，黑色网面；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2.铝合金五星脚，带扶手。</w:t>
            </w:r>
          </w:p>
        </w:tc>
        <w:tc>
          <w:tcPr>
            <w:tcW w:w="787" w:type="dxa"/>
            <w:noWrap w:val="0"/>
            <w:vAlign w:val="center"/>
          </w:tcPr>
          <w:p w14:paraId="2FF591C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322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294185">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1782484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教师实验电源</w:t>
            </w:r>
          </w:p>
        </w:tc>
        <w:tc>
          <w:tcPr>
            <w:tcW w:w="690" w:type="dxa"/>
            <w:gridSpan w:val="3"/>
            <w:noWrap w:val="0"/>
            <w:vAlign w:val="center"/>
          </w:tcPr>
          <w:p w14:paraId="027DE88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0F379D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E0763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l.漏电保护开关、工作指示灯、220V交流输出插座(五孔插座)选用国产产品；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2.低压交流电源：2-24V可调(每档2V)，额定电流3A(短路、过载自动保护、自动复位)；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3.直流稳压电源：1.5-18V连续可调，额定电流6A，18v-24v额定电流3A，(短路、过载自动保护、自动复位)；85系指针表显示；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4.直流大电流输出：9V／40A；8秒自动断开；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5.教师插座电源：220V交流，负载电流10A。五孔交流电源插座1个。设置在演示台的中间抽屉内；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A：由教师控制学生实验台交流220V电源，每组由空气开关控制，共分四组，并配有漏电保护开关；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B：由教师统一控制学生实验台低压电源，交流每档2V,共12档。直流可以在控制范围内微调。</w:t>
            </w:r>
          </w:p>
        </w:tc>
        <w:tc>
          <w:tcPr>
            <w:tcW w:w="787" w:type="dxa"/>
            <w:noWrap w:val="0"/>
            <w:vAlign w:val="center"/>
          </w:tcPr>
          <w:p w14:paraId="6050ADB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27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64413C">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42FB01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学生实验台</w:t>
            </w:r>
          </w:p>
        </w:tc>
        <w:tc>
          <w:tcPr>
            <w:tcW w:w="690" w:type="dxa"/>
            <w:gridSpan w:val="3"/>
            <w:noWrap w:val="0"/>
            <w:vAlign w:val="center"/>
          </w:tcPr>
          <w:p w14:paraId="5FC654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74F37B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center"/>
          </w:tcPr>
          <w:p w14:paraId="14EACED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铝木结构，一体化台面，设置桌斗，基本参数如下：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1.台面尺寸对角1200mm*760mm，6人座。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2.台面：采用12.7mm厚双面膜实芯理化板，且满足如下参数：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体框架：采用模具成型的专用铝合金型材制作，框架的立柱为45mm×45mm方管，框架的横梁为22mm×28mm方管，通过ABS专用连接件组装而成，保证组装接缝严密，连接牢固，无松动现象。铝合金型材的壁厚1.0mm。铝合金型材带凹槽，槽的宽度.深度与所采用的柜体板材相匹配，接缝严密，无晃动现象。铝合金型材表面经静电粉沫喷涂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4.台体衬板：用厚度≥15mm，彩色和灰白色双面三聚氰胺中纤维板作为台体衬板，其内芯的基材为聚木屑纤维板；桌斗设置挂凳扣，挂凳板的外露截面采用1.0mm厚塑制封边条机械封边；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5.桌脚：采用直径10mm的金属螺杆与ABS工程塑料一次注塑成型的脚垫，高度可调节，并可锁紧。</w:t>
            </w:r>
          </w:p>
        </w:tc>
        <w:tc>
          <w:tcPr>
            <w:tcW w:w="787" w:type="dxa"/>
            <w:noWrap w:val="0"/>
            <w:vAlign w:val="center"/>
          </w:tcPr>
          <w:p w14:paraId="3EA1FA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7562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5EF3FF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0360B07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学生凳</w:t>
            </w:r>
          </w:p>
        </w:tc>
        <w:tc>
          <w:tcPr>
            <w:tcW w:w="690" w:type="dxa"/>
            <w:gridSpan w:val="3"/>
            <w:noWrap w:val="0"/>
            <w:vAlign w:val="center"/>
          </w:tcPr>
          <w:p w14:paraId="3AAD8AC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572" w:type="dxa"/>
            <w:noWrap w:val="0"/>
            <w:vAlign w:val="center"/>
          </w:tcPr>
          <w:p w14:paraId="2CF76C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54</w:t>
            </w:r>
          </w:p>
        </w:tc>
        <w:tc>
          <w:tcPr>
            <w:tcW w:w="6647" w:type="dxa"/>
            <w:noWrap w:val="0"/>
            <w:vAlign w:val="center"/>
          </w:tcPr>
          <w:p w14:paraId="06E576B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1、规格（mm）：不小于320×220×420（长×宽×高）；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2、钢架采用不小于20mm×40mm冷轧无缝椭圆钢管，管壁厚不低于1mm，钢管表面喷涂前经酸洗、磷化、除油、脱水、热固化喷塑；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3、凳子的脚套为内嵌式黑色脚套，采用超高分子量PE材料制作，壁厚不小于2mm,底厚不小于5mm；进深不小于20mm，加强筋不少于3圈, 加强筋厚度不小于1.2mm，底面直径不小于22mm×42mm,脚套与桌脚和椅脚应结合紧密，牢靠，不脱落；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4、面板采用多层胶合板、面贴防火板，总厚度不低于15mm。牢固耐用、平稳；</w:t>
            </w:r>
          </w:p>
        </w:tc>
        <w:tc>
          <w:tcPr>
            <w:tcW w:w="787" w:type="dxa"/>
            <w:noWrap w:val="0"/>
            <w:vAlign w:val="center"/>
          </w:tcPr>
          <w:p w14:paraId="174399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997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4149ABA">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1A4AB3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学生专用电源</w:t>
            </w:r>
          </w:p>
        </w:tc>
        <w:tc>
          <w:tcPr>
            <w:tcW w:w="690" w:type="dxa"/>
            <w:gridSpan w:val="3"/>
            <w:noWrap w:val="0"/>
            <w:vAlign w:val="center"/>
          </w:tcPr>
          <w:p w14:paraId="5E9F47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63C5EB5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BF924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1.每两个学生中间，配备翻盖式防尘结构的直流电源盒，接受教师演示台送来的交流电源；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2.学生电源低压交，直流可同时输出，设有自动过载保护功能，保护电路启动后，红色发光管点亮，工作指示灯熄灭（指示灯均为隐蔽式）。去掉负载电路恢复正常待机，不影响继续实验；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3.高压电源：每台配备220V交流输出电源，电源全部由教师台控制。</w:t>
            </w:r>
          </w:p>
        </w:tc>
        <w:tc>
          <w:tcPr>
            <w:tcW w:w="787" w:type="dxa"/>
            <w:noWrap w:val="0"/>
            <w:vAlign w:val="center"/>
          </w:tcPr>
          <w:p w14:paraId="772319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0B7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BC401E">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08453A4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实验室综合布线</w:t>
            </w:r>
          </w:p>
        </w:tc>
        <w:tc>
          <w:tcPr>
            <w:tcW w:w="690" w:type="dxa"/>
            <w:gridSpan w:val="3"/>
            <w:noWrap w:val="0"/>
            <w:vAlign w:val="center"/>
          </w:tcPr>
          <w:p w14:paraId="3757A3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0A789F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A2E3F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符合国家现行标准并执行《中小学理科实验室装备规范》，4平方毫米铜芯总线，2.5平方毫米铜芯线支线，采用PVC套管，五金配件三合一连接件，铰链，轨道，螺丝，免钉胶，绝缘胶布等满足本次招标需求。</w:t>
            </w:r>
          </w:p>
        </w:tc>
        <w:tc>
          <w:tcPr>
            <w:tcW w:w="787" w:type="dxa"/>
            <w:noWrap w:val="0"/>
            <w:vAlign w:val="center"/>
          </w:tcPr>
          <w:p w14:paraId="2F5B4B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D1F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8E94D6">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22CF4C0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全室给排水系统</w:t>
            </w:r>
          </w:p>
        </w:tc>
        <w:tc>
          <w:tcPr>
            <w:tcW w:w="690" w:type="dxa"/>
            <w:gridSpan w:val="3"/>
            <w:noWrap w:val="0"/>
            <w:vAlign w:val="center"/>
          </w:tcPr>
          <w:p w14:paraId="305312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2566B1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7CD0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u w:val="none"/>
                <w:lang w:val="en-US" w:eastAsia="zh-CN" w:bidi="ar"/>
              </w:rPr>
              <w:t>1.每张实验台设置水阀开关一个。给水管采用PPR管，主管直径32mm.分管直径20mm；</w:t>
            </w:r>
            <w:r>
              <w:rPr>
                <w:rFonts w:hint="eastAsia" w:ascii="宋体" w:hAnsi="宋体" w:eastAsia="宋体" w:cs="宋体"/>
                <w:strike w:val="0"/>
                <w:color w:val="auto"/>
                <w:sz w:val="21"/>
                <w:szCs w:val="21"/>
                <w:u w:val="none"/>
                <w:lang w:val="en-US" w:eastAsia="zh-CN" w:bidi="ar"/>
              </w:rPr>
              <w:br w:type="textWrapping"/>
            </w:r>
            <w:r>
              <w:rPr>
                <w:rFonts w:hint="eastAsia" w:ascii="宋体" w:hAnsi="宋体" w:eastAsia="宋体" w:cs="宋体"/>
                <w:strike w:val="0"/>
                <w:color w:val="auto"/>
                <w:sz w:val="21"/>
                <w:szCs w:val="21"/>
                <w:u w:val="none"/>
                <w:lang w:val="en-US" w:eastAsia="zh-CN" w:bidi="ar"/>
              </w:rPr>
              <w:t>2.排水管采用PVC耐蚀管50mm。水槽下水管采用直径50mmPVC管。</w:t>
            </w:r>
            <w:r>
              <w:rPr>
                <w:rFonts w:hint="eastAsia" w:ascii="宋体" w:hAnsi="宋体" w:eastAsia="宋体" w:cs="宋体"/>
                <w:i w:val="0"/>
                <w:iCs w:val="0"/>
                <w:strike w:val="0"/>
                <w:color w:val="auto"/>
                <w:kern w:val="0"/>
                <w:sz w:val="21"/>
                <w:szCs w:val="21"/>
                <w:u w:val="none"/>
                <w:lang w:val="en-US" w:eastAsia="zh-CN" w:bidi="ar"/>
              </w:rPr>
              <w:t>仅含室内水管铺设，教室内需有水位及排水。教室在3楼，管路为明管</w:t>
            </w:r>
          </w:p>
        </w:tc>
        <w:tc>
          <w:tcPr>
            <w:tcW w:w="787" w:type="dxa"/>
            <w:noWrap w:val="0"/>
            <w:vAlign w:val="center"/>
          </w:tcPr>
          <w:p w14:paraId="7B56E3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14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AB661BD">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1A4872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整套设备运输、搬运及安装等</w:t>
            </w:r>
          </w:p>
        </w:tc>
        <w:tc>
          <w:tcPr>
            <w:tcW w:w="690" w:type="dxa"/>
            <w:gridSpan w:val="3"/>
            <w:noWrap w:val="0"/>
            <w:vAlign w:val="center"/>
          </w:tcPr>
          <w:p w14:paraId="129F4F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项</w:t>
            </w:r>
          </w:p>
        </w:tc>
        <w:tc>
          <w:tcPr>
            <w:tcW w:w="572" w:type="dxa"/>
            <w:noWrap w:val="0"/>
            <w:vAlign w:val="center"/>
          </w:tcPr>
          <w:p w14:paraId="48D0D7A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372B7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1.所有货物到指定项目学校的运输以及到用户指定教室的搬运；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2.教师演示台、学生实验台等的安装调试；电源电缆及PVC线槽、电源插排布设；过道耐压弧形走线槽等工程所需配件的安装调试。</w:t>
            </w:r>
          </w:p>
        </w:tc>
        <w:tc>
          <w:tcPr>
            <w:tcW w:w="787" w:type="dxa"/>
            <w:noWrap w:val="0"/>
            <w:vAlign w:val="center"/>
          </w:tcPr>
          <w:p w14:paraId="6B3586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59A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C540D1">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48718F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水槽柜</w:t>
            </w:r>
          </w:p>
        </w:tc>
        <w:tc>
          <w:tcPr>
            <w:tcW w:w="690" w:type="dxa"/>
            <w:gridSpan w:val="3"/>
            <w:noWrap w:val="0"/>
            <w:vAlign w:val="center"/>
          </w:tcPr>
          <w:p w14:paraId="55E9F7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572" w:type="dxa"/>
            <w:noWrap w:val="0"/>
            <w:vAlign w:val="center"/>
          </w:tcPr>
          <w:p w14:paraId="4BDE66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4C695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700mm长，600mm宽，780mm高，采用理化板面板，塑料水槽，含及下水管</w:t>
            </w:r>
          </w:p>
        </w:tc>
        <w:tc>
          <w:tcPr>
            <w:tcW w:w="787" w:type="dxa"/>
            <w:noWrap w:val="0"/>
            <w:vAlign w:val="center"/>
          </w:tcPr>
          <w:p w14:paraId="4EBED62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6A4D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01789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250C5D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科创实践套装</w:t>
            </w:r>
          </w:p>
        </w:tc>
        <w:tc>
          <w:tcPr>
            <w:tcW w:w="690" w:type="dxa"/>
            <w:gridSpan w:val="3"/>
            <w:noWrap w:val="0"/>
            <w:vAlign w:val="center"/>
          </w:tcPr>
          <w:p w14:paraId="49655D5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5015E7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517053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硬件：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需包含但不限于组件：驱动板、AI开发板、DC马达、轮子/编码电机、循线板、雨水传感器、土壤湿度传感器、超声波、摄像头、气体传感器、光敏传感器、环境温湿度传感器、颜色传感器、微型水泵、加速度传感器、红外传感器、轻触开关、LED灯、红外线传感器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2.驱动板：需采用ATmega2560微处理器，支持≥4路RJ11输入，≥4路RJ11输出，≥4路RJ11电机控制；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3.开发板：需采用≥四核CPU，2GRAM，8GROM，≥四麦线性麦克风阵列；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拼接结构件：≥50多种精美而丰富的塑料拼接结构件，可自由开放搭建各种模拟形态。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软件：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1.支持利用平板和电脑完成的编程，发送到开发板进行运行，控制搭建完成的不同硬件形态；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2.支持响应教学平板和电脑的AI能力编程调用，与用户进行交互，展现语音唤醒、语音合成、语音评测、声纹识别、语音转写、文字识别、人脸识别、场景识别、物体识别、机器翻译、人机对话等人工智能特性；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支持传感器电路在软件中仿真模拟搭建，真实还原拼接场景，且对硬件搭建方法具有指导意义；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支持AI图形编程，涵盖了语音、图像、自然语言处理等AI技能，颜色各异的编程积木拖拽即得，大幅度降低了编程门槛，帮助学生走进人工智能编程世界；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 支持Python编程，通过简单的调用函数，实现简易且丰富的AI技术应用，且具有代码智能纠错系统，帮助学生规范编程格式。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3.开发板：需采用≥四核CPU，2GRAM，8GROM，≥四麦线性麦克风阵列；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拼接结构件：≥50多种精美而丰富的塑料拼接结构件，可自由开放搭建各种模拟形态。</w:t>
            </w:r>
          </w:p>
        </w:tc>
        <w:tc>
          <w:tcPr>
            <w:tcW w:w="787" w:type="dxa"/>
            <w:noWrap w:val="0"/>
            <w:vAlign w:val="center"/>
          </w:tcPr>
          <w:p w14:paraId="606972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95C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7B0F6F">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0E26D9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3D打印机 </w:t>
            </w:r>
          </w:p>
        </w:tc>
        <w:tc>
          <w:tcPr>
            <w:tcW w:w="690" w:type="dxa"/>
            <w:gridSpan w:val="3"/>
            <w:noWrap w:val="0"/>
            <w:vAlign w:val="center"/>
          </w:tcPr>
          <w:p w14:paraId="067E80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491C78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6990C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 成型技术：熔融沉积成型；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 机身：外形尺寸约（长宽高）386*389*458 mm³，净重约12.95kg，打印尺寸（长×宽×高）不低于256*256*256 mm³，钢材框架，外壳为塑料和玻璃构成；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 工具头：全金属热端、钢材挤出机齿轮、不锈钢喷嘴、喷嘴最高温度不低于300 ℃、喷嘴直径自带0.4 mm，可选0.2 mm, 0.6 mm, 0.8 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 热床：机器自带双面纹理PEI打印面板，可选低温打印面板、高温打印面板、工程材料打印面板，热床最高温度不低于100℃；</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 速度：工具头最大移动速度不低于500 mm/s，工具头最大移动加速度不低于20 m/s²，热端最大流速不低于32 mm³/s（150*150mm单层外壁ABS材料，温度280℃测试）；主要依靠XY轴的震动抑制算法和精准的流量控制，来实现高速打印功能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 支持耗材类型：可支持打印PLA, PETG, TPU, ASA, PVA, PET，尼龙线材（PA), 聚碳酸酯线材（PC), ABS 材料；自制Support系列支撑隔离材料，使支撑易剥离；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 冷却系统：内置冷却风扇系统，通过闭环控制来确保打印模型、打印机箱和主板的散热；</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 传感器：内置低帧率相机1280 x 720 / 0.5fps机箱监控摄像头并支持延时摄影，支持挤出机断料检测，支持断电续打；</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 电子器件：机器自带2.7英寸192x64屏幕显示屏，支持Wi-Fi、Bluetooth通信，操作界面支持按键、手机端APP、电脑端应用三种形式；以通过APP和电脑端应用远程操控打印机和观看打印机视频；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 HMS健康管理系统：负责收集和监控整个系统状态，包括：硬件连接、工作状态机械状态，以及打印过程中AI功能检测到的问题（例如炒面缺陷），一旦出现任何异常，会通过APP、软件以及打印机屏幕上发送消息提醒用户，每个HMS错误代码都有详细描述和对应的解决方案。</w:t>
            </w:r>
          </w:p>
        </w:tc>
        <w:tc>
          <w:tcPr>
            <w:tcW w:w="787" w:type="dxa"/>
            <w:noWrap w:val="0"/>
            <w:vAlign w:val="center"/>
          </w:tcPr>
          <w:p w14:paraId="251EE3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3B6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4C1FED8">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6198DE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基础积木机器人竞赛普及套装</w:t>
            </w:r>
          </w:p>
        </w:tc>
        <w:tc>
          <w:tcPr>
            <w:tcW w:w="690" w:type="dxa"/>
            <w:gridSpan w:val="3"/>
            <w:noWrap w:val="0"/>
            <w:vAlign w:val="center"/>
          </w:tcPr>
          <w:p w14:paraId="44D661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08DC98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2752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1、控制器： 32位Cortex-M4处理器，可存储6条程序（P1-P6）。0.96英寸彩色显示屏，支持中文、英文显示。3个按键。提供8路各类输入输出接口，其中4路数字/模拟/电机/下载接口，1路集成灰度传感器接口，3路TTL伺服电机串行接口。控制器有两种工作模式，一种为下载模式；另一种为在线调试模式，方便程序调试。内置780mAh锂电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2、传感器：集成五灰度传感器1个。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3、执行器：智能电机2个；智能舵机1个，遥控器一个。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4、结构件：组件数量不少于400个，组件种类不少于64种。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5、传动件：齿轮9种27个。其中12齿半高锥齿轮6个，20齿半高锥齿轮2个，12锥直齿轮7个，20锥直齿轮2个，36锥直齿轮3个，8齿直齿轮2个，16齿直齿轮2个，24齿直齿轮2个，蜗杆1个。</w:t>
            </w:r>
          </w:p>
        </w:tc>
        <w:tc>
          <w:tcPr>
            <w:tcW w:w="787" w:type="dxa"/>
            <w:noWrap w:val="0"/>
            <w:vAlign w:val="center"/>
          </w:tcPr>
          <w:p w14:paraId="6846B8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69CB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E2C070">
            <w:pPr>
              <w:keepNext w:val="0"/>
              <w:keepLines w:val="0"/>
              <w:pageBreakBefore w:val="0"/>
              <w:widowControl/>
              <w:suppressLineNumbers w:val="0"/>
              <w:kinsoku/>
              <w:wordWrap/>
              <w:overflowPunct/>
              <w:topLinePunct w:val="0"/>
              <w:autoSpaceDE/>
              <w:autoSpaceDN/>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388408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场地套装</w:t>
            </w:r>
          </w:p>
        </w:tc>
        <w:tc>
          <w:tcPr>
            <w:tcW w:w="690" w:type="dxa"/>
            <w:gridSpan w:val="3"/>
            <w:noWrap w:val="0"/>
            <w:vAlign w:val="center"/>
          </w:tcPr>
          <w:p w14:paraId="4A1BA91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572" w:type="dxa"/>
            <w:noWrap w:val="0"/>
            <w:vAlign w:val="center"/>
          </w:tcPr>
          <w:p w14:paraId="6CAD53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6FDF8B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1、该套装包含2026年活动场地任务模型零件（不少于360个），可搭建5个任务模型：数据跃迁，数据采集，信息解锁，信息封存，信息分类。固定场地任务模型专用魔术贴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2、包含2026年活动专用场地纸1张（尺寸2.16米*1.2米），单独包装。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包含任务模型贴图1套</w:t>
            </w:r>
          </w:p>
        </w:tc>
        <w:tc>
          <w:tcPr>
            <w:tcW w:w="787" w:type="dxa"/>
            <w:noWrap w:val="0"/>
            <w:vAlign w:val="center"/>
          </w:tcPr>
          <w:p w14:paraId="71C31B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1043A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0A2D0D72">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b/>
                <w:bCs/>
                <w:strike w:val="0"/>
                <w:color w:val="auto"/>
                <w:sz w:val="21"/>
                <w:szCs w:val="21"/>
                <w:vertAlign w:val="baseline"/>
                <w:lang w:eastAsia="zh-CN"/>
              </w:rPr>
              <w:t>八、体育器材</w:t>
            </w:r>
          </w:p>
        </w:tc>
      </w:tr>
      <w:tr w14:paraId="1DB7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A96769">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67" w:type="dxa"/>
            <w:gridSpan w:val="2"/>
            <w:noWrap w:val="0"/>
            <w:vAlign w:val="center"/>
          </w:tcPr>
          <w:p w14:paraId="32FCC68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705" w:type="dxa"/>
            <w:gridSpan w:val="4"/>
            <w:noWrap w:val="0"/>
            <w:vAlign w:val="center"/>
          </w:tcPr>
          <w:p w14:paraId="0981365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4E18315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0556532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7B44080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3133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4DD2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67" w:type="dxa"/>
            <w:gridSpan w:val="2"/>
            <w:noWrap w:val="0"/>
            <w:vAlign w:val="center"/>
          </w:tcPr>
          <w:p w14:paraId="26B1E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计算器</w:t>
            </w:r>
          </w:p>
        </w:tc>
        <w:tc>
          <w:tcPr>
            <w:tcW w:w="705" w:type="dxa"/>
            <w:gridSpan w:val="4"/>
            <w:noWrap w:val="0"/>
            <w:vAlign w:val="center"/>
          </w:tcPr>
          <w:p w14:paraId="1F37EBD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04BB4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7749038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函数型</w:t>
            </w:r>
          </w:p>
        </w:tc>
        <w:tc>
          <w:tcPr>
            <w:tcW w:w="787" w:type="dxa"/>
            <w:noWrap w:val="0"/>
            <w:vAlign w:val="center"/>
          </w:tcPr>
          <w:p w14:paraId="44DA39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C78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D66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67" w:type="dxa"/>
            <w:gridSpan w:val="2"/>
            <w:noWrap w:val="0"/>
            <w:vAlign w:val="center"/>
          </w:tcPr>
          <w:p w14:paraId="2C6687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录放音机</w:t>
            </w:r>
          </w:p>
        </w:tc>
        <w:tc>
          <w:tcPr>
            <w:tcW w:w="705" w:type="dxa"/>
            <w:gridSpan w:val="4"/>
            <w:noWrap w:val="0"/>
            <w:vAlign w:val="center"/>
          </w:tcPr>
          <w:p w14:paraId="46C5C34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1B0591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DE11D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双卡，支持 U 盘、 内存卡，可读光盘</w:t>
            </w:r>
          </w:p>
        </w:tc>
        <w:tc>
          <w:tcPr>
            <w:tcW w:w="787" w:type="dxa"/>
            <w:noWrap w:val="0"/>
            <w:vAlign w:val="center"/>
          </w:tcPr>
          <w:p w14:paraId="1E34F8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6E2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374C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67" w:type="dxa"/>
            <w:gridSpan w:val="2"/>
            <w:noWrap w:val="0"/>
            <w:vAlign w:val="center"/>
          </w:tcPr>
          <w:p w14:paraId="1C3E37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布卷尺</w:t>
            </w:r>
          </w:p>
        </w:tc>
        <w:tc>
          <w:tcPr>
            <w:tcW w:w="705" w:type="dxa"/>
            <w:gridSpan w:val="4"/>
            <w:noWrap w:val="0"/>
            <w:vAlign w:val="center"/>
          </w:tcPr>
          <w:p w14:paraId="139923B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F3D54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FFB40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50m，仿皮外壳，苎麻布卷尺，防水，防腐蚀； 铜制卡扣和收放扣</w:t>
            </w:r>
          </w:p>
        </w:tc>
        <w:tc>
          <w:tcPr>
            <w:tcW w:w="787" w:type="dxa"/>
            <w:noWrap w:val="0"/>
            <w:vAlign w:val="center"/>
          </w:tcPr>
          <w:p w14:paraId="1FE350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694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DCCC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67" w:type="dxa"/>
            <w:gridSpan w:val="2"/>
            <w:noWrap w:val="0"/>
            <w:vAlign w:val="center"/>
          </w:tcPr>
          <w:p w14:paraId="0F787C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数字秒表</w:t>
            </w:r>
          </w:p>
        </w:tc>
        <w:tc>
          <w:tcPr>
            <w:tcW w:w="705" w:type="dxa"/>
            <w:gridSpan w:val="4"/>
            <w:noWrap w:val="0"/>
            <w:vAlign w:val="center"/>
          </w:tcPr>
          <w:p w14:paraId="67A942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7B70E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4CD84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三排显示，60时段记忆功能（1/100秒精确计时）预置倒数计时，专设步频节拍器可显示最快、最慢、平均时间时间、日历、定时闹响（12/24小时制式转换）大容量锂电池，电池寿命1年,二种秒表功能模式</w:t>
            </w:r>
          </w:p>
        </w:tc>
        <w:tc>
          <w:tcPr>
            <w:tcW w:w="787" w:type="dxa"/>
            <w:noWrap w:val="0"/>
            <w:vAlign w:val="center"/>
          </w:tcPr>
          <w:p w14:paraId="7B3E77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A4B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9F8AF1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67" w:type="dxa"/>
            <w:gridSpan w:val="2"/>
            <w:noWrap w:val="0"/>
            <w:vAlign w:val="center"/>
          </w:tcPr>
          <w:p w14:paraId="076665A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标志筒</w:t>
            </w:r>
          </w:p>
        </w:tc>
        <w:tc>
          <w:tcPr>
            <w:tcW w:w="705" w:type="dxa"/>
            <w:gridSpan w:val="4"/>
            <w:noWrap w:val="0"/>
            <w:vAlign w:val="center"/>
          </w:tcPr>
          <w:p w14:paraId="1831411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D9368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93BD9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 180 mm、230 mm、320 mm、380 mm、480 mm 等， 4 种颜色，圆锥体状，放置平稳</w:t>
            </w:r>
          </w:p>
        </w:tc>
        <w:tc>
          <w:tcPr>
            <w:tcW w:w="787" w:type="dxa"/>
            <w:noWrap w:val="0"/>
            <w:vAlign w:val="center"/>
          </w:tcPr>
          <w:p w14:paraId="3B2D5F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93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F60A3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67" w:type="dxa"/>
            <w:gridSpan w:val="2"/>
            <w:noWrap w:val="0"/>
            <w:vAlign w:val="center"/>
          </w:tcPr>
          <w:p w14:paraId="4890D8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标志杆</w:t>
            </w:r>
          </w:p>
        </w:tc>
        <w:tc>
          <w:tcPr>
            <w:tcW w:w="705" w:type="dxa"/>
            <w:gridSpan w:val="4"/>
            <w:noWrap w:val="0"/>
            <w:vAlign w:val="center"/>
          </w:tcPr>
          <w:p w14:paraId="58FC6B6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A155D5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1421F6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 1.2m~1.6m，立柱直径 25mm，三角形红色旗面</w:t>
            </w:r>
          </w:p>
        </w:tc>
        <w:tc>
          <w:tcPr>
            <w:tcW w:w="787" w:type="dxa"/>
            <w:noWrap w:val="0"/>
            <w:vAlign w:val="center"/>
          </w:tcPr>
          <w:p w14:paraId="2862E7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B6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B7171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67" w:type="dxa"/>
            <w:gridSpan w:val="2"/>
            <w:noWrap w:val="0"/>
            <w:vAlign w:val="center"/>
          </w:tcPr>
          <w:p w14:paraId="29484D0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爬绳和爬杆</w:t>
            </w:r>
          </w:p>
        </w:tc>
        <w:tc>
          <w:tcPr>
            <w:tcW w:w="705" w:type="dxa"/>
            <w:gridSpan w:val="4"/>
            <w:noWrap w:val="0"/>
            <w:vAlign w:val="center"/>
          </w:tcPr>
          <w:p w14:paraId="15F41C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1FDC64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003A76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绳 2，杆 2，绳杆的握持直径 28mm~35mm,有效 使用宽度≥600mm,有效使用高度≤3500mm,爬杆 的下端若设置为非固定结构的悬空型式时，其下 端至运动地面的离地高度应为 200mm,且爬杆至 其垂直轴线的单向摆动幅度应不大于 8° 。爬绳 和爬杆上端的连接部分应设置有防止绳杆断裂 的防护装置</w:t>
            </w:r>
          </w:p>
        </w:tc>
        <w:tc>
          <w:tcPr>
            <w:tcW w:w="787" w:type="dxa"/>
            <w:noWrap w:val="0"/>
            <w:vAlign w:val="center"/>
          </w:tcPr>
          <w:p w14:paraId="2A2D78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FF7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61AD9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67" w:type="dxa"/>
            <w:gridSpan w:val="2"/>
            <w:noWrap w:val="0"/>
            <w:vAlign w:val="center"/>
          </w:tcPr>
          <w:p w14:paraId="58816B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肋木架</w:t>
            </w:r>
          </w:p>
        </w:tc>
        <w:tc>
          <w:tcPr>
            <w:tcW w:w="705" w:type="dxa"/>
            <w:gridSpan w:val="4"/>
            <w:noWrap w:val="0"/>
            <w:vAlign w:val="center"/>
          </w:tcPr>
          <w:p w14:paraId="344DFD3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间</w:t>
            </w:r>
          </w:p>
        </w:tc>
        <w:tc>
          <w:tcPr>
            <w:tcW w:w="572" w:type="dxa"/>
            <w:noWrap w:val="0"/>
            <w:vAlign w:val="center"/>
          </w:tcPr>
          <w:p w14:paraId="2965E7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504C7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宜三柱二间，使用宽度≥800mm,最高使用高度 2200mm±100mm，横肋间距 250mm，握持直径  28mm~32mm，立柱为φ75mm 钢管，材质为普通 钢管，钢管经抛丸喷砂除锈，表面静电喷涂</w:t>
            </w:r>
          </w:p>
        </w:tc>
        <w:tc>
          <w:tcPr>
            <w:tcW w:w="787" w:type="dxa"/>
            <w:noWrap w:val="0"/>
            <w:vAlign w:val="center"/>
          </w:tcPr>
          <w:p w14:paraId="1E5FB1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E6C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D40F3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67" w:type="dxa"/>
            <w:gridSpan w:val="2"/>
            <w:noWrap w:val="0"/>
            <w:vAlign w:val="center"/>
          </w:tcPr>
          <w:p w14:paraId="5D8D4F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平行梯</w:t>
            </w:r>
          </w:p>
        </w:tc>
        <w:tc>
          <w:tcPr>
            <w:tcW w:w="705" w:type="dxa"/>
            <w:gridSpan w:val="4"/>
            <w:noWrap w:val="0"/>
            <w:vAlign w:val="center"/>
          </w:tcPr>
          <w:p w14:paraId="66766CE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架</w:t>
            </w:r>
          </w:p>
        </w:tc>
        <w:tc>
          <w:tcPr>
            <w:tcW w:w="572" w:type="dxa"/>
            <w:noWrap w:val="0"/>
            <w:vAlign w:val="center"/>
          </w:tcPr>
          <w:p w14:paraId="760F87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97DA3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 4000mm±500mm,有效使用宽度 600mm±   100mm,最高使用高度≤2100mm,悬垂握持直径 28mm~32mm,纵向握持间距≤300mm</w:t>
            </w:r>
          </w:p>
        </w:tc>
        <w:tc>
          <w:tcPr>
            <w:tcW w:w="787" w:type="dxa"/>
            <w:noWrap w:val="0"/>
            <w:vAlign w:val="center"/>
          </w:tcPr>
          <w:p w14:paraId="6AED80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8A2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9D844F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67" w:type="dxa"/>
            <w:gridSpan w:val="2"/>
            <w:noWrap w:val="0"/>
            <w:vAlign w:val="center"/>
          </w:tcPr>
          <w:p w14:paraId="291FDB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跳高垫</w:t>
            </w:r>
          </w:p>
        </w:tc>
        <w:tc>
          <w:tcPr>
            <w:tcW w:w="705" w:type="dxa"/>
            <w:gridSpan w:val="4"/>
            <w:noWrap w:val="0"/>
            <w:vAlign w:val="center"/>
          </w:tcPr>
          <w:p w14:paraId="4AB53C7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0ADB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23CD5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787" w:type="dxa"/>
            <w:noWrap w:val="0"/>
            <w:vAlign w:val="center"/>
          </w:tcPr>
          <w:p w14:paraId="58DBF6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77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2185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67" w:type="dxa"/>
            <w:gridSpan w:val="2"/>
            <w:noWrap w:val="0"/>
            <w:vAlign w:val="center"/>
          </w:tcPr>
          <w:p w14:paraId="1DDFC9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跳高横杆</w:t>
            </w:r>
          </w:p>
        </w:tc>
        <w:tc>
          <w:tcPr>
            <w:tcW w:w="705" w:type="dxa"/>
            <w:gridSpan w:val="4"/>
            <w:noWrap w:val="0"/>
            <w:vAlign w:val="center"/>
          </w:tcPr>
          <w:p w14:paraId="747B90E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30E0AD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1F596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 3000mm~4000mm，直径 25mm~30mm,质量不超 过 2000g,采用不宜折断的适宜材料制成，不应 采用金属材料，除两端外，横截面应呈圆形，颜 色醒目。横杆固定在立柱上，中心自然下垂应小于 20mm</w:t>
            </w:r>
          </w:p>
        </w:tc>
        <w:tc>
          <w:tcPr>
            <w:tcW w:w="787" w:type="dxa"/>
            <w:noWrap w:val="0"/>
            <w:vAlign w:val="center"/>
          </w:tcPr>
          <w:p w14:paraId="6F64F5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F87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C7AB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67" w:type="dxa"/>
            <w:gridSpan w:val="2"/>
            <w:noWrap w:val="0"/>
            <w:vAlign w:val="center"/>
          </w:tcPr>
          <w:p w14:paraId="78A608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软式练习跨栏架</w:t>
            </w:r>
          </w:p>
        </w:tc>
        <w:tc>
          <w:tcPr>
            <w:tcW w:w="705" w:type="dxa"/>
            <w:gridSpan w:val="4"/>
            <w:noWrap w:val="0"/>
            <w:vAlign w:val="center"/>
          </w:tcPr>
          <w:p w14:paraId="2E392CF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E069B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0938FF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栏架长：700mm~800mm，底板宽：200mm~250mm，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横板宽：80mm~100mm;高度可三档调节 为:300mm、500mm、600mm</w:t>
            </w:r>
          </w:p>
        </w:tc>
        <w:tc>
          <w:tcPr>
            <w:tcW w:w="787" w:type="dxa"/>
            <w:noWrap w:val="0"/>
            <w:vAlign w:val="center"/>
          </w:tcPr>
          <w:p w14:paraId="24BAEB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86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DF22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67" w:type="dxa"/>
            <w:gridSpan w:val="2"/>
            <w:noWrap w:val="0"/>
            <w:vAlign w:val="center"/>
          </w:tcPr>
          <w:p w14:paraId="65154E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软式练习标枪</w:t>
            </w:r>
          </w:p>
        </w:tc>
        <w:tc>
          <w:tcPr>
            <w:tcW w:w="705" w:type="dxa"/>
            <w:gridSpan w:val="4"/>
            <w:noWrap w:val="0"/>
            <w:vAlign w:val="center"/>
          </w:tcPr>
          <w:p w14:paraId="10D1FC1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3EEF61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714777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枪身长 800mm~900mm，直径 ：45mm~50mm，软 质材料制成</w:t>
            </w:r>
          </w:p>
        </w:tc>
        <w:tc>
          <w:tcPr>
            <w:tcW w:w="787" w:type="dxa"/>
            <w:noWrap w:val="0"/>
            <w:vAlign w:val="center"/>
          </w:tcPr>
          <w:p w14:paraId="3B9F0F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EDE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7F8E4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67" w:type="dxa"/>
            <w:gridSpan w:val="2"/>
            <w:noWrap w:val="0"/>
            <w:vAlign w:val="center"/>
          </w:tcPr>
          <w:p w14:paraId="43927C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掷准练习标枪</w:t>
            </w:r>
          </w:p>
        </w:tc>
        <w:tc>
          <w:tcPr>
            <w:tcW w:w="705" w:type="dxa"/>
            <w:gridSpan w:val="4"/>
            <w:noWrap w:val="0"/>
            <w:vAlign w:val="center"/>
          </w:tcPr>
          <w:p w14:paraId="3895F1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292E8A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8B6AF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枪体长 300mm~320mm；呈橄榄状，枪体装有响 哨，柔软材料制成</w:t>
            </w:r>
          </w:p>
        </w:tc>
        <w:tc>
          <w:tcPr>
            <w:tcW w:w="787" w:type="dxa"/>
            <w:noWrap w:val="0"/>
            <w:vAlign w:val="center"/>
          </w:tcPr>
          <w:p w14:paraId="2B0246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45A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FE44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67" w:type="dxa"/>
            <w:gridSpan w:val="2"/>
            <w:noWrap w:val="0"/>
            <w:vAlign w:val="center"/>
          </w:tcPr>
          <w:p w14:paraId="7FA8BB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塑胶练习标枪</w:t>
            </w:r>
          </w:p>
        </w:tc>
        <w:tc>
          <w:tcPr>
            <w:tcW w:w="705" w:type="dxa"/>
            <w:gridSpan w:val="4"/>
            <w:noWrap w:val="0"/>
            <w:vAlign w:val="center"/>
          </w:tcPr>
          <w:p w14:paraId="318E126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3470F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5E1362E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枪体长 680mm，直径 35mm，质量 300g，枪头由 柔软塑胶材料制成</w:t>
            </w:r>
          </w:p>
        </w:tc>
        <w:tc>
          <w:tcPr>
            <w:tcW w:w="787" w:type="dxa"/>
            <w:noWrap w:val="0"/>
            <w:vAlign w:val="center"/>
          </w:tcPr>
          <w:p w14:paraId="4136C42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4B4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19F1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67" w:type="dxa"/>
            <w:gridSpan w:val="2"/>
            <w:noWrap w:val="0"/>
            <w:vAlign w:val="center"/>
          </w:tcPr>
          <w:p w14:paraId="75CD5C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软式教学铁饼</w:t>
            </w:r>
          </w:p>
        </w:tc>
        <w:tc>
          <w:tcPr>
            <w:tcW w:w="705" w:type="dxa"/>
            <w:gridSpan w:val="4"/>
            <w:noWrap w:val="0"/>
            <w:vAlign w:val="center"/>
          </w:tcPr>
          <w:p w14:paraId="12A3AA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780DB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15CCFD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 200mm~220mm,质量 400g；空心结构，边缘 为锯齿状，有把手，标有旋转方向箭头，柔软塑 胶材料制成</w:t>
            </w:r>
          </w:p>
        </w:tc>
        <w:tc>
          <w:tcPr>
            <w:tcW w:w="787" w:type="dxa"/>
            <w:noWrap w:val="0"/>
            <w:vAlign w:val="center"/>
          </w:tcPr>
          <w:p w14:paraId="529039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7B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00E05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67" w:type="dxa"/>
            <w:gridSpan w:val="2"/>
            <w:noWrap w:val="0"/>
            <w:vAlign w:val="center"/>
          </w:tcPr>
          <w:p w14:paraId="1DC790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软式练习铅球</w:t>
            </w:r>
          </w:p>
        </w:tc>
        <w:tc>
          <w:tcPr>
            <w:tcW w:w="705" w:type="dxa"/>
            <w:gridSpan w:val="4"/>
            <w:noWrap w:val="0"/>
            <w:vAlign w:val="center"/>
          </w:tcPr>
          <w:p w14:paraId="01BD5BA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12369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71971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 85mm~100mm，质量：1000g，外胆由柔软 塑胶材料制成</w:t>
            </w:r>
          </w:p>
        </w:tc>
        <w:tc>
          <w:tcPr>
            <w:tcW w:w="787" w:type="dxa"/>
            <w:noWrap w:val="0"/>
            <w:vAlign w:val="center"/>
          </w:tcPr>
          <w:p w14:paraId="5DDC8F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82F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C7E8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67" w:type="dxa"/>
            <w:gridSpan w:val="2"/>
            <w:noWrap w:val="0"/>
            <w:vAlign w:val="center"/>
          </w:tcPr>
          <w:p w14:paraId="348EC4E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软式趣味绳套</w:t>
            </w:r>
          </w:p>
        </w:tc>
        <w:tc>
          <w:tcPr>
            <w:tcW w:w="705" w:type="dxa"/>
            <w:gridSpan w:val="4"/>
            <w:noWrap w:val="0"/>
            <w:vAlign w:val="center"/>
          </w:tcPr>
          <w:p w14:paraId="67F7D97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28A576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524758A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长度 9500mm，每节长度 500mm，黑白或彩色相间； 可随意摆放成各种格子供跑跳练习，柔软泡沫材 料制成</w:t>
            </w:r>
          </w:p>
        </w:tc>
        <w:tc>
          <w:tcPr>
            <w:tcW w:w="787" w:type="dxa"/>
            <w:noWrap w:val="0"/>
            <w:vAlign w:val="center"/>
          </w:tcPr>
          <w:p w14:paraId="2CAE548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2E5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0B2AD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67" w:type="dxa"/>
            <w:gridSpan w:val="2"/>
            <w:noWrap w:val="0"/>
            <w:vAlign w:val="center"/>
          </w:tcPr>
          <w:p w14:paraId="6C5414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软式跳高横杆</w:t>
            </w:r>
          </w:p>
        </w:tc>
        <w:tc>
          <w:tcPr>
            <w:tcW w:w="705" w:type="dxa"/>
            <w:gridSpan w:val="4"/>
            <w:noWrap w:val="0"/>
            <w:vAlign w:val="center"/>
          </w:tcPr>
          <w:p w14:paraId="771133C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651E0C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1AEAA6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长度 3500mm，杆体直径 25mm~30mm；中间穿高 强度弹力绳，两边连接塑料绳扣，通过绳扣完成 横杆与立杆的快捷连接，杆体由柔软泡沫材料制 成</w:t>
            </w:r>
          </w:p>
        </w:tc>
        <w:tc>
          <w:tcPr>
            <w:tcW w:w="787" w:type="dxa"/>
            <w:noWrap w:val="0"/>
            <w:vAlign w:val="center"/>
          </w:tcPr>
          <w:p w14:paraId="20E0BD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EFA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F300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67" w:type="dxa"/>
            <w:gridSpan w:val="2"/>
            <w:noWrap w:val="0"/>
            <w:vAlign w:val="center"/>
          </w:tcPr>
          <w:p w14:paraId="4D58560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助跳板</w:t>
            </w:r>
          </w:p>
        </w:tc>
        <w:tc>
          <w:tcPr>
            <w:tcW w:w="705" w:type="dxa"/>
            <w:gridSpan w:val="4"/>
            <w:noWrap w:val="0"/>
            <w:vAlign w:val="center"/>
          </w:tcPr>
          <w:p w14:paraId="353580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50E28C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5F7196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1．助跳板长800mm，宽500mm,高220mm。上板厚14mm，下板厚20mm双簧。2．上盖有防滑层。3．S型弹簧，材质坚硬而富有弹性，表面漆层均匀光洁，木材无裂缝，无疤痕，不变形并经脱脂干燥处理。</w:t>
            </w:r>
          </w:p>
        </w:tc>
        <w:tc>
          <w:tcPr>
            <w:tcW w:w="787" w:type="dxa"/>
            <w:noWrap w:val="0"/>
            <w:vAlign w:val="center"/>
          </w:tcPr>
          <w:p w14:paraId="1C83FE9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E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C67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67" w:type="dxa"/>
            <w:gridSpan w:val="2"/>
            <w:noWrap w:val="0"/>
            <w:vAlign w:val="center"/>
          </w:tcPr>
          <w:p w14:paraId="5E0B59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山羊</w:t>
            </w:r>
          </w:p>
        </w:tc>
        <w:tc>
          <w:tcPr>
            <w:tcW w:w="705" w:type="dxa"/>
            <w:gridSpan w:val="4"/>
            <w:noWrap w:val="0"/>
            <w:vAlign w:val="center"/>
          </w:tcPr>
          <w:p w14:paraId="115CDD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9151C1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D59ED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升降800mm-1000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787" w:type="dxa"/>
            <w:noWrap w:val="0"/>
            <w:vAlign w:val="center"/>
          </w:tcPr>
          <w:p w14:paraId="4A1703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69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E1463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67" w:type="dxa"/>
            <w:gridSpan w:val="2"/>
            <w:noWrap w:val="0"/>
            <w:vAlign w:val="center"/>
          </w:tcPr>
          <w:p w14:paraId="17A2CE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单杠</w:t>
            </w:r>
          </w:p>
        </w:tc>
        <w:tc>
          <w:tcPr>
            <w:tcW w:w="705" w:type="dxa"/>
            <w:gridSpan w:val="4"/>
            <w:noWrap w:val="0"/>
            <w:vAlign w:val="center"/>
          </w:tcPr>
          <w:p w14:paraId="59B9DD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5D6D9E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A2529D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杠面高度：1200mm~2000mm，两立柱支点中心距： 2000mm~2400mm，横杠材料：弹簧钢，立柱材料： 钢管</w:t>
            </w:r>
          </w:p>
        </w:tc>
        <w:tc>
          <w:tcPr>
            <w:tcW w:w="787" w:type="dxa"/>
            <w:noWrap w:val="0"/>
            <w:vAlign w:val="center"/>
          </w:tcPr>
          <w:p w14:paraId="1F43E2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EFC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7972D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67" w:type="dxa"/>
            <w:gridSpan w:val="2"/>
            <w:noWrap w:val="0"/>
            <w:vAlign w:val="center"/>
          </w:tcPr>
          <w:p w14:paraId="499A6C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双杠</w:t>
            </w:r>
          </w:p>
        </w:tc>
        <w:tc>
          <w:tcPr>
            <w:tcW w:w="705" w:type="dxa"/>
            <w:gridSpan w:val="4"/>
            <w:noWrap w:val="0"/>
            <w:vAlign w:val="center"/>
          </w:tcPr>
          <w:p w14:paraId="5CA5F36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1DB648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939B2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木制钢筋加固杠面或其他同等强度及性能的材 料，杠高 1000mm~1300mm，杠长 2700mm~    3000mm，两杠内侧距离 320mm~520mm，纵向立 轴中心距 1800mm~2000mm，升降间距 50mm</w:t>
            </w:r>
          </w:p>
        </w:tc>
        <w:tc>
          <w:tcPr>
            <w:tcW w:w="787" w:type="dxa"/>
            <w:noWrap w:val="0"/>
            <w:vAlign w:val="center"/>
          </w:tcPr>
          <w:p w14:paraId="6125CF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C77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EC4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67" w:type="dxa"/>
            <w:gridSpan w:val="2"/>
            <w:noWrap w:val="0"/>
            <w:vAlign w:val="center"/>
          </w:tcPr>
          <w:p w14:paraId="3962E2C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小跳垫</w:t>
            </w:r>
          </w:p>
        </w:tc>
        <w:tc>
          <w:tcPr>
            <w:tcW w:w="705" w:type="dxa"/>
            <w:gridSpan w:val="4"/>
            <w:noWrap w:val="0"/>
            <w:vAlign w:val="center"/>
          </w:tcPr>
          <w:p w14:paraId="16F768A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620473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75DBA5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采用泡沫塑料和泡沫乳胶，帆布或人造革外皮， 长 1200mm±5mm,宽 600mm±5mm,厚≥50mm。在长 度方向可对半折叠，两侧应各有提手，四周加装 粘扣</w:t>
            </w:r>
          </w:p>
        </w:tc>
        <w:tc>
          <w:tcPr>
            <w:tcW w:w="787" w:type="dxa"/>
            <w:noWrap w:val="0"/>
            <w:vAlign w:val="center"/>
          </w:tcPr>
          <w:p w14:paraId="6B8D2ED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AAD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3A090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67" w:type="dxa"/>
            <w:gridSpan w:val="2"/>
            <w:noWrap w:val="0"/>
            <w:vAlign w:val="center"/>
          </w:tcPr>
          <w:p w14:paraId="4BB3B6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大跳垫</w:t>
            </w:r>
          </w:p>
        </w:tc>
        <w:tc>
          <w:tcPr>
            <w:tcW w:w="705" w:type="dxa"/>
            <w:gridSpan w:val="4"/>
            <w:noWrap w:val="0"/>
            <w:vAlign w:val="center"/>
          </w:tcPr>
          <w:p w14:paraId="1204687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03F0F6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683A9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采用泡沫塑料和泡沫乳胶，帆布或人造革外皮， 长 2000mm±5mm,宽 1000mm±5mm,厚≥100mm。在 长度方向可对半折叠，两侧应各有提手，四周加 装粘扣</w:t>
            </w:r>
          </w:p>
        </w:tc>
        <w:tc>
          <w:tcPr>
            <w:tcW w:w="787" w:type="dxa"/>
            <w:noWrap w:val="0"/>
            <w:vAlign w:val="center"/>
          </w:tcPr>
          <w:p w14:paraId="70BADE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3A2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86FFB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67" w:type="dxa"/>
            <w:gridSpan w:val="2"/>
            <w:noWrap w:val="0"/>
            <w:vAlign w:val="center"/>
          </w:tcPr>
          <w:p w14:paraId="4769A3F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体操凳</w:t>
            </w:r>
          </w:p>
        </w:tc>
        <w:tc>
          <w:tcPr>
            <w:tcW w:w="705" w:type="dxa"/>
            <w:gridSpan w:val="4"/>
            <w:noWrap w:val="0"/>
            <w:vAlign w:val="center"/>
          </w:tcPr>
          <w:p w14:paraId="53CEDBB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1BB92F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506EA18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Ⅱ型：长 2000mm±10mm,宽不小于 200mm,高不小于280mm，板面厚度 40mm~50mm</w:t>
            </w:r>
          </w:p>
        </w:tc>
        <w:tc>
          <w:tcPr>
            <w:tcW w:w="787" w:type="dxa"/>
            <w:noWrap w:val="0"/>
            <w:vAlign w:val="center"/>
          </w:tcPr>
          <w:p w14:paraId="0CC74A1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39C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315E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67" w:type="dxa"/>
            <w:gridSpan w:val="2"/>
            <w:noWrap w:val="0"/>
            <w:vAlign w:val="center"/>
          </w:tcPr>
          <w:p w14:paraId="1B5C12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小学用篮球架</w:t>
            </w:r>
          </w:p>
        </w:tc>
        <w:tc>
          <w:tcPr>
            <w:tcW w:w="705" w:type="dxa"/>
            <w:gridSpan w:val="4"/>
            <w:noWrap w:val="0"/>
            <w:vAlign w:val="center"/>
          </w:tcPr>
          <w:p w14:paraId="1E9C990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621996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5296E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篮圈高 2350mm±8mm (4~6 年级)</w:t>
            </w:r>
          </w:p>
        </w:tc>
        <w:tc>
          <w:tcPr>
            <w:tcW w:w="787" w:type="dxa"/>
            <w:noWrap w:val="0"/>
            <w:vAlign w:val="center"/>
          </w:tcPr>
          <w:p w14:paraId="6142308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D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12435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67" w:type="dxa"/>
            <w:gridSpan w:val="2"/>
            <w:noWrap w:val="0"/>
            <w:vAlign w:val="center"/>
          </w:tcPr>
          <w:p w14:paraId="777D52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排球网柱</w:t>
            </w:r>
          </w:p>
        </w:tc>
        <w:tc>
          <w:tcPr>
            <w:tcW w:w="705" w:type="dxa"/>
            <w:gridSpan w:val="4"/>
            <w:noWrap w:val="0"/>
            <w:vAlign w:val="center"/>
          </w:tcPr>
          <w:p w14:paraId="17265D1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2C335C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2D8EA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移动配重式，可调，网柱高度：1920mm±5mm， 拉网中央高度 1800mm±5mm</w:t>
            </w:r>
          </w:p>
        </w:tc>
        <w:tc>
          <w:tcPr>
            <w:tcW w:w="787" w:type="dxa"/>
            <w:noWrap w:val="0"/>
            <w:vAlign w:val="center"/>
          </w:tcPr>
          <w:p w14:paraId="7B1E14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1D8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F03A9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67" w:type="dxa"/>
            <w:gridSpan w:val="2"/>
            <w:noWrap w:val="0"/>
            <w:vAlign w:val="center"/>
          </w:tcPr>
          <w:p w14:paraId="3B05B2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w:t>
            </w:r>
          </w:p>
        </w:tc>
        <w:tc>
          <w:tcPr>
            <w:tcW w:w="705" w:type="dxa"/>
            <w:gridSpan w:val="4"/>
            <w:noWrap w:val="0"/>
            <w:vAlign w:val="center"/>
          </w:tcPr>
          <w:p w14:paraId="3F5DF0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3AE3F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48AD95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排球网长度 9500mm~10000mm，宽度 700mm± 25mm</w:t>
            </w:r>
          </w:p>
        </w:tc>
        <w:tc>
          <w:tcPr>
            <w:tcW w:w="787" w:type="dxa"/>
            <w:noWrap w:val="0"/>
            <w:vAlign w:val="center"/>
          </w:tcPr>
          <w:p w14:paraId="5F1DFA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CE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6509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30</w:t>
            </w:r>
          </w:p>
        </w:tc>
        <w:tc>
          <w:tcPr>
            <w:tcW w:w="867" w:type="dxa"/>
            <w:gridSpan w:val="2"/>
            <w:noWrap w:val="0"/>
            <w:vAlign w:val="center"/>
          </w:tcPr>
          <w:p w14:paraId="68FC50B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乒乓球台</w:t>
            </w:r>
          </w:p>
        </w:tc>
        <w:tc>
          <w:tcPr>
            <w:tcW w:w="705" w:type="dxa"/>
            <w:gridSpan w:val="4"/>
            <w:noWrap w:val="0"/>
            <w:vAlign w:val="center"/>
          </w:tcPr>
          <w:p w14:paraId="5740F56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1C7A7A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3C2ED5F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1、台面尺寸规格：≥2740mm×1525mm,台高≥760mm，配置铁制球网高150mm，长1530mm，符合标准要求。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2、球台台面采用SMC材料，整体高温模压一次成型，球台台面四角为R型弧角，不能为直角，能有效防止运动员在使用中受到尖锐碰击。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3、台面翻边高度15mm。背面小方格内有对角加强筋，高3mm，宽5mm；台面与彩虹支腿连接处台面背面采用“井”字形用20mm×30mm的方管加固框连接。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5、底架采用彩虹腿设计结构，Φ60mm优质钢管，保证整体的稳定性；台腿外边距两端台边280mm，任何撑档离地大于230mm，保证使用者的运动安全。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6、球台网及网架防锈、防松、防损坏；焊接严密牢固、无漏焊、虚焊、包渣、裂纹等缺陷。</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7、器材不允许有钩挂、卡夹等潜在危险，表面处理采用抛光工艺，除锈彻底，增大工件表面面积，增强塑粉附着力，外表面环保静电粉末。</w:t>
            </w:r>
          </w:p>
        </w:tc>
        <w:tc>
          <w:tcPr>
            <w:tcW w:w="787" w:type="dxa"/>
            <w:noWrap w:val="0"/>
            <w:vAlign w:val="center"/>
          </w:tcPr>
          <w:p w14:paraId="1714B1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B8D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4DD8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31</w:t>
            </w:r>
          </w:p>
        </w:tc>
        <w:tc>
          <w:tcPr>
            <w:tcW w:w="867" w:type="dxa"/>
            <w:gridSpan w:val="2"/>
            <w:noWrap w:val="0"/>
            <w:vAlign w:val="center"/>
          </w:tcPr>
          <w:p w14:paraId="5EDBFC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羽毛球网柱</w:t>
            </w:r>
          </w:p>
        </w:tc>
        <w:tc>
          <w:tcPr>
            <w:tcW w:w="705" w:type="dxa"/>
            <w:gridSpan w:val="4"/>
            <w:noWrap w:val="0"/>
            <w:vAlign w:val="center"/>
          </w:tcPr>
          <w:p w14:paraId="7B58C5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付</w:t>
            </w:r>
          </w:p>
        </w:tc>
        <w:tc>
          <w:tcPr>
            <w:tcW w:w="572" w:type="dxa"/>
            <w:noWrap w:val="0"/>
            <w:vAlign w:val="center"/>
          </w:tcPr>
          <w:p w14:paraId="6FB6FA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FD0D14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1．移动式。底座外形尺寸：400mm*300mm*170mm，石子配重90kg，底部配有滚轮，移动静音，使用方便，室内室外通用。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4.各部件焊接应严密牢固，不应有漏焊、虚焊、裂纹等缺陷。</w:t>
            </w:r>
          </w:p>
        </w:tc>
        <w:tc>
          <w:tcPr>
            <w:tcW w:w="787" w:type="dxa"/>
            <w:noWrap w:val="0"/>
            <w:vAlign w:val="center"/>
          </w:tcPr>
          <w:p w14:paraId="1622AF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FDE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609" w:type="dxa"/>
            <w:noWrap w:val="0"/>
            <w:vAlign w:val="center"/>
          </w:tcPr>
          <w:p w14:paraId="4B5ECA4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32</w:t>
            </w:r>
          </w:p>
        </w:tc>
        <w:tc>
          <w:tcPr>
            <w:tcW w:w="867" w:type="dxa"/>
            <w:gridSpan w:val="2"/>
            <w:noWrap w:val="0"/>
            <w:vAlign w:val="center"/>
          </w:tcPr>
          <w:p w14:paraId="6E7524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w:t>
            </w:r>
          </w:p>
        </w:tc>
        <w:tc>
          <w:tcPr>
            <w:tcW w:w="705" w:type="dxa"/>
            <w:gridSpan w:val="4"/>
            <w:noWrap w:val="0"/>
            <w:vAlign w:val="center"/>
          </w:tcPr>
          <w:p w14:paraId="1A5637C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1DE257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471E93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羽毛球网长度≥6100mm，宽度 500mm±25mm</w:t>
            </w:r>
          </w:p>
        </w:tc>
        <w:tc>
          <w:tcPr>
            <w:tcW w:w="787" w:type="dxa"/>
            <w:noWrap w:val="0"/>
            <w:vAlign w:val="center"/>
          </w:tcPr>
          <w:p w14:paraId="26AC8C1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C4F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9EE95A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33</w:t>
            </w:r>
          </w:p>
        </w:tc>
        <w:tc>
          <w:tcPr>
            <w:tcW w:w="867" w:type="dxa"/>
            <w:gridSpan w:val="2"/>
            <w:noWrap w:val="0"/>
            <w:vAlign w:val="center"/>
          </w:tcPr>
          <w:p w14:paraId="3709EC2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拔河绳</w:t>
            </w:r>
          </w:p>
        </w:tc>
        <w:tc>
          <w:tcPr>
            <w:tcW w:w="705" w:type="dxa"/>
            <w:gridSpan w:val="4"/>
            <w:noWrap w:val="0"/>
            <w:vAlign w:val="center"/>
          </w:tcPr>
          <w:p w14:paraId="428B7B2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根</w:t>
            </w:r>
          </w:p>
        </w:tc>
        <w:tc>
          <w:tcPr>
            <w:tcW w:w="572" w:type="dxa"/>
            <w:noWrap w:val="0"/>
            <w:vAlign w:val="center"/>
          </w:tcPr>
          <w:p w14:paraId="3ACF6D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EA412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长30m,质量 10kg 左右,采用天然麻棕线绞制</w:t>
            </w:r>
          </w:p>
        </w:tc>
        <w:tc>
          <w:tcPr>
            <w:tcW w:w="787" w:type="dxa"/>
            <w:noWrap w:val="0"/>
            <w:vAlign w:val="center"/>
          </w:tcPr>
          <w:p w14:paraId="3F9696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8F0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C2B83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34</w:t>
            </w:r>
          </w:p>
        </w:tc>
        <w:tc>
          <w:tcPr>
            <w:tcW w:w="867" w:type="dxa"/>
            <w:gridSpan w:val="2"/>
            <w:noWrap w:val="0"/>
            <w:vAlign w:val="center"/>
          </w:tcPr>
          <w:p w14:paraId="20277A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手动记分牌</w:t>
            </w:r>
          </w:p>
        </w:tc>
        <w:tc>
          <w:tcPr>
            <w:tcW w:w="705" w:type="dxa"/>
            <w:gridSpan w:val="4"/>
            <w:noWrap w:val="0"/>
            <w:vAlign w:val="center"/>
          </w:tcPr>
          <w:p w14:paraId="336EF96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D34AC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79588C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手动翻分，局分 0~5，比分 0~999</w:t>
            </w:r>
          </w:p>
        </w:tc>
        <w:tc>
          <w:tcPr>
            <w:tcW w:w="787" w:type="dxa"/>
            <w:noWrap w:val="0"/>
            <w:vAlign w:val="center"/>
          </w:tcPr>
          <w:p w14:paraId="7D15A1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CBF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514A718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九、音乐教学器材</w:t>
            </w:r>
          </w:p>
        </w:tc>
      </w:tr>
      <w:tr w14:paraId="2E14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0B3EA7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29E4FB3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1292BC85">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73352AD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67C3523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D01C17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56D6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595E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2" w:type="dxa"/>
            <w:gridSpan w:val="3"/>
            <w:noWrap w:val="0"/>
            <w:vAlign w:val="center"/>
          </w:tcPr>
          <w:p w14:paraId="1ABCBA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钢琴</w:t>
            </w:r>
          </w:p>
        </w:tc>
        <w:tc>
          <w:tcPr>
            <w:tcW w:w="690" w:type="dxa"/>
            <w:gridSpan w:val="3"/>
            <w:noWrap w:val="0"/>
            <w:vAlign w:val="center"/>
          </w:tcPr>
          <w:p w14:paraId="36E36AE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34E26C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CD68B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1.尺寸: L1530mm x H1210mm x W610mm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2.颜色: 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3.铁板: 大尺寸全围铁牌，采用传统翻砂铸造工艺，高度 113cm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4.弦槌: 纯羊毛毡，优质红木榔头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5.制音毡: 平板毡、三角毡和坑毡采用欧洲顶级羊毛毡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6.琴弦: 圆形弦，镀锡防锈钢线,最大有效弦长 118.5cm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7.击弦机: 运动木制件为优质实木材料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8.音板 :优质云杉木制作的加强实木音板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9.肋木: 11根优质云杉木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10.弦轴板 :18层优质硬木交错拼接弦轴板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11.键盘 :实木云杉木黑键，砝码平衡加铅处理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12.音头纽: 不易变形优质角木材料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13.连接顶杆: 不易变形优质角木材料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14.中盘 :优质松木细木工板</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15.弦码 :榉木多层板制作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16.背柱: 五根背柱榫接技术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17.钢琴凳: 原装实木皮革升降琴凳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18.五金配件: 精钢五金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19.内置缓降器、键盘布 、擦琴手套、脚轮脚垫 、保养 剂、防潮管。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20.显示器 43.8（4K高清）处理器 英特尔 第四代酷睿i5-4460 @ 3.2GHz 四核</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21.输入电压： 220V~240V，输出电压直流：40V、9V，电源功率：650W。</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22.力度级别：256级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23.击键频数：9次以上/秒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24.支持30个同时按键数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25.持续播放时间：24小时以上</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26.支持中小学课本乐谱及拓展乐谱的自动演奏。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27.支持踏板、调音、连音、顿音等变音记号的自动演奏。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28.MIDI接口与USB两种接口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29.自动检测：支持</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30.支持中小学数字化音乐教学系统链接，支持五线谱简谱双乐谱演奏驱动。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31.支持乐谱速度调节，乐谱任意位置演奏、单音演奏。</w:t>
            </w:r>
          </w:p>
        </w:tc>
        <w:tc>
          <w:tcPr>
            <w:tcW w:w="787" w:type="dxa"/>
            <w:noWrap w:val="0"/>
            <w:vAlign w:val="center"/>
          </w:tcPr>
          <w:p w14:paraId="55AD0A9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B3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0FB4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58A51B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近距离背夹麦克风</w:t>
            </w:r>
          </w:p>
        </w:tc>
        <w:tc>
          <w:tcPr>
            <w:tcW w:w="690" w:type="dxa"/>
            <w:gridSpan w:val="3"/>
            <w:noWrap w:val="0"/>
            <w:vAlign w:val="center"/>
          </w:tcPr>
          <w:p w14:paraId="72C85EE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E2C20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0443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1.高精密咪头，高精度分离式线路；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2.咪头具有全向等指向特性，高灵敏度拾音；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3.频响宽，失真小，动态范围大；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4.灵敏度衰减开关，应对大动态拾音场合；</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5.低功耗，使用时间更持久。</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参数说明：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1.麦克风尺寸：32.5×24×49mm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2.麦克风重量：21g *2</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3.电池容量：200mAh</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4.充电时间：&lt;2H</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5.充电输入接口:TYPE-C</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6.关机功耗:仓内&lt;20uA，仓外200uA。</w:t>
            </w:r>
          </w:p>
        </w:tc>
        <w:tc>
          <w:tcPr>
            <w:tcW w:w="787" w:type="dxa"/>
            <w:noWrap w:val="0"/>
            <w:vAlign w:val="center"/>
          </w:tcPr>
          <w:p w14:paraId="4B28631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803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4DBC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5EEDA6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智慧终端</w:t>
            </w:r>
          </w:p>
        </w:tc>
        <w:tc>
          <w:tcPr>
            <w:tcW w:w="690" w:type="dxa"/>
            <w:gridSpan w:val="3"/>
            <w:noWrap w:val="0"/>
            <w:vAlign w:val="center"/>
          </w:tcPr>
          <w:p w14:paraId="5DBFC8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B19E6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34A0696D">
            <w:pPr>
              <w:keepNext w:val="0"/>
              <w:keepLines w:val="0"/>
              <w:pageBreakBefore w:val="0"/>
              <w:kinsoku/>
              <w:wordWrap/>
              <w:overflowPunct/>
              <w:topLinePunct w:val="0"/>
              <w:bidi w:val="0"/>
              <w:spacing w:line="440" w:lineRule="exact"/>
              <w:ind w:firstLine="0" w:firstLineChars="0"/>
              <w:jc w:val="left"/>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1.壁挂式安装，设备收放自如；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2.双话筒、线路输入、输出，学生、老师高效双向沟通；</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3.带蓝牙无线连接、AUX接口，更方便快捷的连接方式，可直接同步电脑、手机音频，播放WMA、MP3、MP4等格式音频；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4.NFC卡片解锁，设备安全防护；</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5.设备即放即充，快速充电；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6.多EQ选择，适应不同教学环境。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参数说明：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1.终端机尺寸：148.5*109.5*43.5mm；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2.终端机重量：267g；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3.音频输出接口：Aux、RCA接口；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4.充电电压：5V；</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5.充电电流：&lt; 500mA。</w:t>
            </w:r>
          </w:p>
        </w:tc>
        <w:tc>
          <w:tcPr>
            <w:tcW w:w="787" w:type="dxa"/>
            <w:noWrap w:val="0"/>
            <w:vAlign w:val="center"/>
          </w:tcPr>
          <w:p w14:paraId="172BCA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2DA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7D0B71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211728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扬声器</w:t>
            </w:r>
          </w:p>
        </w:tc>
        <w:tc>
          <w:tcPr>
            <w:tcW w:w="690" w:type="dxa"/>
            <w:gridSpan w:val="3"/>
            <w:noWrap w:val="0"/>
            <w:vAlign w:val="center"/>
          </w:tcPr>
          <w:p w14:paraId="26CD750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355550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E7AECC5">
            <w:pPr>
              <w:keepNext w:val="0"/>
              <w:keepLines w:val="0"/>
              <w:pageBreakBefore w:val="0"/>
              <w:kinsoku/>
              <w:wordWrap/>
              <w:overflowPunct/>
              <w:topLinePunct w:val="0"/>
              <w:bidi w:val="0"/>
              <w:spacing w:line="440" w:lineRule="exact"/>
              <w:ind w:firstLine="0" w:firstLineChars="0"/>
              <w:jc w:val="left"/>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产品特点：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1.多点M8吊挂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2.金属防护网，6mm圆形透声孔</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可280°调节音响角度，适应不同安装环境。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技术指标：</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1.功率：20W；</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2.喇叭额定阻抗： 8Ω；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3.特性灵敏度：1.6KHZ（0 dB）；</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4.输出声压级：1M 1W  88d；</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5.额定频率范围:20HZ~20KHZ；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6.音频频率响应范围：20HZ~20KHZ；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7.覆盖角度H×V：135°；</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8.扬声器单元：2*4；</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9.扬声器尺寸:148.5*109.5*43.5mm；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10.扬声器主机：1868g；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11.扬声器副机：1800g * 3；</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12.音频输入接口：RCA接口。</w:t>
            </w:r>
          </w:p>
        </w:tc>
        <w:tc>
          <w:tcPr>
            <w:tcW w:w="787" w:type="dxa"/>
            <w:noWrap w:val="0"/>
            <w:vAlign w:val="center"/>
          </w:tcPr>
          <w:p w14:paraId="32C2FE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142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A81C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248BF03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节拍器</w:t>
            </w:r>
          </w:p>
        </w:tc>
        <w:tc>
          <w:tcPr>
            <w:tcW w:w="690" w:type="dxa"/>
            <w:gridSpan w:val="3"/>
            <w:noWrap w:val="0"/>
            <w:vAlign w:val="center"/>
          </w:tcPr>
          <w:p w14:paraId="3ACA638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779B11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4BA14B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1.节拍速度：40-208拍/分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2.拍子型：0、2、3、4、6五种选择。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3.节拍音色：机械声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4.尺寸：110*110*220mm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5.颜色：黒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6.结构：金属大机芯。</w:t>
            </w:r>
          </w:p>
        </w:tc>
        <w:tc>
          <w:tcPr>
            <w:tcW w:w="787" w:type="dxa"/>
            <w:noWrap w:val="0"/>
            <w:vAlign w:val="center"/>
          </w:tcPr>
          <w:p w14:paraId="6F9EA0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325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E4E98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0874649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音筒</w:t>
            </w:r>
          </w:p>
        </w:tc>
        <w:tc>
          <w:tcPr>
            <w:tcW w:w="690" w:type="dxa"/>
            <w:gridSpan w:val="3"/>
            <w:noWrap w:val="0"/>
            <w:vAlign w:val="center"/>
          </w:tcPr>
          <w:p w14:paraId="397930E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5363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C0622D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1、材质：塑料，八个一组；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2、外观：八中颜色、色泽均匀，光滑，无劈裂，与人体接触部位无锐利边角及毛刺。无变型；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3、音质：音准-25～+15音分；发音清脆，音高清晰可辨，无其他杂音；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 直径：4.2cm，筒长分别为30cm,31.8cm,36cm,41.5cm,46.5cm,48.9cm,55.4cm,61.8cm（误差±0.5mm）。</w:t>
            </w:r>
          </w:p>
        </w:tc>
        <w:tc>
          <w:tcPr>
            <w:tcW w:w="787" w:type="dxa"/>
            <w:noWrap w:val="0"/>
            <w:vAlign w:val="center"/>
          </w:tcPr>
          <w:p w14:paraId="07A01A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A85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EBC515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770A15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音条</w:t>
            </w:r>
          </w:p>
        </w:tc>
        <w:tc>
          <w:tcPr>
            <w:tcW w:w="690" w:type="dxa"/>
            <w:gridSpan w:val="3"/>
            <w:noWrap w:val="0"/>
            <w:vAlign w:val="center"/>
          </w:tcPr>
          <w:p w14:paraId="497D66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B00BB1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C7018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1.构成：由实木制六面体音箱和铝片构成，带有便携带木盒，                                                                                                                                                                                           2.组成部分：音条、发音箱、琴锤，产品表面镀层牢固、完整、光亮，</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3.规格：铝制17块音块组成，规格：最长音块≧210mm、最短音块≧140mm；音块高≧40mm；音块的铝板琴片厚度≧5mm；  木盒尺寸：555*470*75mm                                                                                                                                                              4.音色：C-E.音灵敏，主音清晰，悦耳，音色饱满，共鸣好，无杂音；音准符合标准要求。</w:t>
            </w:r>
          </w:p>
        </w:tc>
        <w:tc>
          <w:tcPr>
            <w:tcW w:w="787" w:type="dxa"/>
            <w:noWrap w:val="0"/>
            <w:vAlign w:val="center"/>
          </w:tcPr>
          <w:p w14:paraId="61E48CD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77E7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95C15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4F432D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钟琴</w:t>
            </w:r>
          </w:p>
        </w:tc>
        <w:tc>
          <w:tcPr>
            <w:tcW w:w="690" w:type="dxa"/>
            <w:gridSpan w:val="3"/>
            <w:noWrap w:val="0"/>
            <w:vAlign w:val="center"/>
          </w:tcPr>
          <w:p w14:paraId="01BDBC4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7BB1E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5C0FA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 xml:space="preserve">1、材质：优质铝制，木框架，音域4个八度（高、中、低音）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2、音阶：32音，F-C.工艺：抛光打磨去峰边，铝片材质：优质铝材，琴键为银色铝板，琴架为风干木可区分音，能演示高、中、低音。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3、尺寸：琴身总长度长度约61cm，大头宽度约35.5cm，小头宽度约15.5cm。</w:t>
            </w:r>
          </w:p>
        </w:tc>
        <w:tc>
          <w:tcPr>
            <w:tcW w:w="787" w:type="dxa"/>
            <w:noWrap w:val="0"/>
            <w:vAlign w:val="center"/>
          </w:tcPr>
          <w:p w14:paraId="6C1BD5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7E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A861A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2BACA02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沙锤</w:t>
            </w:r>
          </w:p>
        </w:tc>
        <w:tc>
          <w:tcPr>
            <w:tcW w:w="690" w:type="dxa"/>
            <w:gridSpan w:val="3"/>
            <w:noWrap w:val="0"/>
            <w:vAlign w:val="center"/>
          </w:tcPr>
          <w:p w14:paraId="1786AC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135D58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0AEBE8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2、外观：色漆，表面光滑；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3、音质：声音明亮清脆；无其他噪音；可发“沙拉拉”音响效果；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4、尺寸:锤体直径：55-60mm；锤体长度：95-100mm；手柄直径： 10-20mm；手柄长度：105-110mm。</w:t>
            </w:r>
          </w:p>
        </w:tc>
        <w:tc>
          <w:tcPr>
            <w:tcW w:w="787" w:type="dxa"/>
            <w:noWrap w:val="0"/>
            <w:vAlign w:val="center"/>
          </w:tcPr>
          <w:p w14:paraId="7A8969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48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AA7CF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7BCF242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沙筒</w:t>
            </w:r>
          </w:p>
        </w:tc>
        <w:tc>
          <w:tcPr>
            <w:tcW w:w="690" w:type="dxa"/>
            <w:gridSpan w:val="3"/>
            <w:noWrap w:val="0"/>
            <w:vAlign w:val="center"/>
          </w:tcPr>
          <w:p w14:paraId="3881757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0267AD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1ECA68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2、外观：表面光滑；木质圆柱形;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3、音质：声音明亮清脆；可发“沙拉拉”音响效果；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4、尺寸:直径：40-45mm；长度：140-145mm。</w:t>
            </w:r>
          </w:p>
        </w:tc>
        <w:tc>
          <w:tcPr>
            <w:tcW w:w="787" w:type="dxa"/>
            <w:noWrap w:val="0"/>
            <w:vAlign w:val="center"/>
          </w:tcPr>
          <w:p w14:paraId="3D07618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040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9F4109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5DF9A7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摇铃（5铃）</w:t>
            </w:r>
          </w:p>
        </w:tc>
        <w:tc>
          <w:tcPr>
            <w:tcW w:w="690" w:type="dxa"/>
            <w:gridSpan w:val="3"/>
            <w:noWrap w:val="0"/>
            <w:vAlign w:val="center"/>
          </w:tcPr>
          <w:p w14:paraId="4CD70C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6ABA21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387039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1、材质：金属铃铛、榉木把手；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2、外观：表面光滑，铃铛表面镀镍；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3、音质：声音清脆；持上下摇摆发声；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4、尺寸:宽敞：60-70mm；片长度：190-195mm；板头片厚：1.5-2.5mm；手柄长度：100-105mm；铃铛数：5个。</w:t>
            </w:r>
          </w:p>
        </w:tc>
        <w:tc>
          <w:tcPr>
            <w:tcW w:w="787" w:type="dxa"/>
            <w:noWrap w:val="0"/>
            <w:vAlign w:val="center"/>
          </w:tcPr>
          <w:p w14:paraId="040C23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DB2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99F6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0007F7E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棒铃（21铃）</w:t>
            </w:r>
          </w:p>
        </w:tc>
        <w:tc>
          <w:tcPr>
            <w:tcW w:w="690" w:type="dxa"/>
            <w:gridSpan w:val="3"/>
            <w:noWrap w:val="0"/>
            <w:vAlign w:val="center"/>
          </w:tcPr>
          <w:p w14:paraId="224CFF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42403F9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2AAE6A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1、材质：金属铃铛，榉木主体；</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2、外观：表面光滑，铃铛表面镀镍；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3、音质：明亮、清脆；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 长度205-210mm；手柄直径：16-20mm；手柄长度：90-95mm；铃铛直径：18-22mm；重量：120-125g。</w:t>
            </w:r>
          </w:p>
        </w:tc>
        <w:tc>
          <w:tcPr>
            <w:tcW w:w="787" w:type="dxa"/>
            <w:noWrap w:val="0"/>
            <w:vAlign w:val="center"/>
          </w:tcPr>
          <w:p w14:paraId="4551DF9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ED0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84C38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5ABAE9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双响筒</w:t>
            </w:r>
          </w:p>
        </w:tc>
        <w:tc>
          <w:tcPr>
            <w:tcW w:w="690" w:type="dxa"/>
            <w:gridSpan w:val="3"/>
            <w:noWrap w:val="0"/>
            <w:vAlign w:val="center"/>
          </w:tcPr>
          <w:p w14:paraId="6314328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D2B04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22DA51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2、外观：产品表面光滑，完整、光亮，无脱皮、裂痕现象；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4、尺寸:直径30-35mm；长度：185-190mm；手柄直径：15-17mm；击锤长度：160-165mm；高音一侧：45-50mm；低音一侧：55-60mm。</w:t>
            </w:r>
          </w:p>
        </w:tc>
        <w:tc>
          <w:tcPr>
            <w:tcW w:w="787" w:type="dxa"/>
            <w:noWrap w:val="0"/>
            <w:vAlign w:val="center"/>
          </w:tcPr>
          <w:p w14:paraId="218DC44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542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2956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33B8B5D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响板（木舞板）</w:t>
            </w:r>
          </w:p>
        </w:tc>
        <w:tc>
          <w:tcPr>
            <w:tcW w:w="690" w:type="dxa"/>
            <w:gridSpan w:val="3"/>
            <w:noWrap w:val="0"/>
            <w:vAlign w:val="center"/>
          </w:tcPr>
          <w:p w14:paraId="353299B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0324D8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642404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2、外观：表面光滑完整；圆形，主板及盖板各有两个孔，主板夹在两盖板中间，用线绳穿过两圆孔串联在一起；</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4、尺寸:直径55-60mm;长度：205-210mm。</w:t>
            </w:r>
          </w:p>
        </w:tc>
        <w:tc>
          <w:tcPr>
            <w:tcW w:w="787" w:type="dxa"/>
            <w:noWrap w:val="0"/>
            <w:vAlign w:val="center"/>
          </w:tcPr>
          <w:p w14:paraId="6F70CC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68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BB01B2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82" w:type="dxa"/>
            <w:gridSpan w:val="3"/>
            <w:noWrap w:val="0"/>
            <w:vAlign w:val="center"/>
          </w:tcPr>
          <w:p w14:paraId="2C0D77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响棒</w:t>
            </w:r>
          </w:p>
        </w:tc>
        <w:tc>
          <w:tcPr>
            <w:tcW w:w="690" w:type="dxa"/>
            <w:gridSpan w:val="3"/>
            <w:noWrap w:val="0"/>
            <w:vAlign w:val="center"/>
          </w:tcPr>
          <w:p w14:paraId="7140594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081256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5E9D42F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2、外观：无锐利边角，毛刺，涂饰均匀；两根为一对；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3、音质：清脆悦耳；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4、尺寸:直径20-25mm;长度：195-200mm。</w:t>
            </w:r>
          </w:p>
        </w:tc>
        <w:tc>
          <w:tcPr>
            <w:tcW w:w="787" w:type="dxa"/>
            <w:noWrap w:val="0"/>
            <w:vAlign w:val="center"/>
          </w:tcPr>
          <w:p w14:paraId="1E2D003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7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8BA7B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82" w:type="dxa"/>
            <w:gridSpan w:val="3"/>
            <w:noWrap w:val="0"/>
            <w:vAlign w:val="center"/>
          </w:tcPr>
          <w:p w14:paraId="6BF09A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刮棒</w:t>
            </w:r>
          </w:p>
        </w:tc>
        <w:tc>
          <w:tcPr>
            <w:tcW w:w="690" w:type="dxa"/>
            <w:gridSpan w:val="3"/>
            <w:noWrap w:val="0"/>
            <w:vAlign w:val="center"/>
          </w:tcPr>
          <w:p w14:paraId="0628D8F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29637FA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top"/>
          </w:tcPr>
          <w:p w14:paraId="379FAC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2、外观：刮棱尺寸均匀，无锐利边角，毛刺，涂饰均匀；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3、音质：音质清脆，悦耳；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4、尺寸:直径：20-25mm;长度：215-220mm。</w:t>
            </w:r>
          </w:p>
        </w:tc>
        <w:tc>
          <w:tcPr>
            <w:tcW w:w="787" w:type="dxa"/>
            <w:noWrap w:val="0"/>
            <w:vAlign w:val="center"/>
          </w:tcPr>
          <w:p w14:paraId="7CDD11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94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6042F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82" w:type="dxa"/>
            <w:gridSpan w:val="3"/>
            <w:noWrap w:val="0"/>
            <w:vAlign w:val="center"/>
          </w:tcPr>
          <w:p w14:paraId="3EDCA5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蛙鸣筒</w:t>
            </w:r>
          </w:p>
        </w:tc>
        <w:tc>
          <w:tcPr>
            <w:tcW w:w="690" w:type="dxa"/>
            <w:gridSpan w:val="3"/>
            <w:noWrap w:val="0"/>
            <w:vAlign w:val="center"/>
          </w:tcPr>
          <w:p w14:paraId="65FCA95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FD62D0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w:t>
            </w:r>
          </w:p>
        </w:tc>
        <w:tc>
          <w:tcPr>
            <w:tcW w:w="6647" w:type="dxa"/>
            <w:noWrap w:val="0"/>
            <w:vAlign w:val="top"/>
          </w:tcPr>
          <w:p w14:paraId="096F12F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2、外观：产品表面光滑，完整、光亮，无脱皮、裂痕现象；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3、音质：音质清脆，无杂音；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4、尺寸:直径：55-60mm；长度：350-355mm</w:t>
            </w:r>
          </w:p>
        </w:tc>
        <w:tc>
          <w:tcPr>
            <w:tcW w:w="787" w:type="dxa"/>
            <w:noWrap w:val="0"/>
            <w:vAlign w:val="center"/>
          </w:tcPr>
          <w:p w14:paraId="050BDD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BB7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93DF9D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82" w:type="dxa"/>
            <w:gridSpan w:val="3"/>
            <w:noWrap w:val="0"/>
            <w:vAlign w:val="center"/>
          </w:tcPr>
          <w:p w14:paraId="42DBC3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木鱼</w:t>
            </w:r>
          </w:p>
        </w:tc>
        <w:tc>
          <w:tcPr>
            <w:tcW w:w="690" w:type="dxa"/>
            <w:gridSpan w:val="3"/>
            <w:noWrap w:val="0"/>
            <w:vAlign w:val="center"/>
          </w:tcPr>
          <w:p w14:paraId="2EAB0BC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8BAD6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5E399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1、材质：榉木，坚实无疤节或劈裂；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2、外观：涂红漆、金漆；七个一组；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3、音质：发音清脆，音高清晰可辨，没有其他杂音；</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4、尺寸:宽度：85-90mm、75-80mm、70-75mm、70-75mm、60-70mm、60-65mm、60-65mm；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高度：65-70mm；60-65mm；55-60mm；50-60mm；50-60mm；50-55mm；50-55mm。</w:t>
            </w:r>
          </w:p>
        </w:tc>
        <w:tc>
          <w:tcPr>
            <w:tcW w:w="787" w:type="dxa"/>
            <w:noWrap w:val="0"/>
            <w:vAlign w:val="center"/>
          </w:tcPr>
          <w:p w14:paraId="1A54067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1B4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2EFE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82" w:type="dxa"/>
            <w:gridSpan w:val="3"/>
            <w:noWrap w:val="0"/>
            <w:vAlign w:val="center"/>
          </w:tcPr>
          <w:p w14:paraId="008314E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铃鼓</w:t>
            </w:r>
          </w:p>
        </w:tc>
        <w:tc>
          <w:tcPr>
            <w:tcW w:w="690" w:type="dxa"/>
            <w:gridSpan w:val="3"/>
            <w:noWrap w:val="0"/>
            <w:vAlign w:val="center"/>
          </w:tcPr>
          <w:p w14:paraId="649844C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60BDD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7686C1E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1、材质:鼓框榉木，无开裂，铃片铁质；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木制部分打磨光滑，无毛刺；铃片边缘光滑，没有锋利边角；鼓膜平整，无褶皱，涂漆均匀，无流挂现象；结构：鼓框呈扁圆形，单面蒙以羊皮、马皮或牛皮，皮面周围用铁钉绷紧，鼓框上开有扁圆形小长孔6~8个，装置5~~7对铜制小铃，另有一个圆孔用于手握部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3、音色音质：击鼓、摇鼓发声清晰，无噪音；铃声清脆，鼓音纯正</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4、工艺：鼓面：薄厚均匀；张力均匀，适度。鼓膜压边装饰条：粘贴整齐，均匀。</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五、尺寸:鼓面直径200~210mm；鼓壁宽40~50mm；壁厚mm5~7;铃片直径30~40mm;铃片个数6~9个。</w:t>
            </w:r>
          </w:p>
        </w:tc>
        <w:tc>
          <w:tcPr>
            <w:tcW w:w="787" w:type="dxa"/>
            <w:noWrap w:val="0"/>
            <w:vAlign w:val="center"/>
          </w:tcPr>
          <w:p w14:paraId="6ACD60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0F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3B8D0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82" w:type="dxa"/>
            <w:gridSpan w:val="3"/>
            <w:noWrap w:val="0"/>
            <w:vAlign w:val="center"/>
          </w:tcPr>
          <w:p w14:paraId="5C37A08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三角铁</w:t>
            </w:r>
          </w:p>
        </w:tc>
        <w:tc>
          <w:tcPr>
            <w:tcW w:w="690" w:type="dxa"/>
            <w:gridSpan w:val="3"/>
            <w:noWrap w:val="0"/>
            <w:vAlign w:val="center"/>
          </w:tcPr>
          <w:p w14:paraId="3694F7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B5A8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3982E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1、材质：锰钢；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2、外观：光洁，无毛刺；三个为一组；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3、发音清脆、悦耳，穿透力强，无其他杂音；延音长4s；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4、尺寸:边长145-155mm、190-210mm、246-250mm；击棒直径4-5mm；击棒长度115-125mm。</w:t>
            </w:r>
          </w:p>
        </w:tc>
        <w:tc>
          <w:tcPr>
            <w:tcW w:w="787" w:type="dxa"/>
            <w:noWrap w:val="0"/>
            <w:vAlign w:val="center"/>
          </w:tcPr>
          <w:p w14:paraId="4BB692A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A2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C83513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82" w:type="dxa"/>
            <w:gridSpan w:val="3"/>
            <w:noWrap w:val="0"/>
            <w:vAlign w:val="center"/>
          </w:tcPr>
          <w:p w14:paraId="6DB33A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碰铃</w:t>
            </w:r>
          </w:p>
        </w:tc>
        <w:tc>
          <w:tcPr>
            <w:tcW w:w="690" w:type="dxa"/>
            <w:gridSpan w:val="3"/>
            <w:noWrap w:val="0"/>
            <w:vAlign w:val="center"/>
          </w:tcPr>
          <w:p w14:paraId="13796A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副</w:t>
            </w:r>
          </w:p>
        </w:tc>
        <w:tc>
          <w:tcPr>
            <w:tcW w:w="572" w:type="dxa"/>
            <w:noWrap w:val="0"/>
            <w:vAlign w:val="center"/>
          </w:tcPr>
          <w:p w14:paraId="79B8851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03CD204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1、材质：响铜；</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3、音色清脆、悦耳，发音响亮，余音环绕；延音≥6S；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4、尺寸:直径40-45mm，高度40-45mm；重量：75-80g。</w:t>
            </w:r>
          </w:p>
        </w:tc>
        <w:tc>
          <w:tcPr>
            <w:tcW w:w="787" w:type="dxa"/>
            <w:noWrap w:val="0"/>
            <w:vAlign w:val="center"/>
          </w:tcPr>
          <w:p w14:paraId="3B2900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548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1EAD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82" w:type="dxa"/>
            <w:gridSpan w:val="3"/>
            <w:noWrap w:val="0"/>
            <w:vAlign w:val="center"/>
          </w:tcPr>
          <w:p w14:paraId="258417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棒钟</w:t>
            </w:r>
          </w:p>
        </w:tc>
        <w:tc>
          <w:tcPr>
            <w:tcW w:w="690" w:type="dxa"/>
            <w:gridSpan w:val="3"/>
            <w:noWrap w:val="0"/>
            <w:vAlign w:val="center"/>
          </w:tcPr>
          <w:p w14:paraId="4048847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对</w:t>
            </w:r>
          </w:p>
        </w:tc>
        <w:tc>
          <w:tcPr>
            <w:tcW w:w="572" w:type="dxa"/>
            <w:noWrap w:val="0"/>
            <w:vAlign w:val="center"/>
          </w:tcPr>
          <w:p w14:paraId="1E9C15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top"/>
          </w:tcPr>
          <w:p w14:paraId="62843F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1、材质：钟体响铜，握棒木制；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2、外观：光洁，无毛刺；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3、音色清脆、悦耳，发音响亮，余音环绕；延音≥6S；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4、尺寸:直径30-35mm，高度25-35mm；棒长90-95mm；重量：60-65g。</w:t>
            </w:r>
          </w:p>
        </w:tc>
        <w:tc>
          <w:tcPr>
            <w:tcW w:w="787" w:type="dxa"/>
            <w:noWrap w:val="0"/>
            <w:vAlign w:val="center"/>
          </w:tcPr>
          <w:p w14:paraId="29A6FF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B4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DEBE0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82" w:type="dxa"/>
            <w:gridSpan w:val="3"/>
            <w:noWrap w:val="0"/>
            <w:vAlign w:val="center"/>
          </w:tcPr>
          <w:p w14:paraId="4227BD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八音按钟</w:t>
            </w:r>
          </w:p>
        </w:tc>
        <w:tc>
          <w:tcPr>
            <w:tcW w:w="690" w:type="dxa"/>
            <w:gridSpan w:val="3"/>
            <w:noWrap w:val="0"/>
            <w:vAlign w:val="center"/>
          </w:tcPr>
          <w:p w14:paraId="18031FE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19A5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top"/>
          </w:tcPr>
          <w:p w14:paraId="62434A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直径约8cm，每套8个。可发出8 种不同的声音，色彩鲜艳。材质：优质金属、ABS材料</w:t>
            </w:r>
          </w:p>
        </w:tc>
        <w:tc>
          <w:tcPr>
            <w:tcW w:w="787" w:type="dxa"/>
            <w:noWrap w:val="0"/>
            <w:vAlign w:val="center"/>
          </w:tcPr>
          <w:p w14:paraId="41A4BF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99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8CDC6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82" w:type="dxa"/>
            <w:gridSpan w:val="3"/>
            <w:noWrap w:val="0"/>
            <w:vAlign w:val="center"/>
          </w:tcPr>
          <w:p w14:paraId="65F25D6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电子琴</w:t>
            </w:r>
          </w:p>
        </w:tc>
        <w:tc>
          <w:tcPr>
            <w:tcW w:w="690" w:type="dxa"/>
            <w:gridSpan w:val="3"/>
            <w:noWrap w:val="0"/>
            <w:vAlign w:val="center"/>
          </w:tcPr>
          <w:p w14:paraId="3ED1DE4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4B4AFC7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5DE017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键盘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61键标准力度键盘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力度</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6级（5级+off)</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显示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中英文多功能LCD液晶显示屏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蓝牙连接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蓝牙音频连接</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复音数128</w:t>
            </w:r>
          </w:p>
        </w:tc>
        <w:tc>
          <w:tcPr>
            <w:tcW w:w="787" w:type="dxa"/>
            <w:noWrap w:val="0"/>
            <w:vAlign w:val="center"/>
          </w:tcPr>
          <w:p w14:paraId="68C5F3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66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1A0E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82" w:type="dxa"/>
            <w:gridSpan w:val="3"/>
            <w:noWrap w:val="0"/>
            <w:vAlign w:val="center"/>
          </w:tcPr>
          <w:p w14:paraId="3451DD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非洲鼓</w:t>
            </w:r>
          </w:p>
        </w:tc>
        <w:tc>
          <w:tcPr>
            <w:tcW w:w="690" w:type="dxa"/>
            <w:gridSpan w:val="3"/>
            <w:noWrap w:val="0"/>
            <w:vAlign w:val="center"/>
          </w:tcPr>
          <w:p w14:paraId="6A482EA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E5CCE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666AF2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专业 8寸 40*19-20cm 鼓面19-20cm 鼓高40cm 整木掏空 山羊皮</w:t>
            </w:r>
          </w:p>
        </w:tc>
        <w:tc>
          <w:tcPr>
            <w:tcW w:w="787" w:type="dxa"/>
            <w:noWrap w:val="0"/>
            <w:vAlign w:val="center"/>
          </w:tcPr>
          <w:p w14:paraId="184AF5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977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4A3D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sz w:val="21"/>
                <w:szCs w:val="21"/>
                <w:vertAlign w:val="baseline"/>
                <w:lang w:val="en-US" w:eastAsia="zh-CN"/>
              </w:rPr>
              <w:t>26</w:t>
            </w:r>
          </w:p>
        </w:tc>
        <w:tc>
          <w:tcPr>
            <w:tcW w:w="882" w:type="dxa"/>
            <w:gridSpan w:val="3"/>
            <w:noWrap w:val="0"/>
            <w:vAlign w:val="center"/>
          </w:tcPr>
          <w:p w14:paraId="20471E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录像机</w:t>
            </w:r>
          </w:p>
        </w:tc>
        <w:tc>
          <w:tcPr>
            <w:tcW w:w="690" w:type="dxa"/>
            <w:gridSpan w:val="3"/>
            <w:noWrap w:val="0"/>
            <w:vAlign w:val="center"/>
          </w:tcPr>
          <w:p w14:paraId="132A3A0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E1139C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0EFAF1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1.闪存式DV：</w:t>
            </w:r>
          </w:p>
          <w:p w14:paraId="38E7F29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2.光学变焦倍数：30倍</w:t>
            </w:r>
          </w:p>
          <w:p w14:paraId="59AD2B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3.屏幕尺寸：3英寸</w:t>
            </w:r>
          </w:p>
          <w:p w14:paraId="540966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4.数码像素：201-300万</w:t>
            </w:r>
          </w:p>
          <w:p w14:paraId="148EC1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5.重量：151g(含)-200g(含)</w:t>
            </w:r>
          </w:p>
          <w:p w14:paraId="5C893E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6.附加功能：支持WIFI、防抖性能、五轴防抖</w:t>
            </w:r>
          </w:p>
          <w:p w14:paraId="2D1960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7.传感器尺寸：1/5.8英寸</w:t>
            </w:r>
          </w:p>
          <w:p w14:paraId="46F8AB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8.感光元件：CMOS</w:t>
            </w:r>
          </w:p>
        </w:tc>
        <w:tc>
          <w:tcPr>
            <w:tcW w:w="787" w:type="dxa"/>
            <w:noWrap w:val="0"/>
            <w:vAlign w:val="center"/>
          </w:tcPr>
          <w:p w14:paraId="6A851C1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E7E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05E7C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十、美术教学器材</w:t>
            </w:r>
          </w:p>
        </w:tc>
      </w:tr>
      <w:tr w14:paraId="38AC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CF9D301">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37" w:type="dxa"/>
            <w:noWrap w:val="0"/>
            <w:vAlign w:val="center"/>
          </w:tcPr>
          <w:p w14:paraId="472703F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735" w:type="dxa"/>
            <w:gridSpan w:val="5"/>
            <w:noWrap w:val="0"/>
            <w:vAlign w:val="center"/>
          </w:tcPr>
          <w:p w14:paraId="6DC84F4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30F48B0A">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309989D4">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128380E3">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1718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2F57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37" w:type="dxa"/>
            <w:noWrap w:val="0"/>
            <w:vAlign w:val="center"/>
          </w:tcPr>
          <w:p w14:paraId="5A03249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画架</w:t>
            </w:r>
          </w:p>
        </w:tc>
        <w:tc>
          <w:tcPr>
            <w:tcW w:w="735" w:type="dxa"/>
            <w:gridSpan w:val="5"/>
            <w:noWrap w:val="0"/>
            <w:vAlign w:val="center"/>
          </w:tcPr>
          <w:p w14:paraId="25F2BD8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163B1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D2E5E72">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142cm</w:t>
            </w:r>
          </w:p>
        </w:tc>
        <w:tc>
          <w:tcPr>
            <w:tcW w:w="787" w:type="dxa"/>
            <w:noWrap w:val="0"/>
            <w:vAlign w:val="center"/>
          </w:tcPr>
          <w:p w14:paraId="0356596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30A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5BA6D9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37" w:type="dxa"/>
            <w:noWrap w:val="0"/>
            <w:vAlign w:val="center"/>
          </w:tcPr>
          <w:p w14:paraId="4A186F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画板</w:t>
            </w:r>
          </w:p>
        </w:tc>
        <w:tc>
          <w:tcPr>
            <w:tcW w:w="735" w:type="dxa"/>
            <w:gridSpan w:val="5"/>
            <w:noWrap w:val="0"/>
            <w:vAlign w:val="center"/>
          </w:tcPr>
          <w:p w14:paraId="26883B2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47F4561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DC3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60cm×45cm</w:t>
            </w:r>
          </w:p>
        </w:tc>
        <w:tc>
          <w:tcPr>
            <w:tcW w:w="787" w:type="dxa"/>
            <w:noWrap w:val="0"/>
            <w:vAlign w:val="center"/>
          </w:tcPr>
          <w:p w14:paraId="17C9F5BD">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DD7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AEC68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37" w:type="dxa"/>
            <w:noWrap w:val="0"/>
            <w:vAlign w:val="center"/>
          </w:tcPr>
          <w:p w14:paraId="18E384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写生灯</w:t>
            </w:r>
          </w:p>
        </w:tc>
        <w:tc>
          <w:tcPr>
            <w:tcW w:w="735" w:type="dxa"/>
            <w:gridSpan w:val="5"/>
            <w:noWrap w:val="0"/>
            <w:vAlign w:val="center"/>
          </w:tcPr>
          <w:p w14:paraId="1957E2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1CCB1F8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943DC8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高度不底于 60cm，照射角度可调，可降。</w:t>
            </w:r>
          </w:p>
        </w:tc>
        <w:tc>
          <w:tcPr>
            <w:tcW w:w="787" w:type="dxa"/>
            <w:noWrap w:val="0"/>
            <w:vAlign w:val="center"/>
          </w:tcPr>
          <w:p w14:paraId="20348E66">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425B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EA6E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37" w:type="dxa"/>
            <w:noWrap w:val="0"/>
            <w:vAlign w:val="center"/>
          </w:tcPr>
          <w:p w14:paraId="6893B8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工作台</w:t>
            </w:r>
          </w:p>
        </w:tc>
        <w:tc>
          <w:tcPr>
            <w:tcW w:w="735" w:type="dxa"/>
            <w:gridSpan w:val="5"/>
            <w:noWrap w:val="0"/>
            <w:vAlign w:val="center"/>
          </w:tcPr>
          <w:p w14:paraId="683609C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4BA450E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19C87E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160cm×80cm×70cm</w:t>
            </w:r>
          </w:p>
        </w:tc>
        <w:tc>
          <w:tcPr>
            <w:tcW w:w="787" w:type="dxa"/>
            <w:noWrap w:val="0"/>
            <w:vAlign w:val="center"/>
          </w:tcPr>
          <w:p w14:paraId="6BCB058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2C2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8AA42A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37" w:type="dxa"/>
            <w:noWrap w:val="0"/>
            <w:vAlign w:val="center"/>
          </w:tcPr>
          <w:p w14:paraId="41185A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379369A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4C6CB8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596840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60cm×45cm</w:t>
            </w:r>
          </w:p>
        </w:tc>
        <w:tc>
          <w:tcPr>
            <w:tcW w:w="787" w:type="dxa"/>
            <w:noWrap w:val="0"/>
            <w:vAlign w:val="center"/>
          </w:tcPr>
          <w:p w14:paraId="413B004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4BE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EE934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37" w:type="dxa"/>
            <w:noWrap w:val="0"/>
            <w:vAlign w:val="center"/>
          </w:tcPr>
          <w:p w14:paraId="370959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7AA5C30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6B94F94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B9D226">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60cm×90cm</w:t>
            </w:r>
          </w:p>
        </w:tc>
        <w:tc>
          <w:tcPr>
            <w:tcW w:w="787" w:type="dxa"/>
            <w:noWrap w:val="0"/>
            <w:vAlign w:val="center"/>
          </w:tcPr>
          <w:p w14:paraId="5343705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BB8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C9F5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37" w:type="dxa"/>
            <w:noWrap w:val="0"/>
            <w:vAlign w:val="center"/>
          </w:tcPr>
          <w:p w14:paraId="522B75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静物台</w:t>
            </w:r>
          </w:p>
        </w:tc>
        <w:tc>
          <w:tcPr>
            <w:tcW w:w="735" w:type="dxa"/>
            <w:gridSpan w:val="5"/>
            <w:noWrap w:val="0"/>
            <w:vAlign w:val="center"/>
          </w:tcPr>
          <w:p w14:paraId="769F5C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FFFF9E6">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68BED8A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60cm×60cm</w:t>
            </w:r>
          </w:p>
        </w:tc>
        <w:tc>
          <w:tcPr>
            <w:tcW w:w="787" w:type="dxa"/>
            <w:noWrap w:val="0"/>
            <w:vAlign w:val="center"/>
          </w:tcPr>
          <w:p w14:paraId="1DCE833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F4A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884FEA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37" w:type="dxa"/>
            <w:noWrap w:val="0"/>
            <w:vAlign w:val="center"/>
          </w:tcPr>
          <w:p w14:paraId="5923A8B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磁性白黑板</w:t>
            </w:r>
          </w:p>
        </w:tc>
        <w:tc>
          <w:tcPr>
            <w:tcW w:w="735" w:type="dxa"/>
            <w:gridSpan w:val="5"/>
            <w:noWrap w:val="0"/>
            <w:vAlign w:val="center"/>
          </w:tcPr>
          <w:p w14:paraId="1076580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307C12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360154">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100cm×80cm</w:t>
            </w:r>
          </w:p>
        </w:tc>
        <w:tc>
          <w:tcPr>
            <w:tcW w:w="787" w:type="dxa"/>
            <w:noWrap w:val="0"/>
            <w:vAlign w:val="center"/>
          </w:tcPr>
          <w:p w14:paraId="4D908D6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A6D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6B4E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37" w:type="dxa"/>
            <w:noWrap w:val="0"/>
            <w:vAlign w:val="center"/>
          </w:tcPr>
          <w:p w14:paraId="76B995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衬布</w:t>
            </w:r>
          </w:p>
        </w:tc>
        <w:tc>
          <w:tcPr>
            <w:tcW w:w="735" w:type="dxa"/>
            <w:gridSpan w:val="5"/>
            <w:noWrap w:val="0"/>
            <w:vAlign w:val="center"/>
          </w:tcPr>
          <w:p w14:paraId="244945F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6B45E0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C3BCDF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100cm×200cm；棉、麻、丝、绒</w:t>
            </w:r>
          </w:p>
        </w:tc>
        <w:tc>
          <w:tcPr>
            <w:tcW w:w="787" w:type="dxa"/>
            <w:noWrap w:val="0"/>
            <w:vAlign w:val="center"/>
          </w:tcPr>
          <w:p w14:paraId="5DA553FF">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A3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740DF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37" w:type="dxa"/>
            <w:noWrap w:val="0"/>
            <w:vAlign w:val="center"/>
          </w:tcPr>
          <w:p w14:paraId="7581C7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写生灯</w:t>
            </w:r>
          </w:p>
        </w:tc>
        <w:tc>
          <w:tcPr>
            <w:tcW w:w="735" w:type="dxa"/>
            <w:gridSpan w:val="5"/>
            <w:noWrap w:val="0"/>
            <w:vAlign w:val="center"/>
          </w:tcPr>
          <w:p w14:paraId="38B8063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6379349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w:t>
            </w:r>
          </w:p>
        </w:tc>
        <w:tc>
          <w:tcPr>
            <w:tcW w:w="6647" w:type="dxa"/>
            <w:noWrap w:val="0"/>
            <w:vAlign w:val="center"/>
          </w:tcPr>
          <w:p w14:paraId="73EB96C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60cm，照射角度可调，可升降</w:t>
            </w:r>
          </w:p>
        </w:tc>
        <w:tc>
          <w:tcPr>
            <w:tcW w:w="787" w:type="dxa"/>
            <w:noWrap w:val="0"/>
            <w:vAlign w:val="center"/>
          </w:tcPr>
          <w:p w14:paraId="27FA54F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43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647ED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37" w:type="dxa"/>
            <w:noWrap w:val="0"/>
            <w:vAlign w:val="center"/>
          </w:tcPr>
          <w:p w14:paraId="0F81A7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719A9B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71954E9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7B3A95">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60cm×45cm</w:t>
            </w:r>
          </w:p>
        </w:tc>
        <w:tc>
          <w:tcPr>
            <w:tcW w:w="787" w:type="dxa"/>
            <w:noWrap w:val="0"/>
            <w:vAlign w:val="center"/>
          </w:tcPr>
          <w:p w14:paraId="6241E5C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DFE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24C98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37" w:type="dxa"/>
            <w:noWrap w:val="0"/>
            <w:vAlign w:val="center"/>
          </w:tcPr>
          <w:p w14:paraId="326D17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展示画框</w:t>
            </w:r>
          </w:p>
        </w:tc>
        <w:tc>
          <w:tcPr>
            <w:tcW w:w="735" w:type="dxa"/>
            <w:gridSpan w:val="5"/>
            <w:noWrap w:val="0"/>
            <w:vAlign w:val="center"/>
          </w:tcPr>
          <w:p w14:paraId="215A734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514139C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1FEAE5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60cm×90cm</w:t>
            </w:r>
          </w:p>
        </w:tc>
        <w:tc>
          <w:tcPr>
            <w:tcW w:w="787" w:type="dxa"/>
            <w:noWrap w:val="0"/>
            <w:vAlign w:val="center"/>
          </w:tcPr>
          <w:p w14:paraId="7C316FA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579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A164A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37" w:type="dxa"/>
            <w:noWrap w:val="0"/>
            <w:vAlign w:val="center"/>
          </w:tcPr>
          <w:p w14:paraId="17409F9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写生教具（2）</w:t>
            </w:r>
          </w:p>
        </w:tc>
        <w:tc>
          <w:tcPr>
            <w:tcW w:w="735" w:type="dxa"/>
            <w:gridSpan w:val="5"/>
            <w:noWrap w:val="0"/>
            <w:vAlign w:val="center"/>
          </w:tcPr>
          <w:p w14:paraId="7C8B4CD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23D6EF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4A17760">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石膏几何形体：圆球，长方体，正方体，圆柱体，六棱柱，圆锥，方锥</w:t>
            </w:r>
          </w:p>
        </w:tc>
        <w:tc>
          <w:tcPr>
            <w:tcW w:w="787" w:type="dxa"/>
            <w:noWrap w:val="0"/>
            <w:vAlign w:val="center"/>
          </w:tcPr>
          <w:p w14:paraId="051E940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FEA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4B76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37" w:type="dxa"/>
            <w:noWrap w:val="0"/>
            <w:vAlign w:val="center"/>
          </w:tcPr>
          <w:p w14:paraId="54A1BD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写生画板</w:t>
            </w:r>
          </w:p>
        </w:tc>
        <w:tc>
          <w:tcPr>
            <w:tcW w:w="735" w:type="dxa"/>
            <w:gridSpan w:val="5"/>
            <w:noWrap w:val="0"/>
            <w:vAlign w:val="center"/>
          </w:tcPr>
          <w:p w14:paraId="2CC6E9B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35896D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1172A2A6">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60cm×45cm</w:t>
            </w:r>
          </w:p>
        </w:tc>
        <w:tc>
          <w:tcPr>
            <w:tcW w:w="787" w:type="dxa"/>
            <w:noWrap w:val="0"/>
            <w:vAlign w:val="center"/>
          </w:tcPr>
          <w:p w14:paraId="1A8DEDD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3261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7F0D32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37" w:type="dxa"/>
            <w:noWrap w:val="0"/>
            <w:vAlign w:val="center"/>
          </w:tcPr>
          <w:p w14:paraId="1CBC1A4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写生凳</w:t>
            </w:r>
          </w:p>
        </w:tc>
        <w:tc>
          <w:tcPr>
            <w:tcW w:w="735" w:type="dxa"/>
            <w:gridSpan w:val="5"/>
            <w:noWrap w:val="0"/>
            <w:vAlign w:val="center"/>
          </w:tcPr>
          <w:p w14:paraId="0AB5375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张</w:t>
            </w:r>
          </w:p>
        </w:tc>
        <w:tc>
          <w:tcPr>
            <w:tcW w:w="572" w:type="dxa"/>
            <w:noWrap w:val="0"/>
            <w:vAlign w:val="center"/>
          </w:tcPr>
          <w:p w14:paraId="0D0079BC">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3C3877C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高度不低于 40cm，可升降</w:t>
            </w:r>
          </w:p>
        </w:tc>
        <w:tc>
          <w:tcPr>
            <w:tcW w:w="787" w:type="dxa"/>
            <w:noWrap w:val="0"/>
            <w:vAlign w:val="center"/>
          </w:tcPr>
          <w:p w14:paraId="39A2BFD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157A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AF65B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37" w:type="dxa"/>
            <w:noWrap w:val="0"/>
            <w:vAlign w:val="center"/>
          </w:tcPr>
          <w:p w14:paraId="04142BD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国画和书法工具</w:t>
            </w:r>
          </w:p>
        </w:tc>
        <w:tc>
          <w:tcPr>
            <w:tcW w:w="735" w:type="dxa"/>
            <w:gridSpan w:val="5"/>
            <w:noWrap w:val="0"/>
            <w:vAlign w:val="center"/>
          </w:tcPr>
          <w:p w14:paraId="007C10A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2AF3CC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7A2E90D">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 8 支、画毡 1 块、调色盘 1 块、砚台 1 个、笔洗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 个、笔架 1 个、镇尺 1 付、笔帘 1、墨 1 块、墨汁 1瓶</w:t>
            </w:r>
          </w:p>
        </w:tc>
        <w:tc>
          <w:tcPr>
            <w:tcW w:w="787" w:type="dxa"/>
            <w:noWrap w:val="0"/>
            <w:vAlign w:val="center"/>
          </w:tcPr>
          <w:p w14:paraId="60145962">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659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8476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37" w:type="dxa"/>
            <w:noWrap w:val="0"/>
            <w:vAlign w:val="center"/>
          </w:tcPr>
          <w:p w14:paraId="2D1C37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美术学具</w:t>
            </w:r>
          </w:p>
        </w:tc>
        <w:tc>
          <w:tcPr>
            <w:tcW w:w="735" w:type="dxa"/>
            <w:gridSpan w:val="5"/>
            <w:noWrap w:val="0"/>
            <w:vAlign w:val="center"/>
          </w:tcPr>
          <w:p w14:paraId="7389A0B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E35DCF">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50</w:t>
            </w:r>
          </w:p>
        </w:tc>
        <w:tc>
          <w:tcPr>
            <w:tcW w:w="6647" w:type="dxa"/>
            <w:noWrap w:val="0"/>
            <w:vAlign w:val="center"/>
          </w:tcPr>
          <w:p w14:paraId="3106D053">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毛笔、小剪刀、调色盘、笔洗、美工刀、水溶性油墨、黑色胶滚、毛毡、刻纸刀、水粉画笔、调色盒、直尺</w:t>
            </w:r>
          </w:p>
        </w:tc>
        <w:tc>
          <w:tcPr>
            <w:tcW w:w="787" w:type="dxa"/>
            <w:noWrap w:val="0"/>
            <w:vAlign w:val="center"/>
          </w:tcPr>
          <w:p w14:paraId="140866E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1392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6A9B88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37" w:type="dxa"/>
            <w:noWrap w:val="0"/>
            <w:vAlign w:val="center"/>
          </w:tcPr>
          <w:p w14:paraId="6BA023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小学美术教学挂图</w:t>
            </w:r>
          </w:p>
        </w:tc>
        <w:tc>
          <w:tcPr>
            <w:tcW w:w="735" w:type="dxa"/>
            <w:gridSpan w:val="5"/>
            <w:noWrap w:val="0"/>
            <w:vAlign w:val="center"/>
          </w:tcPr>
          <w:p w14:paraId="5F6C126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917783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105C82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适合小学美术教学要求的绘画、手工、欣赏内容，不少于 48 幅，对开，应为国家正式出版物</w:t>
            </w:r>
          </w:p>
        </w:tc>
        <w:tc>
          <w:tcPr>
            <w:tcW w:w="787" w:type="dxa"/>
            <w:noWrap w:val="0"/>
            <w:vAlign w:val="center"/>
          </w:tcPr>
          <w:p w14:paraId="50C45CE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58D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D3DB11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37" w:type="dxa"/>
            <w:noWrap w:val="0"/>
            <w:vAlign w:val="center"/>
          </w:tcPr>
          <w:p w14:paraId="32F07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美术教学软件美术教学网络系统</w:t>
            </w:r>
          </w:p>
        </w:tc>
        <w:tc>
          <w:tcPr>
            <w:tcW w:w="735" w:type="dxa"/>
            <w:gridSpan w:val="5"/>
            <w:noWrap w:val="0"/>
            <w:vAlign w:val="center"/>
          </w:tcPr>
          <w:p w14:paraId="7C72CEE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107BB1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6C0F7FB">
            <w:pPr>
              <w:keepNext w:val="0"/>
              <w:keepLines w:val="0"/>
              <w:pageBreakBefore w:val="0"/>
              <w:widowControl/>
              <w:numPr>
                <w:ilvl w:val="0"/>
                <w:numId w:val="7"/>
              </w:numPr>
              <w:suppressLineNumbers w:val="0"/>
              <w:kinsoku/>
              <w:wordWrap/>
              <w:overflowPunct/>
              <w:topLinePunct w:val="0"/>
              <w:bidi w:val="0"/>
              <w:spacing w:line="440" w:lineRule="exact"/>
              <w:ind w:firstLine="0" w:firstLineChars="0"/>
              <w:jc w:val="left"/>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提供人民美术出版社、人民教育美术出版社和湖南美术出版社、江西美术等课程资源，可自主选择出版社、年级和册次；</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2.内含课程课件、教案设计、大师素材、大师视频、学生作品、拓展素材、拓展视频和课本素材等不低于8种教学素材，所有教学素材均根据不同课程匹配不同模块；</w:t>
            </w:r>
          </w:p>
          <w:p w14:paraId="20F8F8D5">
            <w:pPr>
              <w:keepNext w:val="0"/>
              <w:keepLines w:val="0"/>
              <w:pageBreakBefore w:val="0"/>
              <w:widowControl/>
              <w:numPr>
                <w:ilvl w:val="0"/>
                <w:numId w:val="0"/>
              </w:numPr>
              <w:suppressLineNumbers w:val="0"/>
              <w:kinsoku/>
              <w:wordWrap/>
              <w:overflowPunct/>
              <w:topLinePunct w:val="0"/>
              <w:bidi w:val="0"/>
              <w:spacing w:line="440" w:lineRule="exact"/>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3.支持本地和U盘打开教师自有资料，-课程课件和教案设计可自由修改并本地保存；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4.支持对照绘画功能，可提供画笔、形状、文字、调色板、擦除、动画制作、画布设置、油漆桶、反色、上一步、下一步、文件功能；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5.支持素材导入、保存和查看保存记录功能；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6.所有图片支持放大、缩小和自由移动功能；视频支持一键锁屏、一键关闭、一键全屏、快速、慢速和正常播放功能；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7.支持画笔功能，可选择画笔的粗细和笔刷；支持擦除功能，支持橡皮局部擦除和一键清除功能；</w:t>
            </w:r>
          </w:p>
        </w:tc>
        <w:tc>
          <w:tcPr>
            <w:tcW w:w="787" w:type="dxa"/>
            <w:noWrap w:val="0"/>
            <w:vAlign w:val="center"/>
          </w:tcPr>
          <w:p w14:paraId="1EAF037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16A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F3F3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20</w:t>
            </w:r>
          </w:p>
        </w:tc>
        <w:tc>
          <w:tcPr>
            <w:tcW w:w="837" w:type="dxa"/>
            <w:noWrap w:val="0"/>
            <w:vAlign w:val="center"/>
          </w:tcPr>
          <w:p w14:paraId="1C0AF4C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影像资料</w:t>
            </w:r>
          </w:p>
        </w:tc>
        <w:tc>
          <w:tcPr>
            <w:tcW w:w="735" w:type="dxa"/>
            <w:gridSpan w:val="5"/>
            <w:noWrap w:val="0"/>
            <w:vAlign w:val="center"/>
          </w:tcPr>
          <w:p w14:paraId="656F3BB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F75942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C40CA4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幻灯片、光盘、数字化美术教学资源库、虚拟美术博物馆、美术展等</w:t>
            </w:r>
          </w:p>
        </w:tc>
        <w:tc>
          <w:tcPr>
            <w:tcW w:w="787" w:type="dxa"/>
            <w:noWrap w:val="0"/>
            <w:vAlign w:val="center"/>
          </w:tcPr>
          <w:p w14:paraId="3FD5071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130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D0A3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37" w:type="dxa"/>
            <w:noWrap w:val="0"/>
            <w:vAlign w:val="center"/>
          </w:tcPr>
          <w:p w14:paraId="75B955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绘画工具</w:t>
            </w:r>
          </w:p>
        </w:tc>
        <w:tc>
          <w:tcPr>
            <w:tcW w:w="735" w:type="dxa"/>
            <w:gridSpan w:val="5"/>
            <w:noWrap w:val="0"/>
            <w:vAlign w:val="center"/>
          </w:tcPr>
          <w:p w14:paraId="175BC3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56C31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498859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水粉笔 1～12#各 1 支，水彩笔 1～12#各 1 支、大白云毛笔 1 支、小狼毫 1 支、勾线笔 1 支、斗笔 1 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扁笔 1 支、调色盒 1 个、调色盘 1 个</w:t>
            </w:r>
          </w:p>
        </w:tc>
        <w:tc>
          <w:tcPr>
            <w:tcW w:w="787" w:type="dxa"/>
            <w:noWrap w:val="0"/>
            <w:vAlign w:val="center"/>
          </w:tcPr>
          <w:p w14:paraId="54DDEDB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68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EB72A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37" w:type="dxa"/>
            <w:noWrap w:val="0"/>
            <w:vAlign w:val="center"/>
          </w:tcPr>
          <w:p w14:paraId="49EFF1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国画和书法工具</w:t>
            </w:r>
          </w:p>
        </w:tc>
        <w:tc>
          <w:tcPr>
            <w:tcW w:w="735" w:type="dxa"/>
            <w:gridSpan w:val="5"/>
            <w:noWrap w:val="0"/>
            <w:vAlign w:val="center"/>
          </w:tcPr>
          <w:p w14:paraId="716A8E8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709B67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08DC07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毛笔(斗笔、大白云、中白云、小白云、小狼毫、勾线笔) 、毛毡、镇尺、笔洗、墨汁、调色盘、笔架、名家字贴</w:t>
            </w:r>
          </w:p>
        </w:tc>
        <w:tc>
          <w:tcPr>
            <w:tcW w:w="787" w:type="dxa"/>
            <w:noWrap w:val="0"/>
            <w:vAlign w:val="center"/>
          </w:tcPr>
          <w:p w14:paraId="3467CADB">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35A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760923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37" w:type="dxa"/>
            <w:noWrap w:val="0"/>
            <w:vAlign w:val="center"/>
          </w:tcPr>
          <w:p w14:paraId="4D3F0DD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国画工具</w:t>
            </w:r>
          </w:p>
        </w:tc>
        <w:tc>
          <w:tcPr>
            <w:tcW w:w="735" w:type="dxa"/>
            <w:gridSpan w:val="5"/>
            <w:noWrap w:val="0"/>
            <w:vAlign w:val="center"/>
          </w:tcPr>
          <w:p w14:paraId="7538B20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37451B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3AACD8F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毛笔(斗笔、大白云、中白云、小白云、小狼毫、勾线笔) 、毛毡、笔洗、墨汁、中国画颜料、四尺宣纸、调色盘、镇尺、笔架等</w:t>
            </w:r>
          </w:p>
        </w:tc>
        <w:tc>
          <w:tcPr>
            <w:tcW w:w="787" w:type="dxa"/>
            <w:noWrap w:val="0"/>
            <w:vAlign w:val="center"/>
          </w:tcPr>
          <w:p w14:paraId="6171FE4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695CD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4AE20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37" w:type="dxa"/>
            <w:noWrap w:val="0"/>
            <w:vAlign w:val="center"/>
          </w:tcPr>
          <w:p w14:paraId="20BEDD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书法与篆刻</w:t>
            </w:r>
          </w:p>
        </w:tc>
        <w:tc>
          <w:tcPr>
            <w:tcW w:w="735" w:type="dxa"/>
            <w:gridSpan w:val="5"/>
            <w:noWrap w:val="0"/>
            <w:vAlign w:val="center"/>
          </w:tcPr>
          <w:p w14:paraId="00EC4FE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B0F942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58CE48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书法教学挂图或书法名作欣赏挂图，应为国家正式出版物</w:t>
            </w:r>
          </w:p>
        </w:tc>
        <w:tc>
          <w:tcPr>
            <w:tcW w:w="787" w:type="dxa"/>
            <w:noWrap w:val="0"/>
            <w:vAlign w:val="center"/>
          </w:tcPr>
          <w:p w14:paraId="2708300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88F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268B23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37" w:type="dxa"/>
            <w:noWrap w:val="0"/>
            <w:vAlign w:val="center"/>
          </w:tcPr>
          <w:p w14:paraId="679F90E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篆刻工具</w:t>
            </w:r>
          </w:p>
        </w:tc>
        <w:tc>
          <w:tcPr>
            <w:tcW w:w="735" w:type="dxa"/>
            <w:gridSpan w:val="5"/>
            <w:noWrap w:val="0"/>
            <w:vAlign w:val="center"/>
          </w:tcPr>
          <w:p w14:paraId="2BC8C55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D8005B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w:t>
            </w:r>
          </w:p>
        </w:tc>
        <w:tc>
          <w:tcPr>
            <w:tcW w:w="6647" w:type="dxa"/>
            <w:noWrap w:val="0"/>
            <w:vAlign w:val="center"/>
          </w:tcPr>
          <w:p w14:paraId="6ECED84D">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篆刻刀、印床、章料、印泥等</w:t>
            </w:r>
          </w:p>
        </w:tc>
        <w:tc>
          <w:tcPr>
            <w:tcW w:w="787" w:type="dxa"/>
            <w:noWrap w:val="0"/>
            <w:vAlign w:val="center"/>
          </w:tcPr>
          <w:p w14:paraId="322C8828">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lang w:val="en-US"/>
              </w:rPr>
            </w:pPr>
          </w:p>
        </w:tc>
      </w:tr>
      <w:tr w14:paraId="5D3F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F8D8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37" w:type="dxa"/>
            <w:noWrap w:val="0"/>
            <w:vAlign w:val="center"/>
          </w:tcPr>
          <w:p w14:paraId="7C4B37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电子绘画板</w:t>
            </w:r>
          </w:p>
        </w:tc>
        <w:tc>
          <w:tcPr>
            <w:tcW w:w="735" w:type="dxa"/>
            <w:gridSpan w:val="5"/>
            <w:noWrap w:val="0"/>
            <w:vAlign w:val="center"/>
          </w:tcPr>
          <w:p w14:paraId="2B0CED0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块</w:t>
            </w:r>
          </w:p>
        </w:tc>
        <w:tc>
          <w:tcPr>
            <w:tcW w:w="572" w:type="dxa"/>
            <w:noWrap w:val="0"/>
            <w:vAlign w:val="center"/>
          </w:tcPr>
          <w:p w14:paraId="3C32EC9E">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1A96C30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绘画区域不小于 92mm× 147mm,1024 级压感以上，无线无源，配备与教材相应的软件</w:t>
            </w:r>
          </w:p>
        </w:tc>
        <w:tc>
          <w:tcPr>
            <w:tcW w:w="787" w:type="dxa"/>
            <w:noWrap w:val="0"/>
            <w:vAlign w:val="center"/>
          </w:tcPr>
          <w:p w14:paraId="1626352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3398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791A1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37" w:type="dxa"/>
            <w:noWrap w:val="0"/>
            <w:vAlign w:val="center"/>
          </w:tcPr>
          <w:p w14:paraId="3B4BC7B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绘图工具</w:t>
            </w:r>
          </w:p>
        </w:tc>
        <w:tc>
          <w:tcPr>
            <w:tcW w:w="735" w:type="dxa"/>
            <w:gridSpan w:val="5"/>
            <w:noWrap w:val="0"/>
            <w:vAlign w:val="center"/>
          </w:tcPr>
          <w:p w14:paraId="02BAFAE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D29824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67B8F1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圆规，直尺，三角板，曲线板</w:t>
            </w:r>
          </w:p>
        </w:tc>
        <w:tc>
          <w:tcPr>
            <w:tcW w:w="787" w:type="dxa"/>
            <w:noWrap w:val="0"/>
            <w:vAlign w:val="center"/>
          </w:tcPr>
          <w:p w14:paraId="62F12CB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1757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6AD7F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37" w:type="dxa"/>
            <w:noWrap w:val="0"/>
            <w:vAlign w:val="center"/>
          </w:tcPr>
          <w:p w14:paraId="312724B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三角板</w:t>
            </w:r>
          </w:p>
        </w:tc>
        <w:tc>
          <w:tcPr>
            <w:tcW w:w="735" w:type="dxa"/>
            <w:gridSpan w:val="5"/>
            <w:noWrap w:val="0"/>
            <w:vAlign w:val="center"/>
          </w:tcPr>
          <w:p w14:paraId="21B51B1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D48CA8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E3CEE4C">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25cm；45°、60°各 1 件</w:t>
            </w:r>
          </w:p>
        </w:tc>
        <w:tc>
          <w:tcPr>
            <w:tcW w:w="787" w:type="dxa"/>
            <w:noWrap w:val="0"/>
            <w:vAlign w:val="center"/>
          </w:tcPr>
          <w:p w14:paraId="0C8A5BA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0AA4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4CF0E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37" w:type="dxa"/>
            <w:noWrap w:val="0"/>
            <w:vAlign w:val="center"/>
          </w:tcPr>
          <w:p w14:paraId="6249E0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丁字尺</w:t>
            </w:r>
          </w:p>
        </w:tc>
        <w:tc>
          <w:tcPr>
            <w:tcW w:w="735" w:type="dxa"/>
            <w:gridSpan w:val="5"/>
            <w:noWrap w:val="0"/>
            <w:vAlign w:val="center"/>
          </w:tcPr>
          <w:p w14:paraId="5E21FC1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DEB5F9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F65BC5">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演示用,不小于 80cm</w:t>
            </w:r>
          </w:p>
        </w:tc>
        <w:tc>
          <w:tcPr>
            <w:tcW w:w="787" w:type="dxa"/>
            <w:noWrap w:val="0"/>
            <w:vAlign w:val="center"/>
          </w:tcPr>
          <w:p w14:paraId="5A49C6EA">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701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6F7569">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30</w:t>
            </w:r>
          </w:p>
        </w:tc>
        <w:tc>
          <w:tcPr>
            <w:tcW w:w="837" w:type="dxa"/>
            <w:noWrap w:val="0"/>
            <w:vAlign w:val="center"/>
          </w:tcPr>
          <w:p w14:paraId="004692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版画工具</w:t>
            </w:r>
          </w:p>
        </w:tc>
        <w:tc>
          <w:tcPr>
            <w:tcW w:w="735" w:type="dxa"/>
            <w:gridSpan w:val="5"/>
            <w:noWrap w:val="0"/>
            <w:vAlign w:val="center"/>
          </w:tcPr>
          <w:p w14:paraId="056F0B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75B98D5">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81B9F9">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木刻刀 5 把、笔刀 1 把、笔刀片 3 件、电烙铁 1 把、木蘑托 1 只、胶滚 1 套（大中小各 1 件）、油石 1 件、刮刀 2-3 把、6B 中华绘图铅笔 2 支</w:t>
            </w:r>
          </w:p>
        </w:tc>
        <w:tc>
          <w:tcPr>
            <w:tcW w:w="787" w:type="dxa"/>
            <w:noWrap w:val="0"/>
            <w:vAlign w:val="center"/>
          </w:tcPr>
          <w:p w14:paraId="2DCC3581">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5EB3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31684E">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31</w:t>
            </w:r>
          </w:p>
        </w:tc>
        <w:tc>
          <w:tcPr>
            <w:tcW w:w="837" w:type="dxa"/>
            <w:noWrap w:val="0"/>
            <w:vAlign w:val="center"/>
          </w:tcPr>
          <w:p w14:paraId="64FCFC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制作工具</w:t>
            </w:r>
          </w:p>
        </w:tc>
        <w:tc>
          <w:tcPr>
            <w:tcW w:w="735" w:type="dxa"/>
            <w:gridSpan w:val="5"/>
            <w:noWrap w:val="0"/>
            <w:vAlign w:val="center"/>
          </w:tcPr>
          <w:p w14:paraId="306FCDC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59F92A0">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DED1A5A">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美工刀 1 把、剪刀 2 把、木刻刀 12 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把、铁砧子1件</w:t>
            </w:r>
          </w:p>
        </w:tc>
        <w:tc>
          <w:tcPr>
            <w:tcW w:w="787" w:type="dxa"/>
            <w:noWrap w:val="0"/>
            <w:vAlign w:val="center"/>
          </w:tcPr>
          <w:p w14:paraId="0DDB036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C89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61801D">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32</w:t>
            </w:r>
          </w:p>
        </w:tc>
        <w:tc>
          <w:tcPr>
            <w:tcW w:w="837" w:type="dxa"/>
            <w:noWrap w:val="0"/>
            <w:vAlign w:val="center"/>
          </w:tcPr>
          <w:p w14:paraId="11FED3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美术教学用品柜</w:t>
            </w:r>
          </w:p>
        </w:tc>
        <w:tc>
          <w:tcPr>
            <w:tcW w:w="735" w:type="dxa"/>
            <w:gridSpan w:val="5"/>
            <w:noWrap w:val="0"/>
            <w:vAlign w:val="center"/>
          </w:tcPr>
          <w:p w14:paraId="5454DE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2D123A9">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0E54538">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不小于 80cm×45cm×180cm</w:t>
            </w:r>
          </w:p>
        </w:tc>
        <w:tc>
          <w:tcPr>
            <w:tcW w:w="787" w:type="dxa"/>
            <w:noWrap w:val="0"/>
            <w:vAlign w:val="center"/>
          </w:tcPr>
          <w:p w14:paraId="65509383">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strike w:val="0"/>
                <w:color w:val="auto"/>
                <w:sz w:val="21"/>
                <w:szCs w:val="21"/>
                <w:vertAlign w:val="baseline"/>
              </w:rPr>
            </w:pPr>
          </w:p>
        </w:tc>
      </w:tr>
      <w:tr w14:paraId="6C19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D51292">
            <w:pPr>
              <w:keepNext w:val="0"/>
              <w:keepLines w:val="0"/>
              <w:pageBreakBefore w:val="0"/>
              <w:widowControl w:val="0"/>
              <w:kinsoku/>
              <w:wordWrap/>
              <w:overflowPunct/>
              <w:topLinePunct w:val="0"/>
              <w:autoSpaceDE w:val="0"/>
              <w:autoSpaceDN w:val="0"/>
              <w:bidi w:val="0"/>
              <w:adjustRightInd w:val="0"/>
              <w:spacing w:line="440" w:lineRule="exact"/>
              <w:ind w:left="0" w:leftChars="0" w:firstLine="0" w:firstLineChars="0"/>
              <w:jc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bidi="ar-SA"/>
              </w:rPr>
              <w:t>33</w:t>
            </w:r>
          </w:p>
        </w:tc>
        <w:tc>
          <w:tcPr>
            <w:tcW w:w="837" w:type="dxa"/>
            <w:noWrap w:val="0"/>
            <w:vAlign w:val="center"/>
          </w:tcPr>
          <w:p w14:paraId="7BA9E2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民间美术欣赏及写生样本</w:t>
            </w:r>
          </w:p>
        </w:tc>
        <w:tc>
          <w:tcPr>
            <w:tcW w:w="735" w:type="dxa"/>
            <w:gridSpan w:val="5"/>
            <w:noWrap w:val="0"/>
            <w:vAlign w:val="center"/>
          </w:tcPr>
          <w:p w14:paraId="7D07B17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B955CF7">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8C7F1F">
            <w:pPr>
              <w:keepNext w:val="0"/>
              <w:keepLines w:val="0"/>
              <w:pageBreakBefore w:val="0"/>
              <w:widowControl/>
              <w:suppressLineNumbers w:val="0"/>
              <w:kinsoku/>
              <w:wordWrap/>
              <w:overflowPunct/>
              <w:topLinePunct w:val="0"/>
              <w:bidi w:val="0"/>
              <w:spacing w:line="440" w:lineRule="exact"/>
              <w:ind w:firstLine="0" w:firstLineChars="0"/>
              <w:jc w:val="left"/>
              <w:textAlignment w:val="top"/>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中国结、京剧脸谱、扎染、蜡染、皮影、年画、木板年画、剪纸、面具、泥塑、玩具、风车、纹样、风筝、唐三彩、彩陶器、瓷器、壮锦、绣球等</w:t>
            </w:r>
          </w:p>
        </w:tc>
        <w:tc>
          <w:tcPr>
            <w:tcW w:w="787" w:type="dxa"/>
            <w:noWrap w:val="0"/>
            <w:vAlign w:val="center"/>
          </w:tcPr>
          <w:p w14:paraId="044B54C4">
            <w:pPr>
              <w:keepNext w:val="0"/>
              <w:keepLines w:val="0"/>
              <w:pageBreakBefore w:val="0"/>
              <w:widowControl/>
              <w:suppressLineNumbers w:val="0"/>
              <w:kinsoku/>
              <w:wordWrap/>
              <w:overflowPunct/>
              <w:topLinePunct w:val="0"/>
              <w:bidi w:val="0"/>
              <w:spacing w:line="440" w:lineRule="exact"/>
              <w:ind w:firstLine="0" w:firstLineChars="0"/>
              <w:jc w:val="center"/>
              <w:textAlignment w:val="top"/>
              <w:rPr>
                <w:rFonts w:hint="eastAsia" w:ascii="宋体" w:hAnsi="宋体" w:eastAsia="宋体" w:cs="宋体"/>
                <w:i w:val="0"/>
                <w:iCs w:val="0"/>
                <w:strike w:val="0"/>
                <w:color w:val="auto"/>
                <w:kern w:val="0"/>
                <w:sz w:val="21"/>
                <w:szCs w:val="21"/>
                <w:u w:val="none"/>
                <w:lang w:val="en-US" w:eastAsia="zh-CN" w:bidi="ar"/>
              </w:rPr>
            </w:pPr>
          </w:p>
        </w:tc>
      </w:tr>
      <w:tr w14:paraId="3CC4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720FAEFB">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b/>
                <w:bCs/>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十一、数学科学（理科）：其他教学仪器</w:t>
            </w:r>
          </w:p>
        </w:tc>
      </w:tr>
      <w:tr w14:paraId="29D4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F88CE4">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2" w:type="dxa"/>
            <w:gridSpan w:val="3"/>
            <w:noWrap w:val="0"/>
            <w:vAlign w:val="center"/>
          </w:tcPr>
          <w:p w14:paraId="0598BC66">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90" w:type="dxa"/>
            <w:gridSpan w:val="3"/>
            <w:noWrap w:val="0"/>
            <w:vAlign w:val="center"/>
          </w:tcPr>
          <w:p w14:paraId="5A68D0F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572" w:type="dxa"/>
            <w:noWrap w:val="0"/>
            <w:vAlign w:val="center"/>
          </w:tcPr>
          <w:p w14:paraId="66596F42">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5F2284A3">
            <w:pPr>
              <w:keepNext w:val="0"/>
              <w:keepLines w:val="0"/>
              <w:pageBreakBefore w:val="0"/>
              <w:widowControl w:val="0"/>
              <w:kinsoku/>
              <w:wordWrap/>
              <w:overflowPunct/>
              <w:topLinePunct w:val="0"/>
              <w:autoSpaceDE w:val="0"/>
              <w:autoSpaceDN w:val="0"/>
              <w:bidi w:val="0"/>
              <w:adjustRightInd w:val="0"/>
              <w:snapToGrid/>
              <w:spacing w:line="440" w:lineRule="exact"/>
              <w:ind w:firstLine="308" w:firstLineChars="147"/>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39670E4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strike w:val="0"/>
                <w:color w:val="auto"/>
                <w:sz w:val="21"/>
                <w:szCs w:val="21"/>
                <w:vertAlign w:val="baseline"/>
                <w:lang w:val="en-US" w:eastAsia="zh-CN" w:bidi="ar-SA"/>
              </w:rPr>
              <w:t>备注</w:t>
            </w:r>
          </w:p>
        </w:tc>
      </w:tr>
      <w:tr w14:paraId="6AFC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7AF85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1</w:t>
            </w:r>
          </w:p>
        </w:tc>
        <w:tc>
          <w:tcPr>
            <w:tcW w:w="882" w:type="dxa"/>
            <w:gridSpan w:val="3"/>
            <w:noWrap w:val="0"/>
            <w:vAlign w:val="center"/>
          </w:tcPr>
          <w:p w14:paraId="64D828C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护目镜</w:t>
            </w:r>
          </w:p>
        </w:tc>
        <w:tc>
          <w:tcPr>
            <w:tcW w:w="690" w:type="dxa"/>
            <w:gridSpan w:val="3"/>
            <w:noWrap w:val="0"/>
            <w:vAlign w:val="center"/>
          </w:tcPr>
          <w:p w14:paraId="57552D6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D8C6FE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4622263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侧面完全遮挡，耐腐蚀，抗冲击，耐磨，便于清洗</w:t>
            </w:r>
          </w:p>
        </w:tc>
        <w:tc>
          <w:tcPr>
            <w:tcW w:w="787" w:type="dxa"/>
            <w:noWrap w:val="0"/>
            <w:vAlign w:val="center"/>
          </w:tcPr>
          <w:p w14:paraId="479028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0E40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3378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2" w:type="dxa"/>
            <w:gridSpan w:val="3"/>
            <w:noWrap w:val="0"/>
            <w:vAlign w:val="center"/>
          </w:tcPr>
          <w:p w14:paraId="369791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教学电源</w:t>
            </w:r>
          </w:p>
        </w:tc>
        <w:tc>
          <w:tcPr>
            <w:tcW w:w="690" w:type="dxa"/>
            <w:gridSpan w:val="3"/>
            <w:noWrap w:val="0"/>
            <w:vAlign w:val="center"/>
          </w:tcPr>
          <w:p w14:paraId="3CC77B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548F55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01D298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交流 2 V～12 V，5 A，每 2 V 为一档；直 流 1.5 V～12 V，2 A，分为 1.5 V、3 V、 4.5 V、6 V、9 V、12 V，共 6 档；40 A、8 s 自动关断，延时 1 s；各档空载电压应</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≤1.05U </w:t>
            </w:r>
            <w:r>
              <w:rPr>
                <w:rFonts w:hint="eastAsia" w:ascii="宋体" w:hAnsi="宋体" w:eastAsia="宋体" w:cs="宋体"/>
                <w:i w:val="0"/>
                <w:iCs w:val="0"/>
                <w:strike w:val="0"/>
                <w:color w:val="auto"/>
                <w:kern w:val="0"/>
                <w:sz w:val="21"/>
                <w:szCs w:val="21"/>
                <w:u w:val="none"/>
                <w:vertAlign w:val="subscript"/>
                <w:lang w:val="en-US" w:eastAsia="zh-CN" w:bidi="ar"/>
              </w:rPr>
              <w:t>标</w:t>
            </w:r>
            <w:r>
              <w:rPr>
                <w:rFonts w:hint="eastAsia" w:ascii="宋体" w:hAnsi="宋体" w:eastAsia="宋体" w:cs="宋体"/>
                <w:i w:val="0"/>
                <w:iCs w:val="0"/>
                <w:strike w:val="0"/>
                <w:color w:val="auto"/>
                <w:kern w:val="0"/>
                <w:sz w:val="21"/>
                <w:szCs w:val="21"/>
                <w:u w:val="none"/>
                <w:lang w:val="en-US" w:eastAsia="zh-CN" w:bidi="ar"/>
              </w:rPr>
              <w:t xml:space="preserve">＋0.3 V，各档满载电压应≥0.95U-0.3 V，直流输出时电压偏调±（2％U </w:t>
            </w:r>
            <w:r>
              <w:rPr>
                <w:rFonts w:hint="eastAsia" w:ascii="宋体" w:hAnsi="宋体" w:eastAsia="宋体" w:cs="宋体"/>
                <w:i w:val="0"/>
                <w:iCs w:val="0"/>
                <w:strike w:val="0"/>
                <w:color w:val="auto"/>
                <w:kern w:val="0"/>
                <w:sz w:val="21"/>
                <w:szCs w:val="21"/>
                <w:u w:val="none"/>
                <w:vertAlign w:val="subscript"/>
                <w:lang w:val="en-US" w:eastAsia="zh-CN" w:bidi="ar"/>
              </w:rPr>
              <w:t>标</w:t>
            </w:r>
            <w:r>
              <w:rPr>
                <w:rFonts w:hint="eastAsia" w:ascii="宋体" w:hAnsi="宋体" w:eastAsia="宋体" w:cs="宋体"/>
                <w:i w:val="0"/>
                <w:iCs w:val="0"/>
                <w:strike w:val="0"/>
                <w:color w:val="auto"/>
                <w:kern w:val="0"/>
                <w:sz w:val="21"/>
                <w:szCs w:val="21"/>
                <w:u w:val="none"/>
                <w:lang w:val="en-US" w:eastAsia="zh-CN" w:bidi="ar"/>
              </w:rPr>
              <w:t>＋0.1 V）</w:t>
            </w:r>
          </w:p>
        </w:tc>
        <w:tc>
          <w:tcPr>
            <w:tcW w:w="787" w:type="dxa"/>
            <w:noWrap w:val="0"/>
            <w:vAlign w:val="center"/>
          </w:tcPr>
          <w:p w14:paraId="6655EC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9F5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D45E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23E127B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电池盒</w:t>
            </w:r>
          </w:p>
        </w:tc>
        <w:tc>
          <w:tcPr>
            <w:tcW w:w="690" w:type="dxa"/>
            <w:gridSpan w:val="3"/>
            <w:noWrap w:val="0"/>
            <w:vAlign w:val="center"/>
          </w:tcPr>
          <w:p w14:paraId="09D8E4D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A6DA3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628992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适用于 R6 电池</w:t>
            </w:r>
          </w:p>
        </w:tc>
        <w:tc>
          <w:tcPr>
            <w:tcW w:w="787" w:type="dxa"/>
            <w:noWrap w:val="0"/>
            <w:vAlign w:val="center"/>
          </w:tcPr>
          <w:p w14:paraId="6E6A3D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75A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51314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68C8AD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充电电池</w:t>
            </w:r>
          </w:p>
        </w:tc>
        <w:tc>
          <w:tcPr>
            <w:tcW w:w="690" w:type="dxa"/>
            <w:gridSpan w:val="3"/>
            <w:noWrap w:val="0"/>
            <w:vAlign w:val="center"/>
          </w:tcPr>
          <w:p w14:paraId="7FBC77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81A2B1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7B3AEF5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镍氢电池，R6</w:t>
            </w:r>
          </w:p>
        </w:tc>
        <w:tc>
          <w:tcPr>
            <w:tcW w:w="787" w:type="dxa"/>
            <w:noWrap w:val="0"/>
            <w:vAlign w:val="center"/>
          </w:tcPr>
          <w:p w14:paraId="1543568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912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4986C3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4E7482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钢直尺</w:t>
            </w:r>
          </w:p>
        </w:tc>
        <w:tc>
          <w:tcPr>
            <w:tcW w:w="690" w:type="dxa"/>
            <w:gridSpan w:val="3"/>
            <w:noWrap w:val="0"/>
            <w:vAlign w:val="center"/>
          </w:tcPr>
          <w:p w14:paraId="49B8616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4ED8BE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5305627">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1000 mm,分度值为 1 mm；材料为 1Cr18Ni9、</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1Cr13 或其他类似性能材料，硬度应≥342 HV；刻度面平面度误差应≤0.25 mm，允许</w:t>
            </w:r>
          </w:p>
        </w:tc>
        <w:tc>
          <w:tcPr>
            <w:tcW w:w="787" w:type="dxa"/>
            <w:noWrap w:val="0"/>
            <w:vAlign w:val="center"/>
          </w:tcPr>
          <w:p w14:paraId="752F4E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476F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0A3F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5E23B82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钢直尺</w:t>
            </w:r>
          </w:p>
        </w:tc>
        <w:tc>
          <w:tcPr>
            <w:tcW w:w="690" w:type="dxa"/>
            <w:gridSpan w:val="3"/>
            <w:noWrap w:val="0"/>
            <w:vAlign w:val="center"/>
          </w:tcPr>
          <w:p w14:paraId="2E5F30B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28EEA7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3F487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400 mm 或 500 mm，同上</w:t>
            </w:r>
          </w:p>
        </w:tc>
        <w:tc>
          <w:tcPr>
            <w:tcW w:w="787" w:type="dxa"/>
            <w:noWrap w:val="0"/>
            <w:vAlign w:val="center"/>
          </w:tcPr>
          <w:p w14:paraId="25230A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AB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D9C0D0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282A23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钢卷尺</w:t>
            </w:r>
          </w:p>
        </w:tc>
        <w:tc>
          <w:tcPr>
            <w:tcW w:w="690" w:type="dxa"/>
            <w:gridSpan w:val="3"/>
            <w:noWrap w:val="0"/>
            <w:vAlign w:val="center"/>
          </w:tcPr>
          <w:p w14:paraId="5A6085B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B12E86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104FA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 0 mm～2000 mm，分度值 1 mm。B 型（自 卷 制 动 式 ） ， 尺 带 宽 ≥  12 mm ， 厚 ≥ 0.15 mm。尺带拉伸、收卷轻便灵活，无卡 阻现象。活动尺钩缩回时，尺钩外侧为零点 端</w:t>
            </w:r>
          </w:p>
        </w:tc>
        <w:tc>
          <w:tcPr>
            <w:tcW w:w="787" w:type="dxa"/>
            <w:noWrap w:val="0"/>
            <w:vAlign w:val="center"/>
          </w:tcPr>
          <w:p w14:paraId="0AF8F6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8D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5A24AB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78BA14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卷尺</w:t>
            </w:r>
          </w:p>
        </w:tc>
        <w:tc>
          <w:tcPr>
            <w:tcW w:w="690" w:type="dxa"/>
            <w:gridSpan w:val="3"/>
            <w:noWrap w:val="0"/>
            <w:vAlign w:val="center"/>
          </w:tcPr>
          <w:p w14:paraId="4D7ADA8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95D29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C73726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 m,折卷式，尺带表面应平滑、色泽均匀， 应无气孔、杂质等影响外观和使用性能缺陷</w:t>
            </w:r>
          </w:p>
        </w:tc>
        <w:tc>
          <w:tcPr>
            <w:tcW w:w="787" w:type="dxa"/>
            <w:noWrap w:val="0"/>
            <w:vAlign w:val="center"/>
          </w:tcPr>
          <w:p w14:paraId="47705B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F2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1412E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5A66BE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卷尺</w:t>
            </w:r>
          </w:p>
        </w:tc>
        <w:tc>
          <w:tcPr>
            <w:tcW w:w="690" w:type="dxa"/>
            <w:gridSpan w:val="3"/>
            <w:noWrap w:val="0"/>
            <w:vAlign w:val="center"/>
          </w:tcPr>
          <w:p w14:paraId="36A42B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2CD9D3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826437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 m, 折卷式, 尺带表面应平滑、色泽均匀， 应无气孔、杂质等影响外观和使用性能缺陷</w:t>
            </w:r>
          </w:p>
        </w:tc>
        <w:tc>
          <w:tcPr>
            <w:tcW w:w="787" w:type="dxa"/>
            <w:noWrap w:val="0"/>
            <w:vAlign w:val="center"/>
          </w:tcPr>
          <w:p w14:paraId="02146C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A5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D73DE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035D45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布纤维卷尺</w:t>
            </w:r>
          </w:p>
        </w:tc>
        <w:tc>
          <w:tcPr>
            <w:tcW w:w="690" w:type="dxa"/>
            <w:gridSpan w:val="3"/>
            <w:noWrap w:val="0"/>
            <w:vAlign w:val="center"/>
          </w:tcPr>
          <w:p w14:paraId="350BC83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364A1B1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9C1AA0">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摇卷盒式，量程 0 m～30 m，分度值 1 cm，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尺带宽度 20 mm，有“CMC”标志，刻度清晰， 边缘平直、材料环保、耐磨损</w:t>
            </w:r>
          </w:p>
        </w:tc>
        <w:tc>
          <w:tcPr>
            <w:tcW w:w="787" w:type="dxa"/>
            <w:noWrap w:val="0"/>
            <w:vAlign w:val="center"/>
          </w:tcPr>
          <w:p w14:paraId="56DC48F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5601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0D21B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605787D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滚轮长度标线</w:t>
            </w:r>
          </w:p>
        </w:tc>
        <w:tc>
          <w:tcPr>
            <w:tcW w:w="690" w:type="dxa"/>
            <w:gridSpan w:val="3"/>
            <w:noWrap w:val="0"/>
            <w:vAlign w:val="center"/>
          </w:tcPr>
          <w:p w14:paraId="5B11953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4B05FD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EC2E6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轮式</w:t>
            </w:r>
          </w:p>
        </w:tc>
        <w:tc>
          <w:tcPr>
            <w:tcW w:w="787" w:type="dxa"/>
            <w:noWrap w:val="0"/>
            <w:vAlign w:val="center"/>
          </w:tcPr>
          <w:p w14:paraId="2A5C3E0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B6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FB974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w:t>
            </w:r>
          </w:p>
        </w:tc>
        <w:tc>
          <w:tcPr>
            <w:tcW w:w="882" w:type="dxa"/>
            <w:gridSpan w:val="3"/>
            <w:noWrap w:val="0"/>
            <w:vAlign w:val="center"/>
          </w:tcPr>
          <w:p w14:paraId="333D141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电子尺</w:t>
            </w:r>
          </w:p>
        </w:tc>
        <w:tc>
          <w:tcPr>
            <w:tcW w:w="690" w:type="dxa"/>
            <w:gridSpan w:val="3"/>
            <w:noWrap w:val="0"/>
            <w:vAlign w:val="center"/>
          </w:tcPr>
          <w:p w14:paraId="7FE9BC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655BF4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470D7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轮式</w:t>
            </w:r>
          </w:p>
        </w:tc>
        <w:tc>
          <w:tcPr>
            <w:tcW w:w="787" w:type="dxa"/>
            <w:noWrap w:val="0"/>
            <w:vAlign w:val="center"/>
          </w:tcPr>
          <w:p w14:paraId="639236D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B7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09" w:type="dxa"/>
            <w:noWrap w:val="0"/>
            <w:vAlign w:val="center"/>
          </w:tcPr>
          <w:p w14:paraId="012882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13</w:t>
            </w:r>
          </w:p>
        </w:tc>
        <w:tc>
          <w:tcPr>
            <w:tcW w:w="882" w:type="dxa"/>
            <w:gridSpan w:val="3"/>
            <w:noWrap w:val="0"/>
            <w:vAlign w:val="center"/>
          </w:tcPr>
          <w:p w14:paraId="312D68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电子尺</w:t>
            </w:r>
          </w:p>
        </w:tc>
        <w:tc>
          <w:tcPr>
            <w:tcW w:w="690" w:type="dxa"/>
            <w:gridSpan w:val="3"/>
            <w:noWrap w:val="0"/>
            <w:vAlign w:val="center"/>
          </w:tcPr>
          <w:p w14:paraId="02A454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2CD3236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C11B46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望远镜:主机(1个)、Type-C充电线(1个)、说明书(1个)、包装盒(1个)、便携包(1个)、擦镜布(1个）、干燥剂(1个)、手绳(1个)、望远镜倍率6X、目镜直径16mm、物镜直径25mm、测角范围±90°、测量误差±(1.0m+Dx0.2%)、分辨率0.1M</w:t>
            </w:r>
          </w:p>
        </w:tc>
        <w:tc>
          <w:tcPr>
            <w:tcW w:w="787" w:type="dxa"/>
            <w:noWrap w:val="0"/>
            <w:vAlign w:val="center"/>
          </w:tcPr>
          <w:p w14:paraId="602B28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4E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B7B1B4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14</w:t>
            </w:r>
          </w:p>
        </w:tc>
        <w:tc>
          <w:tcPr>
            <w:tcW w:w="882" w:type="dxa"/>
            <w:gridSpan w:val="3"/>
            <w:noWrap w:val="0"/>
            <w:vAlign w:val="center"/>
          </w:tcPr>
          <w:p w14:paraId="551D31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激光测距仪</w:t>
            </w:r>
          </w:p>
        </w:tc>
        <w:tc>
          <w:tcPr>
            <w:tcW w:w="690" w:type="dxa"/>
            <w:gridSpan w:val="3"/>
            <w:noWrap w:val="0"/>
            <w:vAlign w:val="center"/>
          </w:tcPr>
          <w:p w14:paraId="47C42B9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0B12A7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A6CA1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 50米</w:t>
            </w:r>
          </w:p>
        </w:tc>
        <w:tc>
          <w:tcPr>
            <w:tcW w:w="787" w:type="dxa"/>
            <w:noWrap w:val="0"/>
            <w:vAlign w:val="center"/>
          </w:tcPr>
          <w:p w14:paraId="1FA173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84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6EDF9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w:t>
            </w:r>
          </w:p>
        </w:tc>
        <w:tc>
          <w:tcPr>
            <w:tcW w:w="882" w:type="dxa"/>
            <w:gridSpan w:val="3"/>
            <w:noWrap w:val="0"/>
            <w:vAlign w:val="center"/>
          </w:tcPr>
          <w:p w14:paraId="2C27502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测量计数器</w:t>
            </w:r>
          </w:p>
        </w:tc>
        <w:tc>
          <w:tcPr>
            <w:tcW w:w="690" w:type="dxa"/>
            <w:gridSpan w:val="3"/>
            <w:noWrap w:val="0"/>
            <w:vAlign w:val="center"/>
          </w:tcPr>
          <w:p w14:paraId="2492269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4422AE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04FF8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手动</w:t>
            </w:r>
          </w:p>
        </w:tc>
        <w:tc>
          <w:tcPr>
            <w:tcW w:w="787" w:type="dxa"/>
            <w:noWrap w:val="0"/>
            <w:vAlign w:val="center"/>
          </w:tcPr>
          <w:p w14:paraId="563AC11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D1D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C74F0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16</w:t>
            </w:r>
          </w:p>
        </w:tc>
        <w:tc>
          <w:tcPr>
            <w:tcW w:w="882" w:type="dxa"/>
            <w:gridSpan w:val="3"/>
            <w:noWrap w:val="0"/>
            <w:vAlign w:val="center"/>
          </w:tcPr>
          <w:p w14:paraId="2A4621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红液温度 计</w:t>
            </w:r>
          </w:p>
        </w:tc>
        <w:tc>
          <w:tcPr>
            <w:tcW w:w="690" w:type="dxa"/>
            <w:gridSpan w:val="3"/>
            <w:noWrap w:val="0"/>
            <w:vAlign w:val="center"/>
          </w:tcPr>
          <w:p w14:paraId="7039363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40D1F9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87EC4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量程-20 ℃～+100 ℃，分度值 1 ℃，示值 误差&lt;1.5 ℃</w:t>
            </w:r>
          </w:p>
        </w:tc>
        <w:tc>
          <w:tcPr>
            <w:tcW w:w="787" w:type="dxa"/>
            <w:noWrap w:val="0"/>
            <w:vAlign w:val="center"/>
          </w:tcPr>
          <w:p w14:paraId="501828A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AD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BF8C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17</w:t>
            </w:r>
          </w:p>
        </w:tc>
        <w:tc>
          <w:tcPr>
            <w:tcW w:w="882" w:type="dxa"/>
            <w:gridSpan w:val="3"/>
            <w:noWrap w:val="0"/>
            <w:vAlign w:val="center"/>
          </w:tcPr>
          <w:p w14:paraId="02F7AE9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水银温度 计</w:t>
            </w:r>
          </w:p>
        </w:tc>
        <w:tc>
          <w:tcPr>
            <w:tcW w:w="690" w:type="dxa"/>
            <w:gridSpan w:val="3"/>
            <w:noWrap w:val="0"/>
            <w:vAlign w:val="center"/>
          </w:tcPr>
          <w:p w14:paraId="0DC21E1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7E5202D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15F620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 ℃～200 ℃，分度值 1 ℃，示值误差＜0.5 ℃，有保护套</w:t>
            </w:r>
          </w:p>
        </w:tc>
        <w:tc>
          <w:tcPr>
            <w:tcW w:w="787" w:type="dxa"/>
            <w:noWrap w:val="0"/>
            <w:vAlign w:val="center"/>
          </w:tcPr>
          <w:p w14:paraId="2BA7224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72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7325A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18</w:t>
            </w:r>
          </w:p>
        </w:tc>
        <w:tc>
          <w:tcPr>
            <w:tcW w:w="882" w:type="dxa"/>
            <w:gridSpan w:val="3"/>
            <w:noWrap w:val="0"/>
            <w:vAlign w:val="center"/>
          </w:tcPr>
          <w:p w14:paraId="0310FA5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体温计</w:t>
            </w:r>
          </w:p>
        </w:tc>
        <w:tc>
          <w:tcPr>
            <w:tcW w:w="690" w:type="dxa"/>
            <w:gridSpan w:val="3"/>
            <w:noWrap w:val="0"/>
            <w:vAlign w:val="center"/>
          </w:tcPr>
          <w:p w14:paraId="2F7A112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091FC6B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535B2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水银，量程 35 ℃～42 ℃，分度值 0.1 ℃， 感温液柱不应中断、自流、难甩，应有“CCV” 标志</w:t>
            </w:r>
          </w:p>
        </w:tc>
        <w:tc>
          <w:tcPr>
            <w:tcW w:w="787" w:type="dxa"/>
            <w:noWrap w:val="0"/>
            <w:vAlign w:val="center"/>
          </w:tcPr>
          <w:p w14:paraId="29E2FD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0D4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6D78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19</w:t>
            </w:r>
          </w:p>
        </w:tc>
        <w:tc>
          <w:tcPr>
            <w:tcW w:w="882" w:type="dxa"/>
            <w:gridSpan w:val="3"/>
            <w:noWrap w:val="0"/>
            <w:vAlign w:val="center"/>
          </w:tcPr>
          <w:p w14:paraId="3F622C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红外人体表面温度快速筛检仪</w:t>
            </w:r>
          </w:p>
        </w:tc>
        <w:tc>
          <w:tcPr>
            <w:tcW w:w="690" w:type="dxa"/>
            <w:gridSpan w:val="3"/>
            <w:noWrap w:val="0"/>
            <w:vAlign w:val="center"/>
          </w:tcPr>
          <w:p w14:paraId="295DD5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D7459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9D80E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红外线电子测温</w:t>
            </w:r>
          </w:p>
        </w:tc>
        <w:tc>
          <w:tcPr>
            <w:tcW w:w="787" w:type="dxa"/>
            <w:noWrap w:val="0"/>
            <w:vAlign w:val="center"/>
          </w:tcPr>
          <w:p w14:paraId="0DEBE06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07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6FD02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w:t>
            </w:r>
          </w:p>
        </w:tc>
        <w:tc>
          <w:tcPr>
            <w:tcW w:w="882" w:type="dxa"/>
            <w:gridSpan w:val="3"/>
            <w:noWrap w:val="0"/>
            <w:vAlign w:val="center"/>
          </w:tcPr>
          <w:p w14:paraId="4D5A5E2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寒暑表</w:t>
            </w:r>
          </w:p>
        </w:tc>
        <w:tc>
          <w:tcPr>
            <w:tcW w:w="690" w:type="dxa"/>
            <w:gridSpan w:val="3"/>
            <w:noWrap w:val="0"/>
            <w:vAlign w:val="center"/>
          </w:tcPr>
          <w:p w14:paraId="2346F5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只</w:t>
            </w:r>
          </w:p>
        </w:tc>
        <w:tc>
          <w:tcPr>
            <w:tcW w:w="572" w:type="dxa"/>
            <w:noWrap w:val="0"/>
            <w:vAlign w:val="center"/>
          </w:tcPr>
          <w:p w14:paraId="1C0FAA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360663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量程-50 ℃～+50 ℃，分度值 1 ℃，允许误 差±1 ℃；底板长 200 mm～300 mm，温度计 外径 5 mm～8 mm，感温泡长 8 mm～15 mm； 当温度达到 100 ℃时，安全泡应能容纳上升 感温液，温度计不致胀破</w:t>
            </w:r>
          </w:p>
        </w:tc>
        <w:tc>
          <w:tcPr>
            <w:tcW w:w="787" w:type="dxa"/>
            <w:noWrap w:val="0"/>
            <w:vAlign w:val="center"/>
          </w:tcPr>
          <w:p w14:paraId="3E7D2B2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B58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7D46F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21</w:t>
            </w:r>
          </w:p>
        </w:tc>
        <w:tc>
          <w:tcPr>
            <w:tcW w:w="882" w:type="dxa"/>
            <w:gridSpan w:val="3"/>
            <w:noWrap w:val="0"/>
            <w:vAlign w:val="center"/>
          </w:tcPr>
          <w:p w14:paraId="40B3898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干湿球温度计</w:t>
            </w:r>
          </w:p>
        </w:tc>
        <w:tc>
          <w:tcPr>
            <w:tcW w:w="690" w:type="dxa"/>
            <w:gridSpan w:val="3"/>
            <w:noWrap w:val="0"/>
            <w:vAlign w:val="center"/>
          </w:tcPr>
          <w:p w14:paraId="4422DF6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B3994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72C480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 ℃～50 ℃，分度值 0.5 ℃，测量湿度 0%～100%</w:t>
            </w:r>
          </w:p>
        </w:tc>
        <w:tc>
          <w:tcPr>
            <w:tcW w:w="787" w:type="dxa"/>
            <w:noWrap w:val="0"/>
            <w:vAlign w:val="center"/>
          </w:tcPr>
          <w:p w14:paraId="34103C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CB1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383EC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22</w:t>
            </w:r>
          </w:p>
        </w:tc>
        <w:tc>
          <w:tcPr>
            <w:tcW w:w="882" w:type="dxa"/>
            <w:gridSpan w:val="3"/>
            <w:noWrap w:val="0"/>
            <w:vAlign w:val="center"/>
          </w:tcPr>
          <w:p w14:paraId="5E4778B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托盘天平</w:t>
            </w:r>
          </w:p>
        </w:tc>
        <w:tc>
          <w:tcPr>
            <w:tcW w:w="690" w:type="dxa"/>
            <w:gridSpan w:val="3"/>
            <w:noWrap w:val="0"/>
            <w:vAlign w:val="center"/>
          </w:tcPr>
          <w:p w14:paraId="329146A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1012DE0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0E6200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单杠杆等臂式双盘天平，配 6 级（M2 级）砝 码：100 g、50 g、10 g、5 g 各 1 个，20 g 2 个，钢制镊子</w:t>
            </w:r>
          </w:p>
        </w:tc>
        <w:tc>
          <w:tcPr>
            <w:tcW w:w="787" w:type="dxa"/>
            <w:noWrap w:val="0"/>
            <w:vAlign w:val="center"/>
          </w:tcPr>
          <w:p w14:paraId="74CAD42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F0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3AA23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23</w:t>
            </w:r>
          </w:p>
        </w:tc>
        <w:tc>
          <w:tcPr>
            <w:tcW w:w="882" w:type="dxa"/>
            <w:gridSpan w:val="3"/>
            <w:noWrap w:val="0"/>
            <w:vAlign w:val="center"/>
          </w:tcPr>
          <w:p w14:paraId="17BE5AD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电子秤(电子天平）</w:t>
            </w:r>
          </w:p>
        </w:tc>
        <w:tc>
          <w:tcPr>
            <w:tcW w:w="690" w:type="dxa"/>
            <w:gridSpan w:val="3"/>
            <w:noWrap w:val="0"/>
            <w:vAlign w:val="center"/>
          </w:tcPr>
          <w:p w14:paraId="7EE5E30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5475AD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61F967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量程 500 g,分度值 0.01 g</w:t>
            </w:r>
          </w:p>
        </w:tc>
        <w:tc>
          <w:tcPr>
            <w:tcW w:w="787" w:type="dxa"/>
            <w:noWrap w:val="0"/>
            <w:vAlign w:val="center"/>
          </w:tcPr>
          <w:p w14:paraId="2BA6D6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F0F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EA3852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24</w:t>
            </w:r>
          </w:p>
        </w:tc>
        <w:tc>
          <w:tcPr>
            <w:tcW w:w="882" w:type="dxa"/>
            <w:gridSpan w:val="3"/>
            <w:noWrap w:val="0"/>
            <w:vAlign w:val="center"/>
          </w:tcPr>
          <w:p w14:paraId="142A56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电子秒表</w:t>
            </w:r>
          </w:p>
        </w:tc>
        <w:tc>
          <w:tcPr>
            <w:tcW w:w="690" w:type="dxa"/>
            <w:gridSpan w:val="3"/>
            <w:noWrap w:val="0"/>
            <w:vAlign w:val="center"/>
          </w:tcPr>
          <w:p w14:paraId="785C16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CAFC1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6C5A7C6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非专用型，手持式，分辨力 0.1 s，电池更 换周期≥1 年，测量时段：10 min</w:t>
            </w:r>
          </w:p>
        </w:tc>
        <w:tc>
          <w:tcPr>
            <w:tcW w:w="787" w:type="dxa"/>
            <w:noWrap w:val="0"/>
            <w:vAlign w:val="center"/>
          </w:tcPr>
          <w:p w14:paraId="3FA5EE6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AD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23643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w:t>
            </w:r>
          </w:p>
        </w:tc>
        <w:tc>
          <w:tcPr>
            <w:tcW w:w="882" w:type="dxa"/>
            <w:gridSpan w:val="3"/>
            <w:noWrap w:val="0"/>
            <w:vAlign w:val="center"/>
          </w:tcPr>
          <w:p w14:paraId="691113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量筒</w:t>
            </w:r>
          </w:p>
        </w:tc>
        <w:tc>
          <w:tcPr>
            <w:tcW w:w="690" w:type="dxa"/>
            <w:gridSpan w:val="3"/>
            <w:noWrap w:val="0"/>
            <w:vAlign w:val="center"/>
          </w:tcPr>
          <w:p w14:paraId="1954826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69AF83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1A2C0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 mL，透明钠钙玻璃制，分度线、数字和标志应完整、清晰和耐久，容积为 20 ℃时 充满量筒刻度线所容纳体积</w:t>
            </w:r>
          </w:p>
        </w:tc>
        <w:tc>
          <w:tcPr>
            <w:tcW w:w="787" w:type="dxa"/>
            <w:noWrap w:val="0"/>
            <w:vAlign w:val="center"/>
          </w:tcPr>
          <w:p w14:paraId="619739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96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68622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26</w:t>
            </w:r>
          </w:p>
        </w:tc>
        <w:tc>
          <w:tcPr>
            <w:tcW w:w="882" w:type="dxa"/>
            <w:gridSpan w:val="3"/>
            <w:noWrap w:val="0"/>
            <w:vAlign w:val="center"/>
          </w:tcPr>
          <w:p w14:paraId="27DDE85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量筒</w:t>
            </w:r>
          </w:p>
        </w:tc>
        <w:tc>
          <w:tcPr>
            <w:tcW w:w="690" w:type="dxa"/>
            <w:gridSpan w:val="3"/>
            <w:noWrap w:val="0"/>
            <w:vAlign w:val="center"/>
          </w:tcPr>
          <w:p w14:paraId="53A0405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532E2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6B3DD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mL，同上</w:t>
            </w:r>
          </w:p>
        </w:tc>
        <w:tc>
          <w:tcPr>
            <w:tcW w:w="787" w:type="dxa"/>
            <w:noWrap w:val="0"/>
            <w:vAlign w:val="center"/>
          </w:tcPr>
          <w:p w14:paraId="288E72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14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5402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27</w:t>
            </w:r>
          </w:p>
        </w:tc>
        <w:tc>
          <w:tcPr>
            <w:tcW w:w="882" w:type="dxa"/>
            <w:gridSpan w:val="3"/>
            <w:noWrap w:val="0"/>
            <w:vAlign w:val="center"/>
          </w:tcPr>
          <w:p w14:paraId="6A3D03E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水槽</w:t>
            </w:r>
          </w:p>
        </w:tc>
        <w:tc>
          <w:tcPr>
            <w:tcW w:w="690" w:type="dxa"/>
            <w:gridSpan w:val="3"/>
            <w:noWrap w:val="0"/>
            <w:vAlign w:val="center"/>
          </w:tcPr>
          <w:p w14:paraId="41CA45E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9822D0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B5113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透明塑料、树脂，长方形，带盖，带透气孔，长 30 cm×宽 20cmx15cm</w:t>
            </w:r>
          </w:p>
        </w:tc>
        <w:tc>
          <w:tcPr>
            <w:tcW w:w="787" w:type="dxa"/>
            <w:noWrap w:val="0"/>
            <w:vAlign w:val="center"/>
          </w:tcPr>
          <w:p w14:paraId="4A9666C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B5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81FC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28</w:t>
            </w:r>
          </w:p>
        </w:tc>
        <w:tc>
          <w:tcPr>
            <w:tcW w:w="882" w:type="dxa"/>
            <w:gridSpan w:val="3"/>
            <w:noWrap w:val="0"/>
            <w:vAlign w:val="center"/>
          </w:tcPr>
          <w:p w14:paraId="01234E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底部带孔塑料杯</w:t>
            </w:r>
          </w:p>
        </w:tc>
        <w:tc>
          <w:tcPr>
            <w:tcW w:w="690" w:type="dxa"/>
            <w:gridSpan w:val="3"/>
            <w:noWrap w:val="0"/>
            <w:vAlign w:val="center"/>
          </w:tcPr>
          <w:p w14:paraId="419529E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B5AED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8FFE5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容积 200 mL～250 mL,配橡胶塞</w:t>
            </w:r>
          </w:p>
        </w:tc>
        <w:tc>
          <w:tcPr>
            <w:tcW w:w="787" w:type="dxa"/>
            <w:noWrap w:val="0"/>
            <w:vAlign w:val="center"/>
          </w:tcPr>
          <w:p w14:paraId="189F8F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9CE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E98D5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29</w:t>
            </w:r>
          </w:p>
        </w:tc>
        <w:tc>
          <w:tcPr>
            <w:tcW w:w="882" w:type="dxa"/>
            <w:gridSpan w:val="3"/>
            <w:noWrap w:val="0"/>
            <w:vAlign w:val="center"/>
          </w:tcPr>
          <w:p w14:paraId="33D4860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注射器</w:t>
            </w:r>
          </w:p>
        </w:tc>
        <w:tc>
          <w:tcPr>
            <w:tcW w:w="690" w:type="dxa"/>
            <w:gridSpan w:val="3"/>
            <w:noWrap w:val="0"/>
            <w:vAlign w:val="center"/>
          </w:tcPr>
          <w:p w14:paraId="688B5A8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044FFE5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88420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 mL，塑料制，无注射针</w:t>
            </w:r>
          </w:p>
        </w:tc>
        <w:tc>
          <w:tcPr>
            <w:tcW w:w="787" w:type="dxa"/>
            <w:noWrap w:val="0"/>
            <w:vAlign w:val="center"/>
          </w:tcPr>
          <w:p w14:paraId="57FA6C7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5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13005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30</w:t>
            </w:r>
          </w:p>
        </w:tc>
        <w:tc>
          <w:tcPr>
            <w:tcW w:w="882" w:type="dxa"/>
            <w:gridSpan w:val="3"/>
            <w:noWrap w:val="0"/>
            <w:vAlign w:val="center"/>
          </w:tcPr>
          <w:p w14:paraId="125EC2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漏斗</w:t>
            </w:r>
          </w:p>
        </w:tc>
        <w:tc>
          <w:tcPr>
            <w:tcW w:w="690" w:type="dxa"/>
            <w:gridSpan w:val="3"/>
            <w:noWrap w:val="0"/>
            <w:vAlign w:val="center"/>
          </w:tcPr>
          <w:p w14:paraId="592912A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9198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F4CF3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 mm，直径准确，锥度适中</w:t>
            </w:r>
          </w:p>
        </w:tc>
        <w:tc>
          <w:tcPr>
            <w:tcW w:w="787" w:type="dxa"/>
            <w:noWrap w:val="0"/>
            <w:vAlign w:val="center"/>
          </w:tcPr>
          <w:p w14:paraId="6FC793A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33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978B98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31</w:t>
            </w:r>
          </w:p>
        </w:tc>
        <w:tc>
          <w:tcPr>
            <w:tcW w:w="882" w:type="dxa"/>
            <w:gridSpan w:val="3"/>
            <w:noWrap w:val="0"/>
            <w:vAlign w:val="center"/>
          </w:tcPr>
          <w:p w14:paraId="539DA99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73A7102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92A58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447D0B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mL，透明硼硅酸盐玻璃制，烧杯的满口 容量应超过标称容量的 10%或烧杯的满口容 量和标称容量的两液面间距不应少于 10mm，并应采用容量差值较大的一种</w:t>
            </w:r>
          </w:p>
        </w:tc>
        <w:tc>
          <w:tcPr>
            <w:tcW w:w="787" w:type="dxa"/>
            <w:noWrap w:val="0"/>
            <w:vAlign w:val="center"/>
          </w:tcPr>
          <w:p w14:paraId="389F505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F3B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C4826D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32</w:t>
            </w:r>
          </w:p>
        </w:tc>
        <w:tc>
          <w:tcPr>
            <w:tcW w:w="882" w:type="dxa"/>
            <w:gridSpan w:val="3"/>
            <w:noWrap w:val="0"/>
            <w:vAlign w:val="center"/>
          </w:tcPr>
          <w:p w14:paraId="6F8A8E0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69646ED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D3BD57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0578C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mL，同上</w:t>
            </w:r>
          </w:p>
        </w:tc>
        <w:tc>
          <w:tcPr>
            <w:tcW w:w="787" w:type="dxa"/>
            <w:noWrap w:val="0"/>
            <w:vAlign w:val="center"/>
          </w:tcPr>
          <w:p w14:paraId="6F034B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2F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1EDC45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33</w:t>
            </w:r>
          </w:p>
        </w:tc>
        <w:tc>
          <w:tcPr>
            <w:tcW w:w="882" w:type="dxa"/>
            <w:gridSpan w:val="3"/>
            <w:noWrap w:val="0"/>
            <w:vAlign w:val="center"/>
          </w:tcPr>
          <w:p w14:paraId="564D19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烧杯</w:t>
            </w:r>
          </w:p>
        </w:tc>
        <w:tc>
          <w:tcPr>
            <w:tcW w:w="690" w:type="dxa"/>
            <w:gridSpan w:val="3"/>
            <w:noWrap w:val="0"/>
            <w:vAlign w:val="center"/>
          </w:tcPr>
          <w:p w14:paraId="628D4DA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CA048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A51E0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500 mL，同上</w:t>
            </w:r>
          </w:p>
        </w:tc>
        <w:tc>
          <w:tcPr>
            <w:tcW w:w="787" w:type="dxa"/>
            <w:noWrap w:val="0"/>
            <w:vAlign w:val="center"/>
          </w:tcPr>
          <w:p w14:paraId="15CCD2F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F52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BA074D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34</w:t>
            </w:r>
          </w:p>
        </w:tc>
        <w:tc>
          <w:tcPr>
            <w:tcW w:w="882" w:type="dxa"/>
            <w:gridSpan w:val="3"/>
            <w:noWrap w:val="0"/>
            <w:vAlign w:val="center"/>
          </w:tcPr>
          <w:p w14:paraId="62629EC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简单机械构造与组合实验箱</w:t>
            </w:r>
          </w:p>
        </w:tc>
        <w:tc>
          <w:tcPr>
            <w:tcW w:w="690" w:type="dxa"/>
            <w:gridSpan w:val="3"/>
            <w:noWrap w:val="0"/>
            <w:vAlign w:val="center"/>
          </w:tcPr>
          <w:p w14:paraId="7D8C0DA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DDF32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F5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包括斜面、杠杆、钩码、单滑轮、二串滑轮、轮轴、木块、圆筒、测力计底座、支架杆、固定夹等，仪器配套配备，配置齐全，通过组装可完成建议活动</w:t>
            </w:r>
          </w:p>
        </w:tc>
        <w:tc>
          <w:tcPr>
            <w:tcW w:w="787" w:type="dxa"/>
            <w:noWrap w:val="0"/>
            <w:vAlign w:val="center"/>
          </w:tcPr>
          <w:p w14:paraId="151CE2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C0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54306A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35</w:t>
            </w:r>
          </w:p>
        </w:tc>
        <w:tc>
          <w:tcPr>
            <w:tcW w:w="882" w:type="dxa"/>
            <w:gridSpan w:val="3"/>
            <w:noWrap w:val="0"/>
            <w:vAlign w:val="center"/>
          </w:tcPr>
          <w:p w14:paraId="2D0E827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光现象实验箱</w:t>
            </w:r>
          </w:p>
        </w:tc>
        <w:tc>
          <w:tcPr>
            <w:tcW w:w="690" w:type="dxa"/>
            <w:gridSpan w:val="3"/>
            <w:noWrap w:val="0"/>
            <w:vAlign w:val="center"/>
          </w:tcPr>
          <w:p w14:paraId="01B32DD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252CE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top"/>
          </w:tcPr>
          <w:p w14:paraId="28A86F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包括但不限于平面镜、凹透镜、凸透镜、形体模型（包括球体、圆锥、三棱锥、三棱柱和四棱柱、圆柱）、太阳能小车、光电池风扇、激光笔、小孔成像装置、电池盒、光具座底座、白屏、毛屏、强光光源 LED、光源支架等，仪器配套配备，配置齐全，通过组装可完成建议活动</w:t>
            </w:r>
          </w:p>
        </w:tc>
        <w:tc>
          <w:tcPr>
            <w:tcW w:w="787" w:type="dxa"/>
            <w:noWrap w:val="0"/>
            <w:vAlign w:val="center"/>
          </w:tcPr>
          <w:p w14:paraId="383698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B08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EC1B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36</w:t>
            </w:r>
          </w:p>
        </w:tc>
        <w:tc>
          <w:tcPr>
            <w:tcW w:w="882" w:type="dxa"/>
            <w:gridSpan w:val="3"/>
            <w:noWrap w:val="0"/>
            <w:vAlign w:val="center"/>
          </w:tcPr>
          <w:p w14:paraId="2B58B1B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热现象实验箱</w:t>
            </w:r>
          </w:p>
        </w:tc>
        <w:tc>
          <w:tcPr>
            <w:tcW w:w="690" w:type="dxa"/>
            <w:gridSpan w:val="3"/>
            <w:noWrap w:val="0"/>
            <w:vAlign w:val="center"/>
          </w:tcPr>
          <w:p w14:paraId="1593EA3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6D12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2CF7B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c>
          <w:tcPr>
            <w:tcW w:w="787" w:type="dxa"/>
            <w:noWrap w:val="0"/>
            <w:vAlign w:val="center"/>
          </w:tcPr>
          <w:p w14:paraId="143306B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CC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4230D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37</w:t>
            </w:r>
          </w:p>
        </w:tc>
        <w:tc>
          <w:tcPr>
            <w:tcW w:w="882" w:type="dxa"/>
            <w:gridSpan w:val="3"/>
            <w:noWrap w:val="0"/>
            <w:vAlign w:val="center"/>
          </w:tcPr>
          <w:p w14:paraId="040598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声现象实验箱</w:t>
            </w:r>
          </w:p>
        </w:tc>
        <w:tc>
          <w:tcPr>
            <w:tcW w:w="690" w:type="dxa"/>
            <w:gridSpan w:val="3"/>
            <w:noWrap w:val="0"/>
            <w:vAlign w:val="center"/>
          </w:tcPr>
          <w:p w14:paraId="3FAC045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EA6631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436E5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c>
          <w:tcPr>
            <w:tcW w:w="787" w:type="dxa"/>
            <w:noWrap w:val="0"/>
            <w:vAlign w:val="center"/>
          </w:tcPr>
          <w:p w14:paraId="1BFFC6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7CD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67F6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38</w:t>
            </w:r>
          </w:p>
        </w:tc>
        <w:tc>
          <w:tcPr>
            <w:tcW w:w="882" w:type="dxa"/>
            <w:gridSpan w:val="3"/>
            <w:noWrap w:val="0"/>
            <w:vAlign w:val="center"/>
          </w:tcPr>
          <w:p w14:paraId="71D0652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电现象实验箱</w:t>
            </w:r>
          </w:p>
        </w:tc>
        <w:tc>
          <w:tcPr>
            <w:tcW w:w="690" w:type="dxa"/>
            <w:gridSpan w:val="3"/>
            <w:noWrap w:val="0"/>
            <w:vAlign w:val="center"/>
          </w:tcPr>
          <w:p w14:paraId="3CB2C1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EE1E5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57521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玻璃棒、胶棒、旋转架、水果发电装置、人体感应装置、电路实验器材、电热实验器、手摇发电机、电铃、导体与绝缘体、电池盒(已配）、导线等，仪器配套配备，配置齐全，通过组装可完成建议活动</w:t>
            </w:r>
          </w:p>
        </w:tc>
        <w:tc>
          <w:tcPr>
            <w:tcW w:w="787" w:type="dxa"/>
            <w:noWrap w:val="0"/>
            <w:vAlign w:val="center"/>
          </w:tcPr>
          <w:p w14:paraId="572D6C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23F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D77D92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39</w:t>
            </w:r>
          </w:p>
        </w:tc>
        <w:tc>
          <w:tcPr>
            <w:tcW w:w="882" w:type="dxa"/>
            <w:gridSpan w:val="3"/>
            <w:noWrap w:val="0"/>
            <w:vAlign w:val="center"/>
          </w:tcPr>
          <w:p w14:paraId="0D19D96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磁现象资源箱</w:t>
            </w:r>
          </w:p>
        </w:tc>
        <w:tc>
          <w:tcPr>
            <w:tcW w:w="690" w:type="dxa"/>
            <w:gridSpan w:val="3"/>
            <w:noWrap w:val="0"/>
            <w:vAlign w:val="center"/>
          </w:tcPr>
          <w:p w14:paraId="138648F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CD4E9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0FD67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c>
          <w:tcPr>
            <w:tcW w:w="787" w:type="dxa"/>
            <w:noWrap w:val="0"/>
            <w:vAlign w:val="center"/>
          </w:tcPr>
          <w:p w14:paraId="5E1C12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889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8E11B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40</w:t>
            </w:r>
          </w:p>
        </w:tc>
        <w:tc>
          <w:tcPr>
            <w:tcW w:w="882" w:type="dxa"/>
            <w:gridSpan w:val="3"/>
            <w:noWrap w:val="0"/>
            <w:vAlign w:val="center"/>
          </w:tcPr>
          <w:p w14:paraId="352F011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空气的特性资源箱</w:t>
            </w:r>
          </w:p>
        </w:tc>
        <w:tc>
          <w:tcPr>
            <w:tcW w:w="690" w:type="dxa"/>
            <w:gridSpan w:val="3"/>
            <w:noWrap w:val="0"/>
            <w:vAlign w:val="center"/>
          </w:tcPr>
          <w:p w14:paraId="31D3A32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F4F6F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FDD9B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包含集气瓶组合、气筒、水槽、玻璃杯、空气对流实验器装置、气动小车、风力做功装置、马德保半球及抽气装置、管塑料袋等材料盒</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马德保半球：由半球、拉手、气嘴、阀门、橡胶管 2 根以及底座等组成；球体外径应≥80 mm,气嘴外径 8 mm</w:t>
            </w:r>
          </w:p>
        </w:tc>
        <w:tc>
          <w:tcPr>
            <w:tcW w:w="787" w:type="dxa"/>
            <w:noWrap w:val="0"/>
            <w:vAlign w:val="center"/>
          </w:tcPr>
          <w:p w14:paraId="5AC3249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B09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3416E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41</w:t>
            </w:r>
          </w:p>
        </w:tc>
        <w:tc>
          <w:tcPr>
            <w:tcW w:w="882" w:type="dxa"/>
            <w:gridSpan w:val="3"/>
            <w:noWrap w:val="0"/>
            <w:vAlign w:val="center"/>
          </w:tcPr>
          <w:p w14:paraId="5471F6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水的性质资源箱</w:t>
            </w:r>
          </w:p>
        </w:tc>
        <w:tc>
          <w:tcPr>
            <w:tcW w:w="690" w:type="dxa"/>
            <w:gridSpan w:val="3"/>
            <w:noWrap w:val="0"/>
            <w:vAlign w:val="center"/>
          </w:tcPr>
          <w:p w14:paraId="23A7963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F38D33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4D4A3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c>
          <w:tcPr>
            <w:tcW w:w="787" w:type="dxa"/>
            <w:noWrap w:val="0"/>
            <w:vAlign w:val="center"/>
          </w:tcPr>
          <w:p w14:paraId="0F0BB6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D8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51D48D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42</w:t>
            </w:r>
          </w:p>
        </w:tc>
        <w:tc>
          <w:tcPr>
            <w:tcW w:w="882" w:type="dxa"/>
            <w:gridSpan w:val="3"/>
            <w:noWrap w:val="0"/>
            <w:vAlign w:val="center"/>
          </w:tcPr>
          <w:p w14:paraId="02203C8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运动与力资源箱</w:t>
            </w:r>
          </w:p>
        </w:tc>
        <w:tc>
          <w:tcPr>
            <w:tcW w:w="690" w:type="dxa"/>
            <w:gridSpan w:val="3"/>
            <w:noWrap w:val="0"/>
            <w:vAlign w:val="center"/>
          </w:tcPr>
          <w:p w14:paraId="6E6572D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8FD3C7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BAAF7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包含但不限于支架杆、带钩横棒、固定夹、底座、塑料球、钢球、细线、小车、秒表、钩码、弹簧等</w:t>
            </w:r>
          </w:p>
        </w:tc>
        <w:tc>
          <w:tcPr>
            <w:tcW w:w="787" w:type="dxa"/>
            <w:noWrap w:val="0"/>
            <w:vAlign w:val="center"/>
          </w:tcPr>
          <w:p w14:paraId="0A1A837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7E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A48237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43</w:t>
            </w:r>
          </w:p>
        </w:tc>
        <w:tc>
          <w:tcPr>
            <w:tcW w:w="882" w:type="dxa"/>
            <w:gridSpan w:val="3"/>
            <w:noWrap w:val="0"/>
            <w:vAlign w:val="center"/>
          </w:tcPr>
          <w:p w14:paraId="49CEC35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重力、弹力、摩擦力实验箱</w:t>
            </w:r>
          </w:p>
        </w:tc>
        <w:tc>
          <w:tcPr>
            <w:tcW w:w="690" w:type="dxa"/>
            <w:gridSpan w:val="3"/>
            <w:noWrap w:val="0"/>
            <w:vAlign w:val="center"/>
          </w:tcPr>
          <w:p w14:paraId="08ED55B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EF93F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3E214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包含但不限于摩擦板、摩擦块（木块）、夹子、布、毛巾、圆筒测力计、支架杆、固定夹、底座、钩码盒、钩码、带钩横棒等</w:t>
            </w:r>
          </w:p>
        </w:tc>
        <w:tc>
          <w:tcPr>
            <w:tcW w:w="787" w:type="dxa"/>
            <w:noWrap w:val="0"/>
            <w:vAlign w:val="center"/>
          </w:tcPr>
          <w:p w14:paraId="4A967D9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2FC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29A3B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44</w:t>
            </w:r>
          </w:p>
        </w:tc>
        <w:tc>
          <w:tcPr>
            <w:tcW w:w="882" w:type="dxa"/>
            <w:gridSpan w:val="3"/>
            <w:noWrap w:val="0"/>
            <w:vAlign w:val="center"/>
          </w:tcPr>
          <w:p w14:paraId="383FC46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热胀冷缩资源箱</w:t>
            </w:r>
          </w:p>
        </w:tc>
        <w:tc>
          <w:tcPr>
            <w:tcW w:w="690" w:type="dxa"/>
            <w:gridSpan w:val="3"/>
            <w:noWrap w:val="0"/>
            <w:vAlign w:val="center"/>
          </w:tcPr>
          <w:p w14:paraId="548C930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3887D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32423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包含但不限于胶塞、玻璃管、气球、锥形瓶、 塑料杯带手柄、数字温度表、便携式酒精炉、 固体热涨冷缩实验器等</w:t>
            </w:r>
          </w:p>
        </w:tc>
        <w:tc>
          <w:tcPr>
            <w:tcW w:w="787" w:type="dxa"/>
            <w:noWrap w:val="0"/>
            <w:vAlign w:val="center"/>
          </w:tcPr>
          <w:p w14:paraId="49E1A5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9A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AFC6D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45</w:t>
            </w:r>
          </w:p>
        </w:tc>
        <w:tc>
          <w:tcPr>
            <w:tcW w:w="882" w:type="dxa"/>
            <w:gridSpan w:val="3"/>
            <w:noWrap w:val="0"/>
            <w:vAlign w:val="center"/>
          </w:tcPr>
          <w:p w14:paraId="5E90632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教学支架</w:t>
            </w:r>
          </w:p>
        </w:tc>
        <w:tc>
          <w:tcPr>
            <w:tcW w:w="690" w:type="dxa"/>
            <w:gridSpan w:val="3"/>
            <w:noWrap w:val="0"/>
            <w:vAlign w:val="center"/>
          </w:tcPr>
          <w:p w14:paraId="64722AD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0214F9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11823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方形座,含铁夹、复夹、铁圈，重心稳定不 晃动，夹持器内侧应有垫衬</w:t>
            </w:r>
          </w:p>
        </w:tc>
        <w:tc>
          <w:tcPr>
            <w:tcW w:w="787" w:type="dxa"/>
            <w:noWrap w:val="0"/>
            <w:vAlign w:val="center"/>
          </w:tcPr>
          <w:p w14:paraId="73FC057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E7E3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4EFE6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46</w:t>
            </w:r>
          </w:p>
        </w:tc>
        <w:tc>
          <w:tcPr>
            <w:tcW w:w="882" w:type="dxa"/>
            <w:gridSpan w:val="3"/>
            <w:noWrap w:val="0"/>
            <w:vAlign w:val="center"/>
          </w:tcPr>
          <w:p w14:paraId="7264005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w:t>
            </w:r>
          </w:p>
        </w:tc>
        <w:tc>
          <w:tcPr>
            <w:tcW w:w="690" w:type="dxa"/>
            <w:gridSpan w:val="3"/>
            <w:noWrap w:val="0"/>
            <w:vAlign w:val="center"/>
          </w:tcPr>
          <w:p w14:paraId="25DCDFC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00B443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62FACD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Φ15 mm×150 mm，透明，硼硅酸盐玻璃制</w:t>
            </w:r>
          </w:p>
        </w:tc>
        <w:tc>
          <w:tcPr>
            <w:tcW w:w="787" w:type="dxa"/>
            <w:noWrap w:val="0"/>
            <w:vAlign w:val="center"/>
          </w:tcPr>
          <w:p w14:paraId="71F589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3F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A494F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47</w:t>
            </w:r>
          </w:p>
        </w:tc>
        <w:tc>
          <w:tcPr>
            <w:tcW w:w="882" w:type="dxa"/>
            <w:gridSpan w:val="3"/>
            <w:noWrap w:val="0"/>
            <w:vAlign w:val="center"/>
          </w:tcPr>
          <w:p w14:paraId="427084E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试管夹</w:t>
            </w:r>
          </w:p>
        </w:tc>
        <w:tc>
          <w:tcPr>
            <w:tcW w:w="690" w:type="dxa"/>
            <w:gridSpan w:val="3"/>
            <w:noWrap w:val="0"/>
            <w:vAlign w:val="center"/>
          </w:tcPr>
          <w:p w14:paraId="7A6A120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11D5D2A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5BDCBA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木制或者竹制，长度≥200 mm，宽度约 20 mm， 厚度约 20 mm。试管夹闭口缝≤1 mm，开口 距离≥25 mm。毡块粘接牢固，试管夹弹簧 作防锈处理。试管夹持部位圆弧内径≤15 mm</w:t>
            </w:r>
          </w:p>
        </w:tc>
        <w:tc>
          <w:tcPr>
            <w:tcW w:w="787" w:type="dxa"/>
            <w:noWrap w:val="0"/>
            <w:vAlign w:val="center"/>
          </w:tcPr>
          <w:p w14:paraId="46866ED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2B5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45ED2A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48</w:t>
            </w:r>
          </w:p>
        </w:tc>
        <w:tc>
          <w:tcPr>
            <w:tcW w:w="882" w:type="dxa"/>
            <w:gridSpan w:val="3"/>
            <w:noWrap w:val="0"/>
            <w:vAlign w:val="center"/>
          </w:tcPr>
          <w:p w14:paraId="476AE36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试管架</w:t>
            </w:r>
          </w:p>
        </w:tc>
        <w:tc>
          <w:tcPr>
            <w:tcW w:w="690" w:type="dxa"/>
            <w:gridSpan w:val="3"/>
            <w:noWrap w:val="0"/>
            <w:vAlign w:val="center"/>
          </w:tcPr>
          <w:p w14:paraId="6FF006E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440F9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1CAE3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木制或塑料制，8 孔，孔径 21 mm，立柱粘 结牢固</w:t>
            </w:r>
          </w:p>
        </w:tc>
        <w:tc>
          <w:tcPr>
            <w:tcW w:w="787" w:type="dxa"/>
            <w:noWrap w:val="0"/>
            <w:vAlign w:val="center"/>
          </w:tcPr>
          <w:p w14:paraId="3924C1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3E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BC3BF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49</w:t>
            </w:r>
          </w:p>
        </w:tc>
        <w:tc>
          <w:tcPr>
            <w:tcW w:w="882" w:type="dxa"/>
            <w:gridSpan w:val="3"/>
            <w:noWrap w:val="0"/>
            <w:vAlign w:val="center"/>
          </w:tcPr>
          <w:p w14:paraId="342D654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试管刷</w:t>
            </w:r>
          </w:p>
        </w:tc>
        <w:tc>
          <w:tcPr>
            <w:tcW w:w="690" w:type="dxa"/>
            <w:gridSpan w:val="3"/>
            <w:noWrap w:val="0"/>
            <w:vAlign w:val="center"/>
          </w:tcPr>
          <w:p w14:paraId="6C743B1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00FAD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18ACC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刷头Φ12 mm，手持部分顶端应为环状，顶 部要有刷丝，铁丝不可外露</w:t>
            </w:r>
          </w:p>
        </w:tc>
        <w:tc>
          <w:tcPr>
            <w:tcW w:w="787" w:type="dxa"/>
            <w:noWrap w:val="0"/>
            <w:vAlign w:val="center"/>
          </w:tcPr>
          <w:p w14:paraId="4183D18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B5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C2483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50</w:t>
            </w:r>
          </w:p>
        </w:tc>
        <w:tc>
          <w:tcPr>
            <w:tcW w:w="882" w:type="dxa"/>
            <w:gridSpan w:val="3"/>
            <w:noWrap w:val="0"/>
            <w:vAlign w:val="center"/>
          </w:tcPr>
          <w:p w14:paraId="7B9DE32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锥形瓶</w:t>
            </w:r>
          </w:p>
        </w:tc>
        <w:tc>
          <w:tcPr>
            <w:tcW w:w="690" w:type="dxa"/>
            <w:gridSpan w:val="3"/>
            <w:noWrap w:val="0"/>
            <w:vAlign w:val="center"/>
          </w:tcPr>
          <w:p w14:paraId="04EE59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FBE84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CA064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 mL，透明硼硅酸盐玻璃制，放在平台上 应直立不摇晃、不转动</w:t>
            </w:r>
          </w:p>
        </w:tc>
        <w:tc>
          <w:tcPr>
            <w:tcW w:w="787" w:type="dxa"/>
            <w:noWrap w:val="0"/>
            <w:vAlign w:val="center"/>
          </w:tcPr>
          <w:p w14:paraId="328809C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9BD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B844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51</w:t>
            </w:r>
          </w:p>
        </w:tc>
        <w:tc>
          <w:tcPr>
            <w:tcW w:w="882" w:type="dxa"/>
            <w:gridSpan w:val="3"/>
            <w:noWrap w:val="0"/>
            <w:vAlign w:val="center"/>
          </w:tcPr>
          <w:p w14:paraId="14AB85F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集气瓶</w:t>
            </w:r>
          </w:p>
        </w:tc>
        <w:tc>
          <w:tcPr>
            <w:tcW w:w="690" w:type="dxa"/>
            <w:gridSpan w:val="3"/>
            <w:noWrap w:val="0"/>
            <w:vAlign w:val="center"/>
          </w:tcPr>
          <w:p w14:paraId="321B544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C4EF8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6DED4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250 mL，透明钠钙玻璃制，磨砂面应均匀地 覆盖瓶口端面与盖板，磨砂面不应有光斑； 盖板四角应倒角，四边应磨光盖板与瓶口密 合性应符合：盖板与瓶口充分湿润盖合后， 倒提瓶体盖板在瓶口上保持 30 s 不脱落</w:t>
            </w:r>
          </w:p>
        </w:tc>
        <w:tc>
          <w:tcPr>
            <w:tcW w:w="787" w:type="dxa"/>
            <w:noWrap w:val="0"/>
            <w:vAlign w:val="center"/>
          </w:tcPr>
          <w:p w14:paraId="21796F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bidi="ar-SA"/>
              </w:rPr>
            </w:pPr>
          </w:p>
        </w:tc>
      </w:tr>
      <w:tr w14:paraId="0BA7D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C1122C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52</w:t>
            </w:r>
          </w:p>
        </w:tc>
        <w:tc>
          <w:tcPr>
            <w:tcW w:w="882" w:type="dxa"/>
            <w:gridSpan w:val="3"/>
            <w:noWrap w:val="0"/>
            <w:vAlign w:val="center"/>
          </w:tcPr>
          <w:p w14:paraId="6D4AA4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烧瓶</w:t>
            </w:r>
          </w:p>
        </w:tc>
        <w:tc>
          <w:tcPr>
            <w:tcW w:w="690" w:type="dxa"/>
            <w:gridSpan w:val="3"/>
            <w:noWrap w:val="0"/>
            <w:vAlign w:val="center"/>
          </w:tcPr>
          <w:p w14:paraId="73F3710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9F7A68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928E6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mL，平底</w:t>
            </w:r>
          </w:p>
        </w:tc>
        <w:tc>
          <w:tcPr>
            <w:tcW w:w="787" w:type="dxa"/>
            <w:noWrap w:val="0"/>
            <w:vAlign w:val="center"/>
          </w:tcPr>
          <w:p w14:paraId="0DF0A3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23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BC00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53</w:t>
            </w:r>
          </w:p>
        </w:tc>
        <w:tc>
          <w:tcPr>
            <w:tcW w:w="882" w:type="dxa"/>
            <w:gridSpan w:val="3"/>
            <w:noWrap w:val="0"/>
            <w:vAlign w:val="center"/>
          </w:tcPr>
          <w:p w14:paraId="35E7673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烧瓶刷</w:t>
            </w:r>
          </w:p>
        </w:tc>
        <w:tc>
          <w:tcPr>
            <w:tcW w:w="690" w:type="dxa"/>
            <w:gridSpan w:val="3"/>
            <w:noWrap w:val="0"/>
            <w:vAlign w:val="center"/>
          </w:tcPr>
          <w:p w14:paraId="1E9580F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1CCD9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5</w:t>
            </w:r>
          </w:p>
        </w:tc>
        <w:tc>
          <w:tcPr>
            <w:tcW w:w="6647" w:type="dxa"/>
            <w:noWrap w:val="0"/>
            <w:vAlign w:val="center"/>
          </w:tcPr>
          <w:p w14:paraId="42D6A8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250 mL 烧瓶用,手持部分顶端应为环状,顶 部要有刷丝,铁丝不外露</w:t>
            </w:r>
          </w:p>
        </w:tc>
        <w:tc>
          <w:tcPr>
            <w:tcW w:w="787" w:type="dxa"/>
            <w:noWrap w:val="0"/>
            <w:vAlign w:val="center"/>
          </w:tcPr>
          <w:p w14:paraId="466D6BD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51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F7716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54</w:t>
            </w:r>
          </w:p>
        </w:tc>
        <w:tc>
          <w:tcPr>
            <w:tcW w:w="882" w:type="dxa"/>
            <w:gridSpan w:val="3"/>
            <w:noWrap w:val="0"/>
            <w:vAlign w:val="center"/>
          </w:tcPr>
          <w:p w14:paraId="718A447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橡胶塞</w:t>
            </w:r>
          </w:p>
        </w:tc>
        <w:tc>
          <w:tcPr>
            <w:tcW w:w="690" w:type="dxa"/>
            <w:gridSpan w:val="3"/>
            <w:noWrap w:val="0"/>
            <w:vAlign w:val="center"/>
          </w:tcPr>
          <w:p w14:paraId="0B9CA3F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kg</w:t>
            </w:r>
          </w:p>
        </w:tc>
        <w:tc>
          <w:tcPr>
            <w:tcW w:w="572" w:type="dxa"/>
            <w:noWrap w:val="0"/>
            <w:vAlign w:val="center"/>
          </w:tcPr>
          <w:p w14:paraId="2E3437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563CB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000、00、0 号～10 号，白色，质地均匀</w:t>
            </w:r>
          </w:p>
        </w:tc>
        <w:tc>
          <w:tcPr>
            <w:tcW w:w="787" w:type="dxa"/>
            <w:noWrap w:val="0"/>
            <w:vAlign w:val="center"/>
          </w:tcPr>
          <w:p w14:paraId="72AF2C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C7E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6844F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55</w:t>
            </w:r>
          </w:p>
        </w:tc>
        <w:tc>
          <w:tcPr>
            <w:tcW w:w="882" w:type="dxa"/>
            <w:gridSpan w:val="3"/>
            <w:noWrap w:val="0"/>
            <w:vAlign w:val="center"/>
          </w:tcPr>
          <w:p w14:paraId="50413D4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玻璃管</w:t>
            </w:r>
          </w:p>
        </w:tc>
        <w:tc>
          <w:tcPr>
            <w:tcW w:w="690" w:type="dxa"/>
            <w:gridSpan w:val="3"/>
            <w:noWrap w:val="0"/>
            <w:vAlign w:val="center"/>
          </w:tcPr>
          <w:p w14:paraId="4216902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6FC64E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25B4F5A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Φ5 mm ～Φ6 mm，中性料，管口应打磨或 烧结，避免划伤事故</w:t>
            </w:r>
          </w:p>
        </w:tc>
        <w:tc>
          <w:tcPr>
            <w:tcW w:w="787" w:type="dxa"/>
            <w:noWrap w:val="0"/>
            <w:vAlign w:val="center"/>
          </w:tcPr>
          <w:p w14:paraId="680DEB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903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EC6D4A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56</w:t>
            </w:r>
          </w:p>
        </w:tc>
        <w:tc>
          <w:tcPr>
            <w:tcW w:w="882" w:type="dxa"/>
            <w:gridSpan w:val="3"/>
            <w:noWrap w:val="0"/>
            <w:vAlign w:val="center"/>
          </w:tcPr>
          <w:p w14:paraId="28D4F3B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玻璃弯管</w:t>
            </w:r>
          </w:p>
        </w:tc>
        <w:tc>
          <w:tcPr>
            <w:tcW w:w="690" w:type="dxa"/>
            <w:gridSpan w:val="3"/>
            <w:noWrap w:val="0"/>
            <w:vAlign w:val="center"/>
          </w:tcPr>
          <w:p w14:paraId="77ABD1B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F5AEAF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1D7DC9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Φ7 mm ～Φ8 mm，一端长度为 6 cm～7 cm， 另一端长度约 20 cm，形状为锐角、直角和 钝角，管口应打磨或烧结，避免划伤事故</w:t>
            </w:r>
          </w:p>
        </w:tc>
        <w:tc>
          <w:tcPr>
            <w:tcW w:w="787" w:type="dxa"/>
            <w:noWrap w:val="0"/>
            <w:vAlign w:val="center"/>
          </w:tcPr>
          <w:p w14:paraId="63BA79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42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80CA3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57</w:t>
            </w:r>
          </w:p>
        </w:tc>
        <w:tc>
          <w:tcPr>
            <w:tcW w:w="882" w:type="dxa"/>
            <w:gridSpan w:val="3"/>
            <w:noWrap w:val="0"/>
            <w:vAlign w:val="center"/>
          </w:tcPr>
          <w:p w14:paraId="63D2C60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玻璃棒</w:t>
            </w:r>
          </w:p>
        </w:tc>
        <w:tc>
          <w:tcPr>
            <w:tcW w:w="690" w:type="dxa"/>
            <w:gridSpan w:val="3"/>
            <w:noWrap w:val="0"/>
            <w:vAlign w:val="center"/>
          </w:tcPr>
          <w:p w14:paraId="1AFEB28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F09A1D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2A9F592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Φ5 mm ～Φ6 mm，粗细均匀，两端烧结使 其光滑</w:t>
            </w:r>
          </w:p>
        </w:tc>
        <w:tc>
          <w:tcPr>
            <w:tcW w:w="787" w:type="dxa"/>
            <w:noWrap w:val="0"/>
            <w:vAlign w:val="center"/>
          </w:tcPr>
          <w:p w14:paraId="361FB6B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F52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22A3CC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58</w:t>
            </w:r>
          </w:p>
        </w:tc>
        <w:tc>
          <w:tcPr>
            <w:tcW w:w="882" w:type="dxa"/>
            <w:gridSpan w:val="3"/>
            <w:noWrap w:val="0"/>
            <w:vAlign w:val="center"/>
          </w:tcPr>
          <w:p w14:paraId="3DD3EAD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滴管</w:t>
            </w:r>
          </w:p>
        </w:tc>
        <w:tc>
          <w:tcPr>
            <w:tcW w:w="690" w:type="dxa"/>
            <w:gridSpan w:val="3"/>
            <w:noWrap w:val="0"/>
            <w:vAlign w:val="center"/>
          </w:tcPr>
          <w:p w14:paraId="4AC3F9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629CDC1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3F861F5">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100 mm，直形，滴管尖嘴口径 1 mm，上端有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防滑脱翻口，翻口处直径比滴管直径略多 1 mm～2 mm</w:t>
            </w:r>
          </w:p>
        </w:tc>
        <w:tc>
          <w:tcPr>
            <w:tcW w:w="787" w:type="dxa"/>
            <w:noWrap w:val="0"/>
            <w:vAlign w:val="center"/>
          </w:tcPr>
          <w:p w14:paraId="008DB5A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2628AA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59</w:t>
            </w:r>
          </w:p>
        </w:tc>
        <w:tc>
          <w:tcPr>
            <w:tcW w:w="882" w:type="dxa"/>
            <w:gridSpan w:val="3"/>
            <w:noWrap w:val="0"/>
            <w:vAlign w:val="center"/>
          </w:tcPr>
          <w:p w14:paraId="4B7AD5F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蒸发皿</w:t>
            </w:r>
          </w:p>
        </w:tc>
        <w:tc>
          <w:tcPr>
            <w:tcW w:w="690" w:type="dxa"/>
            <w:gridSpan w:val="3"/>
            <w:noWrap w:val="0"/>
            <w:vAlign w:val="center"/>
          </w:tcPr>
          <w:p w14:paraId="48B0909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615F7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003F03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Φ100 mm，瓷制，耐受温度≥800 ℃</w:t>
            </w:r>
          </w:p>
        </w:tc>
        <w:tc>
          <w:tcPr>
            <w:tcW w:w="787" w:type="dxa"/>
            <w:noWrap w:val="0"/>
            <w:vAlign w:val="center"/>
          </w:tcPr>
          <w:p w14:paraId="215B5D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81C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3D69D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60</w:t>
            </w:r>
          </w:p>
        </w:tc>
        <w:tc>
          <w:tcPr>
            <w:tcW w:w="882" w:type="dxa"/>
            <w:gridSpan w:val="3"/>
            <w:noWrap w:val="0"/>
            <w:vAlign w:val="center"/>
          </w:tcPr>
          <w:p w14:paraId="050B924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坩埚钳</w:t>
            </w:r>
          </w:p>
        </w:tc>
        <w:tc>
          <w:tcPr>
            <w:tcW w:w="690" w:type="dxa"/>
            <w:gridSpan w:val="3"/>
            <w:noWrap w:val="0"/>
            <w:vAlign w:val="center"/>
          </w:tcPr>
          <w:p w14:paraId="1B74F2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ED2E60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549559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200 mm，钢制，中间弯曲部分内径应在2 cm～3 cm</w:t>
            </w:r>
          </w:p>
        </w:tc>
        <w:tc>
          <w:tcPr>
            <w:tcW w:w="787" w:type="dxa"/>
            <w:noWrap w:val="0"/>
            <w:vAlign w:val="center"/>
          </w:tcPr>
          <w:p w14:paraId="3A5934F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24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AF804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61</w:t>
            </w:r>
          </w:p>
        </w:tc>
        <w:tc>
          <w:tcPr>
            <w:tcW w:w="882" w:type="dxa"/>
            <w:gridSpan w:val="3"/>
            <w:noWrap w:val="0"/>
            <w:vAlign w:val="center"/>
          </w:tcPr>
          <w:p w14:paraId="0ED33F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酒精灯</w:t>
            </w:r>
          </w:p>
        </w:tc>
        <w:tc>
          <w:tcPr>
            <w:tcW w:w="690" w:type="dxa"/>
            <w:gridSpan w:val="3"/>
            <w:noWrap w:val="0"/>
            <w:vAlign w:val="center"/>
          </w:tcPr>
          <w:p w14:paraId="5A7BBD3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2A39F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B443BE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150 mL，采用透明钠钙玻璃制造，无明显黄 绿色，灯口应平整，瓷灯头与灯口平面间隙 不应超过 1.5 mm，玻璃灯罩应磨口，瓷灯 头应为白色，表面无气泡，无疵点，无裂纹， 无碰损缺口，酒精灯应配置与灯口孔径相适 应的整齐完整的棉线灯芯</w:t>
            </w:r>
          </w:p>
        </w:tc>
        <w:tc>
          <w:tcPr>
            <w:tcW w:w="787" w:type="dxa"/>
            <w:noWrap w:val="0"/>
            <w:vAlign w:val="center"/>
          </w:tcPr>
          <w:p w14:paraId="771A40F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3F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BDD78C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strike w:val="0"/>
                <w:color w:val="auto"/>
                <w:sz w:val="21"/>
                <w:szCs w:val="21"/>
                <w:vertAlign w:val="baseline"/>
                <w:lang w:val="en-US" w:eastAsia="zh-CN"/>
              </w:rPr>
              <w:t>62</w:t>
            </w:r>
          </w:p>
        </w:tc>
        <w:tc>
          <w:tcPr>
            <w:tcW w:w="882" w:type="dxa"/>
            <w:gridSpan w:val="3"/>
            <w:noWrap w:val="0"/>
            <w:vAlign w:val="center"/>
          </w:tcPr>
          <w:p w14:paraId="40E59CC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三脚架</w:t>
            </w:r>
          </w:p>
        </w:tc>
        <w:tc>
          <w:tcPr>
            <w:tcW w:w="690" w:type="dxa"/>
            <w:gridSpan w:val="3"/>
            <w:noWrap w:val="0"/>
            <w:vAlign w:val="center"/>
          </w:tcPr>
          <w:p w14:paraId="4906D53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D83AD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D12D4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铁制，环内径 75 mm，高 150 mm</w:t>
            </w:r>
          </w:p>
        </w:tc>
        <w:tc>
          <w:tcPr>
            <w:tcW w:w="787" w:type="dxa"/>
            <w:noWrap w:val="0"/>
            <w:vAlign w:val="center"/>
          </w:tcPr>
          <w:p w14:paraId="3737F8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8C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C5E7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63</w:t>
            </w:r>
          </w:p>
        </w:tc>
        <w:tc>
          <w:tcPr>
            <w:tcW w:w="882" w:type="dxa"/>
            <w:gridSpan w:val="3"/>
            <w:noWrap w:val="0"/>
            <w:vAlign w:val="center"/>
          </w:tcPr>
          <w:p w14:paraId="46031E3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陶土网</w:t>
            </w:r>
          </w:p>
        </w:tc>
        <w:tc>
          <w:tcPr>
            <w:tcW w:w="690" w:type="dxa"/>
            <w:gridSpan w:val="3"/>
            <w:noWrap w:val="0"/>
            <w:vAlign w:val="center"/>
          </w:tcPr>
          <w:p w14:paraId="4CE4C4C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C7D6DD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kern w:val="2"/>
                <w:sz w:val="21"/>
                <w:szCs w:val="21"/>
                <w:vertAlign w:val="baseline"/>
                <w:lang w:val="en-US" w:eastAsia="zh-CN" w:bidi="ar-SA"/>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CD8C5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金属网尺寸≥125 mm×125 mm，耐火材料为 陶土，功能等同于石棉网</w:t>
            </w:r>
          </w:p>
        </w:tc>
        <w:tc>
          <w:tcPr>
            <w:tcW w:w="787" w:type="dxa"/>
            <w:noWrap w:val="0"/>
            <w:vAlign w:val="center"/>
          </w:tcPr>
          <w:p w14:paraId="409956B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2E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2F00BD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64</w:t>
            </w:r>
          </w:p>
        </w:tc>
        <w:tc>
          <w:tcPr>
            <w:tcW w:w="882" w:type="dxa"/>
            <w:gridSpan w:val="3"/>
            <w:noWrap w:val="0"/>
            <w:vAlign w:val="center"/>
          </w:tcPr>
          <w:p w14:paraId="48EA411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冰盒</w:t>
            </w:r>
          </w:p>
        </w:tc>
        <w:tc>
          <w:tcPr>
            <w:tcW w:w="690" w:type="dxa"/>
            <w:gridSpan w:val="3"/>
            <w:noWrap w:val="0"/>
            <w:vAlign w:val="center"/>
          </w:tcPr>
          <w:p w14:paraId="3331C9D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825C38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34669C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冰格</w:t>
            </w:r>
          </w:p>
        </w:tc>
        <w:tc>
          <w:tcPr>
            <w:tcW w:w="787" w:type="dxa"/>
            <w:noWrap w:val="0"/>
            <w:vAlign w:val="center"/>
          </w:tcPr>
          <w:p w14:paraId="21AC8CC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8BF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8A13C1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65</w:t>
            </w:r>
          </w:p>
        </w:tc>
        <w:tc>
          <w:tcPr>
            <w:tcW w:w="882" w:type="dxa"/>
            <w:gridSpan w:val="3"/>
            <w:noWrap w:val="0"/>
            <w:vAlign w:val="center"/>
          </w:tcPr>
          <w:p w14:paraId="7701ED8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放大镜</w:t>
            </w:r>
          </w:p>
        </w:tc>
        <w:tc>
          <w:tcPr>
            <w:tcW w:w="690" w:type="dxa"/>
            <w:gridSpan w:val="3"/>
            <w:noWrap w:val="0"/>
            <w:vAlign w:val="center"/>
          </w:tcPr>
          <w:p w14:paraId="3CC5F55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E9556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342BD2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手持式，有效光孔径不小于 20 mm,5 倍</w:t>
            </w:r>
          </w:p>
        </w:tc>
        <w:tc>
          <w:tcPr>
            <w:tcW w:w="787" w:type="dxa"/>
            <w:noWrap w:val="0"/>
            <w:vAlign w:val="center"/>
          </w:tcPr>
          <w:p w14:paraId="4641166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48D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4EA0B1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66</w:t>
            </w:r>
          </w:p>
        </w:tc>
        <w:tc>
          <w:tcPr>
            <w:tcW w:w="882" w:type="dxa"/>
            <w:gridSpan w:val="3"/>
            <w:noWrap w:val="0"/>
            <w:vAlign w:val="center"/>
          </w:tcPr>
          <w:p w14:paraId="7C9DAA4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放大镜</w:t>
            </w:r>
          </w:p>
        </w:tc>
        <w:tc>
          <w:tcPr>
            <w:tcW w:w="690" w:type="dxa"/>
            <w:gridSpan w:val="3"/>
            <w:noWrap w:val="0"/>
            <w:vAlign w:val="center"/>
          </w:tcPr>
          <w:p w14:paraId="24239D9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B5788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E4EB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手持式，有效光孔径不小于 10 mm,10 倍</w:t>
            </w:r>
          </w:p>
        </w:tc>
        <w:tc>
          <w:tcPr>
            <w:tcW w:w="787" w:type="dxa"/>
            <w:noWrap w:val="0"/>
            <w:vAlign w:val="center"/>
          </w:tcPr>
          <w:p w14:paraId="7B3CF22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C19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D06A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67</w:t>
            </w:r>
          </w:p>
        </w:tc>
        <w:tc>
          <w:tcPr>
            <w:tcW w:w="882" w:type="dxa"/>
            <w:gridSpan w:val="3"/>
            <w:noWrap w:val="0"/>
            <w:vAlign w:val="center"/>
          </w:tcPr>
          <w:p w14:paraId="0FE9120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生物显微镜</w:t>
            </w:r>
          </w:p>
        </w:tc>
        <w:tc>
          <w:tcPr>
            <w:tcW w:w="690" w:type="dxa"/>
            <w:gridSpan w:val="3"/>
            <w:noWrap w:val="0"/>
            <w:vAlign w:val="center"/>
          </w:tcPr>
          <w:p w14:paraId="2D4B581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717196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FAE7C04">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1.640倍单目斜筒，单目头可360°旋转。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 xml:space="preserve">2.目镜：WF10X，WF16X各1个。   </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3.消色差物镜：4X，10X，40X（弹簧）。</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4.机械筒长：160mm。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5.调焦：粗调、微调同轴。</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6.电源：110V-220V。</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7.照明：带1W上、下2个LED光源。使用上光源可作解剖镜用，使用下光源可作生物显微镜用，下光源可旋钮调节亮度。</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8.支持充电宝，干电池，适配器。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9.载物台：单层平台带压片夹。</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10，显微镜弯臂自带提手，提携更方便。</w:t>
            </w:r>
          </w:p>
        </w:tc>
        <w:tc>
          <w:tcPr>
            <w:tcW w:w="787" w:type="dxa"/>
            <w:noWrap w:val="0"/>
            <w:vAlign w:val="center"/>
          </w:tcPr>
          <w:p w14:paraId="3C48D9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45D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A65F1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68</w:t>
            </w:r>
          </w:p>
        </w:tc>
        <w:tc>
          <w:tcPr>
            <w:tcW w:w="882" w:type="dxa"/>
            <w:gridSpan w:val="3"/>
            <w:noWrap w:val="0"/>
            <w:vAlign w:val="center"/>
          </w:tcPr>
          <w:p w14:paraId="5BF541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数码生物显微镜</w:t>
            </w:r>
          </w:p>
        </w:tc>
        <w:tc>
          <w:tcPr>
            <w:tcW w:w="690" w:type="dxa"/>
            <w:gridSpan w:val="3"/>
            <w:noWrap w:val="0"/>
            <w:vAlign w:val="center"/>
          </w:tcPr>
          <w:p w14:paraId="195B21B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062909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5731C6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1.目镜：大视野平场目镜，可带指针，可带 测微尺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2.物镜：平场消色差物镜 4 倍、10 倍、40 倍，100 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3.照明：LED 照明，亮度连续可调；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4.三目（一个电子目镜，2个传统目镜）</w:t>
            </w:r>
          </w:p>
        </w:tc>
        <w:tc>
          <w:tcPr>
            <w:tcW w:w="787" w:type="dxa"/>
            <w:noWrap w:val="0"/>
            <w:vAlign w:val="center"/>
          </w:tcPr>
          <w:p w14:paraId="6FA127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448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F25CB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69</w:t>
            </w:r>
          </w:p>
        </w:tc>
        <w:tc>
          <w:tcPr>
            <w:tcW w:w="882" w:type="dxa"/>
            <w:gridSpan w:val="3"/>
            <w:noWrap w:val="0"/>
            <w:vAlign w:val="center"/>
          </w:tcPr>
          <w:p w14:paraId="49930C0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数码液晶显微镜</w:t>
            </w:r>
          </w:p>
        </w:tc>
        <w:tc>
          <w:tcPr>
            <w:tcW w:w="690" w:type="dxa"/>
            <w:gridSpan w:val="3"/>
            <w:noWrap w:val="0"/>
            <w:vAlign w:val="center"/>
          </w:tcPr>
          <w:p w14:paraId="7E80A56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2F10BA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18257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消色差物镜：4×、10×、40×；广视场目 镜：WF10×；带照明光源和聚光镜，三目（1个电子目镜，2个传统目镜）</w:t>
            </w:r>
          </w:p>
        </w:tc>
        <w:tc>
          <w:tcPr>
            <w:tcW w:w="787" w:type="dxa"/>
            <w:noWrap w:val="0"/>
            <w:vAlign w:val="center"/>
          </w:tcPr>
          <w:p w14:paraId="5251C52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1FB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15D109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70</w:t>
            </w:r>
          </w:p>
        </w:tc>
        <w:tc>
          <w:tcPr>
            <w:tcW w:w="882" w:type="dxa"/>
            <w:gridSpan w:val="3"/>
            <w:noWrap w:val="0"/>
            <w:vAlign w:val="center"/>
          </w:tcPr>
          <w:p w14:paraId="0E39B85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载玻片</w:t>
            </w:r>
          </w:p>
        </w:tc>
        <w:tc>
          <w:tcPr>
            <w:tcW w:w="690" w:type="dxa"/>
            <w:gridSpan w:val="3"/>
            <w:noWrap w:val="0"/>
            <w:vAlign w:val="center"/>
          </w:tcPr>
          <w:p w14:paraId="1DB963E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6CEB9B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59F4A3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无色透明，平整</w:t>
            </w:r>
          </w:p>
        </w:tc>
        <w:tc>
          <w:tcPr>
            <w:tcW w:w="787" w:type="dxa"/>
            <w:noWrap w:val="0"/>
            <w:vAlign w:val="center"/>
          </w:tcPr>
          <w:p w14:paraId="1DBF393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0B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E35F35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71</w:t>
            </w:r>
          </w:p>
        </w:tc>
        <w:tc>
          <w:tcPr>
            <w:tcW w:w="882" w:type="dxa"/>
            <w:gridSpan w:val="3"/>
            <w:noWrap w:val="0"/>
            <w:vAlign w:val="center"/>
          </w:tcPr>
          <w:p w14:paraId="537EC3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盖玻片</w:t>
            </w:r>
          </w:p>
        </w:tc>
        <w:tc>
          <w:tcPr>
            <w:tcW w:w="690" w:type="dxa"/>
            <w:gridSpan w:val="3"/>
            <w:noWrap w:val="0"/>
            <w:vAlign w:val="center"/>
          </w:tcPr>
          <w:p w14:paraId="2CCFE2D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包</w:t>
            </w:r>
          </w:p>
        </w:tc>
        <w:tc>
          <w:tcPr>
            <w:tcW w:w="572" w:type="dxa"/>
            <w:noWrap w:val="0"/>
            <w:vAlign w:val="center"/>
          </w:tcPr>
          <w:p w14:paraId="6CBBD7B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0FF20B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无色透明，平整</w:t>
            </w:r>
          </w:p>
        </w:tc>
        <w:tc>
          <w:tcPr>
            <w:tcW w:w="787" w:type="dxa"/>
            <w:noWrap w:val="0"/>
            <w:vAlign w:val="center"/>
          </w:tcPr>
          <w:p w14:paraId="4BD506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01C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6BD9C2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72</w:t>
            </w:r>
          </w:p>
        </w:tc>
        <w:tc>
          <w:tcPr>
            <w:tcW w:w="882" w:type="dxa"/>
            <w:gridSpan w:val="3"/>
            <w:noWrap w:val="0"/>
            <w:vAlign w:val="center"/>
          </w:tcPr>
          <w:p w14:paraId="4AA575E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生物玻片标本</w:t>
            </w:r>
          </w:p>
        </w:tc>
        <w:tc>
          <w:tcPr>
            <w:tcW w:w="690" w:type="dxa"/>
            <w:gridSpan w:val="3"/>
            <w:noWrap w:val="0"/>
            <w:vAlign w:val="center"/>
          </w:tcPr>
          <w:p w14:paraId="3ABDD9D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1027C9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0A66B00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包括洋葱表皮、植物根尖横切、草本植物茎、 动物表皮细胞、神经细胞、口腔上皮细胞等</w:t>
            </w:r>
          </w:p>
        </w:tc>
        <w:tc>
          <w:tcPr>
            <w:tcW w:w="787" w:type="dxa"/>
            <w:noWrap w:val="0"/>
            <w:vAlign w:val="center"/>
          </w:tcPr>
          <w:p w14:paraId="2E6678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012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A0DCBB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73</w:t>
            </w:r>
          </w:p>
        </w:tc>
        <w:tc>
          <w:tcPr>
            <w:tcW w:w="882" w:type="dxa"/>
            <w:gridSpan w:val="3"/>
            <w:noWrap w:val="0"/>
            <w:vAlign w:val="center"/>
          </w:tcPr>
          <w:p w14:paraId="34D8890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镊子</w:t>
            </w:r>
          </w:p>
        </w:tc>
        <w:tc>
          <w:tcPr>
            <w:tcW w:w="690" w:type="dxa"/>
            <w:gridSpan w:val="3"/>
            <w:noWrap w:val="0"/>
            <w:vAlign w:val="center"/>
          </w:tcPr>
          <w:p w14:paraId="1A31B5A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51017B6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6C110D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弯尖头，整体长度 122 mm(弯头部分 40 mm)</w:t>
            </w:r>
          </w:p>
        </w:tc>
        <w:tc>
          <w:tcPr>
            <w:tcW w:w="787" w:type="dxa"/>
            <w:noWrap w:val="0"/>
            <w:vAlign w:val="center"/>
          </w:tcPr>
          <w:p w14:paraId="3945EAE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7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7C77A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74</w:t>
            </w:r>
          </w:p>
        </w:tc>
        <w:tc>
          <w:tcPr>
            <w:tcW w:w="882" w:type="dxa"/>
            <w:gridSpan w:val="3"/>
            <w:noWrap w:val="0"/>
            <w:vAlign w:val="center"/>
          </w:tcPr>
          <w:p w14:paraId="7B2B28B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镊子</w:t>
            </w:r>
          </w:p>
        </w:tc>
        <w:tc>
          <w:tcPr>
            <w:tcW w:w="690" w:type="dxa"/>
            <w:gridSpan w:val="3"/>
            <w:noWrap w:val="0"/>
            <w:vAlign w:val="center"/>
          </w:tcPr>
          <w:p w14:paraId="3D73C65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把</w:t>
            </w:r>
          </w:p>
        </w:tc>
        <w:tc>
          <w:tcPr>
            <w:tcW w:w="572" w:type="dxa"/>
            <w:noWrap w:val="0"/>
            <w:vAlign w:val="center"/>
          </w:tcPr>
          <w:p w14:paraId="76D433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19CEA43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直尖头,140 mm</w:t>
            </w:r>
          </w:p>
        </w:tc>
        <w:tc>
          <w:tcPr>
            <w:tcW w:w="787" w:type="dxa"/>
            <w:noWrap w:val="0"/>
            <w:vAlign w:val="center"/>
          </w:tcPr>
          <w:p w14:paraId="630DC8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10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361AB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75</w:t>
            </w:r>
          </w:p>
        </w:tc>
        <w:tc>
          <w:tcPr>
            <w:tcW w:w="882" w:type="dxa"/>
            <w:gridSpan w:val="3"/>
            <w:noWrap w:val="0"/>
            <w:vAlign w:val="center"/>
          </w:tcPr>
          <w:p w14:paraId="418CEB9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昆虫盒</w:t>
            </w:r>
          </w:p>
        </w:tc>
        <w:tc>
          <w:tcPr>
            <w:tcW w:w="690" w:type="dxa"/>
            <w:gridSpan w:val="3"/>
            <w:noWrap w:val="0"/>
            <w:vAlign w:val="center"/>
          </w:tcPr>
          <w:p w14:paraId="188F034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021802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center"/>
          </w:tcPr>
          <w:p w14:paraId="75938E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盒盖带 5 倍放大镜,底盖有标尺，透明塑料 材质高 6 cm～10 cm，带透气孔</w:t>
            </w:r>
          </w:p>
        </w:tc>
        <w:tc>
          <w:tcPr>
            <w:tcW w:w="787" w:type="dxa"/>
            <w:noWrap w:val="0"/>
            <w:vAlign w:val="center"/>
          </w:tcPr>
          <w:p w14:paraId="11725C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935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09" w:type="dxa"/>
            <w:noWrap w:val="0"/>
            <w:vAlign w:val="center"/>
          </w:tcPr>
          <w:p w14:paraId="3752375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76</w:t>
            </w:r>
          </w:p>
        </w:tc>
        <w:tc>
          <w:tcPr>
            <w:tcW w:w="882" w:type="dxa"/>
            <w:gridSpan w:val="3"/>
            <w:noWrap w:val="0"/>
            <w:vAlign w:val="center"/>
          </w:tcPr>
          <w:p w14:paraId="763153C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小刀</w:t>
            </w:r>
          </w:p>
        </w:tc>
        <w:tc>
          <w:tcPr>
            <w:tcW w:w="690" w:type="dxa"/>
            <w:gridSpan w:val="3"/>
            <w:noWrap w:val="0"/>
            <w:vAlign w:val="center"/>
          </w:tcPr>
          <w:p w14:paraId="648A1E9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792264B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2FC614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长90mm、宽18mm、折叠，刀刃60mm。</w:t>
            </w:r>
          </w:p>
        </w:tc>
        <w:tc>
          <w:tcPr>
            <w:tcW w:w="787" w:type="dxa"/>
            <w:noWrap w:val="0"/>
            <w:vAlign w:val="center"/>
          </w:tcPr>
          <w:p w14:paraId="1C5E11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CBF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C6278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77</w:t>
            </w:r>
          </w:p>
        </w:tc>
        <w:tc>
          <w:tcPr>
            <w:tcW w:w="882" w:type="dxa"/>
            <w:gridSpan w:val="3"/>
            <w:noWrap w:val="0"/>
            <w:vAlign w:val="center"/>
          </w:tcPr>
          <w:p w14:paraId="5357EDC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圆底烧瓶</w:t>
            </w:r>
          </w:p>
        </w:tc>
        <w:tc>
          <w:tcPr>
            <w:tcW w:w="690" w:type="dxa"/>
            <w:gridSpan w:val="3"/>
            <w:noWrap w:val="0"/>
            <w:vAlign w:val="center"/>
          </w:tcPr>
          <w:p w14:paraId="5BB235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384B4B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47CCB1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容积 250 mL</w:t>
            </w:r>
          </w:p>
        </w:tc>
        <w:tc>
          <w:tcPr>
            <w:tcW w:w="787" w:type="dxa"/>
            <w:noWrap w:val="0"/>
            <w:vAlign w:val="center"/>
          </w:tcPr>
          <w:p w14:paraId="27ABD42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4A0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F8DFBE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78</w:t>
            </w:r>
          </w:p>
        </w:tc>
        <w:tc>
          <w:tcPr>
            <w:tcW w:w="882" w:type="dxa"/>
            <w:gridSpan w:val="3"/>
            <w:noWrap w:val="0"/>
            <w:vAlign w:val="center"/>
          </w:tcPr>
          <w:p w14:paraId="1200B28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锥形瓶</w:t>
            </w:r>
          </w:p>
        </w:tc>
        <w:tc>
          <w:tcPr>
            <w:tcW w:w="690" w:type="dxa"/>
            <w:gridSpan w:val="3"/>
            <w:noWrap w:val="0"/>
            <w:vAlign w:val="center"/>
          </w:tcPr>
          <w:p w14:paraId="318D47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B0420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4B3B04E8">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高硼硅玻璃材质；</w:t>
            </w:r>
          </w:p>
          <w:p w14:paraId="263DF052">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规格：锥形，250mL；</w:t>
            </w:r>
          </w:p>
          <w:p w14:paraId="2ADA32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3、底部不允许有结石、节瘤存在。</w:t>
            </w:r>
          </w:p>
        </w:tc>
        <w:tc>
          <w:tcPr>
            <w:tcW w:w="787" w:type="dxa"/>
            <w:noWrap w:val="0"/>
            <w:vAlign w:val="center"/>
          </w:tcPr>
          <w:p w14:paraId="2AF9300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E5B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BDFC7E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79</w:t>
            </w:r>
          </w:p>
        </w:tc>
        <w:tc>
          <w:tcPr>
            <w:tcW w:w="882" w:type="dxa"/>
            <w:gridSpan w:val="3"/>
            <w:noWrap w:val="0"/>
            <w:vAlign w:val="center"/>
          </w:tcPr>
          <w:p w14:paraId="2A09FF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植物的器官资源箱</w:t>
            </w:r>
          </w:p>
        </w:tc>
        <w:tc>
          <w:tcPr>
            <w:tcW w:w="690" w:type="dxa"/>
            <w:gridSpan w:val="3"/>
            <w:noWrap w:val="0"/>
            <w:vAlign w:val="center"/>
          </w:tcPr>
          <w:p w14:paraId="509DB1B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67C89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81453C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包含但不限于植物解剖工具、根的标本、根 的图片、茎的标本、茎的图片、叶的标本、 叶的图片、花的标本、花的图片、果实的标 本、果实的图片、种子的标本、种子的图片 等</w:t>
            </w:r>
          </w:p>
        </w:tc>
        <w:tc>
          <w:tcPr>
            <w:tcW w:w="787" w:type="dxa"/>
            <w:noWrap w:val="0"/>
            <w:vAlign w:val="center"/>
          </w:tcPr>
          <w:p w14:paraId="025BB4F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EFC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73DB2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80</w:t>
            </w:r>
          </w:p>
        </w:tc>
        <w:tc>
          <w:tcPr>
            <w:tcW w:w="882" w:type="dxa"/>
            <w:gridSpan w:val="3"/>
            <w:noWrap w:val="0"/>
            <w:vAlign w:val="center"/>
          </w:tcPr>
          <w:p w14:paraId="058B37C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植物的生长资源箱</w:t>
            </w:r>
          </w:p>
        </w:tc>
        <w:tc>
          <w:tcPr>
            <w:tcW w:w="690" w:type="dxa"/>
            <w:gridSpan w:val="3"/>
            <w:noWrap w:val="0"/>
            <w:vAlign w:val="center"/>
          </w:tcPr>
          <w:p w14:paraId="71FB2B1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6A58E2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0CB8E71">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包含但不限于手持放大镜、种子发育盒、植 物向光性实验装置、种子萌发与生长标本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（大豆）、种子萌发与生长标本（水稻）、 种子萌发与生长标本（花生）、种子萌发与 生长标本（小麦）等</w:t>
            </w:r>
          </w:p>
        </w:tc>
        <w:tc>
          <w:tcPr>
            <w:tcW w:w="787" w:type="dxa"/>
            <w:noWrap w:val="0"/>
            <w:vAlign w:val="center"/>
          </w:tcPr>
          <w:p w14:paraId="70E849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5AC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A1517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81</w:t>
            </w:r>
          </w:p>
        </w:tc>
        <w:tc>
          <w:tcPr>
            <w:tcW w:w="882" w:type="dxa"/>
            <w:gridSpan w:val="3"/>
            <w:noWrap w:val="0"/>
            <w:vAlign w:val="center"/>
          </w:tcPr>
          <w:p w14:paraId="67967C0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植物分类挂图</w:t>
            </w:r>
          </w:p>
        </w:tc>
        <w:tc>
          <w:tcPr>
            <w:tcW w:w="690" w:type="dxa"/>
            <w:gridSpan w:val="3"/>
            <w:noWrap w:val="0"/>
            <w:vAlign w:val="center"/>
          </w:tcPr>
          <w:p w14:paraId="4ACF658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2C5726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7D5CE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狗尾草、槐树、榕树、水葫芦、荷花等植物 名称、图片及简单文字介绍（如生存环境、 外形结构）</w:t>
            </w:r>
          </w:p>
        </w:tc>
        <w:tc>
          <w:tcPr>
            <w:tcW w:w="787" w:type="dxa"/>
            <w:noWrap w:val="0"/>
            <w:vAlign w:val="center"/>
          </w:tcPr>
          <w:p w14:paraId="7BA568C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B2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1229FA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82</w:t>
            </w:r>
          </w:p>
        </w:tc>
        <w:tc>
          <w:tcPr>
            <w:tcW w:w="882" w:type="dxa"/>
            <w:gridSpan w:val="3"/>
            <w:noWrap w:val="0"/>
            <w:vAlign w:val="center"/>
          </w:tcPr>
          <w:p w14:paraId="2D73737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植物分类图册</w:t>
            </w:r>
          </w:p>
        </w:tc>
        <w:tc>
          <w:tcPr>
            <w:tcW w:w="690" w:type="dxa"/>
            <w:gridSpan w:val="3"/>
            <w:noWrap w:val="0"/>
            <w:vAlign w:val="center"/>
          </w:tcPr>
          <w:p w14:paraId="3BC886D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本</w:t>
            </w:r>
          </w:p>
        </w:tc>
        <w:tc>
          <w:tcPr>
            <w:tcW w:w="572" w:type="dxa"/>
            <w:noWrap w:val="0"/>
            <w:vAlign w:val="center"/>
          </w:tcPr>
          <w:p w14:paraId="1BA723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3A1C0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图片内容包含但不限于:植物分类方法;藻 类植物、苔藓植物、蕨类植物、种子植物; 植物的一生、植物的根茎和叶、植物的花、 果实和种子;植物和人类的关系;保护植物 的方法等</w:t>
            </w:r>
          </w:p>
        </w:tc>
        <w:tc>
          <w:tcPr>
            <w:tcW w:w="787" w:type="dxa"/>
            <w:noWrap w:val="0"/>
            <w:vAlign w:val="center"/>
          </w:tcPr>
          <w:p w14:paraId="05BBEF1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FE6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F309C3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83</w:t>
            </w:r>
          </w:p>
        </w:tc>
        <w:tc>
          <w:tcPr>
            <w:tcW w:w="882" w:type="dxa"/>
            <w:gridSpan w:val="3"/>
            <w:noWrap w:val="0"/>
            <w:vAlign w:val="center"/>
          </w:tcPr>
          <w:p w14:paraId="0DDAFEA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动物分类挂图</w:t>
            </w:r>
          </w:p>
        </w:tc>
        <w:tc>
          <w:tcPr>
            <w:tcW w:w="690" w:type="dxa"/>
            <w:gridSpan w:val="3"/>
            <w:noWrap w:val="0"/>
            <w:vAlign w:val="center"/>
          </w:tcPr>
          <w:p w14:paraId="2ED97E7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2848F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A080A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包含昆虫、鸟类、鱼类、哺乳类的主要代表 动物名称、图片及简单文字介绍（如生存环 境、外形结构）</w:t>
            </w:r>
          </w:p>
        </w:tc>
        <w:tc>
          <w:tcPr>
            <w:tcW w:w="787" w:type="dxa"/>
            <w:noWrap w:val="0"/>
            <w:vAlign w:val="center"/>
          </w:tcPr>
          <w:p w14:paraId="109DED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18B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ECC5E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84</w:t>
            </w:r>
          </w:p>
        </w:tc>
        <w:tc>
          <w:tcPr>
            <w:tcW w:w="882" w:type="dxa"/>
            <w:gridSpan w:val="3"/>
            <w:noWrap w:val="0"/>
            <w:vAlign w:val="center"/>
          </w:tcPr>
          <w:p w14:paraId="20559F5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珍稀动物挂图</w:t>
            </w:r>
          </w:p>
        </w:tc>
        <w:tc>
          <w:tcPr>
            <w:tcW w:w="690" w:type="dxa"/>
            <w:gridSpan w:val="3"/>
            <w:noWrap w:val="0"/>
            <w:vAlign w:val="center"/>
          </w:tcPr>
          <w:p w14:paraId="07CB2F3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7C1B44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EF309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我国珍稀动物名称、图片及简单文字介绍（如生存环境、外形结构）</w:t>
            </w:r>
          </w:p>
        </w:tc>
        <w:tc>
          <w:tcPr>
            <w:tcW w:w="787" w:type="dxa"/>
            <w:noWrap w:val="0"/>
            <w:vAlign w:val="center"/>
          </w:tcPr>
          <w:p w14:paraId="16C1FC5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DBC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CF737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85</w:t>
            </w:r>
          </w:p>
        </w:tc>
        <w:tc>
          <w:tcPr>
            <w:tcW w:w="882" w:type="dxa"/>
            <w:gridSpan w:val="3"/>
            <w:noWrap w:val="0"/>
            <w:vAlign w:val="center"/>
          </w:tcPr>
          <w:p w14:paraId="3D91EB0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动物分类图册</w:t>
            </w:r>
          </w:p>
        </w:tc>
        <w:tc>
          <w:tcPr>
            <w:tcW w:w="690" w:type="dxa"/>
            <w:gridSpan w:val="3"/>
            <w:noWrap w:val="0"/>
            <w:vAlign w:val="center"/>
          </w:tcPr>
          <w:p w14:paraId="3B0974F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本</w:t>
            </w:r>
          </w:p>
        </w:tc>
        <w:tc>
          <w:tcPr>
            <w:tcW w:w="572" w:type="dxa"/>
            <w:noWrap w:val="0"/>
            <w:vAlign w:val="center"/>
          </w:tcPr>
          <w:p w14:paraId="71D6DA4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D112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图片内容包含但不限于:无脊椎和脊椎动 物、动物的繁殖和成长历程、动物怎样捕食、 运动、怎样保护自己、动物与人类生活的关 系、保护动物等</w:t>
            </w:r>
          </w:p>
        </w:tc>
        <w:tc>
          <w:tcPr>
            <w:tcW w:w="787" w:type="dxa"/>
            <w:noWrap w:val="0"/>
            <w:vAlign w:val="center"/>
          </w:tcPr>
          <w:p w14:paraId="090A7F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303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DC1661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86</w:t>
            </w:r>
          </w:p>
        </w:tc>
        <w:tc>
          <w:tcPr>
            <w:tcW w:w="882" w:type="dxa"/>
            <w:gridSpan w:val="3"/>
            <w:noWrap w:val="0"/>
            <w:vAlign w:val="center"/>
          </w:tcPr>
          <w:p w14:paraId="6658CF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人体器官挂图</w:t>
            </w:r>
          </w:p>
        </w:tc>
        <w:tc>
          <w:tcPr>
            <w:tcW w:w="690" w:type="dxa"/>
            <w:gridSpan w:val="3"/>
            <w:noWrap w:val="0"/>
            <w:vAlign w:val="center"/>
          </w:tcPr>
          <w:p w14:paraId="119073FF">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2AA729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2AA00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包含呼吸系统、感觉系统、消化系统、神经 系统标注名称及简单说明</w:t>
            </w:r>
          </w:p>
        </w:tc>
        <w:tc>
          <w:tcPr>
            <w:tcW w:w="787" w:type="dxa"/>
            <w:noWrap w:val="0"/>
            <w:vAlign w:val="center"/>
          </w:tcPr>
          <w:p w14:paraId="615A39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CB9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192361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87</w:t>
            </w:r>
          </w:p>
        </w:tc>
        <w:tc>
          <w:tcPr>
            <w:tcW w:w="882" w:type="dxa"/>
            <w:gridSpan w:val="3"/>
            <w:noWrap w:val="0"/>
            <w:vAlign w:val="center"/>
          </w:tcPr>
          <w:p w14:paraId="6A7A400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人体半身模型</w:t>
            </w:r>
          </w:p>
        </w:tc>
        <w:tc>
          <w:tcPr>
            <w:tcW w:w="690" w:type="dxa"/>
            <w:gridSpan w:val="3"/>
            <w:noWrap w:val="0"/>
            <w:vAlign w:val="center"/>
          </w:tcPr>
          <w:p w14:paraId="43F12C1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41AB098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834111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850 mm，橡胶制，消化系统、呼吸系统、泌 尿系统模型细节清晰，可以清楚地看到各部 件的相关关系；材料选择环保材料；着色不失真；可拆卸</w:t>
            </w:r>
          </w:p>
        </w:tc>
        <w:tc>
          <w:tcPr>
            <w:tcW w:w="787" w:type="dxa"/>
            <w:noWrap w:val="0"/>
            <w:vAlign w:val="center"/>
          </w:tcPr>
          <w:p w14:paraId="6748C7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6F1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440B8A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88</w:t>
            </w:r>
          </w:p>
        </w:tc>
        <w:tc>
          <w:tcPr>
            <w:tcW w:w="882" w:type="dxa"/>
            <w:gridSpan w:val="3"/>
            <w:noWrap w:val="0"/>
            <w:vAlign w:val="center"/>
          </w:tcPr>
          <w:p w14:paraId="5A0D810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呼吸系统挂图</w:t>
            </w:r>
          </w:p>
        </w:tc>
        <w:tc>
          <w:tcPr>
            <w:tcW w:w="690" w:type="dxa"/>
            <w:gridSpan w:val="3"/>
            <w:noWrap w:val="0"/>
            <w:vAlign w:val="center"/>
          </w:tcPr>
          <w:p w14:paraId="57EB74E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C4A42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793D1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包含鼻孔、咽喉、气管、左右支气管、肺， 细节清晰</w:t>
            </w:r>
          </w:p>
        </w:tc>
        <w:tc>
          <w:tcPr>
            <w:tcW w:w="787" w:type="dxa"/>
            <w:noWrap w:val="0"/>
            <w:vAlign w:val="center"/>
          </w:tcPr>
          <w:p w14:paraId="6D386D7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D5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FF7423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89</w:t>
            </w:r>
          </w:p>
        </w:tc>
        <w:tc>
          <w:tcPr>
            <w:tcW w:w="882" w:type="dxa"/>
            <w:gridSpan w:val="3"/>
            <w:noWrap w:val="0"/>
            <w:vAlign w:val="center"/>
          </w:tcPr>
          <w:p w14:paraId="13FFE66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呼吸系统卡片</w:t>
            </w:r>
          </w:p>
        </w:tc>
        <w:tc>
          <w:tcPr>
            <w:tcW w:w="690" w:type="dxa"/>
            <w:gridSpan w:val="3"/>
            <w:noWrap w:val="0"/>
            <w:vAlign w:val="center"/>
          </w:tcPr>
          <w:p w14:paraId="4A7CD62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E2ED3B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w:t>
            </w:r>
          </w:p>
        </w:tc>
        <w:tc>
          <w:tcPr>
            <w:tcW w:w="6647" w:type="dxa"/>
            <w:noWrap w:val="0"/>
            <w:vAlign w:val="top"/>
          </w:tcPr>
          <w:p w14:paraId="3962F7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包含鼻孔、咽喉、气管、左右支气管、肺</w:t>
            </w:r>
          </w:p>
        </w:tc>
        <w:tc>
          <w:tcPr>
            <w:tcW w:w="787" w:type="dxa"/>
            <w:noWrap w:val="0"/>
            <w:vAlign w:val="center"/>
          </w:tcPr>
          <w:p w14:paraId="1829A1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DE1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8E133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90</w:t>
            </w:r>
          </w:p>
        </w:tc>
        <w:tc>
          <w:tcPr>
            <w:tcW w:w="882" w:type="dxa"/>
            <w:gridSpan w:val="3"/>
            <w:noWrap w:val="0"/>
            <w:vAlign w:val="center"/>
          </w:tcPr>
          <w:p w14:paraId="34963C5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消化系统挂图</w:t>
            </w:r>
          </w:p>
        </w:tc>
        <w:tc>
          <w:tcPr>
            <w:tcW w:w="690" w:type="dxa"/>
            <w:gridSpan w:val="3"/>
            <w:noWrap w:val="0"/>
            <w:vAlign w:val="center"/>
          </w:tcPr>
          <w:p w14:paraId="6E3612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A5C1C4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16FFA9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至少包含口腔、咽、食管、胃、小肠、大肠 等细节清晰</w:t>
            </w:r>
          </w:p>
        </w:tc>
        <w:tc>
          <w:tcPr>
            <w:tcW w:w="787" w:type="dxa"/>
            <w:noWrap w:val="0"/>
            <w:vAlign w:val="center"/>
          </w:tcPr>
          <w:p w14:paraId="326E0B3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371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922F22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91</w:t>
            </w:r>
          </w:p>
        </w:tc>
        <w:tc>
          <w:tcPr>
            <w:tcW w:w="882" w:type="dxa"/>
            <w:gridSpan w:val="3"/>
            <w:noWrap w:val="0"/>
            <w:vAlign w:val="center"/>
          </w:tcPr>
          <w:p w14:paraId="030191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消化系统卡片</w:t>
            </w:r>
          </w:p>
        </w:tc>
        <w:tc>
          <w:tcPr>
            <w:tcW w:w="690" w:type="dxa"/>
            <w:gridSpan w:val="3"/>
            <w:noWrap w:val="0"/>
            <w:vAlign w:val="center"/>
          </w:tcPr>
          <w:p w14:paraId="7B09FD5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3D4E49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w:t>
            </w:r>
          </w:p>
        </w:tc>
        <w:tc>
          <w:tcPr>
            <w:tcW w:w="6647" w:type="dxa"/>
            <w:noWrap w:val="0"/>
            <w:vAlign w:val="center"/>
          </w:tcPr>
          <w:p w14:paraId="750B1D3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至少包含口腔、咽、食管、胃、小肠、大肠 等</w:t>
            </w:r>
          </w:p>
        </w:tc>
        <w:tc>
          <w:tcPr>
            <w:tcW w:w="787" w:type="dxa"/>
            <w:noWrap w:val="0"/>
            <w:vAlign w:val="center"/>
          </w:tcPr>
          <w:p w14:paraId="7F22965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9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A2E987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92</w:t>
            </w:r>
          </w:p>
        </w:tc>
        <w:tc>
          <w:tcPr>
            <w:tcW w:w="882" w:type="dxa"/>
            <w:gridSpan w:val="3"/>
            <w:noWrap w:val="0"/>
            <w:vAlign w:val="center"/>
          </w:tcPr>
          <w:p w14:paraId="6405B5A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脑解剖模型</w:t>
            </w:r>
          </w:p>
        </w:tc>
        <w:tc>
          <w:tcPr>
            <w:tcW w:w="690" w:type="dxa"/>
            <w:gridSpan w:val="3"/>
            <w:noWrap w:val="0"/>
            <w:vAlign w:val="center"/>
          </w:tcPr>
          <w:p w14:paraId="2E19B2D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6846B6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C5578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自然大，大脑做正中矢状切面，左侧脑半球 经外侧沟向枕部再做水平切面，并保留完整 的脑干形态，应示大脑、小脑、延髓、脑桥、 上下丘、胼胝体、透明隔、嗅球、视神经、 动眼神经等部位</w:t>
            </w:r>
          </w:p>
        </w:tc>
        <w:tc>
          <w:tcPr>
            <w:tcW w:w="787" w:type="dxa"/>
            <w:noWrap w:val="0"/>
            <w:vAlign w:val="center"/>
          </w:tcPr>
          <w:p w14:paraId="54934C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6372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0E0A6A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93</w:t>
            </w:r>
          </w:p>
        </w:tc>
        <w:tc>
          <w:tcPr>
            <w:tcW w:w="882" w:type="dxa"/>
            <w:gridSpan w:val="3"/>
            <w:noWrap w:val="0"/>
            <w:vAlign w:val="center"/>
          </w:tcPr>
          <w:p w14:paraId="1B8E1C9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人体资源箱</w:t>
            </w:r>
          </w:p>
        </w:tc>
        <w:tc>
          <w:tcPr>
            <w:tcW w:w="690" w:type="dxa"/>
            <w:gridSpan w:val="3"/>
            <w:noWrap w:val="0"/>
            <w:vAlign w:val="center"/>
          </w:tcPr>
          <w:p w14:paraId="126B326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425032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1B07C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包含人体模型书、眼球模型、牙列模型、耳模型、心脏模型、脑模型</w:t>
            </w:r>
          </w:p>
        </w:tc>
        <w:tc>
          <w:tcPr>
            <w:tcW w:w="787" w:type="dxa"/>
            <w:noWrap w:val="0"/>
            <w:vAlign w:val="center"/>
          </w:tcPr>
          <w:p w14:paraId="0D72827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789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F41B47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94</w:t>
            </w:r>
          </w:p>
        </w:tc>
        <w:tc>
          <w:tcPr>
            <w:tcW w:w="882" w:type="dxa"/>
            <w:gridSpan w:val="3"/>
            <w:noWrap w:val="0"/>
            <w:vAlign w:val="center"/>
          </w:tcPr>
          <w:p w14:paraId="01B8B1D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植物生命周期挂图</w:t>
            </w:r>
          </w:p>
        </w:tc>
        <w:tc>
          <w:tcPr>
            <w:tcW w:w="690" w:type="dxa"/>
            <w:gridSpan w:val="3"/>
            <w:noWrap w:val="0"/>
            <w:vAlign w:val="center"/>
          </w:tcPr>
          <w:p w14:paraId="731C883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91A994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101D0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包含两部分，①一张图中包含凤仙花的整个 生命周期，包括种子、萌发、开花、结果和 死亡过程。②凤仙花生命各个周期的放大图</w:t>
            </w:r>
          </w:p>
        </w:tc>
        <w:tc>
          <w:tcPr>
            <w:tcW w:w="787" w:type="dxa"/>
            <w:noWrap w:val="0"/>
            <w:vAlign w:val="center"/>
          </w:tcPr>
          <w:p w14:paraId="6D6A3EC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7E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EFF7C1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95</w:t>
            </w:r>
          </w:p>
        </w:tc>
        <w:tc>
          <w:tcPr>
            <w:tcW w:w="882" w:type="dxa"/>
            <w:gridSpan w:val="3"/>
            <w:noWrap w:val="0"/>
            <w:vAlign w:val="center"/>
          </w:tcPr>
          <w:p w14:paraId="0E51FB5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动物生命周期挂图</w:t>
            </w:r>
          </w:p>
        </w:tc>
        <w:tc>
          <w:tcPr>
            <w:tcW w:w="690" w:type="dxa"/>
            <w:gridSpan w:val="3"/>
            <w:noWrap w:val="0"/>
            <w:vAlign w:val="center"/>
          </w:tcPr>
          <w:p w14:paraId="6EB371E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6C324A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vertAlign w:val="baseline"/>
                <w:lang w:val="en-US" w:eastAsia="zh-CN"/>
              </w:rPr>
              <w:t>1</w:t>
            </w:r>
          </w:p>
        </w:tc>
        <w:tc>
          <w:tcPr>
            <w:tcW w:w="6647" w:type="dxa"/>
            <w:noWrap w:val="0"/>
            <w:vAlign w:val="center"/>
          </w:tcPr>
          <w:p w14:paraId="74F30331">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包含两部分，①一张图中蚕的生命周期，包 括卵、幼虫、蛹、成虫、产卵和死亡过程。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②蚕生命各个周期的放大图</w:t>
            </w:r>
          </w:p>
        </w:tc>
        <w:tc>
          <w:tcPr>
            <w:tcW w:w="787" w:type="dxa"/>
            <w:noWrap w:val="0"/>
            <w:vAlign w:val="center"/>
          </w:tcPr>
          <w:p w14:paraId="065963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eastAsia="zh-CN"/>
              </w:rPr>
            </w:pPr>
          </w:p>
        </w:tc>
      </w:tr>
      <w:tr w14:paraId="1B34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F919D3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96</w:t>
            </w:r>
          </w:p>
        </w:tc>
        <w:tc>
          <w:tcPr>
            <w:tcW w:w="882" w:type="dxa"/>
            <w:gridSpan w:val="3"/>
            <w:noWrap w:val="0"/>
            <w:vAlign w:val="center"/>
          </w:tcPr>
          <w:p w14:paraId="6DA3FD4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化石挂图</w:t>
            </w:r>
          </w:p>
        </w:tc>
        <w:tc>
          <w:tcPr>
            <w:tcW w:w="690" w:type="dxa"/>
            <w:gridSpan w:val="3"/>
            <w:noWrap w:val="0"/>
            <w:vAlign w:val="center"/>
          </w:tcPr>
          <w:p w14:paraId="271AC07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C75B8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62DAC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恐龙、猛犸象名称、图片及文字介绍（生活 时代、环境特征和体形特征等）</w:t>
            </w:r>
          </w:p>
        </w:tc>
        <w:tc>
          <w:tcPr>
            <w:tcW w:w="787" w:type="dxa"/>
            <w:noWrap w:val="0"/>
            <w:vAlign w:val="center"/>
          </w:tcPr>
          <w:p w14:paraId="73AFDC4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1F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770BB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97</w:t>
            </w:r>
          </w:p>
        </w:tc>
        <w:tc>
          <w:tcPr>
            <w:tcW w:w="882" w:type="dxa"/>
            <w:gridSpan w:val="3"/>
            <w:noWrap w:val="0"/>
            <w:vAlign w:val="center"/>
          </w:tcPr>
          <w:p w14:paraId="58048D79">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食物链与食物网挂图</w:t>
            </w:r>
          </w:p>
        </w:tc>
        <w:tc>
          <w:tcPr>
            <w:tcW w:w="690" w:type="dxa"/>
            <w:gridSpan w:val="3"/>
            <w:noWrap w:val="0"/>
            <w:vAlign w:val="center"/>
          </w:tcPr>
          <w:p w14:paraId="355F70BB">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034BA9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E8140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挂图规格：高 100 cm×宽 80 cm,图中需有 一个生物生存的背景场所：玉米地。在图中 圆标浮现一下生物：狗尾草、玉米、毛毛虫、 蝗虫、麻雀、螳螂、禅、蛇、鹰</w:t>
            </w:r>
          </w:p>
        </w:tc>
        <w:tc>
          <w:tcPr>
            <w:tcW w:w="787" w:type="dxa"/>
            <w:noWrap w:val="0"/>
            <w:vAlign w:val="center"/>
          </w:tcPr>
          <w:p w14:paraId="7049D7B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623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4ED9E7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98</w:t>
            </w:r>
          </w:p>
        </w:tc>
        <w:tc>
          <w:tcPr>
            <w:tcW w:w="882" w:type="dxa"/>
            <w:gridSpan w:val="3"/>
            <w:noWrap w:val="0"/>
            <w:vAlign w:val="center"/>
          </w:tcPr>
          <w:p w14:paraId="4C617CA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食物链食物网卡片</w:t>
            </w:r>
          </w:p>
        </w:tc>
        <w:tc>
          <w:tcPr>
            <w:tcW w:w="690" w:type="dxa"/>
            <w:gridSpan w:val="3"/>
            <w:noWrap w:val="0"/>
            <w:vAlign w:val="center"/>
          </w:tcPr>
          <w:p w14:paraId="041DA98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01CE11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008C99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卡片规格：长 10 cm×宽 10 cm×厚 0.1 cm, 图片中出现一下生物：狗尾草、玉米、小麦、 蝗虫、蜜蜂、蛇、老鼠、鹰、兔子、螳螂、 禅等</w:t>
            </w:r>
          </w:p>
        </w:tc>
        <w:tc>
          <w:tcPr>
            <w:tcW w:w="787" w:type="dxa"/>
            <w:noWrap w:val="0"/>
            <w:vAlign w:val="center"/>
          </w:tcPr>
          <w:p w14:paraId="1EB22BD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37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AA86A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99</w:t>
            </w:r>
          </w:p>
        </w:tc>
        <w:tc>
          <w:tcPr>
            <w:tcW w:w="882" w:type="dxa"/>
            <w:gridSpan w:val="3"/>
            <w:noWrap w:val="0"/>
            <w:vAlign w:val="center"/>
          </w:tcPr>
          <w:p w14:paraId="1745295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动物筑巢挂图</w:t>
            </w:r>
          </w:p>
        </w:tc>
        <w:tc>
          <w:tcPr>
            <w:tcW w:w="690" w:type="dxa"/>
            <w:gridSpan w:val="3"/>
            <w:noWrap w:val="0"/>
            <w:vAlign w:val="center"/>
          </w:tcPr>
          <w:p w14:paraId="3A33627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6C269C6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8248E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挂图规格：高 100 cm×宽 80 cm.水獭巢穴， 织巢鸟巢穴，织叶蚁巢穴，磁石白蚁巢穴， 蜜蜂巢穴，织布鸟，海狸巢穴，兔子巢穴</w:t>
            </w:r>
          </w:p>
        </w:tc>
        <w:tc>
          <w:tcPr>
            <w:tcW w:w="787" w:type="dxa"/>
            <w:noWrap w:val="0"/>
            <w:vAlign w:val="center"/>
          </w:tcPr>
          <w:p w14:paraId="00E7482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025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C1B322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100</w:t>
            </w:r>
          </w:p>
        </w:tc>
        <w:tc>
          <w:tcPr>
            <w:tcW w:w="882" w:type="dxa"/>
            <w:gridSpan w:val="3"/>
            <w:noWrap w:val="0"/>
            <w:vAlign w:val="center"/>
          </w:tcPr>
          <w:p w14:paraId="1CFA53B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动物筑巢卡片</w:t>
            </w:r>
          </w:p>
        </w:tc>
        <w:tc>
          <w:tcPr>
            <w:tcW w:w="690" w:type="dxa"/>
            <w:gridSpan w:val="3"/>
            <w:noWrap w:val="0"/>
            <w:vAlign w:val="center"/>
          </w:tcPr>
          <w:p w14:paraId="4850456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F51D59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4F8FD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卡片规格：长 10 cm×宽 10 cm×厚 0.1 cm,水獭 巢穴，织巢鸟巢穴，织叶蚁巢穴，磁石白蚁巢穴， 蜜蜂巢穴，织布鸟，海狸巢穴，兔子巢穴</w:t>
            </w:r>
          </w:p>
        </w:tc>
        <w:tc>
          <w:tcPr>
            <w:tcW w:w="787" w:type="dxa"/>
            <w:noWrap w:val="0"/>
            <w:vAlign w:val="center"/>
          </w:tcPr>
          <w:p w14:paraId="662E320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0F3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730330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101</w:t>
            </w:r>
          </w:p>
        </w:tc>
        <w:tc>
          <w:tcPr>
            <w:tcW w:w="882" w:type="dxa"/>
            <w:gridSpan w:val="3"/>
            <w:noWrap w:val="0"/>
            <w:vAlign w:val="center"/>
          </w:tcPr>
          <w:p w14:paraId="4CBD74F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平面地形地球仪</w:t>
            </w:r>
          </w:p>
        </w:tc>
        <w:tc>
          <w:tcPr>
            <w:tcW w:w="690" w:type="dxa"/>
            <w:gridSpan w:val="3"/>
            <w:noWrap w:val="0"/>
            <w:vAlign w:val="center"/>
          </w:tcPr>
          <w:p w14:paraId="0D58FD4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4884B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center"/>
          </w:tcPr>
          <w:p w14:paraId="15B88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球体和支架组成，球体直径320 mm，平 面比例尺 1:90000000，地轴的倾角为 66.5°，并垂直于赤道面，</w:t>
            </w:r>
          </w:p>
        </w:tc>
        <w:tc>
          <w:tcPr>
            <w:tcW w:w="787" w:type="dxa"/>
            <w:noWrap w:val="0"/>
            <w:vAlign w:val="center"/>
          </w:tcPr>
          <w:p w14:paraId="435C67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095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BADFEE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102</w:t>
            </w:r>
          </w:p>
        </w:tc>
        <w:tc>
          <w:tcPr>
            <w:tcW w:w="882" w:type="dxa"/>
            <w:gridSpan w:val="3"/>
            <w:noWrap w:val="0"/>
            <w:vAlign w:val="center"/>
          </w:tcPr>
          <w:p w14:paraId="435D311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发光手电筒</w:t>
            </w:r>
          </w:p>
        </w:tc>
        <w:tc>
          <w:tcPr>
            <w:tcW w:w="690" w:type="dxa"/>
            <w:gridSpan w:val="3"/>
            <w:noWrap w:val="0"/>
            <w:vAlign w:val="center"/>
          </w:tcPr>
          <w:p w14:paraId="707DA43D">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48E1696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w:t>
            </w:r>
          </w:p>
        </w:tc>
        <w:tc>
          <w:tcPr>
            <w:tcW w:w="6647" w:type="dxa"/>
            <w:noWrap w:val="0"/>
            <w:vAlign w:val="center"/>
          </w:tcPr>
          <w:p w14:paraId="25C1C3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总长16cm，LED节能，充电式，容量400mA镜头5cm，塑料材质。</w:t>
            </w:r>
          </w:p>
        </w:tc>
        <w:tc>
          <w:tcPr>
            <w:tcW w:w="787" w:type="dxa"/>
            <w:noWrap w:val="0"/>
            <w:vAlign w:val="center"/>
          </w:tcPr>
          <w:p w14:paraId="261411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E2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6EFB67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103</w:t>
            </w:r>
          </w:p>
        </w:tc>
        <w:tc>
          <w:tcPr>
            <w:tcW w:w="882" w:type="dxa"/>
            <w:gridSpan w:val="3"/>
            <w:noWrap w:val="0"/>
            <w:vAlign w:val="center"/>
          </w:tcPr>
          <w:p w14:paraId="6C760D4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三球仪</w:t>
            </w:r>
          </w:p>
        </w:tc>
        <w:tc>
          <w:tcPr>
            <w:tcW w:w="690" w:type="dxa"/>
            <w:gridSpan w:val="3"/>
            <w:noWrap w:val="0"/>
            <w:vAlign w:val="center"/>
          </w:tcPr>
          <w:p w14:paraId="524CA2E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44AD7CA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BC4452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可自制，100 W 灯泡，圆形乳白色外罩，乒 乓球 1 个，小铁丝，大小皮带轮各 1 个（12： 1），支柱，小塑料泡沫球，60 cm 托板</w:t>
            </w:r>
          </w:p>
        </w:tc>
        <w:tc>
          <w:tcPr>
            <w:tcW w:w="787" w:type="dxa"/>
            <w:noWrap w:val="0"/>
            <w:vAlign w:val="center"/>
          </w:tcPr>
          <w:p w14:paraId="6DE3D0C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338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4652D7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104</w:t>
            </w:r>
          </w:p>
        </w:tc>
        <w:tc>
          <w:tcPr>
            <w:tcW w:w="882" w:type="dxa"/>
            <w:gridSpan w:val="3"/>
            <w:noWrap w:val="0"/>
            <w:vAlign w:val="center"/>
          </w:tcPr>
          <w:p w14:paraId="02F19DA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活动星盘图</w:t>
            </w:r>
          </w:p>
        </w:tc>
        <w:tc>
          <w:tcPr>
            <w:tcW w:w="690" w:type="dxa"/>
            <w:gridSpan w:val="3"/>
            <w:noWrap w:val="0"/>
            <w:vAlign w:val="center"/>
          </w:tcPr>
          <w:p w14:paraId="5358959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1B1C3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B70C5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Φ25 cm～Φ30 cm；用于野外观测星空时配 套使用；可手动调节观看时间、日期、月份； 带指南针定方位；三种观看模式(星座连线 观看、神话星图观看、双重模式观看)；可 探索 30 个以上星座</w:t>
            </w:r>
          </w:p>
        </w:tc>
        <w:tc>
          <w:tcPr>
            <w:tcW w:w="787" w:type="dxa"/>
            <w:noWrap w:val="0"/>
            <w:vAlign w:val="center"/>
          </w:tcPr>
          <w:p w14:paraId="17B530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DE5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B6D53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105</w:t>
            </w:r>
          </w:p>
        </w:tc>
        <w:tc>
          <w:tcPr>
            <w:tcW w:w="882" w:type="dxa"/>
            <w:gridSpan w:val="3"/>
            <w:noWrap w:val="0"/>
            <w:vAlign w:val="center"/>
          </w:tcPr>
          <w:p w14:paraId="4A9383C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月球仪</w:t>
            </w:r>
          </w:p>
        </w:tc>
        <w:tc>
          <w:tcPr>
            <w:tcW w:w="690" w:type="dxa"/>
            <w:gridSpan w:val="3"/>
            <w:noWrap w:val="0"/>
            <w:vAlign w:val="center"/>
          </w:tcPr>
          <w:p w14:paraId="1E493620">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6B87985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13A5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树脂月球模型，直径 173.8 mm，包括月球表 面的地形，主要环形山，月海，标记清晰， 位置准确</w:t>
            </w:r>
          </w:p>
        </w:tc>
        <w:tc>
          <w:tcPr>
            <w:tcW w:w="787" w:type="dxa"/>
            <w:noWrap w:val="0"/>
            <w:vAlign w:val="center"/>
          </w:tcPr>
          <w:p w14:paraId="17F683A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6A3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DAA726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106</w:t>
            </w:r>
          </w:p>
        </w:tc>
        <w:tc>
          <w:tcPr>
            <w:tcW w:w="882" w:type="dxa"/>
            <w:gridSpan w:val="3"/>
            <w:noWrap w:val="0"/>
            <w:vAlign w:val="center"/>
          </w:tcPr>
          <w:p w14:paraId="2FBFBEA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雨量器</w:t>
            </w:r>
          </w:p>
        </w:tc>
        <w:tc>
          <w:tcPr>
            <w:tcW w:w="690" w:type="dxa"/>
            <w:gridSpan w:val="3"/>
            <w:noWrap w:val="0"/>
            <w:vAlign w:val="center"/>
          </w:tcPr>
          <w:p w14:paraId="237097B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3B6381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08218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 xml:space="preserve">承水口内径 200 mm，高 230 mm，配锥形导水漏斗，1000 mL 塑料量筒， </w:t>
            </w:r>
          </w:p>
        </w:tc>
        <w:tc>
          <w:tcPr>
            <w:tcW w:w="787" w:type="dxa"/>
            <w:noWrap w:val="0"/>
            <w:vAlign w:val="center"/>
          </w:tcPr>
          <w:p w14:paraId="3D040A1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25F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3E31CF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107</w:t>
            </w:r>
          </w:p>
        </w:tc>
        <w:tc>
          <w:tcPr>
            <w:tcW w:w="882" w:type="dxa"/>
            <w:gridSpan w:val="3"/>
            <w:noWrap w:val="0"/>
            <w:vAlign w:val="center"/>
          </w:tcPr>
          <w:p w14:paraId="08C2629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便携式风速风向仪</w:t>
            </w:r>
          </w:p>
        </w:tc>
        <w:tc>
          <w:tcPr>
            <w:tcW w:w="690" w:type="dxa"/>
            <w:gridSpan w:val="3"/>
            <w:noWrap w:val="0"/>
            <w:vAlign w:val="center"/>
          </w:tcPr>
          <w:p w14:paraId="0948F09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3C009A0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1D88EE3">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风速指标：风速测量范围：0 m/s～30 m/s；</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风速传感器启动风速：0.8 m/s  ；可显示的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风速参数：  瞬时风速、平均风速、瞬时风级、 平均风级、对应浪高；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风向指标：风向测量范围 0°～360°，16 个方位；风向传感器启动风速  1.0 m/s，风 向测量精度±1/2 方位</w:t>
            </w:r>
          </w:p>
        </w:tc>
        <w:tc>
          <w:tcPr>
            <w:tcW w:w="787" w:type="dxa"/>
            <w:noWrap w:val="0"/>
            <w:vAlign w:val="center"/>
          </w:tcPr>
          <w:p w14:paraId="2277942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5A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40C8F9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108</w:t>
            </w:r>
          </w:p>
        </w:tc>
        <w:tc>
          <w:tcPr>
            <w:tcW w:w="882" w:type="dxa"/>
            <w:gridSpan w:val="3"/>
            <w:noWrap w:val="0"/>
            <w:vAlign w:val="center"/>
          </w:tcPr>
          <w:p w14:paraId="0EC43B0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地球表面海陆分布模型</w:t>
            </w:r>
          </w:p>
        </w:tc>
        <w:tc>
          <w:tcPr>
            <w:tcW w:w="690" w:type="dxa"/>
            <w:gridSpan w:val="3"/>
            <w:noWrap w:val="0"/>
            <w:vAlign w:val="center"/>
          </w:tcPr>
          <w:p w14:paraId="6A69133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件</w:t>
            </w:r>
          </w:p>
        </w:tc>
        <w:tc>
          <w:tcPr>
            <w:tcW w:w="572" w:type="dxa"/>
            <w:noWrap w:val="0"/>
            <w:vAlign w:val="center"/>
          </w:tcPr>
          <w:p w14:paraId="59D5183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454052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地球表面海陆分布模型 在模型上标注比例尺和图例，能看出陆地分 成的几大板块，以及陆地上的主要地形地貌</w:t>
            </w:r>
          </w:p>
        </w:tc>
        <w:tc>
          <w:tcPr>
            <w:tcW w:w="787" w:type="dxa"/>
            <w:noWrap w:val="0"/>
            <w:vAlign w:val="center"/>
          </w:tcPr>
          <w:p w14:paraId="4CA1DE7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DE9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A9A414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109</w:t>
            </w:r>
          </w:p>
        </w:tc>
        <w:tc>
          <w:tcPr>
            <w:tcW w:w="882" w:type="dxa"/>
            <w:gridSpan w:val="3"/>
            <w:noWrap w:val="0"/>
            <w:vAlign w:val="center"/>
          </w:tcPr>
          <w:p w14:paraId="341038D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土壤标本</w:t>
            </w:r>
          </w:p>
        </w:tc>
        <w:tc>
          <w:tcPr>
            <w:tcW w:w="690" w:type="dxa"/>
            <w:gridSpan w:val="3"/>
            <w:noWrap w:val="0"/>
            <w:vAlign w:val="center"/>
          </w:tcPr>
          <w:p w14:paraId="2197D51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盒</w:t>
            </w:r>
          </w:p>
        </w:tc>
        <w:tc>
          <w:tcPr>
            <w:tcW w:w="572" w:type="dxa"/>
            <w:noWrap w:val="0"/>
            <w:vAlign w:val="center"/>
          </w:tcPr>
          <w:p w14:paraId="694F5A3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460CB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沙质土、黏质土、壤土标本</w:t>
            </w:r>
          </w:p>
        </w:tc>
        <w:tc>
          <w:tcPr>
            <w:tcW w:w="787" w:type="dxa"/>
            <w:noWrap w:val="0"/>
            <w:vAlign w:val="center"/>
          </w:tcPr>
          <w:p w14:paraId="01619C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457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8219C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110</w:t>
            </w:r>
          </w:p>
        </w:tc>
        <w:tc>
          <w:tcPr>
            <w:tcW w:w="882" w:type="dxa"/>
            <w:gridSpan w:val="3"/>
            <w:noWrap w:val="0"/>
            <w:vAlign w:val="center"/>
          </w:tcPr>
          <w:p w14:paraId="7A8B689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地球内部构造模型</w:t>
            </w:r>
          </w:p>
        </w:tc>
        <w:tc>
          <w:tcPr>
            <w:tcW w:w="690" w:type="dxa"/>
            <w:gridSpan w:val="3"/>
            <w:noWrap w:val="0"/>
            <w:vAlign w:val="center"/>
          </w:tcPr>
          <w:p w14:paraId="53D00734">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E82A79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84FE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立体剖面模型，能够看出地壳、地幔、地核 三部分及其特点</w:t>
            </w:r>
          </w:p>
        </w:tc>
        <w:tc>
          <w:tcPr>
            <w:tcW w:w="787" w:type="dxa"/>
            <w:noWrap w:val="0"/>
            <w:vAlign w:val="center"/>
          </w:tcPr>
          <w:p w14:paraId="3F8D3D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9A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8A3C41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111</w:t>
            </w:r>
          </w:p>
        </w:tc>
        <w:tc>
          <w:tcPr>
            <w:tcW w:w="882" w:type="dxa"/>
            <w:gridSpan w:val="3"/>
            <w:noWrap w:val="0"/>
            <w:vAlign w:val="center"/>
          </w:tcPr>
          <w:p w14:paraId="7D22F7C8">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火山爆发模型</w:t>
            </w:r>
          </w:p>
        </w:tc>
        <w:tc>
          <w:tcPr>
            <w:tcW w:w="690" w:type="dxa"/>
            <w:gridSpan w:val="3"/>
            <w:noWrap w:val="0"/>
            <w:vAlign w:val="center"/>
          </w:tcPr>
          <w:p w14:paraId="73F88AB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62BAA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66879E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模型中有地球内部构造，及其火山喷发时地 壳、地幔的岩浆的变化</w:t>
            </w:r>
          </w:p>
        </w:tc>
        <w:tc>
          <w:tcPr>
            <w:tcW w:w="787" w:type="dxa"/>
            <w:noWrap w:val="0"/>
            <w:vAlign w:val="center"/>
          </w:tcPr>
          <w:p w14:paraId="5A9E08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B1D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1A75EA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112</w:t>
            </w:r>
          </w:p>
        </w:tc>
        <w:tc>
          <w:tcPr>
            <w:tcW w:w="882" w:type="dxa"/>
            <w:gridSpan w:val="3"/>
            <w:noWrap w:val="0"/>
            <w:vAlign w:val="center"/>
          </w:tcPr>
          <w:p w14:paraId="2AB2E26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分类垃圾桶</w:t>
            </w:r>
          </w:p>
        </w:tc>
        <w:tc>
          <w:tcPr>
            <w:tcW w:w="690" w:type="dxa"/>
            <w:gridSpan w:val="3"/>
            <w:noWrap w:val="0"/>
            <w:vAlign w:val="center"/>
          </w:tcPr>
          <w:p w14:paraId="094BA56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778B437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1A69F9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PP 材质，30 L</w:t>
            </w:r>
          </w:p>
        </w:tc>
        <w:tc>
          <w:tcPr>
            <w:tcW w:w="787" w:type="dxa"/>
            <w:noWrap w:val="0"/>
            <w:vAlign w:val="center"/>
          </w:tcPr>
          <w:p w14:paraId="36585F7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543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57E19D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113</w:t>
            </w:r>
          </w:p>
        </w:tc>
        <w:tc>
          <w:tcPr>
            <w:tcW w:w="882" w:type="dxa"/>
            <w:gridSpan w:val="3"/>
            <w:noWrap w:val="0"/>
            <w:vAlign w:val="center"/>
          </w:tcPr>
          <w:p w14:paraId="00BD4A01">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反光式太阳能加热实验装置</w:t>
            </w:r>
          </w:p>
        </w:tc>
        <w:tc>
          <w:tcPr>
            <w:tcW w:w="690" w:type="dxa"/>
            <w:gridSpan w:val="3"/>
            <w:noWrap w:val="0"/>
            <w:vAlign w:val="center"/>
          </w:tcPr>
          <w:p w14:paraId="6D187321">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2AD1E53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36F208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strike w:val="0"/>
                <w:color w:val="auto"/>
                <w:kern w:val="0"/>
                <w:sz w:val="21"/>
                <w:szCs w:val="21"/>
                <w:lang w:bidi="ar"/>
              </w:rPr>
              <w:t>太阳灶：太阳灶尺寸不小于φ380mm，利用太阳能，用太阳灶加可烧热水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及烤面包等。</w:t>
            </w:r>
          </w:p>
        </w:tc>
        <w:tc>
          <w:tcPr>
            <w:tcW w:w="787" w:type="dxa"/>
            <w:noWrap w:val="0"/>
            <w:vAlign w:val="center"/>
          </w:tcPr>
          <w:p w14:paraId="577262A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7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B4B4F0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114</w:t>
            </w:r>
          </w:p>
        </w:tc>
        <w:tc>
          <w:tcPr>
            <w:tcW w:w="882" w:type="dxa"/>
            <w:gridSpan w:val="3"/>
            <w:noWrap w:val="0"/>
            <w:vAlign w:val="center"/>
          </w:tcPr>
          <w:p w14:paraId="59F149F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太阳能驱动小车</w:t>
            </w:r>
          </w:p>
        </w:tc>
        <w:tc>
          <w:tcPr>
            <w:tcW w:w="690" w:type="dxa"/>
            <w:gridSpan w:val="3"/>
            <w:noWrap w:val="0"/>
            <w:vAlign w:val="center"/>
          </w:tcPr>
          <w:p w14:paraId="6C457EF5">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5C1D05F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w:t>
            </w:r>
          </w:p>
        </w:tc>
        <w:tc>
          <w:tcPr>
            <w:tcW w:w="6647" w:type="dxa"/>
            <w:noWrap w:val="0"/>
            <w:vAlign w:val="center"/>
          </w:tcPr>
          <w:p w14:paraId="2D19BAE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太阳能电池板驱动小车，包括太阳能电池板2 V 60 mA，电机</w:t>
            </w:r>
          </w:p>
        </w:tc>
        <w:tc>
          <w:tcPr>
            <w:tcW w:w="787" w:type="dxa"/>
            <w:noWrap w:val="0"/>
            <w:vAlign w:val="center"/>
          </w:tcPr>
          <w:p w14:paraId="44A4D56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52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C757D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115</w:t>
            </w:r>
          </w:p>
        </w:tc>
        <w:tc>
          <w:tcPr>
            <w:tcW w:w="882" w:type="dxa"/>
            <w:gridSpan w:val="3"/>
            <w:noWrap w:val="0"/>
            <w:vAlign w:val="center"/>
          </w:tcPr>
          <w:p w14:paraId="5D1E7AF3">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小型电热炉</w:t>
            </w:r>
          </w:p>
        </w:tc>
        <w:tc>
          <w:tcPr>
            <w:tcW w:w="690" w:type="dxa"/>
            <w:gridSpan w:val="3"/>
            <w:noWrap w:val="0"/>
            <w:vAlign w:val="center"/>
          </w:tcPr>
          <w:p w14:paraId="58FF19D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台</w:t>
            </w:r>
          </w:p>
        </w:tc>
        <w:tc>
          <w:tcPr>
            <w:tcW w:w="572" w:type="dxa"/>
            <w:noWrap w:val="0"/>
            <w:vAlign w:val="center"/>
          </w:tcPr>
          <w:p w14:paraId="7589BF5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5C8FE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小型加热炉电热炉电炉额定电压 220 V、额定功率≦500 W、发热盘直径≦10 cm、高≦8 cm</w:t>
            </w:r>
          </w:p>
        </w:tc>
        <w:tc>
          <w:tcPr>
            <w:tcW w:w="787" w:type="dxa"/>
            <w:noWrap w:val="0"/>
            <w:vAlign w:val="center"/>
          </w:tcPr>
          <w:p w14:paraId="7FF0ED0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E23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6CC688E">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116</w:t>
            </w:r>
          </w:p>
        </w:tc>
        <w:tc>
          <w:tcPr>
            <w:tcW w:w="882" w:type="dxa"/>
            <w:gridSpan w:val="3"/>
            <w:noWrap w:val="0"/>
            <w:vAlign w:val="center"/>
          </w:tcPr>
          <w:p w14:paraId="673BABC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电动卷笔刀</w:t>
            </w:r>
          </w:p>
        </w:tc>
        <w:tc>
          <w:tcPr>
            <w:tcW w:w="690" w:type="dxa"/>
            <w:gridSpan w:val="3"/>
            <w:noWrap w:val="0"/>
            <w:vAlign w:val="center"/>
          </w:tcPr>
          <w:p w14:paraId="3135479E">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B6E7B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03F83C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尺寸 110 mm×70 mm×80 mm 左右；削笔的孔径 6 mm～8 mm；可配 USB 外接电源，也可放若干节 1.5 V 的 AA 电池驱动；自动双开关启动：装上垃圾盒放上铅笔才可工作；可削彩铅，碳铅及铅笔</w:t>
            </w:r>
          </w:p>
        </w:tc>
        <w:tc>
          <w:tcPr>
            <w:tcW w:w="787" w:type="dxa"/>
            <w:noWrap w:val="0"/>
            <w:vAlign w:val="center"/>
          </w:tcPr>
          <w:p w14:paraId="660D50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7C0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6CDF8B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117</w:t>
            </w:r>
          </w:p>
        </w:tc>
        <w:tc>
          <w:tcPr>
            <w:tcW w:w="882" w:type="dxa"/>
            <w:gridSpan w:val="3"/>
            <w:noWrap w:val="0"/>
            <w:vAlign w:val="center"/>
          </w:tcPr>
          <w:p w14:paraId="7A40810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记忆合金</w:t>
            </w:r>
          </w:p>
        </w:tc>
        <w:tc>
          <w:tcPr>
            <w:tcW w:w="690" w:type="dxa"/>
            <w:gridSpan w:val="3"/>
            <w:noWrap w:val="0"/>
            <w:vAlign w:val="center"/>
          </w:tcPr>
          <w:p w14:paraId="293866BA">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2DA31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476962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弹簧形状记忆合金。规格 100 mm×Φ10 mm；效果：把弹簧放在热水中，弹簧的长度立即伸长，再放到冷水中，它会立即恢复原状</w:t>
            </w:r>
          </w:p>
        </w:tc>
        <w:tc>
          <w:tcPr>
            <w:tcW w:w="787" w:type="dxa"/>
            <w:noWrap w:val="0"/>
            <w:vAlign w:val="center"/>
          </w:tcPr>
          <w:p w14:paraId="17D833D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93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C3C941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118</w:t>
            </w:r>
          </w:p>
        </w:tc>
        <w:tc>
          <w:tcPr>
            <w:tcW w:w="882" w:type="dxa"/>
            <w:gridSpan w:val="3"/>
            <w:noWrap w:val="0"/>
            <w:vAlign w:val="center"/>
          </w:tcPr>
          <w:p w14:paraId="7491905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四驱遥控车小车</w:t>
            </w:r>
          </w:p>
        </w:tc>
        <w:tc>
          <w:tcPr>
            <w:tcW w:w="690" w:type="dxa"/>
            <w:gridSpan w:val="3"/>
            <w:noWrap w:val="0"/>
            <w:vAlign w:val="center"/>
          </w:tcPr>
          <w:p w14:paraId="3CF08FD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辆</w:t>
            </w:r>
          </w:p>
        </w:tc>
        <w:tc>
          <w:tcPr>
            <w:tcW w:w="572" w:type="dxa"/>
            <w:noWrap w:val="0"/>
            <w:vAlign w:val="center"/>
          </w:tcPr>
          <w:p w14:paraId="48D07D7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624A70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四驱遥控车小车（可拼装）外形尺寸：20 cm×9 cm×5 cm；控制方式：遥控</w:t>
            </w:r>
          </w:p>
        </w:tc>
        <w:tc>
          <w:tcPr>
            <w:tcW w:w="787" w:type="dxa"/>
            <w:noWrap w:val="0"/>
            <w:vAlign w:val="center"/>
          </w:tcPr>
          <w:p w14:paraId="1CCF878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28FF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3ED4A6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119</w:t>
            </w:r>
          </w:p>
        </w:tc>
        <w:tc>
          <w:tcPr>
            <w:tcW w:w="882" w:type="dxa"/>
            <w:gridSpan w:val="3"/>
            <w:noWrap w:val="0"/>
            <w:vAlign w:val="center"/>
          </w:tcPr>
          <w:p w14:paraId="6A27AF4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酒精灯</w:t>
            </w:r>
          </w:p>
        </w:tc>
        <w:tc>
          <w:tcPr>
            <w:tcW w:w="690" w:type="dxa"/>
            <w:gridSpan w:val="3"/>
            <w:noWrap w:val="0"/>
            <w:vAlign w:val="center"/>
          </w:tcPr>
          <w:p w14:paraId="0EA5B0C2">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237EB3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48</w:t>
            </w:r>
          </w:p>
        </w:tc>
        <w:tc>
          <w:tcPr>
            <w:tcW w:w="6647" w:type="dxa"/>
            <w:noWrap w:val="0"/>
            <w:vAlign w:val="center"/>
          </w:tcPr>
          <w:p w14:paraId="1333AF3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150 mL</w:t>
            </w:r>
          </w:p>
        </w:tc>
        <w:tc>
          <w:tcPr>
            <w:tcW w:w="787" w:type="dxa"/>
            <w:noWrap w:val="0"/>
            <w:vAlign w:val="center"/>
          </w:tcPr>
          <w:p w14:paraId="4DDF348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ABC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3B56460">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120</w:t>
            </w:r>
          </w:p>
        </w:tc>
        <w:tc>
          <w:tcPr>
            <w:tcW w:w="882" w:type="dxa"/>
            <w:gridSpan w:val="3"/>
            <w:noWrap w:val="0"/>
            <w:vAlign w:val="center"/>
          </w:tcPr>
          <w:p w14:paraId="078B609D">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十字螺丝刀</w:t>
            </w:r>
          </w:p>
        </w:tc>
        <w:tc>
          <w:tcPr>
            <w:tcW w:w="690" w:type="dxa"/>
            <w:gridSpan w:val="3"/>
            <w:noWrap w:val="0"/>
            <w:vAlign w:val="center"/>
          </w:tcPr>
          <w:p w14:paraId="20DDEF47">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支</w:t>
            </w:r>
          </w:p>
        </w:tc>
        <w:tc>
          <w:tcPr>
            <w:tcW w:w="572" w:type="dxa"/>
            <w:noWrap w:val="0"/>
            <w:vAlign w:val="center"/>
          </w:tcPr>
          <w:p w14:paraId="3DB0C6E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B5DAB1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旋杆直径 6 mm,长 150 mm,工作端带磁性</w:t>
            </w:r>
          </w:p>
        </w:tc>
        <w:tc>
          <w:tcPr>
            <w:tcW w:w="787" w:type="dxa"/>
            <w:noWrap w:val="0"/>
            <w:vAlign w:val="center"/>
          </w:tcPr>
          <w:p w14:paraId="3BFEE1D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3D3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883A6C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121</w:t>
            </w:r>
          </w:p>
        </w:tc>
        <w:tc>
          <w:tcPr>
            <w:tcW w:w="882" w:type="dxa"/>
            <w:gridSpan w:val="3"/>
            <w:noWrap w:val="0"/>
            <w:vAlign w:val="center"/>
          </w:tcPr>
          <w:p w14:paraId="72DD042F">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一字螺丝刀</w:t>
            </w:r>
          </w:p>
        </w:tc>
        <w:tc>
          <w:tcPr>
            <w:tcW w:w="690" w:type="dxa"/>
            <w:gridSpan w:val="3"/>
            <w:noWrap w:val="0"/>
            <w:vAlign w:val="center"/>
          </w:tcPr>
          <w:p w14:paraId="067F43A9">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085502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12C7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旋杆直径 6 mm,长 150 mm,工作端带磁性</w:t>
            </w:r>
          </w:p>
        </w:tc>
        <w:tc>
          <w:tcPr>
            <w:tcW w:w="787" w:type="dxa"/>
            <w:noWrap w:val="0"/>
            <w:vAlign w:val="center"/>
          </w:tcPr>
          <w:p w14:paraId="3D880D4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BB1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6B22524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122</w:t>
            </w:r>
          </w:p>
        </w:tc>
        <w:tc>
          <w:tcPr>
            <w:tcW w:w="882" w:type="dxa"/>
            <w:gridSpan w:val="3"/>
            <w:noWrap w:val="0"/>
            <w:vAlign w:val="center"/>
          </w:tcPr>
          <w:p w14:paraId="43E85D4C">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杠杆</w:t>
            </w:r>
          </w:p>
        </w:tc>
        <w:tc>
          <w:tcPr>
            <w:tcW w:w="690" w:type="dxa"/>
            <w:gridSpan w:val="3"/>
            <w:noWrap w:val="0"/>
            <w:vAlign w:val="center"/>
          </w:tcPr>
          <w:p w14:paraId="09938943">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套</w:t>
            </w:r>
          </w:p>
        </w:tc>
        <w:tc>
          <w:tcPr>
            <w:tcW w:w="572" w:type="dxa"/>
            <w:noWrap w:val="0"/>
            <w:vAlign w:val="center"/>
          </w:tcPr>
          <w:p w14:paraId="1C4D0A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5D3F41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由杠杆、轴、调平装置和 6 个挂钩组成，挂 钩在标尺上能连续移动，杠杆长≥500 mm， 木杠杆尺端需包头加固</w:t>
            </w:r>
          </w:p>
        </w:tc>
        <w:tc>
          <w:tcPr>
            <w:tcW w:w="787" w:type="dxa"/>
            <w:noWrap w:val="0"/>
            <w:vAlign w:val="center"/>
          </w:tcPr>
          <w:p w14:paraId="433FB06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AFC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2121B44">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123</w:t>
            </w:r>
          </w:p>
        </w:tc>
        <w:tc>
          <w:tcPr>
            <w:tcW w:w="882" w:type="dxa"/>
            <w:gridSpan w:val="3"/>
            <w:noWrap w:val="0"/>
            <w:vAlign w:val="center"/>
          </w:tcPr>
          <w:p w14:paraId="65B23745">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滑轮组</w:t>
            </w:r>
          </w:p>
        </w:tc>
        <w:tc>
          <w:tcPr>
            <w:tcW w:w="690" w:type="dxa"/>
            <w:gridSpan w:val="3"/>
            <w:noWrap w:val="0"/>
            <w:vAlign w:val="center"/>
          </w:tcPr>
          <w:p w14:paraId="7FBBC4E8">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组</w:t>
            </w:r>
          </w:p>
        </w:tc>
        <w:tc>
          <w:tcPr>
            <w:tcW w:w="572" w:type="dxa"/>
            <w:noWrap w:val="0"/>
            <w:vAlign w:val="center"/>
          </w:tcPr>
          <w:p w14:paraId="2E8DC2F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0B3AD5A8">
            <w:pPr>
              <w:keepNext w:val="0"/>
              <w:keepLines w:val="0"/>
              <w:pageBreakBefore w:val="0"/>
              <w:widowControl w:val="0"/>
              <w:kinsoku/>
              <w:wordWrap/>
              <w:overflowPunct/>
              <w:topLinePunct w:val="0"/>
              <w:bidi w:val="0"/>
              <w:snapToGrid/>
              <w:spacing w:line="440" w:lineRule="exact"/>
              <w:ind w:firstLine="0" w:firstLineChars="0"/>
              <w:jc w:val="left"/>
              <w:textAlignment w:val="auto"/>
              <w:rPr>
                <w:rFonts w:hint="eastAsia" w:ascii="宋体" w:hAnsi="宋体" w:eastAsia="宋体" w:cs="宋体"/>
                <w:strike w:val="0"/>
                <w:color w:val="auto"/>
                <w:sz w:val="21"/>
                <w:szCs w:val="21"/>
                <w:vertAlign w:val="baseline"/>
                <w:lang w:val="en-US" w:eastAsia="zh-CN"/>
              </w:rPr>
            </w:pPr>
            <w:r>
              <w:rPr>
                <w:rFonts w:hint="eastAsia" w:ascii="宋体" w:hAnsi="宋体" w:eastAsia="宋体" w:cs="宋体"/>
                <w:i w:val="0"/>
                <w:iCs w:val="0"/>
                <w:strike w:val="0"/>
                <w:color w:val="auto"/>
                <w:kern w:val="0"/>
                <w:sz w:val="21"/>
                <w:szCs w:val="21"/>
                <w:u w:val="none"/>
                <w:lang w:val="en-US" w:eastAsia="zh-CN" w:bidi="ar"/>
              </w:rPr>
              <w:t>由单滑轮 4 件、二并滑轮 2 件、二串滑轮 2件、支杆滑轮 2 件构成，每个滑轮组中至少有 1 个可止动滑轮，附滑轮绳；额定负荷：单滑轮 9.8 N，串及并滑轮为 19.6 N，支杆滑轮为 9.8 N；满负荷时，单、支杆滑轮 的效率不应低于 90％，并、串滑轮的效率 不应低于 75％</w:t>
            </w:r>
          </w:p>
        </w:tc>
        <w:tc>
          <w:tcPr>
            <w:tcW w:w="787" w:type="dxa"/>
            <w:noWrap w:val="0"/>
            <w:vAlign w:val="center"/>
          </w:tcPr>
          <w:p w14:paraId="5554CEC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55DE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9E89177">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124</w:t>
            </w:r>
          </w:p>
        </w:tc>
        <w:tc>
          <w:tcPr>
            <w:tcW w:w="882" w:type="dxa"/>
            <w:gridSpan w:val="3"/>
            <w:noWrap w:val="0"/>
            <w:vAlign w:val="center"/>
          </w:tcPr>
          <w:p w14:paraId="17DEC7FB">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保温杯</w:t>
            </w:r>
          </w:p>
        </w:tc>
        <w:tc>
          <w:tcPr>
            <w:tcW w:w="690" w:type="dxa"/>
            <w:gridSpan w:val="3"/>
            <w:noWrap w:val="0"/>
            <w:vAlign w:val="center"/>
          </w:tcPr>
          <w:p w14:paraId="7B97D1AC">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5DAFFEFA">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1264F5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能观察到内部结构，易拆解</w:t>
            </w:r>
          </w:p>
        </w:tc>
        <w:tc>
          <w:tcPr>
            <w:tcW w:w="787" w:type="dxa"/>
            <w:noWrap w:val="0"/>
            <w:vAlign w:val="center"/>
          </w:tcPr>
          <w:p w14:paraId="75C2C56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006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A7DF332">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125</w:t>
            </w:r>
          </w:p>
        </w:tc>
        <w:tc>
          <w:tcPr>
            <w:tcW w:w="882" w:type="dxa"/>
            <w:gridSpan w:val="3"/>
            <w:noWrap w:val="0"/>
            <w:vAlign w:val="center"/>
          </w:tcPr>
          <w:p w14:paraId="605F7FB6">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沙漏</w:t>
            </w:r>
          </w:p>
        </w:tc>
        <w:tc>
          <w:tcPr>
            <w:tcW w:w="690" w:type="dxa"/>
            <w:gridSpan w:val="3"/>
            <w:noWrap w:val="0"/>
            <w:vAlign w:val="center"/>
          </w:tcPr>
          <w:p w14:paraId="64098126">
            <w:pPr>
              <w:keepNext w:val="0"/>
              <w:keepLines w:val="0"/>
              <w:pageBreakBefore w:val="0"/>
              <w:widowControl/>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bidi="ar"/>
              </w:rPr>
              <w:t>个</w:t>
            </w:r>
          </w:p>
        </w:tc>
        <w:tc>
          <w:tcPr>
            <w:tcW w:w="572" w:type="dxa"/>
            <w:noWrap w:val="0"/>
            <w:vAlign w:val="center"/>
          </w:tcPr>
          <w:p w14:paraId="12094D0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7D1CD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可自制。 利用细沙、塑料瓶或玻璃瓶实现 计量时间，可计量 1 min、5 min 或者 10 min， 计时误差＜10%</w:t>
            </w:r>
          </w:p>
        </w:tc>
        <w:tc>
          <w:tcPr>
            <w:tcW w:w="787" w:type="dxa"/>
            <w:noWrap w:val="0"/>
            <w:vAlign w:val="center"/>
          </w:tcPr>
          <w:p w14:paraId="391B14E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3E6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44AE33A">
            <w:pPr>
              <w:keepNext w:val="0"/>
              <w:keepLines w:val="0"/>
              <w:pageBreakBefore w:val="0"/>
              <w:widowControl/>
              <w:suppressLineNumbers w:val="0"/>
              <w:kinsoku/>
              <w:wordWrap/>
              <w:overflowPunct/>
              <w:topLinePunct w:val="0"/>
              <w:bidi w:val="0"/>
              <w:adjustRightInd/>
              <w:snapToGrid/>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126</w:t>
            </w:r>
          </w:p>
        </w:tc>
        <w:tc>
          <w:tcPr>
            <w:tcW w:w="882" w:type="dxa"/>
            <w:gridSpan w:val="3"/>
            <w:noWrap w:val="0"/>
            <w:vAlign w:val="center"/>
          </w:tcPr>
          <w:p w14:paraId="2F1B303A">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kern w:val="0"/>
                <w:sz w:val="21"/>
                <w:szCs w:val="21"/>
                <w:lang w:val="en-US" w:eastAsia="zh-CN" w:bidi="ar"/>
              </w:rPr>
              <w:t>光能板互联黑板</w:t>
            </w:r>
          </w:p>
        </w:tc>
        <w:tc>
          <w:tcPr>
            <w:tcW w:w="690" w:type="dxa"/>
            <w:gridSpan w:val="3"/>
            <w:noWrap w:val="0"/>
            <w:vAlign w:val="center"/>
          </w:tcPr>
          <w:p w14:paraId="2B03CCA5">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套</w:t>
            </w:r>
          </w:p>
        </w:tc>
        <w:tc>
          <w:tcPr>
            <w:tcW w:w="572" w:type="dxa"/>
            <w:noWrap w:val="0"/>
            <w:vAlign w:val="center"/>
          </w:tcPr>
          <w:p w14:paraId="245140CF">
            <w:pPr>
              <w:keepNext w:val="0"/>
              <w:keepLines w:val="0"/>
              <w:pageBreakBefore w:val="0"/>
              <w:widowControl/>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1</w:t>
            </w:r>
          </w:p>
        </w:tc>
        <w:tc>
          <w:tcPr>
            <w:tcW w:w="6647" w:type="dxa"/>
            <w:noWrap w:val="0"/>
            <w:vAlign w:val="center"/>
          </w:tcPr>
          <w:p w14:paraId="59630A1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一、硬件要求</w:t>
            </w:r>
          </w:p>
          <w:p w14:paraId="15BE4AF7">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1、触控一体机两侧各放置一块光能黑板。</w:t>
            </w:r>
            <w:r>
              <w:rPr>
                <w:rFonts w:hint="eastAsia" w:ascii="宋体" w:hAnsi="宋体" w:eastAsia="宋体" w:cs="宋体"/>
                <w:strike w:val="0"/>
                <w:color w:val="auto"/>
                <w:sz w:val="21"/>
                <w:szCs w:val="21"/>
              </w:rPr>
              <w:t>1100mm＜单块长度＜1200mm，高度≥1160（高）mm。</w:t>
            </w:r>
          </w:p>
          <w:p w14:paraId="2D045A24">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2</w:t>
            </w:r>
            <w:r>
              <w:rPr>
                <w:rFonts w:hint="eastAsia" w:ascii="宋体" w:hAnsi="宋体" w:eastAsia="宋体" w:cs="宋体"/>
                <w:b w:val="0"/>
                <w:bCs w:val="0"/>
                <w:strike w:val="0"/>
                <w:color w:val="auto"/>
                <w:kern w:val="0"/>
                <w:sz w:val="21"/>
                <w:szCs w:val="21"/>
              </w:rPr>
              <w:t>、无需</w:t>
            </w:r>
            <w:r>
              <w:rPr>
                <w:rFonts w:hint="eastAsia" w:ascii="宋体" w:hAnsi="宋体" w:eastAsia="宋体" w:cs="宋体"/>
                <w:b w:val="0"/>
                <w:bCs w:val="0"/>
                <w:strike w:val="0"/>
                <w:color w:val="auto"/>
                <w:kern w:val="0"/>
                <w:sz w:val="21"/>
                <w:szCs w:val="21"/>
                <w:lang w:val="en-US" w:eastAsia="zh-CN"/>
              </w:rPr>
              <w:t>任何</w:t>
            </w:r>
            <w:r>
              <w:rPr>
                <w:rFonts w:hint="eastAsia" w:ascii="宋体" w:hAnsi="宋体" w:eastAsia="宋体" w:cs="宋体"/>
                <w:b w:val="0"/>
                <w:bCs w:val="0"/>
                <w:strike w:val="0"/>
                <w:color w:val="auto"/>
                <w:kern w:val="0"/>
                <w:sz w:val="21"/>
                <w:szCs w:val="21"/>
              </w:rPr>
              <w:t>耗材，</w:t>
            </w:r>
            <w:r>
              <w:rPr>
                <w:rFonts w:hint="eastAsia" w:ascii="宋体" w:hAnsi="宋体" w:eastAsia="宋体" w:cs="宋体"/>
                <w:b w:val="0"/>
                <w:bCs w:val="0"/>
                <w:strike w:val="0"/>
                <w:color w:val="auto"/>
                <w:kern w:val="0"/>
                <w:sz w:val="21"/>
                <w:szCs w:val="21"/>
                <w:lang w:val="en-US" w:eastAsia="zh-CN"/>
              </w:rPr>
              <w:t>硬度适中的物体</w:t>
            </w:r>
            <w:r>
              <w:rPr>
                <w:rFonts w:hint="eastAsia" w:ascii="宋体" w:hAnsi="宋体" w:eastAsia="宋体" w:cs="宋体"/>
                <w:b w:val="0"/>
                <w:bCs w:val="0"/>
                <w:strike w:val="0"/>
                <w:color w:val="auto"/>
                <w:kern w:val="0"/>
                <w:sz w:val="21"/>
                <w:szCs w:val="21"/>
              </w:rPr>
              <w:t>均可在板面进行书写，</w:t>
            </w:r>
            <w:r>
              <w:rPr>
                <w:rFonts w:hint="eastAsia" w:ascii="宋体" w:hAnsi="宋体" w:eastAsia="宋体" w:cs="宋体"/>
                <w:b w:val="0"/>
                <w:bCs w:val="0"/>
                <w:strike w:val="0"/>
                <w:color w:val="auto"/>
                <w:kern w:val="0"/>
                <w:sz w:val="21"/>
                <w:szCs w:val="21"/>
                <w:lang w:val="en-US" w:eastAsia="zh-CN"/>
              </w:rPr>
              <w:t>杜绝</w:t>
            </w:r>
            <w:r>
              <w:rPr>
                <w:rFonts w:hint="eastAsia" w:ascii="宋体" w:hAnsi="宋体" w:eastAsia="宋体" w:cs="宋体"/>
                <w:b w:val="0"/>
                <w:bCs w:val="0"/>
                <w:strike w:val="0"/>
                <w:color w:val="auto"/>
                <w:kern w:val="0"/>
                <w:sz w:val="21"/>
                <w:szCs w:val="21"/>
              </w:rPr>
              <w:t>粉笔</w:t>
            </w:r>
            <w:r>
              <w:rPr>
                <w:rFonts w:hint="eastAsia" w:ascii="宋体" w:hAnsi="宋体" w:eastAsia="宋体" w:cs="宋体"/>
                <w:b w:val="0"/>
                <w:bCs w:val="0"/>
                <w:strike w:val="0"/>
                <w:color w:val="auto"/>
                <w:kern w:val="0"/>
                <w:sz w:val="21"/>
                <w:szCs w:val="21"/>
                <w:lang w:val="en-US" w:eastAsia="zh-CN"/>
              </w:rPr>
              <w:t>灰</w:t>
            </w:r>
            <w:r>
              <w:rPr>
                <w:rFonts w:hint="eastAsia" w:ascii="宋体" w:hAnsi="宋体" w:eastAsia="宋体" w:cs="宋体"/>
                <w:b w:val="0"/>
                <w:bCs w:val="0"/>
                <w:strike w:val="0"/>
                <w:color w:val="auto"/>
                <w:kern w:val="0"/>
                <w:sz w:val="21"/>
                <w:szCs w:val="21"/>
              </w:rPr>
              <w:t>尘对师生</w:t>
            </w:r>
            <w:r>
              <w:rPr>
                <w:rFonts w:hint="eastAsia" w:ascii="宋体" w:hAnsi="宋体" w:eastAsia="宋体" w:cs="宋体"/>
                <w:b w:val="0"/>
                <w:bCs w:val="0"/>
                <w:strike w:val="0"/>
                <w:color w:val="auto"/>
                <w:kern w:val="0"/>
                <w:sz w:val="21"/>
                <w:szCs w:val="21"/>
                <w:lang w:val="en-US" w:eastAsia="zh-CN"/>
              </w:rPr>
              <w:t>的健康危害</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配有塑料笔，书写时在物理压力的作用下板面显示出清晰绿色的笔迹，高度模拟硬笔书写状态，笔锋效果明显。</w:t>
            </w:r>
            <w:r>
              <w:rPr>
                <w:rFonts w:hint="eastAsia" w:ascii="宋体" w:hAnsi="宋体" w:eastAsia="宋体" w:cs="宋体"/>
                <w:b w:val="0"/>
                <w:bCs w:val="0"/>
                <w:strike w:val="0"/>
                <w:color w:val="auto"/>
                <w:kern w:val="0"/>
                <w:sz w:val="21"/>
                <w:szCs w:val="21"/>
              </w:rPr>
              <w:t>书写压力为2N~3N，可擦次数不低于10万次。</w:t>
            </w:r>
          </w:p>
          <w:p w14:paraId="70D3E073">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3</w:t>
            </w:r>
            <w:r>
              <w:rPr>
                <w:rFonts w:hint="eastAsia" w:ascii="宋体" w:hAnsi="宋体" w:eastAsia="宋体" w:cs="宋体"/>
                <w:b w:val="0"/>
                <w:bCs w:val="0"/>
                <w:strike w:val="0"/>
                <w:color w:val="auto"/>
                <w:kern w:val="0"/>
                <w:sz w:val="21"/>
                <w:szCs w:val="21"/>
              </w:rPr>
              <w:t>、板面无频闪、无背光，上膜不应产生眩光。板书笔迹可视距离40米，可视角度≥150°，对比度≥150:1。光泽度不高于30光泽单位。</w:t>
            </w:r>
          </w:p>
          <w:p w14:paraId="7BF41157">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4</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下边框配有一键清除按键，可一键擦除板面整体板书。</w:t>
            </w:r>
            <w:r>
              <w:rPr>
                <w:rFonts w:hint="eastAsia" w:ascii="宋体" w:hAnsi="宋体" w:eastAsia="宋体" w:cs="宋体"/>
                <w:b w:val="0"/>
                <w:bCs w:val="0"/>
                <w:strike w:val="0"/>
                <w:color w:val="auto"/>
                <w:kern w:val="0"/>
                <w:sz w:val="21"/>
                <w:szCs w:val="21"/>
              </w:rPr>
              <w:t>一键擦除时间不大于1.5秒，擦除应无断点、无死角等，擦除后应无明显残留痕迹。</w:t>
            </w:r>
          </w:p>
          <w:p w14:paraId="5DA993DA">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5</w:t>
            </w:r>
            <w:r>
              <w:rPr>
                <w:rFonts w:hint="eastAsia" w:ascii="宋体" w:hAnsi="宋体" w:eastAsia="宋体" w:cs="宋体"/>
                <w:b w:val="0"/>
                <w:bCs w:val="0"/>
                <w:strike w:val="0"/>
                <w:color w:val="auto"/>
                <w:kern w:val="0"/>
                <w:sz w:val="21"/>
                <w:szCs w:val="21"/>
              </w:rPr>
              <w:t>、为减少老师</w:t>
            </w:r>
            <w:r>
              <w:rPr>
                <w:rFonts w:hint="eastAsia" w:ascii="宋体" w:hAnsi="宋体" w:eastAsia="宋体" w:cs="宋体"/>
                <w:b w:val="0"/>
                <w:bCs w:val="0"/>
                <w:strike w:val="0"/>
                <w:color w:val="auto"/>
                <w:kern w:val="0"/>
                <w:sz w:val="21"/>
                <w:szCs w:val="21"/>
                <w:lang w:val="en-US" w:eastAsia="zh-CN"/>
              </w:rPr>
              <w:t>长时间</w:t>
            </w:r>
            <w:r>
              <w:rPr>
                <w:rFonts w:hint="eastAsia" w:ascii="宋体" w:hAnsi="宋体" w:eastAsia="宋体" w:cs="宋体"/>
                <w:b w:val="0"/>
                <w:bCs w:val="0"/>
                <w:strike w:val="0"/>
                <w:color w:val="auto"/>
                <w:kern w:val="0"/>
                <w:sz w:val="21"/>
                <w:szCs w:val="21"/>
              </w:rPr>
              <w:t>书写疲劳感，板面粗糙度Sa≤0.3um。可使用板擦和手势对板书进行局部擦除，局部擦除时间不大于0.4秒，擦除应无断点、无死角等，擦除后应无明显残留痕迹，非擦除区域不受影响。</w:t>
            </w:r>
          </w:p>
          <w:p w14:paraId="5A991586">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6</w:t>
            </w:r>
            <w:r>
              <w:rPr>
                <w:rFonts w:hint="eastAsia" w:ascii="宋体" w:hAnsi="宋体" w:eastAsia="宋体" w:cs="宋体"/>
                <w:b w:val="0"/>
                <w:bCs w:val="0"/>
                <w:strike w:val="0"/>
                <w:color w:val="auto"/>
                <w:kern w:val="0"/>
                <w:sz w:val="21"/>
                <w:szCs w:val="21"/>
              </w:rPr>
              <w:t>、最大工作电流（瞬间电流）不得超过1000mA。</w:t>
            </w:r>
          </w:p>
          <w:p w14:paraId="3D222E2B">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7</w:t>
            </w:r>
            <w:r>
              <w:rPr>
                <w:rFonts w:hint="eastAsia" w:ascii="宋体" w:hAnsi="宋体" w:eastAsia="宋体" w:cs="宋体"/>
                <w:b w:val="0"/>
                <w:bCs w:val="0"/>
                <w:strike w:val="0"/>
                <w:color w:val="auto"/>
                <w:kern w:val="0"/>
                <w:sz w:val="21"/>
                <w:szCs w:val="21"/>
              </w:rPr>
              <w:t>、黑板表面具有</w:t>
            </w:r>
            <w:r>
              <w:rPr>
                <w:rFonts w:hint="eastAsia" w:ascii="宋体" w:hAnsi="宋体" w:eastAsia="宋体" w:cs="宋体"/>
                <w:b w:val="0"/>
                <w:bCs w:val="0"/>
                <w:strike w:val="0"/>
                <w:color w:val="auto"/>
                <w:kern w:val="0"/>
                <w:sz w:val="21"/>
                <w:szCs w:val="21"/>
                <w:lang w:val="en-US" w:eastAsia="zh-CN"/>
              </w:rPr>
              <w:t>经纬</w:t>
            </w:r>
            <w:r>
              <w:rPr>
                <w:rFonts w:hint="eastAsia" w:ascii="宋体" w:hAnsi="宋体" w:eastAsia="宋体" w:cs="宋体"/>
                <w:b w:val="0"/>
                <w:bCs w:val="0"/>
                <w:strike w:val="0"/>
                <w:color w:val="auto"/>
                <w:kern w:val="0"/>
                <w:sz w:val="21"/>
                <w:szCs w:val="21"/>
              </w:rPr>
              <w:t>暗格，用以提供给师生在书写板书时的直线参照，可避免板书歪斜。黑板表面可吸附磁贴、磁扣等教学工具，便于老师教学使用。</w:t>
            </w:r>
          </w:p>
          <w:p w14:paraId="4E0853C9">
            <w:pPr>
              <w:keepNext w:val="0"/>
              <w:keepLines w:val="0"/>
              <w:pageBreakBefore w:val="0"/>
              <w:kinsoku/>
              <w:wordWrap/>
              <w:overflowPunct/>
              <w:topLinePunct w:val="0"/>
              <w:bidi w:val="0"/>
              <w:spacing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8</w:t>
            </w:r>
            <w:r>
              <w:rPr>
                <w:rFonts w:hint="eastAsia" w:ascii="宋体" w:hAnsi="宋体" w:eastAsia="宋体" w:cs="宋体"/>
                <w:b w:val="0"/>
                <w:bCs w:val="0"/>
                <w:strike w:val="0"/>
                <w:color w:val="auto"/>
                <w:kern w:val="0"/>
                <w:sz w:val="21"/>
                <w:szCs w:val="21"/>
              </w:rPr>
              <w:t>、黑板的功能接口应在产品后侧，安装后正面观察无明显外露</w:t>
            </w:r>
            <w:r>
              <w:rPr>
                <w:rFonts w:hint="eastAsia" w:ascii="宋体" w:hAnsi="宋体" w:eastAsia="宋体" w:cs="宋体"/>
                <w:b w:val="0"/>
                <w:bCs w:val="0"/>
                <w:strike w:val="0"/>
                <w:color w:val="auto"/>
                <w:kern w:val="0"/>
                <w:sz w:val="21"/>
                <w:szCs w:val="21"/>
                <w:lang w:eastAsia="zh-CN"/>
              </w:rPr>
              <w:t>。</w:t>
            </w:r>
            <w:r>
              <w:rPr>
                <w:rFonts w:hint="eastAsia" w:ascii="宋体" w:hAnsi="宋体" w:eastAsia="宋体" w:cs="宋体"/>
                <w:b w:val="0"/>
                <w:bCs w:val="0"/>
                <w:strike w:val="0"/>
                <w:color w:val="auto"/>
                <w:kern w:val="0"/>
                <w:sz w:val="21"/>
                <w:szCs w:val="21"/>
              </w:rPr>
              <w:t>为方便老师使用，应在下方预留接口，用于外接设备。</w:t>
            </w:r>
          </w:p>
          <w:p w14:paraId="644E674A">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b w:val="0"/>
                <w:bCs w:val="0"/>
                <w:strike w:val="0"/>
                <w:color w:val="auto"/>
                <w:kern w:val="0"/>
                <w:sz w:val="21"/>
                <w:szCs w:val="21"/>
                <w:lang w:val="en-US" w:eastAsia="zh-CN"/>
              </w:rPr>
              <w:t>9</w:t>
            </w:r>
            <w:r>
              <w:rPr>
                <w:rFonts w:hint="eastAsia" w:ascii="宋体" w:hAnsi="宋体" w:eastAsia="宋体" w:cs="宋体"/>
                <w:b w:val="0"/>
                <w:bCs w:val="0"/>
                <w:strike w:val="0"/>
                <w:color w:val="auto"/>
                <w:kern w:val="0"/>
                <w:sz w:val="21"/>
                <w:szCs w:val="21"/>
              </w:rPr>
              <w:t>、黑板侧面</w:t>
            </w:r>
            <w:r>
              <w:rPr>
                <w:rFonts w:hint="eastAsia" w:ascii="宋体" w:hAnsi="宋体" w:eastAsia="宋体" w:cs="宋体"/>
                <w:b w:val="0"/>
                <w:bCs w:val="0"/>
                <w:strike w:val="0"/>
                <w:color w:val="auto"/>
                <w:kern w:val="0"/>
                <w:sz w:val="21"/>
                <w:szCs w:val="21"/>
                <w:lang w:val="en-US" w:eastAsia="zh-CN"/>
              </w:rPr>
              <w:t>配有</w:t>
            </w:r>
            <w:r>
              <w:rPr>
                <w:rFonts w:hint="eastAsia" w:ascii="宋体" w:hAnsi="宋体" w:eastAsia="宋体" w:cs="宋体"/>
                <w:b w:val="0"/>
                <w:bCs w:val="0"/>
                <w:strike w:val="0"/>
                <w:color w:val="auto"/>
                <w:kern w:val="0"/>
                <w:sz w:val="21"/>
                <w:szCs w:val="21"/>
              </w:rPr>
              <w:t>侧封板，用于遮挡黑板</w:t>
            </w:r>
            <w:r>
              <w:rPr>
                <w:rFonts w:hint="eastAsia" w:ascii="宋体" w:hAnsi="宋体" w:eastAsia="宋体" w:cs="宋体"/>
                <w:b w:val="0"/>
                <w:bCs w:val="0"/>
                <w:strike w:val="0"/>
                <w:color w:val="auto"/>
                <w:kern w:val="0"/>
                <w:sz w:val="21"/>
                <w:szCs w:val="21"/>
                <w:lang w:val="en-US" w:eastAsia="zh-CN"/>
              </w:rPr>
              <w:t>侧面</w:t>
            </w:r>
            <w:r>
              <w:rPr>
                <w:rFonts w:hint="eastAsia" w:ascii="宋体" w:hAnsi="宋体" w:eastAsia="宋体" w:cs="宋体"/>
                <w:b w:val="0"/>
                <w:bCs w:val="0"/>
                <w:strike w:val="0"/>
                <w:color w:val="auto"/>
                <w:kern w:val="0"/>
                <w:sz w:val="21"/>
                <w:szCs w:val="21"/>
              </w:rPr>
              <w:t>与墙面缝隙，</w:t>
            </w:r>
            <w:r>
              <w:rPr>
                <w:rFonts w:hint="eastAsia" w:ascii="宋体" w:hAnsi="宋体" w:eastAsia="宋体" w:cs="宋体"/>
                <w:b w:val="0"/>
                <w:bCs w:val="0"/>
                <w:strike w:val="0"/>
                <w:color w:val="auto"/>
                <w:kern w:val="0"/>
                <w:sz w:val="21"/>
                <w:szCs w:val="21"/>
                <w:lang w:val="en-US" w:eastAsia="zh-CN"/>
              </w:rPr>
              <w:t>活动安装后</w:t>
            </w:r>
            <w:r>
              <w:rPr>
                <w:rFonts w:hint="eastAsia" w:ascii="宋体" w:hAnsi="宋体" w:eastAsia="宋体" w:cs="宋体"/>
                <w:b w:val="0"/>
                <w:bCs w:val="0"/>
                <w:strike w:val="0"/>
                <w:color w:val="auto"/>
                <w:kern w:val="0"/>
                <w:sz w:val="21"/>
                <w:szCs w:val="21"/>
              </w:rPr>
              <w:t>能</w:t>
            </w:r>
            <w:r>
              <w:rPr>
                <w:rFonts w:hint="eastAsia" w:ascii="宋体" w:hAnsi="宋体" w:eastAsia="宋体" w:cs="宋体"/>
                <w:b w:val="0"/>
                <w:bCs w:val="0"/>
                <w:strike w:val="0"/>
                <w:color w:val="auto"/>
                <w:kern w:val="0"/>
                <w:sz w:val="21"/>
                <w:szCs w:val="21"/>
                <w:lang w:val="en-US" w:eastAsia="zh-CN"/>
              </w:rPr>
              <w:t>调节</w:t>
            </w:r>
            <w:r>
              <w:rPr>
                <w:rFonts w:hint="eastAsia" w:ascii="宋体" w:hAnsi="宋体" w:eastAsia="宋体" w:cs="宋体"/>
                <w:b w:val="0"/>
                <w:bCs w:val="0"/>
                <w:strike w:val="0"/>
                <w:color w:val="auto"/>
                <w:kern w:val="0"/>
                <w:sz w:val="21"/>
                <w:szCs w:val="21"/>
              </w:rPr>
              <w:t>与墙面的闭合距离。</w:t>
            </w:r>
          </w:p>
          <w:p w14:paraId="3C4F85DA">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二、软件要求</w:t>
            </w:r>
          </w:p>
          <w:p w14:paraId="04EAF86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strike w:val="0"/>
                <w:color w:val="auto"/>
                <w:kern w:val="0"/>
                <w:sz w:val="21"/>
                <w:szCs w:val="21"/>
              </w:rPr>
              <w:t>1、在光能黑板上的书写内容可同步显示在触控一体机上。</w:t>
            </w:r>
            <w:r>
              <w:rPr>
                <w:rFonts w:hint="eastAsia" w:ascii="宋体" w:hAnsi="宋体" w:eastAsia="宋体" w:cs="宋体"/>
                <w:strike w:val="0"/>
                <w:color w:val="auto"/>
                <w:kern w:val="0"/>
                <w:sz w:val="21"/>
                <w:szCs w:val="21"/>
                <w:lang w:val="en-US" w:eastAsia="zh-CN"/>
              </w:rPr>
              <w:t>同步显示时可</w:t>
            </w:r>
            <w:r>
              <w:rPr>
                <w:rFonts w:hint="eastAsia" w:ascii="宋体" w:hAnsi="宋体" w:eastAsia="宋体" w:cs="宋体"/>
                <w:strike w:val="0"/>
                <w:color w:val="auto"/>
                <w:kern w:val="0"/>
                <w:sz w:val="21"/>
                <w:szCs w:val="21"/>
              </w:rPr>
              <w:t>设置</w:t>
            </w:r>
            <w:r>
              <w:rPr>
                <w:rFonts w:hint="eastAsia" w:ascii="宋体" w:hAnsi="宋体" w:eastAsia="宋体" w:cs="宋体"/>
                <w:strike w:val="0"/>
                <w:color w:val="auto"/>
                <w:kern w:val="0"/>
                <w:sz w:val="21"/>
                <w:szCs w:val="21"/>
                <w:lang w:val="en-US" w:eastAsia="zh-CN"/>
              </w:rPr>
              <w:t>10种</w:t>
            </w:r>
            <w:r>
              <w:rPr>
                <w:rFonts w:hint="eastAsia" w:ascii="宋体" w:hAnsi="宋体" w:eastAsia="宋体" w:cs="宋体"/>
                <w:strike w:val="0"/>
                <w:color w:val="auto"/>
                <w:kern w:val="0"/>
                <w:sz w:val="21"/>
                <w:szCs w:val="21"/>
              </w:rPr>
              <w:t>不同的笔迹颜色，实现老师对于教学重点的标识及批注</w:t>
            </w:r>
            <w:r>
              <w:rPr>
                <w:rFonts w:hint="eastAsia" w:ascii="宋体" w:hAnsi="宋体" w:eastAsia="宋体" w:cs="宋体"/>
                <w:strike w:val="0"/>
                <w:color w:val="auto"/>
                <w:kern w:val="0"/>
                <w:sz w:val="21"/>
                <w:szCs w:val="21"/>
                <w:lang w:eastAsia="zh-CN"/>
              </w:rPr>
              <w:t>。</w:t>
            </w:r>
          </w:p>
          <w:p w14:paraId="51C92F39">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2、为便于老师记忆和操作，板书界面与电脑桌面/PPT课件之间，可以</w:t>
            </w:r>
            <w:r>
              <w:rPr>
                <w:rFonts w:hint="eastAsia" w:ascii="宋体" w:hAnsi="宋体" w:eastAsia="宋体" w:cs="宋体"/>
                <w:strike w:val="0"/>
                <w:color w:val="auto"/>
                <w:kern w:val="0"/>
                <w:sz w:val="21"/>
                <w:szCs w:val="21"/>
                <w:lang w:val="en-US" w:eastAsia="zh-CN"/>
              </w:rPr>
              <w:t>一键</w:t>
            </w:r>
            <w:r>
              <w:rPr>
                <w:rFonts w:hint="eastAsia" w:ascii="宋体" w:hAnsi="宋体" w:eastAsia="宋体" w:cs="宋体"/>
                <w:strike w:val="0"/>
                <w:color w:val="auto"/>
                <w:kern w:val="0"/>
                <w:sz w:val="21"/>
                <w:szCs w:val="21"/>
              </w:rPr>
              <w:t>来回切换，方便快捷。</w:t>
            </w:r>
          </w:p>
          <w:p w14:paraId="76021F1B">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3、光能黑板具有两种书写记录模式，支持单板书写时，单页面显示（此时只有一块黑板界面），也可以支持多板同时书写时，多页面同时显示；可以通过触摸快捷键，快速切换。</w:t>
            </w:r>
          </w:p>
          <w:p w14:paraId="1631870F">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4</w:t>
            </w:r>
            <w:r>
              <w:rPr>
                <w:rFonts w:hint="eastAsia" w:ascii="宋体" w:hAnsi="宋体" w:eastAsia="宋体" w:cs="宋体"/>
                <w:strike w:val="0"/>
                <w:color w:val="auto"/>
                <w:kern w:val="0"/>
                <w:sz w:val="21"/>
                <w:szCs w:val="21"/>
              </w:rPr>
              <w:t>、保存后的板书可以上下翻页，也可以通过触摸快捷键，快速预览所有已经存储的板书内容。</w:t>
            </w:r>
          </w:p>
          <w:p w14:paraId="28AEBF32">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5</w:t>
            </w:r>
            <w:r>
              <w:rPr>
                <w:rFonts w:hint="eastAsia" w:ascii="宋体" w:hAnsi="宋体" w:eastAsia="宋体" w:cs="宋体"/>
                <w:strike w:val="0"/>
                <w:color w:val="auto"/>
                <w:kern w:val="0"/>
                <w:sz w:val="21"/>
                <w:szCs w:val="21"/>
              </w:rPr>
              <w:t>、板书电子文档</w:t>
            </w:r>
            <w:r>
              <w:rPr>
                <w:rFonts w:hint="eastAsia" w:ascii="宋体" w:hAnsi="宋体" w:eastAsia="宋体" w:cs="宋体"/>
                <w:strike w:val="0"/>
                <w:color w:val="auto"/>
                <w:kern w:val="0"/>
                <w:sz w:val="21"/>
                <w:szCs w:val="21"/>
                <w:lang w:val="en-US" w:eastAsia="zh-CN"/>
              </w:rPr>
              <w:t>可</w:t>
            </w:r>
            <w:r>
              <w:rPr>
                <w:rFonts w:hint="eastAsia" w:ascii="宋体" w:hAnsi="宋体" w:eastAsia="宋体" w:cs="宋体"/>
                <w:strike w:val="0"/>
                <w:color w:val="auto"/>
                <w:kern w:val="0"/>
                <w:sz w:val="21"/>
                <w:szCs w:val="21"/>
              </w:rPr>
              <w:t>进行分享，可以存储在本地PC端，同时生成二维码，便于师生扫码获取。</w:t>
            </w:r>
          </w:p>
          <w:p w14:paraId="4C9E6800">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6</w:t>
            </w:r>
            <w:r>
              <w:rPr>
                <w:rFonts w:hint="eastAsia" w:ascii="宋体" w:hAnsi="宋体" w:eastAsia="宋体" w:cs="宋体"/>
                <w:strike w:val="0"/>
                <w:color w:val="auto"/>
                <w:kern w:val="0"/>
                <w:sz w:val="21"/>
                <w:szCs w:val="21"/>
              </w:rPr>
              <w:t>、可以对课堂的板书和讲解进行录制，生成视频文档，利于学生课后复习回放。</w:t>
            </w:r>
          </w:p>
          <w:p w14:paraId="12B96181">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7</w:t>
            </w:r>
            <w:r>
              <w:rPr>
                <w:rFonts w:hint="eastAsia" w:ascii="宋体" w:hAnsi="宋体" w:eastAsia="宋体" w:cs="宋体"/>
                <w:strike w:val="0"/>
                <w:color w:val="auto"/>
                <w:kern w:val="0"/>
                <w:sz w:val="21"/>
                <w:szCs w:val="21"/>
              </w:rPr>
              <w:t>、支持导入PPT课件，可以在同传软件上同时显示出PPT课件和板书的记录文本。</w:t>
            </w:r>
          </w:p>
          <w:p w14:paraId="080E0D7C">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8</w:t>
            </w:r>
            <w:r>
              <w:rPr>
                <w:rFonts w:hint="eastAsia" w:ascii="宋体" w:hAnsi="宋体" w:eastAsia="宋体" w:cs="宋体"/>
                <w:strike w:val="0"/>
                <w:color w:val="auto"/>
                <w:kern w:val="0"/>
                <w:sz w:val="21"/>
                <w:szCs w:val="21"/>
              </w:rPr>
              <w:t>、具备打印功能，可连接打印机将保存的板书文档传输至打印机打印，方便灵活。</w:t>
            </w:r>
          </w:p>
          <w:p w14:paraId="1B72C5CE">
            <w:pPr>
              <w:keepNext w:val="0"/>
              <w:keepLines w:val="0"/>
              <w:pageBreakBefore w:val="0"/>
              <w:kinsoku/>
              <w:wordWrap/>
              <w:overflowPunct/>
              <w:topLinePunct w:val="0"/>
              <w:bidi w:val="0"/>
              <w:spacing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三、其他要求</w:t>
            </w:r>
          </w:p>
          <w:p w14:paraId="62D3D4E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cs="宋体"/>
                <w:strike w:val="0"/>
                <w:color w:val="auto"/>
                <w:kern w:val="0"/>
                <w:sz w:val="21"/>
                <w:szCs w:val="21"/>
                <w:lang w:val="en-US" w:eastAsia="zh-CN"/>
              </w:rPr>
              <w:t>1</w:t>
            </w:r>
            <w:r>
              <w:rPr>
                <w:rFonts w:hint="eastAsia" w:ascii="宋体" w:hAnsi="宋体" w:eastAsia="宋体" w:cs="宋体"/>
                <w:strike w:val="0"/>
                <w:color w:val="auto"/>
                <w:kern w:val="0"/>
                <w:sz w:val="21"/>
                <w:szCs w:val="21"/>
                <w:lang w:val="en-US" w:eastAsia="zh-CN"/>
              </w:rPr>
              <w:t>.</w:t>
            </w:r>
            <w:r>
              <w:rPr>
                <w:rFonts w:hint="eastAsia" w:ascii="宋体" w:hAnsi="宋体" w:eastAsia="宋体" w:cs="宋体"/>
                <w:strike w:val="0"/>
                <w:color w:val="auto"/>
                <w:sz w:val="21"/>
                <w:szCs w:val="21"/>
              </w:rPr>
              <w:t>所销售</w:t>
            </w:r>
            <w:r>
              <w:rPr>
                <w:rFonts w:hint="eastAsia" w:ascii="宋体" w:hAnsi="宋体" w:eastAsia="宋体" w:cs="宋体"/>
                <w:strike w:val="0"/>
                <w:color w:val="auto"/>
                <w:sz w:val="21"/>
                <w:szCs w:val="21"/>
                <w:lang w:val="en-US" w:eastAsia="zh-CN"/>
              </w:rPr>
              <w:t>产品</w:t>
            </w:r>
            <w:r>
              <w:rPr>
                <w:rFonts w:hint="eastAsia" w:ascii="宋体" w:hAnsi="宋体" w:eastAsia="宋体" w:cs="宋体"/>
                <w:strike w:val="0"/>
                <w:color w:val="auto"/>
                <w:sz w:val="21"/>
                <w:szCs w:val="21"/>
              </w:rPr>
              <w:t>应有知识产权或经权利人合法授权，保证没有侵犯</w:t>
            </w:r>
            <w:r>
              <w:rPr>
                <w:rFonts w:hint="eastAsia" w:ascii="宋体" w:hAnsi="宋体" w:eastAsia="宋体" w:cs="宋体"/>
                <w:strike w:val="0"/>
                <w:color w:val="auto"/>
                <w:sz w:val="21"/>
                <w:szCs w:val="21"/>
                <w:lang w:val="en-US" w:eastAsia="zh-CN"/>
              </w:rPr>
              <w:t>第三方</w:t>
            </w:r>
          </w:p>
          <w:p w14:paraId="4CEA4FB7">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strike w:val="0"/>
                <w:color w:val="auto"/>
                <w:sz w:val="21"/>
                <w:szCs w:val="21"/>
              </w:rPr>
              <w:t>知识产权等权利。构成侵权的，</w:t>
            </w:r>
            <w:r>
              <w:rPr>
                <w:rFonts w:hint="eastAsia" w:ascii="宋体" w:hAnsi="宋体" w:eastAsia="宋体" w:cs="宋体"/>
                <w:strike w:val="0"/>
                <w:color w:val="auto"/>
                <w:sz w:val="21"/>
                <w:szCs w:val="21"/>
                <w:lang w:val="en-US" w:eastAsia="zh-CN"/>
              </w:rPr>
              <w:t>供货方需</w:t>
            </w:r>
            <w:r>
              <w:rPr>
                <w:rFonts w:hint="eastAsia" w:ascii="宋体" w:hAnsi="宋体" w:eastAsia="宋体" w:cs="宋体"/>
                <w:strike w:val="0"/>
                <w:color w:val="auto"/>
                <w:sz w:val="21"/>
                <w:szCs w:val="21"/>
              </w:rPr>
              <w:t>承担法律责任</w:t>
            </w:r>
            <w:r>
              <w:rPr>
                <w:rFonts w:hint="eastAsia" w:ascii="宋体" w:hAnsi="宋体" w:eastAsia="宋体" w:cs="宋体"/>
                <w:strike w:val="0"/>
                <w:color w:val="auto"/>
                <w:sz w:val="21"/>
                <w:szCs w:val="21"/>
                <w:lang w:eastAsia="zh-CN"/>
              </w:rPr>
              <w:t>。</w:t>
            </w:r>
          </w:p>
        </w:tc>
        <w:tc>
          <w:tcPr>
            <w:tcW w:w="787" w:type="dxa"/>
            <w:noWrap w:val="0"/>
            <w:vAlign w:val="center"/>
          </w:tcPr>
          <w:p w14:paraId="59079DA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p>
        </w:tc>
      </w:tr>
      <w:tr w14:paraId="742A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09747CD3">
            <w:pPr>
              <w:keepNext w:val="0"/>
              <w:keepLines w:val="0"/>
              <w:pageBreakBefore w:val="0"/>
              <w:widowControl w:val="0"/>
              <w:kinsoku/>
              <w:wordWrap/>
              <w:overflowPunct/>
              <w:topLinePunct w:val="0"/>
              <w:bidi w:val="0"/>
              <w:snapToGrid/>
              <w:spacing w:line="440" w:lineRule="exact"/>
              <w:ind w:firstLine="0" w:firstLineChars="0"/>
              <w:textAlignment w:val="auto"/>
              <w:rPr>
                <w:rFonts w:hint="eastAsia" w:ascii="宋体" w:hAnsi="宋体" w:eastAsia="宋体" w:cs="宋体"/>
                <w:strike w:val="0"/>
                <w:color w:val="auto"/>
                <w:sz w:val="21"/>
                <w:szCs w:val="21"/>
                <w:vertAlign w:val="baseline"/>
                <w:lang w:eastAsia="zh-CN"/>
              </w:rPr>
            </w:pPr>
            <w:r>
              <w:rPr>
                <w:rFonts w:hint="eastAsia" w:ascii="宋体" w:hAnsi="宋体" w:eastAsia="宋体" w:cs="宋体"/>
                <w:b/>
                <w:bCs/>
                <w:strike w:val="0"/>
                <w:color w:val="auto"/>
                <w:sz w:val="21"/>
                <w:szCs w:val="21"/>
                <w:vertAlign w:val="baseline"/>
                <w:lang w:eastAsia="zh-CN"/>
              </w:rPr>
              <w:t>十二、心理健康设备</w:t>
            </w:r>
          </w:p>
        </w:tc>
      </w:tr>
      <w:tr w14:paraId="7035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1503400">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序号</w:t>
            </w:r>
          </w:p>
        </w:tc>
        <w:tc>
          <w:tcPr>
            <w:tcW w:w="887" w:type="dxa"/>
            <w:gridSpan w:val="4"/>
            <w:noWrap w:val="0"/>
            <w:vAlign w:val="center"/>
          </w:tcPr>
          <w:p w14:paraId="018D9CCF">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sz w:val="21"/>
                <w:szCs w:val="21"/>
                <w:vertAlign w:val="baseline"/>
                <w:lang w:val="en-US" w:eastAsia="zh-CN" w:bidi="ar-SA"/>
              </w:rPr>
            </w:pPr>
            <w:r>
              <w:rPr>
                <w:rFonts w:hint="eastAsia" w:ascii="宋体" w:hAnsi="宋体" w:eastAsia="宋体" w:cs="宋体"/>
                <w:b w:val="0"/>
                <w:bCs/>
                <w:strike w:val="0"/>
                <w:color w:val="auto"/>
                <w:kern w:val="0"/>
                <w:sz w:val="21"/>
                <w:szCs w:val="21"/>
                <w:lang w:val="en-US" w:eastAsia="zh-CN" w:bidi="ar"/>
              </w:rPr>
              <w:t>货物名称</w:t>
            </w:r>
          </w:p>
        </w:tc>
        <w:tc>
          <w:tcPr>
            <w:tcW w:w="620" w:type="dxa"/>
            <w:noWrap w:val="0"/>
            <w:vAlign w:val="center"/>
          </w:tcPr>
          <w:p w14:paraId="69D0E42E">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单位</w:t>
            </w:r>
          </w:p>
        </w:tc>
        <w:tc>
          <w:tcPr>
            <w:tcW w:w="637" w:type="dxa"/>
            <w:gridSpan w:val="2"/>
            <w:noWrap w:val="0"/>
            <w:vAlign w:val="center"/>
          </w:tcPr>
          <w:p w14:paraId="1E6D42AC">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数量</w:t>
            </w:r>
          </w:p>
        </w:tc>
        <w:tc>
          <w:tcPr>
            <w:tcW w:w="6647" w:type="dxa"/>
            <w:noWrap w:val="0"/>
            <w:vAlign w:val="center"/>
          </w:tcPr>
          <w:p w14:paraId="2BAD5488">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技术参数、规格及要求</w:t>
            </w:r>
          </w:p>
        </w:tc>
        <w:tc>
          <w:tcPr>
            <w:tcW w:w="787" w:type="dxa"/>
            <w:noWrap w:val="0"/>
            <w:vAlign w:val="center"/>
          </w:tcPr>
          <w:p w14:paraId="6410AC67">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0" w:firstLineChars="0"/>
              <w:jc w:val="center"/>
              <w:textAlignment w:val="auto"/>
              <w:rPr>
                <w:rFonts w:hint="eastAsia" w:ascii="宋体" w:hAnsi="宋体" w:eastAsia="宋体" w:cs="宋体"/>
                <w:b w:val="0"/>
                <w:bCs/>
                <w:strike w:val="0"/>
                <w:color w:val="auto"/>
                <w:kern w:val="0"/>
                <w:sz w:val="21"/>
                <w:szCs w:val="21"/>
                <w:lang w:val="en-US" w:eastAsia="zh-CN" w:bidi="ar"/>
              </w:rPr>
            </w:pPr>
            <w:r>
              <w:rPr>
                <w:rFonts w:hint="eastAsia" w:ascii="宋体" w:hAnsi="宋体" w:eastAsia="宋体" w:cs="宋体"/>
                <w:b w:val="0"/>
                <w:bCs/>
                <w:strike w:val="0"/>
                <w:color w:val="auto"/>
                <w:kern w:val="0"/>
                <w:sz w:val="21"/>
                <w:szCs w:val="21"/>
                <w:lang w:val="en-US" w:eastAsia="zh-CN" w:bidi="ar"/>
              </w:rPr>
              <w:t>备注</w:t>
            </w:r>
          </w:p>
        </w:tc>
      </w:tr>
      <w:tr w14:paraId="68AA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48BCF2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w:t>
            </w:r>
          </w:p>
        </w:tc>
        <w:tc>
          <w:tcPr>
            <w:tcW w:w="887" w:type="dxa"/>
            <w:gridSpan w:val="4"/>
            <w:noWrap w:val="0"/>
            <w:vAlign w:val="center"/>
          </w:tcPr>
          <w:p w14:paraId="32FFB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办公桌椅</w:t>
            </w:r>
          </w:p>
        </w:tc>
        <w:tc>
          <w:tcPr>
            <w:tcW w:w="620" w:type="dxa"/>
            <w:noWrap w:val="0"/>
            <w:vAlign w:val="center"/>
          </w:tcPr>
          <w:p w14:paraId="77874A7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张</w:t>
            </w:r>
          </w:p>
        </w:tc>
        <w:tc>
          <w:tcPr>
            <w:tcW w:w="637" w:type="dxa"/>
            <w:gridSpan w:val="2"/>
            <w:noWrap w:val="0"/>
            <w:vAlign w:val="center"/>
          </w:tcPr>
          <w:p w14:paraId="72419EB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9E35D8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办公桌椅为简约现代风格，材质采用厚度为25mm环保板材，面板具有树脂保护膜，耐摩擦不褪色。办公桌规格：1200mm*600mm*750mm。配套</w:t>
            </w:r>
          </w:p>
          <w:p w14:paraId="2EBF2FF4">
            <w:pPr>
              <w:keepNext w:val="0"/>
              <w:keepLines w:val="0"/>
              <w:pageBreakBefore w:val="0"/>
              <w:widowControl/>
              <w:suppressLineNumbers w:val="0"/>
              <w:kinsoku/>
              <w:wordWrap/>
              <w:overflowPunct/>
              <w:topLinePunct w:val="0"/>
              <w:bidi w:val="0"/>
              <w:spacing w:line="440" w:lineRule="exact"/>
              <w:ind w:firstLine="0" w:firstLineChars="0"/>
              <w:jc w:val="both"/>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人体工学网面办公椅1把，舒适柔软，回弹性好。</w:t>
            </w:r>
          </w:p>
        </w:tc>
        <w:tc>
          <w:tcPr>
            <w:tcW w:w="787" w:type="dxa"/>
            <w:noWrap w:val="0"/>
            <w:vAlign w:val="center"/>
          </w:tcPr>
          <w:p w14:paraId="4B0E40C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18C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858FB5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w:t>
            </w:r>
          </w:p>
        </w:tc>
        <w:tc>
          <w:tcPr>
            <w:tcW w:w="887" w:type="dxa"/>
            <w:gridSpan w:val="4"/>
            <w:noWrap w:val="0"/>
            <w:vAlign w:val="center"/>
          </w:tcPr>
          <w:p w14:paraId="4147CA2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心理健康自助仪</w:t>
            </w:r>
          </w:p>
        </w:tc>
        <w:tc>
          <w:tcPr>
            <w:tcW w:w="620" w:type="dxa"/>
            <w:noWrap w:val="0"/>
            <w:vAlign w:val="center"/>
          </w:tcPr>
          <w:p w14:paraId="41D0D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63265423">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36F3E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基于Tomcat+JSP+MYSQL响应式架构，支持互联网上、局域网、单机使用，运行于局域网或互联网,支持远程管理；通过嵌入Unity3D语言，用户可以轻松创建诸如三维视频游戏、建筑可视化、实时三维动画等类型互动内容的多平台的综合型场景，是一个全面整合的专业心理认知训练引擎。</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系统整体包含但不限于心理科普、心理悦读、心理图库、心语心声、心理影视、机构介绍、心理FM、心理测评、能力训练、咨询辅导、放松减压不少于10大模块，各模块下支持无限添加二级栏目，文章无限扩充，支持视频，文章、图片、音频等格式上传。</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3、咨询辅导：包含咨询辅导、自助方案，咨询预约等功能，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４、经典案例包含情绪调节、人际交往、学习问题、自我认识等4个方面；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５、自助方案提供相应的自助式解答方案；咨询预约可查看心理咨询师的基本资料和个人简介，可预约心理咨询师，并描述个人想咨询的问题和联系方式，管理员可根据用户预约信息进行及时回复或者预约面谈咨询，并支持通过手机扫码实时对接心理综合测评管理系统的在线预约咨询。</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信息加工训练：其中包含汽车加工制造厂、快速邮递、速度匹配；信息加工训练是人体在环境内有效利用自身的感官，从外界获得不同的感觉信息输入大脑，大脑对输入信息进行加工处理并作出适应性反应的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空间认知训练：其中包含心理旋转、兔子吃萝卜、折叠箱、水吧服务生；空间构成中的形态认知与训练,揭示了立体形态的审美原理、构造原理,能帮助来访者建立抽象思维能力、创造性思维能力、空间思维能力。形态认知与训练,是掌握空间设计的美的规律与法则的重要手段。</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记忆力训练：前瞻记忆、寻找黑桃A、桌球记忆、藏宝阁、餐厅、看我72变、情绪记忆；记忆是学习的重要环节，是巩固知识的重要手段。科学记忆，有利于提高学习效率，有利于加速知识积累。因此，要提高学习效率，加速知识积累，就要学会科学地记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情绪调节训练：迁徒鸟、情绪消消乐；情绪调节能力形成的心理序列变化的历程与规律是遵循感知、觉察、理解、缺失感、对比、判断、探索、洞悉情境、领悟过程、熟练掌握策略、习得相关方法、内化吸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注意力训练：其中有舒尔特方格、快乐跳舞毯、抓鲨鱼、小放牛；注意力及视觉反应训练，注意力及运动反应训练，注意力集中训练。可以简单测量注意力水平和是否有注意力方面的困扰，评估注意力的各种细节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认知能力训练：猫抓老鼠、趣味图形、究极速算；认知能力训练是通过丰富多彩的游戏，训练了来访者成长中必须具备的最基本的能力：判断能力、语言能力、注意力、思维能力、组合能力、想像能力、认知能力和认识数、形能力；有趣的画面，鲜艳的色彩，生动活泼的文字描述，特别能激发来访者的好奇心和求知欲，使来访者潜在智能得到最深度的开发和训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12、能力训练包含：信息加工训练、空间认知训练、记忆力训练、情绪调节训练、放松协调训练、注意力训练、认知能力训练等，总数量不少于20个。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13、支持远程管理，支持二级栏目定义及任意扩充，支持视频文件上传，视频文件播放方式可全屏缩放，音量可自由调节，支持上传图片文件，支持数据文件单独管理，支持制作任意分辨率的查询软件。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14、心理科普：不少于60位著名心理学家的介绍、30个心理学专业名词解释、170个心理学效应简介、35个著名心理学实验介绍。</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15、心理阅读：不少于心理学人际交往8部、心理故事130部、励志美文10部、情绪调节10部、经典书籍800部、自我成长10部。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16、心理图库：不少于家庭教育类15部、情感交往类15部、社会公德类100部、认知提升类25部、似动图片35部、多视图片50部、双关图片25部、错觉图片25部、不可能图20部、视觉后像15部、心理趣图20部、其他类，总量不少于10类。</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17、心理影视：不少于9部心理学经典电影赏析、36部国内外名师课程视频、29部心理学科普知识视频。</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18、专业测试：支持能量、焦虑、人格、性格等心理测评量表进行自测。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19、趣味测试：支持性格测试、社交测试、智商测试、健康测试、其他测试，不少于六类趣味测试，总数量不少于150个。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20、心语心声：支持山林音乐、沉思音乐、放松音乐、灵感音乐、α波音乐、情境音乐、清晰音乐、冥想音乐及其他音乐，总量不少于200首。</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21、放松减压：支持真人演示放松教学视频，包含肌肉紧张放松、普通渐进式放松、呼吸放松、意想放松等四项放松训练。</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22、安全加密：系统在传输和保存数据过程中采用了MD5加密以及RES加密方式，配套加密狗。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23、单位简介：支持定制版，根据用户提供的资料设置用户单位简介。</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1、一级冷轧钢板，喷塑工艺，尺寸  ≥990mm×530mm×1200mm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2、内嵌触摸终端1台：显示尺寸≥32英寸，分辨率≥1920(H)×1080（V），触摸类型≥10点触摸，处理器≥i5，内存≥8G，固态硬盘≥250G。</w:t>
            </w:r>
          </w:p>
        </w:tc>
        <w:tc>
          <w:tcPr>
            <w:tcW w:w="787" w:type="dxa"/>
            <w:noWrap w:val="0"/>
            <w:vAlign w:val="center"/>
          </w:tcPr>
          <w:p w14:paraId="29FE235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01E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FC8812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3</w:t>
            </w:r>
          </w:p>
        </w:tc>
        <w:tc>
          <w:tcPr>
            <w:tcW w:w="882" w:type="dxa"/>
            <w:gridSpan w:val="3"/>
            <w:noWrap w:val="0"/>
            <w:vAlign w:val="center"/>
          </w:tcPr>
          <w:p w14:paraId="386022C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无声挂钟</w:t>
            </w:r>
          </w:p>
        </w:tc>
        <w:tc>
          <w:tcPr>
            <w:tcW w:w="625" w:type="dxa"/>
            <w:gridSpan w:val="2"/>
            <w:noWrap w:val="0"/>
            <w:vAlign w:val="center"/>
          </w:tcPr>
          <w:p w14:paraId="18EDEFF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个</w:t>
            </w:r>
          </w:p>
        </w:tc>
        <w:tc>
          <w:tcPr>
            <w:tcW w:w="637" w:type="dxa"/>
            <w:gridSpan w:val="2"/>
            <w:noWrap w:val="0"/>
            <w:vAlign w:val="center"/>
          </w:tcPr>
          <w:p w14:paraId="39776B5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C4E93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控制咨询时间，尺寸: ≥12英寸；机芯：静音机芯；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材质：金属、玻璃</w:t>
            </w:r>
          </w:p>
        </w:tc>
        <w:tc>
          <w:tcPr>
            <w:tcW w:w="787" w:type="dxa"/>
            <w:noWrap w:val="0"/>
            <w:vAlign w:val="center"/>
          </w:tcPr>
          <w:p w14:paraId="0002068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C0D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08B3BC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4</w:t>
            </w:r>
          </w:p>
        </w:tc>
        <w:tc>
          <w:tcPr>
            <w:tcW w:w="882" w:type="dxa"/>
            <w:gridSpan w:val="3"/>
            <w:noWrap w:val="0"/>
            <w:vAlign w:val="center"/>
          </w:tcPr>
          <w:p w14:paraId="3641E4F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心理教辅工具</w:t>
            </w:r>
          </w:p>
        </w:tc>
        <w:tc>
          <w:tcPr>
            <w:tcW w:w="625" w:type="dxa"/>
            <w:gridSpan w:val="2"/>
            <w:noWrap w:val="0"/>
            <w:vAlign w:val="center"/>
          </w:tcPr>
          <w:p w14:paraId="1E7A174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2BA278E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50</w:t>
            </w:r>
          </w:p>
        </w:tc>
        <w:tc>
          <w:tcPr>
            <w:tcW w:w="6647" w:type="dxa"/>
            <w:noWrap w:val="0"/>
            <w:vAlign w:val="center"/>
          </w:tcPr>
          <w:p w14:paraId="15390C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分为基础类、健康教育类、科普类、心理咨询类等，适合于来访者使用的心理学、教育学工具；适合于心理教师使用的比较专业的心理学、教育学工具；适合于一般教师使用的通俗的心理学、教育学工具等;</w:t>
            </w:r>
          </w:p>
        </w:tc>
        <w:tc>
          <w:tcPr>
            <w:tcW w:w="787" w:type="dxa"/>
            <w:noWrap w:val="0"/>
            <w:vAlign w:val="center"/>
          </w:tcPr>
          <w:p w14:paraId="3F1FFAF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lang w:val="en-US"/>
              </w:rPr>
            </w:pPr>
          </w:p>
        </w:tc>
      </w:tr>
      <w:tr w14:paraId="0736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505CB1D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5</w:t>
            </w:r>
          </w:p>
        </w:tc>
        <w:tc>
          <w:tcPr>
            <w:tcW w:w="882" w:type="dxa"/>
            <w:gridSpan w:val="3"/>
            <w:noWrap w:val="0"/>
            <w:vAlign w:val="center"/>
          </w:tcPr>
          <w:p w14:paraId="53A024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定制心理图片</w:t>
            </w:r>
          </w:p>
        </w:tc>
        <w:tc>
          <w:tcPr>
            <w:tcW w:w="625" w:type="dxa"/>
            <w:gridSpan w:val="2"/>
            <w:noWrap w:val="0"/>
            <w:vAlign w:val="center"/>
          </w:tcPr>
          <w:p w14:paraId="6CC0166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0187964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w:t>
            </w:r>
          </w:p>
        </w:tc>
        <w:tc>
          <w:tcPr>
            <w:tcW w:w="6647" w:type="dxa"/>
            <w:noWrap w:val="0"/>
            <w:vAlign w:val="center"/>
          </w:tcPr>
          <w:p w14:paraId="1E059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1.含心理咨询室功能，渲染氛围，缓解紧张情绪，包含不可能图、两歧图等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2.材质：实木边框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3.尺寸：40cm*50cm</w:t>
            </w:r>
          </w:p>
        </w:tc>
        <w:tc>
          <w:tcPr>
            <w:tcW w:w="787" w:type="dxa"/>
            <w:noWrap w:val="0"/>
            <w:vAlign w:val="center"/>
          </w:tcPr>
          <w:p w14:paraId="212F5DC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3F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88796E2">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6</w:t>
            </w:r>
          </w:p>
        </w:tc>
        <w:tc>
          <w:tcPr>
            <w:tcW w:w="882" w:type="dxa"/>
            <w:gridSpan w:val="3"/>
            <w:noWrap w:val="0"/>
            <w:vAlign w:val="center"/>
          </w:tcPr>
          <w:p w14:paraId="077F706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沙发+茶几</w:t>
            </w:r>
          </w:p>
        </w:tc>
        <w:tc>
          <w:tcPr>
            <w:tcW w:w="625" w:type="dxa"/>
            <w:gridSpan w:val="2"/>
            <w:noWrap w:val="0"/>
            <w:vAlign w:val="center"/>
          </w:tcPr>
          <w:p w14:paraId="5951339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17FEC8B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6DDC66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2个单人位，实木框架。布艺沙发，实木框架，采用海绵填充。茶几：圆形玻璃茶几或者木质茶几。</w:t>
            </w:r>
          </w:p>
        </w:tc>
        <w:tc>
          <w:tcPr>
            <w:tcW w:w="787" w:type="dxa"/>
            <w:noWrap w:val="0"/>
            <w:vAlign w:val="center"/>
          </w:tcPr>
          <w:p w14:paraId="2BC5139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7A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D391E1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7</w:t>
            </w:r>
          </w:p>
        </w:tc>
        <w:tc>
          <w:tcPr>
            <w:tcW w:w="882" w:type="dxa"/>
            <w:gridSpan w:val="3"/>
            <w:noWrap w:val="0"/>
            <w:vAlign w:val="center"/>
          </w:tcPr>
          <w:p w14:paraId="228D6FB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定制心理图片</w:t>
            </w:r>
          </w:p>
        </w:tc>
        <w:tc>
          <w:tcPr>
            <w:tcW w:w="625" w:type="dxa"/>
            <w:gridSpan w:val="2"/>
            <w:noWrap w:val="0"/>
            <w:vAlign w:val="center"/>
          </w:tcPr>
          <w:p w14:paraId="088470DE">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626267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4F8F6B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1.含心理咨询室功能，渲染氛围，缓解紧张情绪，包含不可能图、两歧图等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2.材质：实木边框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3.尺寸：40cm*50cm</w:t>
            </w:r>
          </w:p>
        </w:tc>
        <w:tc>
          <w:tcPr>
            <w:tcW w:w="787" w:type="dxa"/>
            <w:noWrap w:val="0"/>
            <w:vAlign w:val="center"/>
          </w:tcPr>
          <w:p w14:paraId="39A874A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D6B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4BC8C23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8</w:t>
            </w:r>
          </w:p>
        </w:tc>
        <w:tc>
          <w:tcPr>
            <w:tcW w:w="882" w:type="dxa"/>
            <w:gridSpan w:val="3"/>
            <w:noWrap w:val="0"/>
            <w:vAlign w:val="center"/>
          </w:tcPr>
          <w:p w14:paraId="16A30537">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沙盘综合管理系统</w:t>
            </w:r>
          </w:p>
        </w:tc>
        <w:tc>
          <w:tcPr>
            <w:tcW w:w="625" w:type="dxa"/>
            <w:gridSpan w:val="2"/>
            <w:noWrap w:val="0"/>
            <w:vAlign w:val="center"/>
          </w:tcPr>
          <w:p w14:paraId="20622DB4">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44F18381">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3A98889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标准沙盘：实木材质内侧尺寸为720mm×570mm×70mm，边厚17mm，沙盘架尺寸不小于长660×530×600mm,全实木材质，内侧海蓝色设计，表面光滑不伤手，耐磨不掉色；底部安装防滑处理，在动沙过程中沙箱在桌面不会移动,用于个体和团体治疗的国际标准沙箱，上下分体式安装，便于移动和搬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2、沙具摆放柜：实木材质，尺寸为1600×1200×300mm，5层9阶设计（充分满足不同类别玩具按不同阶层分类摆放，便于来访者清晰地看到全部沙具），结构稳定大方、天然木纹色、外观考究（表面清漆涂层）。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沙具国际标准分类，分大类和次类别。包括人物、动物、植物、建筑物、食品果实、家具生活用品、交通工具、宇宙天体、自然景观、宗教等18大类及若干次类别。通过次类别的划分面向不同群体的应用需求。通过次类别的划分面向不同群体的应用需求。材质为树脂、陶瓷、ABS工程塑料。玩具或物品接近于现实之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4、海沙：天然海沙。</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5、书籍：专业心理沙盘游戏指导</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6、工具：沙盘、刮沙板等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1、标准沙盘*1套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2、沙具摆放柜*2个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3、沙具*1200个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4、海沙*15KG</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5、心理沙盘书籍疗*1本</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6、沙盘教辅工具*1套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沙盘综合管理系统V1.0</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1、换肤功能：页面的颜色、风格对使用者心情有不同程度的影响，设置更换皮肤功能，十二套颜色，用户可随意选择。</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沙具管理：系统实现对沙具的主类别以及次类别的管理、各沙具名称和配图的添加、象征意义的描述分析等；沙具管理实现对沙具的查询与删除，模糊查询条件是主类别、次类别、沙具名称。系统自带沙盘主类别13分类，每个分类提供了相应的沙具模型，包含相应的沙具名称和配图，系统自带沙具模型450个。系统为咨询师开放可自主添加沙具信息的沙具名称和沙具缩略图</w:t>
            </w:r>
            <w:r>
              <w:rPr>
                <w:rFonts w:hint="eastAsia"/>
                <w:strike w:val="0"/>
                <w:color w:val="auto"/>
                <w:lang w:eastAsia="zh-CN"/>
              </w:rPr>
              <w:t>。</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3、行为记录：通过线下访谈面询记录每一位学生的心理健康状态，记录由32条异常表现标签和33条生活事件标签进行记录；行为记录具有标签管理功能。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4、咨询师管理：该模块提供咨询师的个人信息以及咨询师机构下的所有用户信息，提供咨询师对用户的创建、修改功能。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数据管理：完整记录心理沙盘过程、最终结果及分析评估文字，可分别对不同的咨询对象、不同的主题分类建档，实现沙盘结果图片上传、对结果进行说明、保存、修改及查询的功能，还可以把最终数据以word格式导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6、沙盘游戏管理系统平台基于B/S架构，安全性高，稳定性强，既可以在局域网、互联网上使用，也可以单机使用，界面新颖、简洁。用户可以根据需求自主更换登录界面背景图、logo、软件名称。</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7、一键备份还原：该系统完全支持本地/局域网（远程）数据库自动/手动备份。用户可以自由组合的无限复合式备份任务，支持一键备份文件。</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8、安全加密：系统在传输和保存数据过程中采用了MD5加密以及RES加密方式；加密狗：每套系统采用独立的加密狗，只有确保加密狗正常连接该系统时才可使用。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9、沙盘游戏科普视频8部。</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10、多级用户：该系统设计了二级用户：系统管理员，咨询师。用户根据其权限划分了其所管辖的功能；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11、等级管理：系统管理员根据其系统需要，设置相应的人员信息，确保该系统正常运行；系统独创的反向权限开放机制</w:t>
            </w:r>
            <w:r>
              <w:rPr>
                <w:rFonts w:hint="eastAsia" w:ascii="宋体" w:hAnsi="宋体" w:cs="宋体"/>
                <w:i w:val="0"/>
                <w:iCs w:val="0"/>
                <w:strike w:val="0"/>
                <w:color w:val="auto"/>
                <w:kern w:val="0"/>
                <w:sz w:val="21"/>
                <w:szCs w:val="21"/>
                <w:u w:val="none"/>
                <w:lang w:val="en-US" w:eastAsia="zh-CN" w:bidi="ar"/>
              </w:rPr>
              <w:t>；</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12、沙盘游戏管理系统内置咨询师解读模块，根据账号权限，产品供应商提供沙盘解读，并可以在线添加相关指导性方案。</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13、用户信息管理：学生信息回收站。学生信息支持批量导入。有学生批量班级转移功能；回收站主要用来存放心理教师删除的用户资料,存放在回收站的文件可以恢复，从而避免因为误删造成数据丢失。</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14、客服中心，技术服务人员可协助用户及时解决相关问题；系统内置产品介绍与使用说明。</w:t>
            </w:r>
          </w:p>
        </w:tc>
        <w:tc>
          <w:tcPr>
            <w:tcW w:w="787" w:type="dxa"/>
            <w:noWrap w:val="0"/>
            <w:vAlign w:val="center"/>
          </w:tcPr>
          <w:p w14:paraId="396673E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1FA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CD233A0">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9</w:t>
            </w:r>
          </w:p>
        </w:tc>
        <w:tc>
          <w:tcPr>
            <w:tcW w:w="882" w:type="dxa"/>
            <w:gridSpan w:val="3"/>
            <w:noWrap w:val="0"/>
            <w:vAlign w:val="center"/>
          </w:tcPr>
          <w:p w14:paraId="674F04C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百灵音乐放松椅</w:t>
            </w:r>
          </w:p>
        </w:tc>
        <w:tc>
          <w:tcPr>
            <w:tcW w:w="625" w:type="dxa"/>
            <w:gridSpan w:val="2"/>
            <w:noWrap w:val="0"/>
            <w:vAlign w:val="center"/>
          </w:tcPr>
          <w:p w14:paraId="6C3644D5">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01A52BEB">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54C73DC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一、产品功能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1、系统不少于自然治疗、潜意识调整、心理影视、呼吸训练等四大自助减压模块。</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自然治疗：通过一些自然的音乐来缓解和调节心理和精神的上的压力，比如：流水声、鸟鸣、风声、海浪等等。有一部分音乐在播放的过程中，还会以轮播的方式呈现不同的画面，是使用者有种身临其境的感觉，场景不少于15个。</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3、潜意识调整：主要是通过讲解加音乐来实现放松和缓解心理压力，包含充沛精力、调整心灵、肌肉放松、精神提升、静心养疗、情绪控制身心放松、深度冥想等不少于37种场景。</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4、心理影视：通过视频来缓解心理的压力。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5、呼吸训练：同视频一块进行肢体动作，来实现压力的释放。</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6、该系统可以自助对系统进行资源的添加，将对应的jpg，mp3，mp4等相关资源文件按照相对应的目录增加，即可在系统中展现新增资源。</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系统采用了视频播放器（支持mp4、avi等高清视频）支持主流的视频格式，音频播放（支持主流的视频格式）。系统优化了图片的缓存和加载框架Glide，快速高效的显示。程序的各项操作都在方便用户的角度设计，体验度较好，且支持pad，用户可使用该系统放松。</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1、头等舱设计开发的座椅，腿部气囊按摩功能</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2、劲部、背部、腰部、臀部等部份多方位放松模式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3、靠背与腿部可实现100º至180º任意角度电动调节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4、高保真立体声蓝牙音频模块，同时兼容内存卡、U盘、音频线多种音频输入方式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5、额定电压：100-240V50/60HZ</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6、额定功率：≤120W</w:t>
            </w:r>
          </w:p>
        </w:tc>
        <w:tc>
          <w:tcPr>
            <w:tcW w:w="787" w:type="dxa"/>
            <w:noWrap w:val="0"/>
            <w:vAlign w:val="center"/>
          </w:tcPr>
          <w:p w14:paraId="5A9E4DCC">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0B05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2053EA4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10</w:t>
            </w:r>
          </w:p>
        </w:tc>
        <w:tc>
          <w:tcPr>
            <w:tcW w:w="882" w:type="dxa"/>
            <w:gridSpan w:val="3"/>
            <w:noWrap w:val="0"/>
            <w:vAlign w:val="center"/>
          </w:tcPr>
          <w:p w14:paraId="0BDC140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团体活动箱</w:t>
            </w:r>
          </w:p>
        </w:tc>
        <w:tc>
          <w:tcPr>
            <w:tcW w:w="625" w:type="dxa"/>
            <w:gridSpan w:val="2"/>
            <w:noWrap w:val="0"/>
            <w:vAlign w:val="center"/>
          </w:tcPr>
          <w:p w14:paraId="641EAD5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3FCAE4B6">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79BE48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一、功能要求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1.心理成长训练不少于环境适应篇、沟通交往篇、竞争合作篇、自我意识篇、创新实践篇、意志责任篇、学习管理篇、心灵成长篇等八大主题。</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2.通过团体游戏活动提高人际交往能力，形成正确的自我意识，改善和调节情绪并掌握有效的应对方式。</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3.活动方案手册包括活动目的、活动形式、活动时间、活动场地、活动准备、活动程序及注意事项，活动评价等具体说明，适用于50人左右的团体训练，也适用于若干人的小组。</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4.室外心理拓展活动道具，包括了盲人旅行、雷阵、无敌风火轮、“啄木鸟”行动、同心协力、变形虫、走进绳圈、传染情绪等。</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5.盲人旅行：①感受信任与被信任、爱与被爱的幸福快乐②打破隔阂，解决冲突③培养队员勇于尝试的精神④让学员理解自助与他助，增强团队相互协作的精神。</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6.雷阵：①培养胆大心细的工作作风②打造团队分工与合作意识③培养队员岗位职责意识④突破思维定式，培养勇于开拓，敢于创新的境界</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7.无敌风火轮：①建立信任，提升团队合作意识②塑造团队成员彼此之间的配合能力。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8.啄木鸟行动：①通过分析造成输赢的原因，激发学生“再做一次，会做得更好“的主动性②让学生在合作中体验竞争，在竞争中学会合作③让学生明确强化团队合作可以提高效率，改变思维方式可以产生质的飞跃的道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9.同心协力：①培养团队里有效沟通的能力②提升团队执行力③培养团队高效的领导力和组织力。</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10.变形虫：①增强学生之间团队合作的能力，学习团队中解决问题的办法。</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11.传染情绪：①建立信任，提升团队合作意识②体验快乐情绪，学会接受快乐的感染和把快乐感染给别人。</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二、配置要求</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1.尺寸：≥940mm*560mm*380mm</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2.构成：航空箱、团体活动道具、活动方案手册、教案四部分</w:t>
            </w:r>
            <w:r>
              <w:rPr>
                <w:rFonts w:hint="eastAsia" w:ascii="宋体" w:hAnsi="宋体" w:eastAsia="宋体" w:cs="宋体"/>
                <w:i w:val="0"/>
                <w:iCs w:val="0"/>
                <w:strike w:val="0"/>
                <w:color w:val="auto"/>
                <w:kern w:val="0"/>
                <w:sz w:val="21"/>
                <w:szCs w:val="21"/>
                <w:u w:val="none"/>
                <w:lang w:val="en-US" w:eastAsia="zh-CN" w:bidi="ar"/>
              </w:rPr>
              <w:br w:type="textWrapping"/>
            </w:r>
            <w:r>
              <w:rPr>
                <w:rFonts w:hint="eastAsia" w:ascii="宋体" w:hAnsi="宋体" w:eastAsia="宋体" w:cs="宋体"/>
                <w:i w:val="0"/>
                <w:iCs w:val="0"/>
                <w:strike w:val="0"/>
                <w:color w:val="auto"/>
                <w:kern w:val="0"/>
                <w:sz w:val="21"/>
                <w:szCs w:val="21"/>
                <w:u w:val="none"/>
                <w:lang w:val="en-US" w:eastAsia="zh-CN" w:bidi="ar"/>
              </w:rPr>
              <w:t>3.配套：用于存放小部件的收纳袋等，便于存放各类道具；包含活动所需的全部道具（除特殊道具外：如生鸡蛋）；所配置道具大多可重复利用，避免浪费；不仅适用于本活动方案，也适应于自主设计活动方案。</w:t>
            </w:r>
          </w:p>
        </w:tc>
        <w:tc>
          <w:tcPr>
            <w:tcW w:w="787" w:type="dxa"/>
            <w:noWrap w:val="0"/>
            <w:vAlign w:val="center"/>
          </w:tcPr>
          <w:p w14:paraId="1A42202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4690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38934F9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11</w:t>
            </w:r>
          </w:p>
        </w:tc>
        <w:tc>
          <w:tcPr>
            <w:tcW w:w="882" w:type="dxa"/>
            <w:gridSpan w:val="3"/>
            <w:noWrap w:val="0"/>
            <w:vAlign w:val="center"/>
          </w:tcPr>
          <w:p w14:paraId="2F7F8B6D">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卡通宣泄套装</w:t>
            </w:r>
          </w:p>
        </w:tc>
        <w:tc>
          <w:tcPr>
            <w:tcW w:w="625" w:type="dxa"/>
            <w:gridSpan w:val="2"/>
            <w:noWrap w:val="0"/>
            <w:vAlign w:val="center"/>
          </w:tcPr>
          <w:p w14:paraId="7C3DD609">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套</w:t>
            </w:r>
          </w:p>
        </w:tc>
        <w:tc>
          <w:tcPr>
            <w:tcW w:w="637" w:type="dxa"/>
            <w:gridSpan w:val="2"/>
            <w:noWrap w:val="0"/>
            <w:vAlign w:val="center"/>
          </w:tcPr>
          <w:p w14:paraId="2505E4FF">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w:t>
            </w:r>
          </w:p>
        </w:tc>
        <w:tc>
          <w:tcPr>
            <w:tcW w:w="6647" w:type="dxa"/>
            <w:noWrap w:val="0"/>
            <w:vAlign w:val="center"/>
          </w:tcPr>
          <w:p w14:paraId="2395046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rPr>
            </w:pPr>
            <w:r>
              <w:rPr>
                <w:rFonts w:hint="eastAsia" w:ascii="宋体" w:hAnsi="宋体" w:eastAsia="宋体" w:cs="宋体"/>
                <w:i w:val="0"/>
                <w:iCs w:val="0"/>
                <w:strike w:val="0"/>
                <w:color w:val="auto"/>
                <w:kern w:val="0"/>
                <w:sz w:val="21"/>
                <w:szCs w:val="21"/>
                <w:u w:val="none"/>
                <w:lang w:val="en-US" w:eastAsia="zh-CN" w:bidi="ar"/>
              </w:rPr>
              <w:t>宣泄套件包括橡胶宣泄人1个，宣泄沙袋1个，宣泄球1个，宣泄棒4个，宣泄手套一副。</w:t>
            </w:r>
          </w:p>
        </w:tc>
        <w:tc>
          <w:tcPr>
            <w:tcW w:w="787" w:type="dxa"/>
            <w:noWrap w:val="0"/>
            <w:vAlign w:val="center"/>
          </w:tcPr>
          <w:p w14:paraId="4250C428">
            <w:pPr>
              <w:keepNext w:val="0"/>
              <w:keepLines w:val="0"/>
              <w:pageBreakBefore w:val="0"/>
              <w:widowControl/>
              <w:suppressLineNumbers w:val="0"/>
              <w:kinsoku/>
              <w:wordWrap/>
              <w:overflowPunct/>
              <w:topLinePunct w:val="0"/>
              <w:bidi w:val="0"/>
              <w:spacing w:line="440" w:lineRule="exact"/>
              <w:ind w:firstLine="0" w:firstLineChars="0"/>
              <w:jc w:val="center"/>
              <w:textAlignment w:val="center"/>
              <w:rPr>
                <w:rFonts w:hint="eastAsia" w:ascii="宋体" w:hAnsi="宋体" w:eastAsia="宋体" w:cs="宋体"/>
                <w:strike w:val="0"/>
                <w:color w:val="auto"/>
                <w:sz w:val="21"/>
                <w:szCs w:val="21"/>
                <w:vertAlign w:val="baseline"/>
              </w:rPr>
            </w:pPr>
          </w:p>
        </w:tc>
      </w:tr>
      <w:tr w14:paraId="7A0C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72F737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vertAlign w:val="baseline"/>
                <w:lang w:eastAsia="zh-CN"/>
              </w:rPr>
            </w:pPr>
            <w:r>
              <w:rPr>
                <w:rFonts w:hint="eastAsia" w:ascii="宋体" w:hAnsi="宋体" w:cs="宋体"/>
                <w:b/>
                <w:strike w:val="0"/>
                <w:color w:val="auto"/>
                <w:kern w:val="0"/>
                <w:sz w:val="21"/>
                <w:szCs w:val="21"/>
                <w:lang w:val="en-US" w:eastAsia="zh-CN"/>
              </w:rPr>
              <w:t>一、</w:t>
            </w:r>
            <w:r>
              <w:rPr>
                <w:rFonts w:hint="eastAsia" w:ascii="宋体" w:hAnsi="宋体" w:eastAsia="宋体" w:cs="宋体"/>
                <w:b/>
                <w:strike w:val="0"/>
                <w:color w:val="auto"/>
                <w:kern w:val="0"/>
                <w:sz w:val="21"/>
                <w:szCs w:val="21"/>
              </w:rPr>
              <w:t>商务要求</w:t>
            </w:r>
            <w:r>
              <w:rPr>
                <w:rFonts w:hint="eastAsia" w:ascii="宋体" w:hAnsi="宋体" w:eastAsia="宋体" w:cs="宋体"/>
                <w:b/>
                <w:strike w:val="0"/>
                <w:color w:val="auto"/>
                <w:kern w:val="0"/>
                <w:sz w:val="21"/>
                <w:szCs w:val="21"/>
                <w:lang w:eastAsia="zh-CN"/>
              </w:rPr>
              <w:t>：</w:t>
            </w:r>
          </w:p>
        </w:tc>
      </w:tr>
      <w:tr w14:paraId="1DCD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87" w:type="dxa"/>
            <w:gridSpan w:val="10"/>
            <w:noWrap w:val="0"/>
            <w:vAlign w:val="center"/>
          </w:tcPr>
          <w:p w14:paraId="634293F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strike w:val="0"/>
                <w:color w:val="auto"/>
                <w:sz w:val="21"/>
                <w:szCs w:val="21"/>
              </w:rPr>
            </w:pPr>
            <w:r>
              <w:rPr>
                <w:rFonts w:hint="eastAsia" w:ascii="宋体" w:hAnsi="宋体" w:cs="宋体"/>
                <w:b/>
                <w:strike w:val="0"/>
                <w:color w:val="auto"/>
                <w:sz w:val="21"/>
                <w:szCs w:val="21"/>
                <w:lang w:eastAsia="zh-CN"/>
              </w:rPr>
              <w:t>（</w:t>
            </w:r>
            <w:r>
              <w:rPr>
                <w:rFonts w:hint="eastAsia" w:ascii="宋体" w:hAnsi="宋体" w:cs="宋体"/>
                <w:b/>
                <w:strike w:val="0"/>
                <w:color w:val="auto"/>
                <w:sz w:val="21"/>
                <w:szCs w:val="21"/>
                <w:lang w:val="en-US" w:eastAsia="zh-CN"/>
              </w:rPr>
              <w:t>一</w:t>
            </w:r>
            <w:r>
              <w:rPr>
                <w:rFonts w:hint="eastAsia" w:ascii="宋体" w:hAnsi="宋体" w:cs="宋体"/>
                <w:b/>
                <w:strike w:val="0"/>
                <w:color w:val="auto"/>
                <w:sz w:val="21"/>
                <w:szCs w:val="21"/>
                <w:lang w:eastAsia="zh-CN"/>
              </w:rPr>
              <w:t>）</w:t>
            </w:r>
            <w:r>
              <w:rPr>
                <w:rFonts w:hint="eastAsia" w:ascii="宋体" w:hAnsi="宋体" w:eastAsia="宋体" w:cs="宋体"/>
                <w:b/>
                <w:strike w:val="0"/>
                <w:color w:val="auto"/>
                <w:sz w:val="21"/>
                <w:szCs w:val="21"/>
              </w:rPr>
              <w:t>投标报价：</w:t>
            </w:r>
          </w:p>
          <w:p w14:paraId="01F2C706">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1.供应商提供的产品必须是全新、完整、未使用过的、符合国家有关质量安全标准的合格产品。</w:t>
            </w:r>
          </w:p>
          <w:p w14:paraId="5AF4582F">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2.供应商报价要求:报价为采购人指定地点的现场交货价，包括：</w:t>
            </w:r>
          </w:p>
          <w:p w14:paraId="6696C68F">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(1)价格：包括货款和安装调试费、服务费、验收费、税费；</w:t>
            </w:r>
          </w:p>
          <w:p w14:paraId="21031F1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(2)货物的标准附件、备品备件、专用工具的价格；</w:t>
            </w:r>
          </w:p>
          <w:p w14:paraId="018B668F">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(3)运输、装卸、调试、培训、技术支持、售后服务费；</w:t>
            </w:r>
          </w:p>
          <w:p w14:paraId="52363E1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(4)保险费和其他各项成本费用。</w:t>
            </w:r>
          </w:p>
          <w:p w14:paraId="4997B084">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二</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验收要求：</w:t>
            </w:r>
          </w:p>
          <w:p w14:paraId="60D760AC">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1.采购人对中标供应商提交的货物依据采购文件上的技术规格要求和国家有关质量标准进行现场签收，符合采购文件技术要求的，给予签收，不合格的不予签收。 </w:t>
            </w:r>
          </w:p>
          <w:p w14:paraId="622F2AC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462994E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3.中标供应商需负责安装、调试，并培训采购人的使用操作人员，直到设备运行符合技术要求及采购人人员熟练操作后，采购人再进行组织验收。 </w:t>
            </w:r>
          </w:p>
          <w:p w14:paraId="29CF3F6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4.采购人组织验收，中标供应商必须到场配合，验收合格后双方签署验收合格凭证。</w:t>
            </w:r>
          </w:p>
          <w:p w14:paraId="51AB560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51B714C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三</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售后服务：</w:t>
            </w:r>
          </w:p>
          <w:p w14:paraId="228B401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10" w:firstLineChars="1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0"/>
                <w:sz w:val="21"/>
                <w:szCs w:val="21"/>
                <w:lang w:val="en-US" w:eastAsia="zh-CN" w:bidi="ar"/>
              </w:rPr>
              <w:t>★</w:t>
            </w:r>
            <w:r>
              <w:rPr>
                <w:rFonts w:hint="eastAsia" w:ascii="宋体" w:hAnsi="宋体" w:eastAsia="宋体" w:cs="宋体"/>
                <w:strike w:val="0"/>
                <w:color w:val="auto"/>
                <w:kern w:val="2"/>
                <w:sz w:val="21"/>
                <w:szCs w:val="21"/>
                <w:lang w:val="en-US" w:eastAsia="zh-CN" w:bidi="ar-SA"/>
              </w:rPr>
              <w:t>1.项目需求中涉及智能交互一体机、学生计算机、主控计算机、教师计算机，需整机提供3年免费厂商质保及上门服务，供货时提供所投产品售后服务承诺函；要求提供所投产品厂商400免费技术支持电话。</w:t>
            </w:r>
          </w:p>
          <w:p w14:paraId="5A8C45B4">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w:t>
            </w:r>
            <w:r>
              <w:rPr>
                <w:rFonts w:hint="eastAsia" w:ascii="宋体" w:hAnsi="宋体" w:eastAsia="宋体" w:cs="宋体"/>
                <w:strike w:val="0"/>
                <w:color w:val="auto"/>
                <w:sz w:val="21"/>
                <w:szCs w:val="21"/>
                <w:lang w:val="en-US" w:eastAsia="zh-CN"/>
              </w:rPr>
              <w:t xml:space="preserve"> </w:t>
            </w:r>
            <w:r>
              <w:rPr>
                <w:rFonts w:hint="eastAsia" w:ascii="宋体" w:hAnsi="宋体" w:eastAsia="宋体" w:cs="宋体"/>
                <w:strike w:val="0"/>
                <w:color w:val="auto"/>
                <w:sz w:val="21"/>
                <w:szCs w:val="21"/>
              </w:rPr>
              <w:t xml:space="preserve"> </w:t>
            </w:r>
            <w:r>
              <w:rPr>
                <w:rFonts w:hint="eastAsia" w:ascii="宋体" w:hAnsi="宋体" w:eastAsia="宋体" w:cs="宋体"/>
                <w:strike w:val="0"/>
                <w:color w:val="auto"/>
                <w:sz w:val="21"/>
                <w:szCs w:val="21"/>
                <w:lang w:val="en-US" w:eastAsia="zh-CN"/>
              </w:rPr>
              <w:t xml:space="preserve"> </w:t>
            </w:r>
            <w:r>
              <w:rPr>
                <w:rFonts w:hint="eastAsia" w:ascii="宋体" w:hAnsi="宋体" w:eastAsia="宋体" w:cs="宋体"/>
                <w:strike w:val="0"/>
                <w:color w:val="auto"/>
                <w:sz w:val="21"/>
                <w:szCs w:val="21"/>
              </w:rPr>
              <w:t>2.质保：按国家有关产品“三包”规定执行“三包”，交付验收合格之日起至少</w:t>
            </w:r>
            <w:r>
              <w:rPr>
                <w:rFonts w:hint="eastAsia" w:ascii="宋体" w:hAnsi="宋体" w:eastAsia="宋体" w:cs="宋体"/>
                <w:b/>
                <w:bCs/>
                <w:strike w:val="0"/>
                <w:color w:val="auto"/>
                <w:sz w:val="21"/>
                <w:szCs w:val="21"/>
              </w:rPr>
              <w:t>一</w:t>
            </w:r>
            <w:r>
              <w:rPr>
                <w:rFonts w:hint="eastAsia" w:ascii="宋体" w:hAnsi="宋体" w:eastAsia="宋体" w:cs="宋体"/>
                <w:strike w:val="0"/>
                <w:color w:val="auto"/>
                <w:sz w:val="21"/>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0D21F4C4">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3.售后技术服务要求：(1)所有货物必须为符合国家行业有关质量标准的全新合格产品。</w:t>
            </w:r>
          </w:p>
          <w:p w14:paraId="5795733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(2)免费送货上门免费安装调试，免费培训技术人员2名以上，所需工具、器材由中标人自理.提供全套说明书并包括中文操作说明和注意事项。</w:t>
            </w:r>
          </w:p>
          <w:p w14:paraId="3025F32C">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(3)产品如出现故障并接到用户通知后在1小时内响应，12小时内上门服务，24小时内解决故障；未能在规定时间内排除故障的，必须在24小时内提供同档次的备用产品，直至解决故障。</w:t>
            </w:r>
          </w:p>
          <w:p w14:paraId="2B57262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(4)中标人除承担运输、安装、调试、验收与培训等义务外，还将为采购人提供技术支持，包括保修期外的修理及技术指导、配件供应等。</w:t>
            </w:r>
          </w:p>
          <w:p w14:paraId="5340088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cs="宋体"/>
                <w:b/>
                <w:bCs/>
                <w:strike w:val="0"/>
                <w:color w:val="auto"/>
                <w:sz w:val="21"/>
                <w:szCs w:val="21"/>
                <w:lang w:eastAsia="zh-CN"/>
              </w:rPr>
              <w:t>（</w:t>
            </w:r>
            <w:r>
              <w:rPr>
                <w:rFonts w:hint="eastAsia" w:ascii="宋体" w:hAnsi="宋体" w:cs="宋体"/>
                <w:b/>
                <w:bCs/>
                <w:strike w:val="0"/>
                <w:color w:val="auto"/>
                <w:sz w:val="21"/>
                <w:szCs w:val="21"/>
                <w:lang w:val="en-US" w:eastAsia="zh-CN"/>
              </w:rPr>
              <w:t>四</w:t>
            </w:r>
            <w:r>
              <w:rPr>
                <w:rFonts w:hint="eastAsia" w:ascii="宋体" w:hAnsi="宋体" w:cs="宋体"/>
                <w:b/>
                <w:bCs/>
                <w:strike w:val="0"/>
                <w:color w:val="auto"/>
                <w:sz w:val="21"/>
                <w:szCs w:val="21"/>
                <w:lang w:eastAsia="zh-CN"/>
              </w:rPr>
              <w:t>）</w:t>
            </w:r>
            <w:r>
              <w:rPr>
                <w:rFonts w:hint="eastAsia" w:ascii="宋体" w:hAnsi="宋体" w:eastAsia="宋体" w:cs="宋体"/>
                <w:b/>
                <w:bCs/>
                <w:strike w:val="0"/>
                <w:color w:val="auto"/>
                <w:sz w:val="21"/>
                <w:szCs w:val="21"/>
              </w:rPr>
              <w:t>时间及地点要求：</w:t>
            </w:r>
          </w:p>
          <w:p w14:paraId="498E7EC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1.合同签订期：自中标通知书发出之日起</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日内。</w:t>
            </w:r>
          </w:p>
          <w:p w14:paraId="726EF22A">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2.交货期：自签订合同之日起</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u w:val="single"/>
                <w:lang w:val="en-US" w:eastAsia="zh-CN"/>
              </w:rPr>
              <w:t>30</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rPr>
              <w:t>日内交付使用。</w:t>
            </w:r>
          </w:p>
          <w:p w14:paraId="54AC17A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3.交货地点：钦州市浦北县采购人指定地点</w:t>
            </w:r>
            <w:r>
              <w:rPr>
                <w:rFonts w:hint="eastAsia" w:ascii="宋体" w:hAnsi="宋体" w:eastAsia="宋体" w:cs="宋体"/>
                <w:strike w:val="0"/>
                <w:color w:val="auto"/>
                <w:sz w:val="21"/>
                <w:szCs w:val="21"/>
                <w:lang w:eastAsia="zh-CN"/>
              </w:rPr>
              <w:t>（浦北县第九小学</w:t>
            </w:r>
            <w:r>
              <w:rPr>
                <w:rFonts w:hint="eastAsia" w:ascii="宋体" w:hAnsi="宋体" w:eastAsia="宋体" w:cs="Times New Roman"/>
                <w:strike w:val="0"/>
                <w:color w:val="auto"/>
                <w:szCs w:val="21"/>
                <w:highlight w:val="none"/>
                <w:lang w:eastAsia="zh-CN"/>
              </w:rPr>
              <w:t>）</w:t>
            </w:r>
            <w:r>
              <w:rPr>
                <w:rFonts w:hint="eastAsia" w:ascii="宋体" w:hAnsi="宋体" w:eastAsia="宋体" w:cs="宋体"/>
                <w:strike w:val="0"/>
                <w:color w:val="auto"/>
                <w:sz w:val="21"/>
                <w:szCs w:val="21"/>
              </w:rPr>
              <w:t>。</w:t>
            </w:r>
          </w:p>
          <w:p w14:paraId="3D8024C9">
            <w:pPr>
              <w:keepNext w:val="0"/>
              <w:keepLines w:val="0"/>
              <w:pageBreakBefore w:val="0"/>
              <w:widowControl/>
              <w:suppressLineNumbers w:val="0"/>
              <w:kinsoku/>
              <w:wordWrap/>
              <w:overflowPunct/>
              <w:topLinePunct w:val="0"/>
              <w:bidi w:val="0"/>
              <w:spacing w:line="440" w:lineRule="exact"/>
              <w:ind w:left="0" w:leftChars="0" w:firstLine="210" w:firstLineChars="100"/>
              <w:jc w:val="left"/>
              <w:textAlignment w:val="center"/>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4.付款方式:项目按业主要求,安装调试验收合格后,乙方开具合同全额发票给甲方甲方收到发票</w:t>
            </w:r>
            <w:r>
              <w:rPr>
                <w:rFonts w:hint="eastAsia" w:ascii="宋体" w:hAnsi="宋体" w:cs="宋体"/>
                <w:strike w:val="0"/>
                <w:color w:val="auto"/>
                <w:kern w:val="2"/>
                <w:sz w:val="21"/>
                <w:szCs w:val="21"/>
                <w:lang w:val="en-US" w:eastAsia="zh-CN" w:bidi="ar-SA"/>
              </w:rPr>
              <w:t>10个工作日</w:t>
            </w:r>
            <w:r>
              <w:rPr>
                <w:rFonts w:hint="eastAsia" w:ascii="宋体" w:hAnsi="宋体" w:eastAsia="宋体" w:cs="宋体"/>
                <w:strike w:val="0"/>
                <w:color w:val="auto"/>
                <w:kern w:val="2"/>
                <w:sz w:val="21"/>
                <w:szCs w:val="21"/>
                <w:lang w:val="en-US" w:eastAsia="zh-CN" w:bidi="ar-SA"/>
              </w:rPr>
              <w:t>内付完合同总金额100%给乙方。</w:t>
            </w:r>
          </w:p>
          <w:p w14:paraId="56C0CDBE">
            <w:pPr>
              <w:pStyle w:val="20"/>
              <w:ind w:left="0" w:leftChars="0" w:firstLine="0" w:firstLineChars="0"/>
              <w:rPr>
                <w:rFonts w:hint="default"/>
                <w:strike w:val="0"/>
                <w:color w:val="auto"/>
                <w:lang w:val="en-US"/>
              </w:rPr>
            </w:pPr>
          </w:p>
        </w:tc>
      </w:tr>
      <w:tr w14:paraId="4654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0187" w:type="dxa"/>
            <w:gridSpan w:val="10"/>
            <w:noWrap w:val="0"/>
            <w:vAlign w:val="center"/>
          </w:tcPr>
          <w:p w14:paraId="5A3F7141">
            <w:pPr>
              <w:pStyle w:val="20"/>
              <w:ind w:left="0" w:leftChars="0" w:firstLine="0" w:firstLineChars="0"/>
              <w:rPr>
                <w:rFonts w:hint="eastAsia" w:ascii="宋体" w:hAnsi="宋体" w:eastAsia="宋体" w:cs="宋体"/>
                <w:b/>
                <w:bCs/>
                <w:strike w:val="0"/>
                <w:color w:val="auto"/>
                <w:kern w:val="2"/>
                <w:sz w:val="21"/>
                <w:szCs w:val="21"/>
                <w:lang w:val="en-US" w:eastAsia="zh-CN" w:bidi="ar-SA"/>
              </w:rPr>
            </w:pPr>
            <w:r>
              <w:rPr>
                <w:rFonts w:hint="eastAsia" w:ascii="宋体" w:hAnsi="宋体" w:cs="宋体"/>
                <w:b/>
                <w:bCs/>
                <w:strike w:val="0"/>
                <w:color w:val="auto"/>
                <w:kern w:val="2"/>
                <w:sz w:val="21"/>
                <w:szCs w:val="21"/>
                <w:lang w:val="en-US" w:eastAsia="zh-CN" w:bidi="ar-SA"/>
              </w:rPr>
              <w:t>二</w:t>
            </w:r>
            <w:r>
              <w:rPr>
                <w:rFonts w:hint="eastAsia" w:ascii="宋体" w:hAnsi="宋体" w:eastAsia="宋体" w:cs="宋体"/>
                <w:b/>
                <w:bCs/>
                <w:strike w:val="0"/>
                <w:color w:val="auto"/>
                <w:kern w:val="2"/>
                <w:sz w:val="21"/>
                <w:szCs w:val="21"/>
                <w:lang w:val="en-US" w:eastAsia="zh-CN" w:bidi="ar-SA"/>
              </w:rPr>
              <w:t>、核心产品</w:t>
            </w:r>
          </w:p>
        </w:tc>
      </w:tr>
      <w:tr w14:paraId="749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187" w:type="dxa"/>
            <w:gridSpan w:val="10"/>
            <w:noWrap w:val="0"/>
            <w:vAlign w:val="center"/>
          </w:tcPr>
          <w:p w14:paraId="4AAAF680">
            <w:pPr>
              <w:pStyle w:val="20"/>
              <w:ind w:left="0" w:leftChars="0" w:firstLine="0" w:firstLineChars="0"/>
              <w:rPr>
                <w:rFonts w:hint="eastAsia" w:ascii="宋体" w:hAnsi="宋体" w:eastAsia="宋体" w:cs="宋体"/>
                <w:b/>
                <w:bCs/>
                <w:strike w:val="0"/>
                <w:color w:val="auto"/>
                <w:kern w:val="2"/>
                <w:sz w:val="21"/>
                <w:szCs w:val="21"/>
                <w:lang w:val="en-US" w:eastAsia="zh-CN" w:bidi="ar-SA"/>
              </w:rPr>
            </w:pPr>
            <w:r>
              <w:rPr>
                <w:rFonts w:hint="eastAsia" w:ascii="宋体" w:hAnsi="宋体" w:eastAsia="宋体" w:cs="宋体"/>
                <w:b/>
                <w:bCs/>
                <w:strike w:val="0"/>
                <w:color w:val="auto"/>
                <w:kern w:val="2"/>
                <w:sz w:val="21"/>
                <w:szCs w:val="21"/>
                <w:lang w:val="en-US" w:eastAsia="zh-CN" w:bidi="ar-SA"/>
              </w:rPr>
              <w:t>核心产品：</w:t>
            </w:r>
            <w:r>
              <w:rPr>
                <w:rFonts w:hint="eastAsia" w:ascii="宋体" w:hAnsi="宋体" w:eastAsia="宋体" w:cs="宋体"/>
                <w:b/>
                <w:bCs/>
                <w:strike w:val="0"/>
                <w:color w:val="auto"/>
                <w:sz w:val="21"/>
                <w:szCs w:val="21"/>
                <w:u w:val="single"/>
                <w:vertAlign w:val="baseline"/>
                <w:lang w:eastAsia="zh-CN"/>
              </w:rPr>
              <w:t>四、</w:t>
            </w:r>
            <w:r>
              <w:rPr>
                <w:rFonts w:hint="eastAsia" w:ascii="宋体" w:hAnsi="宋体" w:eastAsia="宋体" w:cs="宋体"/>
                <w:b/>
                <w:bCs/>
                <w:strike w:val="0"/>
                <w:color w:val="auto"/>
                <w:sz w:val="21"/>
                <w:szCs w:val="21"/>
                <w:u w:val="single"/>
                <w:lang w:val="en-US" w:eastAsia="zh-CN"/>
              </w:rPr>
              <w:t>计算机</w:t>
            </w:r>
            <w:r>
              <w:rPr>
                <w:rFonts w:hint="eastAsia" w:ascii="宋体" w:hAnsi="宋体" w:cs="宋体"/>
                <w:b/>
                <w:bCs/>
                <w:strike w:val="0"/>
                <w:color w:val="auto"/>
                <w:sz w:val="21"/>
                <w:szCs w:val="21"/>
                <w:u w:val="single"/>
                <w:lang w:val="en-US" w:eastAsia="zh-CN"/>
              </w:rPr>
              <w:t>里的序号1.</w:t>
            </w:r>
            <w:r>
              <w:rPr>
                <w:rFonts w:hint="eastAsia" w:ascii="宋体" w:hAnsi="宋体" w:eastAsia="宋体" w:cs="宋体"/>
                <w:b/>
                <w:bCs/>
                <w:strike w:val="0"/>
                <w:color w:val="auto"/>
                <w:kern w:val="2"/>
                <w:sz w:val="21"/>
                <w:szCs w:val="21"/>
                <w:u w:val="single"/>
                <w:lang w:val="en-US" w:eastAsia="zh-CN" w:bidi="ar-SA"/>
              </w:rPr>
              <w:t>“学生计算机”</w:t>
            </w:r>
            <w:r>
              <w:rPr>
                <w:rFonts w:hint="eastAsia" w:ascii="宋体" w:hAnsi="宋体" w:eastAsia="宋体" w:cs="宋体"/>
                <w:b/>
                <w:bCs/>
                <w:strike w:val="0"/>
                <w:color w:val="auto"/>
                <w:kern w:val="2"/>
                <w:sz w:val="21"/>
                <w:szCs w:val="21"/>
                <w:lang w:val="en-US" w:eastAsia="zh-CN" w:bidi="ar-SA"/>
              </w:rPr>
              <w:t>。</w:t>
            </w:r>
          </w:p>
        </w:tc>
      </w:tr>
      <w:tr w14:paraId="542C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187" w:type="dxa"/>
            <w:gridSpan w:val="10"/>
            <w:noWrap w:val="0"/>
            <w:vAlign w:val="center"/>
          </w:tcPr>
          <w:p w14:paraId="4178C0B8">
            <w:pPr>
              <w:pStyle w:val="20"/>
              <w:ind w:left="0" w:leftChars="0" w:firstLine="0" w:firstLineChars="0"/>
              <w:rPr>
                <w:rFonts w:hint="default" w:ascii="宋体" w:hAnsi="宋体" w:eastAsia="宋体" w:cs="宋体"/>
                <w:b/>
                <w:bCs/>
                <w:strike w:val="0"/>
                <w:color w:val="auto"/>
                <w:kern w:val="2"/>
                <w:sz w:val="21"/>
                <w:szCs w:val="21"/>
                <w:lang w:val="en-US" w:eastAsia="zh-CN" w:bidi="ar-SA"/>
              </w:rPr>
            </w:pPr>
            <w:r>
              <w:rPr>
                <w:rFonts w:hint="eastAsia" w:ascii="宋体" w:hAnsi="宋体" w:cs="宋体"/>
                <w:b/>
                <w:bCs/>
                <w:strike w:val="0"/>
                <w:color w:val="auto"/>
                <w:kern w:val="2"/>
                <w:sz w:val="21"/>
                <w:szCs w:val="21"/>
                <w:u w:val="none"/>
                <w:lang w:val="en-US" w:eastAsia="zh-CN" w:bidi="ar"/>
              </w:rPr>
              <w:t>三、现场踏勘</w:t>
            </w:r>
          </w:p>
        </w:tc>
      </w:tr>
      <w:tr w14:paraId="197E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7" w:type="dxa"/>
            <w:gridSpan w:val="10"/>
            <w:noWrap w:val="0"/>
            <w:vAlign w:val="center"/>
          </w:tcPr>
          <w:p w14:paraId="3B9C53AF">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397AA1C7">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5BD0C050">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12</w:t>
            </w:r>
            <w:r>
              <w:rPr>
                <w:rFonts w:hint="eastAsia" w:ascii="宋体" w:hAnsi="宋体"/>
                <w:bCs/>
                <w:strike w:val="0"/>
                <w:color w:val="auto"/>
                <w:szCs w:val="21"/>
              </w:rPr>
              <w:t>月</w:t>
            </w:r>
            <w:r>
              <w:rPr>
                <w:rFonts w:hint="eastAsia" w:ascii="宋体" w:hAnsi="宋体"/>
                <w:bCs/>
                <w:strike w:val="0"/>
                <w:color w:val="auto"/>
                <w:szCs w:val="21"/>
                <w:lang w:val="en-US" w:eastAsia="zh-CN"/>
              </w:rPr>
              <w:t>10</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6EC000AC">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浦北县第九小学</w:t>
            </w:r>
          </w:p>
          <w:p w14:paraId="094352AA">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b/>
                <w:bCs/>
                <w:strike w:val="0"/>
                <w:color w:val="auto"/>
                <w:kern w:val="2"/>
                <w:sz w:val="21"/>
                <w:szCs w:val="21"/>
                <w:lang w:val="en-US" w:eastAsia="zh-CN" w:bidi="ar-SA"/>
              </w:rPr>
            </w:pPr>
            <w:r>
              <w:rPr>
                <w:rFonts w:hint="eastAsia" w:ascii="宋体" w:hAnsi="宋体" w:cs="宋体"/>
                <w:strike w:val="0"/>
                <w:color w:val="auto"/>
                <w:szCs w:val="21"/>
              </w:rPr>
              <w:t>联系人电话：</w:t>
            </w:r>
            <w:r>
              <w:rPr>
                <w:rFonts w:hint="eastAsia" w:cs="Times New Roman"/>
                <w:strike w:val="0"/>
                <w:color w:val="auto"/>
                <w:lang w:val="en-US" w:eastAsia="zh-CN"/>
              </w:rPr>
              <w:t xml:space="preserve">冯慧敏 </w:t>
            </w:r>
            <w:r>
              <w:rPr>
                <w:rFonts w:hint="eastAsia" w:ascii="宋体" w:hAnsi="宋体" w:cs="宋体"/>
                <w:strike w:val="0"/>
                <w:color w:val="auto"/>
                <w:szCs w:val="21"/>
                <w:lang w:val="en-US" w:eastAsia="zh-CN"/>
              </w:rPr>
              <w:t>，电话：0777-8212232</w:t>
            </w:r>
          </w:p>
        </w:tc>
      </w:tr>
    </w:tbl>
    <w:p w14:paraId="346FDFA7">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C2BD9F2">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936DD1B">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6B7A3C4">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05B8E744">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14798D2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44DAF772">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1A73E1EB">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705B9CA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3FBE434F">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6E7A6A01">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61AEEF46">
      <w:pPr>
        <w:pStyle w:val="33"/>
        <w:keepNext w:val="0"/>
        <w:keepLines w:val="0"/>
        <w:pageBreakBefore w:val="0"/>
        <w:kinsoku/>
        <w:wordWrap/>
        <w:overflowPunct/>
        <w:topLinePunct w:val="0"/>
        <w:bidi w:val="0"/>
        <w:spacing w:line="440" w:lineRule="exact"/>
        <w:ind w:left="0" w:leftChars="0" w:firstLine="0" w:firstLineChars="0"/>
        <w:rPr>
          <w:rFonts w:hint="eastAsia"/>
          <w:strike w:val="0"/>
          <w:color w:val="auto"/>
          <w:lang w:val="en-US" w:eastAsia="zh-CN"/>
        </w:rPr>
      </w:pPr>
    </w:p>
    <w:p w14:paraId="4D9C712C">
      <w:pPr>
        <w:pStyle w:val="33"/>
        <w:keepNext w:val="0"/>
        <w:keepLines w:val="0"/>
        <w:pageBreakBefore w:val="0"/>
        <w:kinsoku/>
        <w:wordWrap/>
        <w:overflowPunct/>
        <w:topLinePunct w:val="0"/>
        <w:bidi w:val="0"/>
        <w:spacing w:line="440" w:lineRule="exact"/>
        <w:ind w:firstLine="2349" w:firstLineChars="1300"/>
        <w:rPr>
          <w:rFonts w:hint="default"/>
          <w:strike w:val="0"/>
          <w:color w:val="auto"/>
          <w:lang w:val="en-US" w:eastAsia="zh-CN"/>
        </w:rPr>
      </w:pPr>
      <w:r>
        <w:rPr>
          <w:rFonts w:hint="eastAsia"/>
          <w:b/>
          <w:bCs/>
          <w:strike w:val="0"/>
          <w:color w:val="auto"/>
          <w:lang w:val="en-US" w:eastAsia="zh-CN"/>
        </w:rPr>
        <w:t>标项二：</w:t>
      </w:r>
      <w:r>
        <w:rPr>
          <w:rFonts w:hint="eastAsia" w:ascii="宋体" w:hAnsi="宋体"/>
          <w:b/>
          <w:bCs/>
          <w:strike w:val="0"/>
          <w:color w:val="auto"/>
          <w:szCs w:val="21"/>
          <w:highlight w:val="none"/>
          <w:lang w:eastAsia="zh-CN"/>
        </w:rPr>
        <w:t>浦北县第十小学</w:t>
      </w:r>
      <w:r>
        <w:rPr>
          <w:rFonts w:hint="eastAsia" w:ascii="宋体" w:hAnsi="宋体" w:eastAsia="宋体" w:cs="Times New Roman"/>
          <w:b/>
          <w:bCs/>
          <w:strike w:val="0"/>
          <w:color w:val="auto"/>
          <w:szCs w:val="21"/>
          <w:highlight w:val="none"/>
          <w:lang w:eastAsia="zh-CN"/>
        </w:rPr>
        <w:t>和浦北县六硍镇寄宿制学校教</w:t>
      </w:r>
      <w:r>
        <w:rPr>
          <w:rFonts w:hint="eastAsia" w:ascii="宋体" w:hAnsi="宋体"/>
          <w:b/>
          <w:bCs/>
          <w:strike w:val="0"/>
          <w:color w:val="auto"/>
          <w:szCs w:val="21"/>
          <w:highlight w:val="none"/>
          <w:lang w:eastAsia="zh-CN"/>
        </w:rPr>
        <w:t>学设备采购</w:t>
      </w:r>
    </w:p>
    <w:tbl>
      <w:tblPr>
        <w:tblStyle w:val="51"/>
        <w:tblW w:w="9671" w:type="dxa"/>
        <w:tblInd w:w="93" w:type="dxa"/>
        <w:tblLayout w:type="fixed"/>
        <w:tblCellMar>
          <w:top w:w="0" w:type="dxa"/>
          <w:left w:w="108" w:type="dxa"/>
          <w:bottom w:w="0" w:type="dxa"/>
          <w:right w:w="108" w:type="dxa"/>
        </w:tblCellMar>
      </w:tblPr>
      <w:tblGrid>
        <w:gridCol w:w="546"/>
        <w:gridCol w:w="1157"/>
        <w:gridCol w:w="470"/>
        <w:gridCol w:w="526"/>
        <w:gridCol w:w="6360"/>
        <w:gridCol w:w="612"/>
      </w:tblGrid>
      <w:tr w14:paraId="25A0E6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FAC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序号</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964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货物名称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6B6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单位</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669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数量</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9FF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技术参数、规格及要求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5E2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b/>
                <w:bCs/>
                <w:strike w:val="0"/>
                <w:color w:val="auto"/>
                <w:kern w:val="0"/>
                <w:sz w:val="21"/>
                <w:szCs w:val="21"/>
                <w:lang w:bidi="ar"/>
              </w:rPr>
            </w:pPr>
          </w:p>
        </w:tc>
      </w:tr>
      <w:tr w14:paraId="27AE6602">
        <w:tblPrEx>
          <w:tblCellMar>
            <w:top w:w="0" w:type="dxa"/>
            <w:left w:w="108" w:type="dxa"/>
            <w:bottom w:w="0" w:type="dxa"/>
            <w:right w:w="108" w:type="dxa"/>
          </w:tblCellMar>
        </w:tblPrEx>
        <w:trPr>
          <w:trHeight w:val="9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538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一、多媒体</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0E4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2F25CD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438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A45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智能交互一体机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7D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99F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85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lang w:bidi="ar"/>
              </w:rPr>
              <w:t>一、集体备课设计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1、发起集备：支持选择教案、课件、胶囊资源上传发起集备研讨，支持设置多重访问权限，通过手机号搜索即可邀请外校老师，可用于跨校教研场景。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2、进入集备：支持搜索集备名称/老师昵称，或按照学科/学段/年级/教材章节，我参与的/我发起的几个维度进行筛选查看，支持手机端/PC端进入集备页面。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3、集备研讨：参备成员可通过评论区发表观点，通过评论回复，点赞等功能营造浓厚的研讨氛围，评论消息支持实时提醒，支持图片的上传。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4、在线批注：参备人在电脑端及手机端都可在线对教案进行随文式批注，追加批注，回复以及查看实时批注消息。支持对课件进行打点式的批注，通过批注快速定位研讨内容，高效完成协同备课。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5、稿件编辑：完成本次研讨后，主备人可直接进入编辑页面编辑课件/教案，发布新稿件后，备课组进入下一轮打磨更新稿件后会给参备老师实时同步教研动态。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二、整机接口设计与安全设计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1、侧置输入接口具备2路HDMI、1路RS232、1路USB接口。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2、侧置输出接口具备1路音频输出、1路触控USB输出。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w:t>
            </w:r>
            <w:r>
              <w:rPr>
                <w:rFonts w:hint="eastAsia" w:ascii="宋体" w:hAnsi="宋体" w:eastAsia="宋体" w:cs="宋体"/>
                <w:strike w:val="0"/>
                <w:color w:val="auto"/>
                <w:kern w:val="0"/>
                <w:sz w:val="21"/>
                <w:szCs w:val="21"/>
                <w:highlight w:val="none"/>
                <w:lang w:bidi="ar"/>
              </w:rPr>
              <w:t>、前置输入接口3路USB接口（包含1路Type-C、2路USB）。</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4、支持通过Type-C接口U盘进行文件传输，兼容Type-C接口手机充电。</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5、整机采用一体设计，外部无任何可见内部功能模块连接线。边角采用弧形设计，表面无尖锐边缘或凸起。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6、整机采用全金属外壳设计，边框为金属一体成型。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7、整机屏幕边缘采用金属圆角包边防护，整机背板采用金属材质，有效屏蔽内部电路器件辐射；防潮耐盐雾蚀锈，适应多种教学环境。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三、屏幕显示以及扬声器设计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1、整机屏幕采用≥86英寸液晶显示器。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2、整机采用超高清LED液晶显示屏，显示比例16:9，分辨率3840×2160。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3、整机色域覆盖率（NTSC）≥72%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4、整机背光系统支持DC调光方式，多级亮度调节，支持白颜色背景下最暗亮度≤100nit，用于提升显示对比度。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5、灰阶等级≥256级。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6、整机屏幕蓝光占比（有害蓝光415～455nm能量综合）/（整体蓝光400～500能量综合）＜50%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7、支持标准、多媒体和节能三种图像模式调节。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8、支持自定义图像设置，可对对比度、屏幕色温、图像亮度、亮度范围、色彩空间调节设置。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10、整机视网膜蓝光危害（蓝光加权辐射亮度LB）满足IEC TR 62778:2014蓝光危害RG0级别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四、整体无线与网络功能设计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1、整机无需外接无线网卡，在Windows系统下可实现Wi-Fi无线上网连接、AP无线热点发射和BT蓝牙连接功能。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2、Wi-Fi和AP热点工作距离≥12m。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3、整机支持蓝牙Bluetooth 5.4标准，固件版本号HCI13.0/LMP13.0。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4、整机PC端支持主动发现蓝牙外设从而连接（无需整机进入发现模式），支持连接外部蓝牙音箱播放音频。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五、侧边栏教学设计要求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1、整机全通道侧边栏快捷菜单包含如下小工具：批注、降半屏、截屏、放大镜、倒计时、日历、聚光灯、秒表、冻屏、倒数日、答题、节拍器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2、整机全通道侧边栏快捷菜单小工具支持自定义，支持设置对应小工具的显示/隐藏。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3、整机全通道侧边栏支持使用批注小工具进行批注讲解，可切换书写笔颜色、截屏保存批注内容、清屏，可根据手与屏幕的接触面积自动调整板擦工具的大小。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4、整机全通道侧边栏支持将设备屏幕降低为半屏幕状态，点击上半屏幕可以返回全屏状态。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5、整机全通道侧边栏支持自行选择所需截取屏幕范围，点击截屏即可成功截取屏幕，并自动保存。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6、整机全通道侧边栏支持放大选中区域内容，并可支持对未选中区域关灯处理，实现聚光灯效果。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8、整机全通道侧边栏支持打开日历，查看日期。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9、整机全通道侧边栏支持聚光灯，支持聚光灯高亮区域大小调节、区域移动。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10、整机全通道侧边栏支持冻屏，将屏幕画面进行缩放。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11、整机安卓和外接通道下侧边栏支持设置倒数日。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（一）电脑系统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1、CPU：搭载Intel  酷睿系列≥ i5  12代或以上配置CPU。</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2、内存：8 GB DDR4笔记本内存或以上配置。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3、硬盘：256 GB或以上SSD固态硬盘。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4、采用按压式卡扣，无需工具即可快速拆卸电脑模块。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5、PC 模块可抽拉式插入整机，可实现无单独接线的拔插。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6、具有独立非外拓展的视频输出接口：≥1 路 HDMI。</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7、具有独立非外拓展的电脑 USB 接口：至少具备 4个USB3.0 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8、具有标准 PC 防盗锁孔，确保电脑模块安全防盗。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9、和整机的连接采用万兆级接口，传输速率≥10Gbps。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10、和整机的连接接口针脚数≤40pin。</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（二）触摸系统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1、支持Windows 7、Windows 8、Windows 10、Windows11、Linux、Mac Os、UOS和麒麟系统外置电脑操作系统接入时，无需安装触摸驱动。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2、触摸分辨率32768×32768。</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3、书写触控延迟≤25ms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4、整机触控书写功能集成预测算法，在书写速度≥50cm/s，支持笔迹距离笔的距离小于20mm。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5、触摸响应≤4ms。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6、触摸最小识别物≤3mm。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7、整机屏幕触摸有效识别高度不超过3mm，即触摸物体距离玻璃外表面高度不超过3mm时，触摸屏识别为点击操作。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8、整机支持提笔书写，在Windows系统下可实现无需点击任意功能入口，当检测到红外笔笔尖接触屏幕时，自动进入书写模式。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9、整机支持手笔分离，通过提笔即写唤醒批注功能后，可进行手笔分离功能，使用笔正常书写，使用手指可以操作应用，进行点击操作。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10、整机触摸支持动态压力感应，支持无任何电子功能的普通书写笔在整机上书写或点压时，整机能感应压力变化，书写或点压过程</w:t>
            </w:r>
            <w:r>
              <w:rPr>
                <w:rFonts w:hint="eastAsia" w:ascii="宋体" w:hAnsi="宋体" w:eastAsia="宋体" w:cs="宋体"/>
                <w:strike w:val="0"/>
                <w:color w:val="auto"/>
                <w:kern w:val="0"/>
                <w:sz w:val="21"/>
                <w:szCs w:val="21"/>
                <w:highlight w:val="none"/>
                <w:lang w:bidi="ar"/>
              </w:rPr>
              <w:t>笔迹呈现不同粗细。</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（三）安卓系统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、整机嵌入式系统版本≥Android 14，主频≥1.8GHz，内存≥2GB，存储空间≥8GB。</w:t>
            </w:r>
          </w:p>
          <w:p w14:paraId="39B205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2、嵌入式Android操作系统下，白板支持对已经书写的笔迹和形状和颜色进行更换。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3、在嵌入式系统下使用白板软件时，整机可自行调节屏幕亮度。</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4、嵌入式Android操作系统下，互动白板支持不同背景颜色，同时提供学科背景，如：五线谱、信纸、田字格、英文格、篮球和足球场地平面图。</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6、无PC状态下，嵌入式系统内置互动白板支持全局漫游，并能在工具栏中对全局内容进行预览和移动。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7、无PC状态下，嵌入式Android 操作系统下可使用白板书写、WPS 软件和网页浏览</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8、在嵌入式Android操作系统下，能对TV多媒体USB所读取到的文件进行自动归类，可分类查找文档、板书、图片、音视频，检索后可直接在界面中打开。</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七、教学桌面设计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1、整机设备开机启动后，自动进入教学桌面，支持账号登录、退出，自动获取个人云端教学课件列表、并可进入全部课件列表。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2、整机设备支持多种身份识别方式，支持通过账号登录、手机扫码登录，并支持账号安全登录检测。</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3、整机设备支持统一互通的用户身份认证服务，账号登录后，打开教学白板软件教学应用工具时无需再次输入账号密码重复登录。</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八、整机硬件设计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1、三合一电源按键，同一电源物理按键完成Android系统和Windows系统的开机、节能熄屏、关机操作；关机状态下按按键开机；开机状态下按按键实现节能熄屏/唤醒，长按按键实现关机。</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2、整机具备至少6个前置按键，可实现开关机、调出中控菜单、音量+/-、护眼、录屏操作。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3、支持经典护眼模式，可通过前置面板物理功能按键一键启用经典护眼模式。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4、设备支持通过前置面板物理按键一键启动录屏功能，可将屏幕中显示的课件、音频内容与人声同时录制。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5、前置 USB 接口具备防撞挡板设计，防撞挡板采用转轴式翻转。</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6、整机支持5个自定义前置按键</w:t>
            </w:r>
            <w:r>
              <w:rPr>
                <w:rFonts w:hint="eastAsia" w:ascii="宋体" w:hAnsi="宋体" w:eastAsia="宋体" w:cs="宋体"/>
                <w:strike w:val="0"/>
                <w:color w:val="auto"/>
                <w:kern w:val="0"/>
                <w:sz w:val="21"/>
                <w:szCs w:val="21"/>
                <w:lang w:bidi="ar"/>
              </w:rPr>
              <w:t>，“设置”、“音量-”，“音量+”，“录屏”“护眼”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7、整机内置2.2声道扬声器，位于设备上边框，顶置朝前发声，前</w:t>
            </w:r>
            <w:r>
              <w:rPr>
                <w:rFonts w:hint="eastAsia" w:ascii="宋体" w:hAnsi="宋体" w:eastAsia="宋体" w:cs="宋体"/>
                <w:strike w:val="0"/>
                <w:color w:val="auto"/>
                <w:kern w:val="0"/>
                <w:sz w:val="21"/>
                <w:szCs w:val="21"/>
                <w:highlight w:val="none"/>
                <w:lang w:bidi="ar"/>
              </w:rPr>
              <w:t>朝向10W高音扬声器2个，上朝向20W中低音扬声器2个，额定总功率60W。</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8、整机可选择高级音效设置，支持在左右声道平衡显示范围中进行更改；中低频段显示调节范围125Hz～1KHz，高频段显示调节范围 2KHz～16KHz，分贝显示-12dB～12dB 调节范围。</w:t>
            </w:r>
          </w:p>
          <w:p w14:paraId="1C77C7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9、整机内置非独立外扩展的4阵列麦克风，可用于对教室环</w:t>
            </w:r>
            <w:r>
              <w:rPr>
                <w:rFonts w:hint="eastAsia" w:ascii="宋体" w:hAnsi="宋体" w:eastAsia="宋体" w:cs="宋体"/>
                <w:strike w:val="0"/>
                <w:color w:val="auto"/>
                <w:kern w:val="0"/>
                <w:sz w:val="21"/>
                <w:szCs w:val="21"/>
                <w:lang w:bidi="ar"/>
              </w:rPr>
              <w:t>境音频进行采集，麦克风拾音距离≥12米。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10、整机内置扬声器采用缝隙发声技术，喇叭采用槽式开口设计，不大于5.8mm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11、整机扬声器在100%音量下，可做到1米处声压级≥88db，10米处声压级≥79dB</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12、内置摄像头、麦克风无需外接线材连接，无任何可见外接线材及模块化拼接痕迹，未占用整机设备端口。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14、整机内置摄像头（非外扩），PC通道下支持通过视频展台软件调用摄像头进行二维码扫码识别。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15、具备摄像头工作指示灯，摄像头运行时，有指示灯提示。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16、整机上边框内置非独立摄像头，采用一体化集成设计，可拍摄≥1300万像素数的照片，可拍摄输出4K分辨率的视频。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17、整机摄像头对角线视场角≥120度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18、整机内置非独立的高清摄像头，可用于远程巡课。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19、整机摄像头支持人脸识别、清点人数、随机抽人；识别所有学生，显示标记，然后随机抽选，同时显示标记不少于60人。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九、设备运维管理系统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7F15D8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2. 设备治理建议：支持自定义设备类型及数量，掌握校内设备资</w:t>
            </w:r>
            <w:r>
              <w:rPr>
                <w:rFonts w:hint="eastAsia" w:ascii="宋体" w:hAnsi="宋体" w:eastAsia="宋体" w:cs="宋体"/>
                <w:strike w:val="0"/>
                <w:color w:val="auto"/>
                <w:kern w:val="0"/>
                <w:sz w:val="21"/>
                <w:szCs w:val="21"/>
                <w:lang w:bidi="ar"/>
              </w:rPr>
              <w:t>产分布情况；支持根据老师、学科、设备三大维度查看设备使用排行，并提供信息化设备利用率提升指南。支持查看本校常用软件、网址</w:t>
            </w:r>
            <w:r>
              <w:rPr>
                <w:rFonts w:hint="eastAsia" w:ascii="宋体" w:hAnsi="宋体" w:eastAsia="宋体" w:cs="宋体"/>
                <w:strike w:val="0"/>
                <w:color w:val="auto"/>
                <w:kern w:val="0"/>
                <w:sz w:val="21"/>
                <w:szCs w:val="21"/>
                <w:highlight w:val="none"/>
                <w:lang w:bidi="ar"/>
              </w:rPr>
              <w:t>访问排行、全校设备画面截图；支持查看设备网络负载、硬件负载情况，并提供网络优化、硬件升级指南。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3. 批量磁盘清理：支持远程批量清理设备磁盘；支持清理指定磁盘的指定文件夹；支持清理系统盘备份、缓存、日志等文件；支持迁移系统盘视频、图片、音乐、文档文件；支持格式化非系统盘磁盘。</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 冰点还原及穿透：支持远程向已冰冻的设备发送指令、安装软件，在设备正常关机时触发穿透动作，穿透完成后，设备即可使用已安装软件、执行已接收指令，且穿透过程中无需人为解冻。</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5. 弹窗拦截：支持一键开启拦截能力；支持查看已上报的所有疑似风险窗口和上报次数，并支持拦截某个应用所有窗口、某个</w:t>
            </w:r>
            <w:r>
              <w:rPr>
                <w:rFonts w:hint="eastAsia" w:ascii="宋体" w:hAnsi="宋体" w:eastAsia="宋体" w:cs="宋体"/>
                <w:strike w:val="0"/>
                <w:color w:val="auto"/>
                <w:kern w:val="0"/>
                <w:sz w:val="21"/>
                <w:szCs w:val="21"/>
                <w:lang w:bidi="ar"/>
              </w:rPr>
              <w:t>具体窗口；支持将某个应用、某个具体窗口加入白名单，不对软件进行拦截。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 流量监管：支持查看校内当日班班通设备流量使用的具体情况、带宽利用率；支持对设备进行限速设置。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EDF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522F09F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DB4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32C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eastAsia="zh-CN" w:bidi="ar"/>
              </w:rPr>
              <w:t>多媒体教学专用控制设备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63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F9D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5CC4B">
            <w:pPr>
              <w:keepNext w:val="0"/>
              <w:keepLines w:val="0"/>
              <w:pageBreakBefore w:val="0"/>
              <w:widowControl/>
              <w:numPr>
                <w:ilvl w:val="0"/>
                <w:numId w:val="9"/>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配套</w:t>
            </w:r>
            <w:r>
              <w:rPr>
                <w:rFonts w:hint="eastAsia" w:ascii="宋体" w:hAnsi="宋体" w:eastAsia="宋体" w:cs="宋体"/>
                <w:strike w:val="0"/>
                <w:color w:val="auto"/>
                <w:kern w:val="0"/>
                <w:sz w:val="21"/>
                <w:szCs w:val="21"/>
                <w:lang w:eastAsia="zh-CN" w:bidi="ar"/>
              </w:rPr>
              <w:t>多媒体教学专用控制设备</w:t>
            </w:r>
            <w:r>
              <w:rPr>
                <w:rFonts w:hint="eastAsia" w:ascii="宋体" w:hAnsi="宋体" w:eastAsia="宋体" w:cs="宋体"/>
                <w:strike w:val="0"/>
                <w:color w:val="auto"/>
                <w:kern w:val="0"/>
                <w:sz w:val="21"/>
                <w:szCs w:val="21"/>
                <w:lang w:bidi="ar"/>
              </w:rPr>
              <w:t>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w:t>
            </w:r>
            <w:r>
              <w:rPr>
                <w:rFonts w:hint="eastAsia" w:ascii="宋体" w:hAnsi="宋体" w:eastAsia="宋体" w:cs="宋体"/>
                <w:strike w:val="0"/>
                <w:color w:val="auto"/>
                <w:kern w:val="0"/>
                <w:sz w:val="21"/>
                <w:szCs w:val="21"/>
                <w:highlight w:val="none"/>
                <w:lang w:bidi="ar"/>
              </w:rPr>
              <w:t>、整机最大外形尺寸≤260 * 289 * 47（mm）；</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2、整机正面采用铝合金外壳设计，外部无任何可见的内部功能模块连接线；采用顶部出线，出线接口使用线槽屏蔽盖；</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3、整机采用一体设计，产品边缘采用圆角包边防护；背板采用金属材质，有效屏蔽内部电路器件辐射；</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4、整机壁挂式固定方式，挂壁后使用螺丝进行锁紧固定，避免模块脱落；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5、整机接口非外接拓展，不少于2路千兆以太网交换接口，一路连接外网（学校网络），一路连接多媒体教学设备；</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 xml:space="preserve">6、不少于3路支持PoE功能的千兆以太网接口，支持级联PoE功能的网络摄像机和阵列麦克风；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7、不少于1路MicroSD卡接口，支持通过MicroSD卡升级整机系统软</w:t>
            </w:r>
            <w:r>
              <w:rPr>
                <w:rFonts w:hint="eastAsia" w:ascii="宋体" w:hAnsi="宋体" w:eastAsia="宋体" w:cs="宋体"/>
                <w:strike w:val="0"/>
                <w:color w:val="auto"/>
                <w:kern w:val="0"/>
                <w:sz w:val="21"/>
                <w:szCs w:val="21"/>
                <w:highlight w:val="none"/>
                <w:lang w:bidi="ar"/>
              </w:rPr>
              <w:t>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8、不少于1路Type-C 接口，支持调试和控制功能；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9、整机支持红绿双色工作状态LED指示灯；绿色常亮表示正常工作；红色常亮代表故障；红色闪烁代表系统处于升级过程；</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10、整机底部支持独立按键；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11、在休眠模式下，短按唤醒算力模块；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12、在任何情况下长按底部按键5秒以上，系统重启；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13、整机内置网卡，支持2路网口连接以太网，实现有线上网功能；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整机内置独立千兆网络交换机，满足外接的多媒体教学设备（一体机/智慧黑板），实现与AI算力模块单元之间通信；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14、整机处理器内核不低于8核A53内核芯片，主频≥2.3GHz；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15、整机系统支持不低于linux 5.4，采用LPDDR4内存，内存容量大于等于16GB；采用SSD存储，支持TCG-OPAL 2.0硬件加密功能，存</w:t>
            </w:r>
            <w:r>
              <w:rPr>
                <w:rFonts w:hint="eastAsia" w:ascii="宋体" w:hAnsi="宋体" w:eastAsia="宋体" w:cs="宋体"/>
                <w:strike w:val="0"/>
                <w:color w:val="auto"/>
                <w:kern w:val="0"/>
                <w:sz w:val="21"/>
                <w:szCs w:val="21"/>
                <w:highlight w:val="none"/>
                <w:lang w:bidi="ar"/>
              </w:rPr>
              <w:t>储容量大于等于256GB；</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★16、整机采用国产AI算力芯片，峰值算力不低于32TOPS@INT8峰值算力，支持H.264&amp;H.265解码格式，解码能力支持32x1080P@25fps，8x4K@25fps，不低于8K ；编码能力不低于12x1080P@25fps, 不低于3x4K@25fps，不低于8K。支持JPEG图片编解码：1080P@600fps，不低于32768*32768。（提供证明材料：包括但不限于厂家证明或功能截图</w:t>
            </w:r>
            <w:r>
              <w:rPr>
                <w:rFonts w:hint="eastAsia" w:ascii="宋体" w:hAnsi="宋体" w:cs="宋体"/>
                <w:strike w:val="0"/>
                <w:color w:val="auto"/>
                <w:kern w:val="0"/>
                <w:sz w:val="21"/>
                <w:szCs w:val="21"/>
                <w:highlight w:val="none"/>
                <w:lang w:val="en-US" w:eastAsia="zh-CN" w:bidi="ar"/>
              </w:rPr>
              <w:t>等</w:t>
            </w:r>
            <w:r>
              <w:rPr>
                <w:rFonts w:hint="eastAsia" w:ascii="宋体" w:hAnsi="宋体" w:eastAsia="宋体" w:cs="宋体"/>
                <w:strike w:val="0"/>
                <w:color w:val="auto"/>
                <w:kern w:val="0"/>
                <w:sz w:val="21"/>
                <w:szCs w:val="21"/>
                <w:highlight w:val="none"/>
                <w:lang w:bidi="ar"/>
              </w:rPr>
              <w:t>并加盖供应商公章）</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★17、整机存储器支持TCG-OPAL 2.0硬件加密功能，既不影响硬盘读写性能又保障用户数据安全，每一块存储器密钥均根据特定算法生成，和设备一一绑定；（提供证明材料：包括但不限于厂家证明或功能截图</w:t>
            </w:r>
            <w:r>
              <w:rPr>
                <w:rFonts w:hint="eastAsia" w:ascii="宋体" w:hAnsi="宋体" w:cs="宋体"/>
                <w:strike w:val="0"/>
                <w:color w:val="auto"/>
                <w:kern w:val="0"/>
                <w:sz w:val="21"/>
                <w:szCs w:val="21"/>
                <w:highlight w:val="none"/>
                <w:lang w:val="en-US" w:eastAsia="zh-CN" w:bidi="ar"/>
              </w:rPr>
              <w:t>等</w:t>
            </w:r>
            <w:r>
              <w:rPr>
                <w:rFonts w:hint="eastAsia" w:ascii="宋体" w:hAnsi="宋体" w:eastAsia="宋体" w:cs="宋体"/>
                <w:strike w:val="0"/>
                <w:color w:val="auto"/>
                <w:kern w:val="0"/>
                <w:sz w:val="21"/>
                <w:szCs w:val="21"/>
                <w:highlight w:val="none"/>
                <w:lang w:bidi="ar"/>
              </w:rPr>
              <w:t>并加盖供应商公章）</w:t>
            </w:r>
            <w:r>
              <w:rPr>
                <w:rFonts w:hint="eastAsia" w:ascii="宋体" w:hAnsi="宋体" w:eastAsia="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18、整机支持通过web管理后台实现定时开关机、远程关机功能</w:t>
            </w:r>
            <w:r>
              <w:rPr>
                <w:rFonts w:hint="eastAsia" w:ascii="宋体" w:hAnsi="宋体" w:eastAsia="宋体" w:cs="宋体"/>
                <w:strike w:val="0"/>
                <w:color w:val="auto"/>
                <w:kern w:val="0"/>
                <w:sz w:val="21"/>
                <w:szCs w:val="21"/>
                <w:lang w:bidi="ar"/>
              </w:rPr>
              <w:t>、查看设备在线状态；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支持云端在线系统固件升级。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19、整机处于无任务并无人操作状态下，5分钟后自动进入低功耗模式；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支持AC220V独立供电，功耗≤80W；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二、AI授课功能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对输入的图片内容，智能识别试题，实现智能预判并提供对应的工具和资源;支持智能切割题目，可对单题进行讲解和批注，也可翻页查看其他试题;识别存在的手写笔迹，支持一键抠除笔迹;识别存在的几何图形(如长方体、立方体、圆柱体、圆锥、组合图形等)，支持获取具体的几何图形的三维尺寸比例(如长、宽、高)，并可对 2D 图片进行3D 重建:支持自由调整几何体的尺寸，包括按比例缩放、单独修改长宽高(对于圆柱体和圆锥体则是半径和高);支持为几何体的各个面和棱涂不同的颜色，并可360°旋转视角观察涂色面与未涂色面，支持通过平面展开图展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2、对输入的图片内容，智能识别小学语文教材内容，并提取教材中的文本生成课文的朗读</w:t>
            </w:r>
          </w:p>
          <w:p w14:paraId="74CCD6E9">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3、音频:支持定位到课文中的生词表，提取生词卡并可展示其部首、读音、笔画顺序和数量，还可分步展示和连续展示笔画书写。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4、智能识别输入的书写笔迹，进行笔锋智能美化，模拟纸上书写的起笔、行笔和收笔等效果。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智能识别批注输入的内容类型:提取中文字符、英文词语、数学公式等结构化元素，并映射为相应的学科工具，如几何图形、汉字卡、单词卡和函数等。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07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BBEF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CDA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2D4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视频展台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460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C0D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93E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2、A4大小拍摄幅面，1080P动态视频预览达到30帧/秒；托板及挂墙部分采用金属加强，托板可承重3kg，整机壁挂式安装。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3、支持展台成像画面实时批注，预设多种笔划粗细及颜色供选择，且支持对展台成像画面联同批注内容进行同步缩放、移动。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5、具有故障自动检测功能：在调用展台却无法出现镜头采集画面信号时，可自动出现检测链接，并给出导致性原因（如硬件连接、摄像头占用、配套软件版本等问题）。</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7FB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67CB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5D0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23D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智能交互一体机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C41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C3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792D1">
            <w:pPr>
              <w:keepNext w:val="0"/>
              <w:keepLines w:val="0"/>
              <w:pageBreakBefore w:val="0"/>
              <w:widowControl/>
              <w:numPr>
                <w:ilvl w:val="0"/>
                <w:numId w:val="10"/>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cs="宋体"/>
                <w:strike w:val="0"/>
                <w:color w:val="auto"/>
                <w:kern w:val="0"/>
                <w:sz w:val="21"/>
                <w:szCs w:val="21"/>
                <w:highlight w:val="none"/>
                <w:lang w:eastAsia="zh-CN" w:bidi="ar"/>
              </w:rPr>
            </w:pPr>
            <w:r>
              <w:rPr>
                <w:rFonts w:hint="eastAsia" w:ascii="宋体" w:hAnsi="宋体" w:eastAsia="宋体" w:cs="宋体"/>
                <w:strike w:val="0"/>
                <w:color w:val="auto"/>
                <w:kern w:val="0"/>
                <w:sz w:val="21"/>
                <w:szCs w:val="21"/>
                <w:highlight w:val="none"/>
                <w:lang w:bidi="ar"/>
              </w:rPr>
              <w:t>硬件</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1.智能交互平板显示尺寸≧86英寸，分辨率：3840*2160 ，采用红外触控技术，在Andrord、Windows、国产化系统下均支持40点同时触控</w:t>
            </w:r>
            <w:r>
              <w:rPr>
                <w:rFonts w:hint="eastAsia" w:ascii="宋体" w:hAnsi="宋体" w:cs="宋体"/>
                <w:strike w:val="0"/>
                <w:color w:val="auto"/>
                <w:kern w:val="0"/>
                <w:sz w:val="21"/>
                <w:szCs w:val="21"/>
                <w:highlight w:val="none"/>
                <w:lang w:eastAsia="zh-CN" w:bidi="ar"/>
              </w:rPr>
              <w:t>；</w:t>
            </w:r>
          </w:p>
          <w:p w14:paraId="64A93DF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cs="宋体"/>
                <w:strike w:val="0"/>
                <w:color w:val="auto"/>
                <w:kern w:val="0"/>
                <w:sz w:val="21"/>
                <w:szCs w:val="21"/>
                <w:highlight w:val="none"/>
                <w:lang w:eastAsia="zh-CN" w:bidi="ar"/>
              </w:rPr>
            </w:pPr>
            <w:r>
              <w:rPr>
                <w:rFonts w:hint="eastAsia" w:ascii="宋体" w:hAnsi="宋体" w:cs="宋体"/>
                <w:strike w:val="0"/>
                <w:color w:val="auto"/>
                <w:kern w:val="0"/>
                <w:sz w:val="21"/>
                <w:szCs w:val="21"/>
                <w:lang w:val="en-US" w:eastAsia="zh-CN" w:bidi="ar"/>
              </w:rPr>
              <w:t>2.</w:t>
            </w:r>
            <w:r>
              <w:rPr>
                <w:rFonts w:hint="eastAsia" w:ascii="宋体" w:hAnsi="宋体" w:eastAsia="宋体" w:cs="宋体"/>
                <w:strike w:val="0"/>
                <w:color w:val="auto"/>
                <w:kern w:val="0"/>
                <w:sz w:val="21"/>
                <w:szCs w:val="21"/>
                <w:lang w:bidi="ar"/>
              </w:rPr>
              <w:t xml:space="preserve">智能交互平板表面玻璃应采用高强度钢化玻璃，玻璃厚度≤3.2mm，硬度可达莫氏7级，大于石墨1-9H等级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3.智能交互平板采用全贴合设计。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4.智能交互平板前面板至少具备1路HDMI接口（非转接），2路USB3.0接口，1路USB Type-c接口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5.整机后置接口RJ45≥1路，音频输出≥1路，RS232≥1路</w:t>
            </w:r>
            <w:r>
              <w:rPr>
                <w:rFonts w:hint="eastAsia" w:ascii="宋体" w:hAnsi="宋体" w:cs="宋体"/>
                <w:strike w:val="0"/>
                <w:color w:val="auto"/>
                <w:kern w:val="0"/>
                <w:sz w:val="21"/>
                <w:szCs w:val="21"/>
                <w:highlight w:val="none"/>
                <w:lang w:eastAsia="zh-CN" w:bidi="ar"/>
              </w:rPr>
              <w:t>。</w:t>
            </w:r>
          </w:p>
          <w:p w14:paraId="7B8E01A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lang w:val="en-US" w:eastAsia="zh-CN" w:bidi="ar"/>
              </w:rPr>
              <w:t>6.</w:t>
            </w:r>
            <w:r>
              <w:rPr>
                <w:rFonts w:hint="eastAsia" w:ascii="宋体" w:hAnsi="宋体" w:eastAsia="宋体" w:cs="宋体"/>
                <w:strike w:val="0"/>
                <w:color w:val="auto"/>
                <w:kern w:val="0"/>
                <w:sz w:val="21"/>
                <w:szCs w:val="21"/>
                <w:lang w:bidi="ar"/>
              </w:rPr>
              <w:t>智能交互平板具有通屏笔槽结构，可放置书写笔、粉笔、水性笔</w:t>
            </w:r>
            <w:r>
              <w:rPr>
                <w:rFonts w:hint="eastAsia" w:ascii="宋体" w:hAnsi="宋体" w:eastAsia="宋体" w:cs="宋体"/>
                <w:strike w:val="0"/>
                <w:color w:val="auto"/>
                <w:kern w:val="0"/>
                <w:sz w:val="21"/>
                <w:szCs w:val="21"/>
                <w:highlight w:val="none"/>
                <w:lang w:bidi="ar"/>
              </w:rPr>
              <w:t>等。</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7.智能交互平板前置中文按键≥7个，可实现音量加减、窗口关闭、触控开关等功能，且按键均具备两种及以上明确的功能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8.智能交互平板内置Wi-Fi6无线网卡，可实现Wi-Fi无线上网连接、AP无线热点发射，支持无线设备同时连接数量≥20个。</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9.整机内置蓝牙Bluetooth 5.4模块，支持连接外部蓝牙音箱播放音频。</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10.在任意信号源下，从屏幕下方任意位置向上滑动，可调用快捷设置菜单；无需切换系统，可快速调节Windows 和Android 的设置，并支持拖拽到屏幕任意位置。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11.前置U盘接口需采用隐藏式设计，具有翻转式防护盖板。为方便不同厚度U盘接入，开合角度≥100°。</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12.智能交互平板具备前置电脑还原按键，为避免误碰按键采用针孔式设计，并配有中文标识。</w:t>
            </w:r>
            <w:r>
              <w:rPr>
                <w:rFonts w:hint="eastAsia" w:ascii="宋体" w:hAnsi="宋体" w:eastAsia="宋体" w:cs="宋体"/>
                <w:strike w:val="0"/>
                <w:color w:val="auto"/>
                <w:kern w:val="0"/>
                <w:sz w:val="21"/>
                <w:szCs w:val="21"/>
                <w:highlight w:val="yellow"/>
                <w:lang w:bidi="ar"/>
              </w:rPr>
              <w:br w:type="textWrapping"/>
            </w:r>
            <w:r>
              <w:rPr>
                <w:rFonts w:hint="eastAsia" w:ascii="宋体" w:hAnsi="宋体" w:eastAsia="宋体" w:cs="宋体"/>
                <w:strike w:val="0"/>
                <w:color w:val="auto"/>
                <w:kern w:val="0"/>
                <w:sz w:val="21"/>
                <w:szCs w:val="21"/>
                <w:highlight w:val="none"/>
                <w:lang w:bidi="ar"/>
              </w:rPr>
              <w:t>13.扬声器采用针孔阵列发声设计，智能交互平板下边框具有4个发声单元，总功率≥40W, 谐振频率不高于260Hz。</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14.扬声器在100%音量下，1米处声压级≥90dB，10米处声压级≥80dB；</w:t>
            </w:r>
          </w:p>
          <w:p w14:paraId="632D3C70">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5.智能交互平板具备≥12核芯片驱动， Android 系统版本≥14.0，内存≥2G，存储≥8G。</w:t>
            </w:r>
          </w:p>
          <w:p w14:paraId="20437262">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w:t>
            </w:r>
            <w:r>
              <w:rPr>
                <w:rFonts w:hint="eastAsia" w:ascii="宋体" w:hAnsi="宋体" w:eastAsia="宋体" w:cs="宋体"/>
                <w:strike w:val="0"/>
                <w:color w:val="auto"/>
                <w:kern w:val="0"/>
                <w:sz w:val="21"/>
                <w:szCs w:val="21"/>
                <w:highlight w:val="none"/>
                <w:lang w:bidi="ar"/>
              </w:rPr>
              <w:t>6.内置一体化超高清5K摄像头，单颗摄像头有效像素≥1900W，可输出最大分辨率5104*3864的图片与视频，支持搭配AI软件实现自动点名点数功能。</w:t>
            </w:r>
          </w:p>
          <w:p w14:paraId="7D32659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cs="宋体"/>
                <w:strike w:val="0"/>
                <w:color w:val="auto"/>
                <w:kern w:val="0"/>
                <w:sz w:val="21"/>
                <w:szCs w:val="21"/>
                <w:highlight w:val="none"/>
                <w:lang w:val="en-US" w:eastAsia="zh-CN" w:bidi="ar"/>
              </w:rPr>
              <w:t>17.</w:t>
            </w:r>
            <w:r>
              <w:rPr>
                <w:rFonts w:hint="eastAsia" w:ascii="宋体" w:hAnsi="宋体" w:eastAsia="宋体" w:cs="宋体"/>
                <w:strike w:val="0"/>
                <w:color w:val="auto"/>
                <w:kern w:val="0"/>
                <w:sz w:val="21"/>
                <w:szCs w:val="21"/>
                <w:highlight w:val="none"/>
                <w:lang w:bidi="ar"/>
              </w:rPr>
              <w:t>智能交互平板左右两侧可提供与教学应用密切相关的快捷键，数量各不少于15个，并支持单侧显示、双侧同时显示，该快捷键至少具有关闭窗口、展台、桌面、多屏互动等教学常用按键。</w:t>
            </w:r>
            <w:r>
              <w:rPr>
                <w:rFonts w:hint="eastAsia" w:ascii="宋体" w:hAnsi="宋体" w:eastAsia="宋体" w:cs="宋体"/>
                <w:strike w:val="0"/>
                <w:color w:val="auto"/>
                <w:kern w:val="0"/>
                <w:sz w:val="21"/>
                <w:szCs w:val="21"/>
                <w:lang w:bidi="ar"/>
              </w:rPr>
              <w:t xml:space="preserve">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▲18.智能交互平板具有悬浮菜单，两指可快速移动悬浮菜单至按压位置，悬浮菜单可进行自定义分组，可添加AI互动软件等不少于20个应用。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19.智能交互平板触摸支持动态压力模拟，支持无任何电子功能的普通书写笔，在交互平板上书写或点压时，整机能感应压力变化，书写或点压过程笔迹呈现不同粗细。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20.安卓白板软件具备面积识别功能，通过接触交互设备的面积大小实现智能擦除、粗细笔迹书写。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21. 智能交互平板采用硬件低蓝光背光技术，在源头减少有害蓝光波段能量，蓝光占比（有害蓝光415～455nm能量综合）/（整体蓝光400～500能量综合）＜50%。</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22.智能交互平板全通道支持纸质护眼模式，可实现画面纹理的实时调整；支持纸质纹理：素描纸、宣纸、水彩纸；支持透明度调节与色温调节；显示画面各像素点灰度不规则，减少背景干扰。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23.通过五指抓取屏幕任意位置可调出多任务处理窗口，并对正在运行的应用进行浏览、快速切换或结束进程。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24.具备ECO光感模块，在关闭推拉黑板，可自动进入黑屏节能模式，并可自主选择时间间隔。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25. 智能交互平板背光系统支持DC调光方式，多级亮度调节。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二、内置电脑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1.80pin Intel通用标准接口,即插即用，易于维护；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2.CPU采用Intel酷睿I5处理器；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3.内存：≥8G DDR4；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4.硬盘：≥256G SSD固态硬盘；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5.接口：整机非外扩展具备5个USB接口；具有独立非外扩展的视频输出接口：≥1路HDMI等；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三、系统管家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1.部署简单，设备连通互联网，输入对应学校编码，自动识别终端设备类型，完成部署；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2.系统依据学校名称自动生成学校编码，支持扫描二维码查询学校编码；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3.窗口支持最小化隐藏到系统托盘，不影响教师日常使用；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4.一键查看设备连接信息，包含Windows/office版本，硬盘、CPU、蓝牙状态（关闭状态下可进行开启）、内存、网络状态、OPS S/N号、固件版本号；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5.系统还原、备份：一键备份数据并可系统还原至最新备份系统，解决系统异常等问题，如无最新备份系统，备份还原状态需要与硬件一键备份还原保持一致；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6.弹窗拦截：提供广告拦截 ，对广告弹窗实现一键拦截，默认直接开启拦截；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7.查看各软件弹窗拦截次数，拦截数量，所有拦截记录等，可提供软件拦截名单；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8.看直播：展示该终端可看到的所有直播，在直播时间内，可进入直播进行观看；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9.驱动程序：自动识别设备，获取当前设备驱动，可下载、升级至最新驱动；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10.支持终端自动升级；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四、白板教学系统：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1.提供备授课模式；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2.支持结合PPT或WPS教学；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3.可以提供多种工具，至少包括录屏或微课工具、课堂游戏、通用工具、思维导图、播放器、活动组件、课堂活动、电子黑板贴等；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4.书写功能：提供多种笔迹的对应功能；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5.云存储功能：支持课件云存储和下载；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6.学科专用工具：提供学科教学工具，至少包括语文、数学、英语三科；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7.提供本地或网络教学资源，满足基础教学需求；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8.支持通过手机端与交互智能平板进行互动，包括拍照上传、传屏、直播、远程打开课件等功能；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授课时可打开多个文件窗口；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五、资源平台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w:t>
            </w:r>
            <w:r>
              <w:rPr>
                <w:rFonts w:hint="eastAsia" w:ascii="宋体" w:hAnsi="宋体" w:eastAsia="宋体" w:cs="宋体"/>
                <w:strike w:val="0"/>
                <w:color w:val="auto"/>
                <w:kern w:val="0"/>
                <w:sz w:val="21"/>
                <w:szCs w:val="21"/>
                <w:highlight w:val="none"/>
                <w:lang w:bidi="ar"/>
              </w:rPr>
              <w:t>一）备课模式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1.老师个人账号无需完成特定任务，即可获取不少于200GB云端存储空间，可扩展至3TB云存储空间。</w:t>
            </w:r>
          </w:p>
          <w:p w14:paraId="1B45530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highlight w:val="none"/>
                <w:lang w:bidi="ar"/>
              </w:rPr>
              <w:t>2.提供预置的课件素材，允许老师在</w:t>
            </w:r>
            <w:r>
              <w:rPr>
                <w:rFonts w:hint="eastAsia" w:ascii="宋体" w:hAnsi="宋体" w:eastAsia="宋体" w:cs="宋体"/>
                <w:strike w:val="0"/>
                <w:color w:val="auto"/>
                <w:kern w:val="0"/>
                <w:sz w:val="21"/>
                <w:szCs w:val="21"/>
                <w:lang w:bidi="ar"/>
              </w:rPr>
              <w:t>网页端、移动端、电脑端进行内容的选择与组合，快速生成课件并浏览，所有制作的课件均实时保存至云端，老师只需登录即可查看。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3.支持老师根据教材章节目录、知识点选择对应的教学内容。老师仅需要按每个教学环节选择所需的教学模块即可快速生成一份课件。每个课时均提供过量的教学内容模块，满足老师的个性化需求。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4.教学模块提供教学设计和课件内容，部分课件提供课件批注，帮助老师更好地选择、运用课件内容。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5.支持教师对课件知识点进行评价。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6.软件支持单独PPT 导入功能，并支持导入进度条提示功能，可查看当前导入进度，上传完成后具有中文提供功能。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7.提供模块化的课件素材和教案，学科涵盖小学语文、初中语文、小学数学、初中数学、高中数学、小学英语、初中英语、小学科学、初中物理、初中化学等学科 (教材版本覆盖部编版、人教版、教科版、外研新标准版、北师大版、冀教版、中图版等教材版本)，课件支持组选：课堂导入，知识讲解，例题与变式，拓展延伸，课外活动等，课件总课时量不低于 3600 个课时。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8.提供语文生字卡片、英语生词卡片、化学工具编辑器、数学工具编辑器、物理仿真实验、英文手写识别等学课工具。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提供知识配对、分类、填空、连词成句、翻翻卡、消消乐等8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10.可插入音频，支持对音频的剪辑，可拖动或输入音频的开始和结束位置。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11.可插入表格，表格支持设置行列数，在表格上可以进行行列的添加、删除、合并和拆分，可编辑文字格式和表格格式。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12.可插入思维导图，包括逻辑图和组织结构图，思维导图可添加同级节点、下级节点上级节点，可编辑文字格式和思维导图格式。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帮助学校组建自有教研体系，实现线上校本协同教研的工具，学校管理员和教研员可以发布教研任务，选择主备教师和参与教师，主备教师组织参与老师在线协同教研并上传教研任务资料，同一个教研任务下的资料可以互相查看、下载、分享，最终的教研成果可以</w:t>
            </w:r>
            <w:r>
              <w:rPr>
                <w:rFonts w:hint="eastAsia" w:ascii="宋体" w:hAnsi="宋体" w:eastAsia="宋体" w:cs="宋体"/>
                <w:strike w:val="0"/>
                <w:color w:val="auto"/>
                <w:kern w:val="0"/>
                <w:sz w:val="21"/>
                <w:szCs w:val="21"/>
                <w:highlight w:val="none"/>
                <w:lang w:bidi="ar"/>
              </w:rPr>
              <w:t>保存到校本资源云平台，沉淀为本校教研资源，便于全校使用。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（二）、授课模式</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1.绿板状态支持显示文件、工具和应用的便捷入口，当开始批注且绿板上有笔迹时，自动隐藏便捷入口，清除笔迹时，自动恢复显示便捷入口；</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2.支持单指长按屏幕任意空白区域呼出便捷入口（文件、工具、应用、一键收起）</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3.支持自定义添加/移除本机应用；包括展台教学、投屏、课堂评价、录制课程、看电视、AI课堂、开启直播、专递课堂、白板、网页、音视频媒体播放器，实现授课场景教学应用的便捷调用；并支持点</w:t>
            </w:r>
            <w:r>
              <w:rPr>
                <w:rFonts w:hint="eastAsia" w:ascii="宋体" w:hAnsi="宋体" w:eastAsia="宋体" w:cs="宋体"/>
                <w:strike w:val="0"/>
                <w:color w:val="auto"/>
                <w:kern w:val="0"/>
                <w:sz w:val="21"/>
                <w:szCs w:val="21"/>
                <w:highlight w:val="none"/>
                <w:lang w:bidi="ar"/>
              </w:rPr>
              <w:t>击展示已打开的全部应用，实现一键应用切换；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4.文件入口支持拉起其他网盘，包含4种常用的三方网盘入口</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5.工具条支持上下移动，支持收起/展开，工具条支持批注、清页、文件、工具、应用切换、更多；工具子菜单支持屏幕拖动</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6.支持使用教辅工具，包含截图、时钟、放大镜、聚光灯、黑屏、随机数、骰子和大转盘8种；无论绿板状态、多文件全屏播放状态以及三方应用拉起状态均支持使用</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7.支持打开本机文件、U盘文件等本地文件；不需导入，可直接打开本地视频、音频、图片、离线教学课件、PPT&amp;PPTX、PDF文件、DOC&amp;DOCX文件及swf文件；支持不少于20个文件窗口同屏播放显示，满足多素材授课需求。支持批注的文件类型包含PPT&amp;PPTX、图片、PDF、DOC&amp;DOCX</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8.支持展示当前已打开的文件，点击实现文件窗口的便捷切换，支持文件一键全部最小化，支持双击标题栏实现文件全屏播放</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cs="宋体"/>
                <w:strike w:val="0"/>
                <w:color w:val="auto"/>
                <w:sz w:val="21"/>
                <w:szCs w:val="21"/>
                <w:highlight w:val="none"/>
              </w:rPr>
              <w:t>▲</w:t>
            </w:r>
            <w:r>
              <w:rPr>
                <w:rFonts w:hint="eastAsia" w:ascii="宋体" w:hAnsi="宋体" w:eastAsia="宋体" w:cs="宋体"/>
                <w:strike w:val="0"/>
                <w:color w:val="auto"/>
                <w:kern w:val="0"/>
                <w:sz w:val="21"/>
                <w:szCs w:val="21"/>
                <w:highlight w:val="none"/>
                <w:lang w:bidi="ar"/>
              </w:rPr>
              <w:t>9.文件窗口之间可进行独立批注；当起笔落点在绿板上时，识别为绿板批注，当起笔落点在小窗口时，识别为小窗口文件批注；文件大小窗口批注同步，可实现翻页跟随；绿板批注可以跟随绿板漫游；不少于9种笔型，6种颜色可选</w:t>
            </w:r>
            <w:r>
              <w:rPr>
                <w:rFonts w:hint="eastAsia" w:ascii="宋体" w:hAnsi="宋体" w:cs="宋体"/>
                <w:strike w:val="0"/>
                <w:color w:val="auto"/>
                <w:kern w:val="0"/>
                <w:sz w:val="21"/>
                <w:szCs w:val="21"/>
                <w:highlight w:val="none"/>
                <w:lang w:eastAsia="zh-CN" w:bidi="ar"/>
              </w:rPr>
              <w:t>。</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10.支持展示当前打开的文件列表，按照打开的时间倒叙排序，点击可进行便捷进行文件切换</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11.支持免登录打开离线课件，直接进入课件全屏播放状态；登录后，可返回备课编辑状态。可通过点击或触摸</w:t>
            </w:r>
            <w:r>
              <w:rPr>
                <w:rFonts w:hint="eastAsia" w:ascii="宋体" w:hAnsi="宋体" w:eastAsia="宋体" w:cs="宋体"/>
                <w:strike w:val="0"/>
                <w:color w:val="auto"/>
                <w:kern w:val="0"/>
                <w:sz w:val="21"/>
                <w:szCs w:val="21"/>
                <w:lang w:bidi="ar"/>
              </w:rPr>
              <w:t>屏幕实现动画的显示和翻页，同时支持通过翻页笔翻页，还支持点击工具条进行课件的前翻页和后翻页，支持2-4指滑动上下翻页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12.提供不少于25个蒙层模板，老师备课时选择合适的蒙层图片遮住元素，授课时用橡皮擦除蒙层，展现被蒙住的元素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13.课堂评价支持对全班、单个或多个学生进行评价评价结果可撤回，老师可通过移动端、 PC 端及网页端对学生进行行为评价打分，可显示班级得分前列 的学生信息，界面、评价项、学生头像均采用卡通化方式，软件 支持随机抽选学生进行评价，支持计时器功能，包括秒表和倒计时，支持家长通过移动端查看学生的近期表现。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（三）、移动家校互动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1.老师可通过移动端进行课件的组合，并浏览已经组好的课件及其教学设计。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2.支持老师在移动端对学生进行点评，点评可撤回、删除或重置。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3.支持老师在移动端添加学生、自定义评价项，评价项提供表扬和待改进各不少于11种模板，自定义评价项提供默认图标，可进行分值的设置。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4.支持查看全班所有老师和自己的当日、本周、上周、本月、近一年的评价报表、明细及班级排名。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5.支持向家长发送教学拓展或学习任务，可向一个或多个班级中的全部或个别成员发送，家长单独收到，支持撰写1000字以内的文字，支持图片、拍照、语音、文件、课件、作业等附件，支持 老师对已收到的任务进行快速批改，并将批改结果反馈至家长端，预置不少于4种评语，支持以免费短信的形式提醒未查看或未反馈的家长。</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6.支持老师发起周期性的打卡任务，可设置任务的频次及周期，预置不少于 9 个打卡活动的模板，包括每日朗读等，同时可设置每天固定时间段进行提醒，且老师可以对学生的打卡结果进行点评，家长之间可以互评。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7.班级内成员可通过移动端进行面容录入，用于课堂 AI 互动与智能云考勤使用。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专门的通知发送工具，成员选择支持一个或多个班级中的全部或部分成员，支持老师编辑带回执的通知，回执内容支持自定义，通知查看或回执结果自动统计形成直观报表，支持老师创建带主题的讨论组，可设置讨论组默认结束时间，结束后自动全员禁言，讨论组创建者可撤回任意成员的消息，支持老师发送成绩单，自动统计班级最高分、平均分等且家长只能看到自己孩子的成绩，支持家长撰写请假条发给老师，老师批复后可与手机终端查看，支持老师创建相册并上传照片、视频从而丰富班级文化建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9.支持多个家长账号绑定同一个学生，支持家长创建多个学生，支持退出班级、更换班级、修改学生信息。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10.支持填写邀请码、使用QQ及微信分享班级专属的邀请页面等多种方式加入班级。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11.支持查看学生所在班级信息及班级内所有老师，支持发起与任一老师的一对一沟通。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12.支持接收老师的通知、打卡、课件、教学拓展任务、一对一消息及讨论组内消息，通知支持进行回执选择，打卡、教学拓展任务支持以文字、语音、图片、视频的形式提交。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13.支持接收和查看学生当日、本周、月度及年度的课堂表现评价统计报表，并可具体查看到每一条评价的原因、评价者和分值。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14.支持撰写请假条发给老师，老师批复后可查看到。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15.班级内成员可通过移动端进行面容录入，用于课堂AI互动与智能云考勤使用。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E1C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FBDFF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A4F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16D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壁挂高清展台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1CB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F6F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330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一、硬件部分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1.支持壁挂和台式两种安装方式，为保证产品稳定性，台式安装需与桌面贴合，托板边角采用圆弧倒角设计。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2.为保证托板表面平整性，托板采用单板结构，不接受托板表面折叠设计。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3.拍摄幅面不小于A4。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4.为保证教学过程中不受环境光和展示内容移动的影响，防止镜头频繁聚焦，图像模糊，产生眩晕感，要求采用不小于1600万像素，定焦镜头。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5.工作电压：5 V，工作电流：小于500mA。</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6.图像色彩：24位。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7.输出格式：图片JPG，文档PDF，视频MP4。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8.光源：LED灯补光。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9.动态视频帧率：30帧/秒（1080P）。</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10.对焦/白平衡：自动。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11.供电方式：USB供电。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二、展台软件：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（1）具有拍照截图、智能连拍功能，支持通用、文档、色彩三种图像模式，方便用户根据实际教学场景切换模式。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（2）不借助物理按键和触摸菜单，通过手势实现图像360°旋转、放大、缩小、移动、全屏等操作；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（3）具有点击方式进行实时画面及图片的同屏对比功能，且支持本地图片导入功能。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（4）支持展台画面实时批注，预设多种笔划粗细及颜色供选择，且支持对展台画面联同批注内容进行同步缩放、移动。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（5）支持不少于三种裁切模式：无裁切、单图裁切、多图裁切，根据所选模式自动裁切图像，生成正式文档。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（6）同屏对比支持多图联动缩放和单图缩放两种模式，并支持不少于五张图片同屏对比。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（7）支持拍照图片去背景功能。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（8）图像修正：具有缺角补边功能。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（9）展台软件具有自检功能：硬件检测、解码器、机器序列号等，方便维护升级。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C03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99C6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CCB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C2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推拉米黄板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3EA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52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kern w:val="0"/>
                <w:sz w:val="21"/>
                <w:szCs w:val="21"/>
                <w:lang w:val="en-US" w:eastAsia="zh-CN" w:bidi="ar"/>
              </w:rPr>
              <w:t>14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B6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2、基本尺寸：≥4000mm×1305mm，可根据所配电子产品适当调整，确保与一体机的有效配套。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4、内芯材料：高强度、吸音、聚苯乙烯泡沫板，采用国际适用工艺，书写无吱咔声，改善书写手感。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5、背板：采用优质防锈热镀锌钢板，厚度≥0.25mm，流水线一次成型，间隔80mm压有20mm凹槽加强筋,确保均布承压不低于635N，凹槽造型美观、增加强度，更加耐用。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39D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663B38F">
        <w:tblPrEx>
          <w:tblCellMar>
            <w:top w:w="0" w:type="dxa"/>
            <w:left w:w="108" w:type="dxa"/>
            <w:bottom w:w="0" w:type="dxa"/>
            <w:right w:w="108" w:type="dxa"/>
          </w:tblCellMar>
        </w:tblPrEx>
        <w:trPr>
          <w:trHeight w:val="5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8E6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nil"/>
              <w:bottom w:val="single" w:color="000000" w:sz="4" w:space="0"/>
              <w:right w:val="nil"/>
            </w:tcBorders>
            <w:shd w:val="clear" w:color="auto" w:fill="FFFFFF"/>
            <w:noWrap w:val="0"/>
            <w:vAlign w:val="center"/>
          </w:tcPr>
          <w:p w14:paraId="19187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559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297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1C3D28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w:t>
            </w:r>
            <w:r>
              <w:rPr>
                <w:rFonts w:hint="eastAsia" w:ascii="宋体" w:hAnsi="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21E79B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51803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F66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二、计算机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70A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62042500">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309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（一）学生计算机教室（61台计算机/间）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6F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1C6CE7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F07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0F2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863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0B6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9364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一、CPU规格</w:t>
            </w:r>
          </w:p>
          <w:p w14:paraId="158125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★CPU：物理核心≥8核，主频≥2.7GHz，末级缓存≥8M，线程数≥8，热设计功耗≥70W, CPU 支持的内存最高速率≥2666MT/s；</w:t>
            </w:r>
          </w:p>
          <w:p w14:paraId="41C4B4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二、内存规格</w:t>
            </w:r>
          </w:p>
          <w:p w14:paraId="6C0241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★1.内存配置容量：≥8GB；</w:t>
            </w:r>
          </w:p>
          <w:p w14:paraId="11F983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★2.内存类型：支持DDR4/LPDDR4/LPDDR4X及以上内存类型；</w:t>
            </w:r>
          </w:p>
          <w:p w14:paraId="6F92512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★3.内存条配置数量（板载内存不涉及）：≥1；</w:t>
            </w:r>
          </w:p>
          <w:p w14:paraId="6B1B786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三、主板规格</w:t>
            </w:r>
          </w:p>
          <w:p w14:paraId="2BB71E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★1.主板集成模块：集成资源扩展模块、计算处理模块、音频扩展模块等，主板的互联拓扑可通过处理器或交换电路实现；</w:t>
            </w:r>
          </w:p>
          <w:p w14:paraId="1E52F2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★2.主板支持的 CPU情况：物理核心≥8核，主频≥2.7GHz，末级缓存≥8M，线程数≥8，热设计功耗≥70W, CPU 支持的内存最高速率≥2666MT/s；</w:t>
            </w:r>
          </w:p>
          <w:p w14:paraId="51743B1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 主板支持的内存情况：内存读写速率≥2666MT/s，内存条数量≥1；</w:t>
            </w:r>
          </w:p>
          <w:p w14:paraId="18BA39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★4.主板其他内置接口：SATA接口≥1，M.2接口≥1；</w:t>
            </w:r>
          </w:p>
          <w:p w14:paraId="7C4B7C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★5.单内存插槽最大可支持容量（板载内存不涉及）：≥16GB；</w:t>
            </w:r>
          </w:p>
          <w:p w14:paraId="761654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★6.内存插槽满配时提供的最高内存总容量：≥32GB；</w:t>
            </w:r>
          </w:p>
          <w:p w14:paraId="5C24FB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四、存储设备规格</w:t>
            </w:r>
          </w:p>
          <w:p w14:paraId="0006A46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★1.固态盘数量：≥1 个； </w:t>
            </w:r>
          </w:p>
          <w:p w14:paraId="40CB8BF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★2.固态存储容量：≥256GB；</w:t>
            </w:r>
          </w:p>
          <w:p w14:paraId="3FB29B4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★3.固态存储形态：采用插卡或板载等形态，可选用符合M.2 或2.5 寸 SATA 或 mSATA 等标准的插卡形态；</w:t>
            </w:r>
          </w:p>
          <w:p w14:paraId="1DEBD00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15DB6E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五、显卡规格</w:t>
            </w:r>
          </w:p>
          <w:p w14:paraId="64DC63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★显卡类型：集成显卡；</w:t>
            </w:r>
          </w:p>
          <w:p w14:paraId="0C42F6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六、显示设备规格</w:t>
            </w:r>
          </w:p>
          <w:p w14:paraId="05C365F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★1.尺寸：≥21英寸</w:t>
            </w:r>
          </w:p>
          <w:p w14:paraId="49BAA8F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★2.显示屏屏占比：≥90%；</w:t>
            </w:r>
          </w:p>
          <w:p w14:paraId="4794E00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★3.分辨率：1920× 1080 像素，</w:t>
            </w:r>
          </w:p>
          <w:p w14:paraId="2ED7B37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★4.刷新率：≥100Hz</w:t>
            </w:r>
          </w:p>
          <w:p w14:paraId="03472E9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★5.屏幕比例：16：9</w:t>
            </w:r>
          </w:p>
          <w:p w14:paraId="6352401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6.可视角度：178 度宽广视角</w:t>
            </w:r>
          </w:p>
          <w:p w14:paraId="2C8DEB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7.接口要求：至少支持VGA、HDMI、DVI、DP、Type-C中1种显示接口，并与主机接口相匹配。</w:t>
            </w:r>
          </w:p>
          <w:p w14:paraId="21D1C97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★8.显示屏防蓝光：支持防蓝光模式，蓝光加权辐射亮度比应≤0.0012W/(·cd·sr)（瓦每坎特拉每球面度）；</w:t>
            </w:r>
          </w:p>
          <w:p w14:paraId="4E254A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★9.显示屏低频闪：显示屏应支持低频闪≤-35dB；</w:t>
            </w:r>
          </w:p>
          <w:p w14:paraId="0A44629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★10.显示屏防炫目：显示屏镜面反射率≤10%；</w:t>
            </w:r>
          </w:p>
          <w:p w14:paraId="54D6A9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★11.显示器外观颜色：黑色等商务色系</w:t>
            </w:r>
          </w:p>
          <w:p w14:paraId="0B8619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七、外设规格</w:t>
            </w:r>
          </w:p>
          <w:p w14:paraId="3773E8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★1.鼠标数量：≥1个；</w:t>
            </w:r>
          </w:p>
          <w:p w14:paraId="1656EF0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★2.键盘数量：≥1个；</w:t>
            </w:r>
          </w:p>
          <w:p w14:paraId="3E5AE80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★3.键盘按键数目：104键；</w:t>
            </w:r>
          </w:p>
          <w:p w14:paraId="253148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★4.键盘连接方式：有线；</w:t>
            </w:r>
          </w:p>
          <w:p w14:paraId="6AE10E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★5.键盘键程：2.3mm～4.0mm；</w:t>
            </w:r>
          </w:p>
          <w:p w14:paraId="7283B3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★6.键盘按键压力：按键压力应在0.54N±0.14N；</w:t>
            </w:r>
          </w:p>
          <w:p w14:paraId="33A147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★7.有线键盘连接线：≥1.5米；</w:t>
            </w:r>
          </w:p>
          <w:p w14:paraId="622444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★8.键盘颜色：黑色等商务色系；</w:t>
            </w:r>
          </w:p>
          <w:p w14:paraId="11567C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★9.鼠标连接方式：有线；</w:t>
            </w:r>
          </w:p>
          <w:p w14:paraId="696D646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★10.有线鼠标连接线：≥1.5米；</w:t>
            </w:r>
          </w:p>
          <w:p w14:paraId="6756328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★11.鼠标DPI分辨率：800～1600；</w:t>
            </w:r>
          </w:p>
          <w:p w14:paraId="4FC7E61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★12.鼠标颜色：黑色等商务色系；</w:t>
            </w:r>
          </w:p>
          <w:p w14:paraId="5260377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★13.鼠标其他要求：其它参数应符合 GB/T 26245-2010 的相关规定；</w:t>
            </w:r>
          </w:p>
          <w:p w14:paraId="57DF53A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八、网络设备规格</w:t>
            </w:r>
          </w:p>
          <w:p w14:paraId="5181B2C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★有线网卡数量：≥1；</w:t>
            </w:r>
          </w:p>
          <w:p w14:paraId="05984D4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九、外部接口规格</w:t>
            </w:r>
          </w:p>
          <w:p w14:paraId="21C88C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★1.USB 接口数量：机箱前面板应提供不少于 3 个 USB 接口（含2 个 USB3.0 及以上接口），且支持在关机状态下对外供电；机箱后面板应提供不少于 4 个 USB 接口（含2个 USB3.0 及以上接口）；</w:t>
            </w:r>
          </w:p>
          <w:p w14:paraId="6FC952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★2.视频接口数量：≥1；</w:t>
            </w:r>
          </w:p>
          <w:p w14:paraId="42921F7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★3.音频接口数量：≥1；</w:t>
            </w:r>
          </w:p>
          <w:p w14:paraId="7C3A932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十、整机基础规格</w:t>
            </w:r>
          </w:p>
          <w:p w14:paraId="1B49EB4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★1.整机外观：</w:t>
            </w:r>
          </w:p>
          <w:p w14:paraId="32CA57B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产品表面不应有凹痕、划伤、裂缝、变形和污染等。表面涂层均匀，不应起泡、龟裂、脱落和磨损，金属零部件无锈蚀及其它机械损伤；</w:t>
            </w:r>
          </w:p>
          <w:p w14:paraId="74DEF7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产品表面说明功能的文字、符号、标志，应清晰、端正、牢固；</w:t>
            </w:r>
          </w:p>
          <w:p w14:paraId="5271AD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★2.状态指示灯：在产品显著位置提供状态指示功能；</w:t>
            </w:r>
          </w:p>
          <w:p w14:paraId="16315B8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★3.整机结构：</w:t>
            </w:r>
          </w:p>
          <w:p w14:paraId="4E5713C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机箱应符合 GB/T 4208-2017、GB/T 26246-2010的相关规定；</w:t>
            </w:r>
          </w:p>
          <w:p w14:paraId="094D0B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产品内部结构应符合通用部件的安装需求；</w:t>
            </w:r>
          </w:p>
          <w:p w14:paraId="1F6CCDB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所有输入输出接口应符合相关国家或行业标准；</w:t>
            </w:r>
          </w:p>
          <w:p w14:paraId="22AB345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d) 产品零部件应紧固无松动，可插拔部件应可靠连接，开关、按钮和其它控制部件应灵活可靠，布局应方便使用；</w:t>
            </w:r>
          </w:p>
          <w:p w14:paraId="7E425BE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e) 所有 I/O 连接器及需插接线缆的部位应预留采购人操作空间，方便插拔解锁与插拔线缆；</w:t>
            </w:r>
          </w:p>
          <w:p w14:paraId="459946F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f) 可插拔板卡插槽部位应预留安装、拆卸或更换板卡空间；</w:t>
            </w:r>
          </w:p>
          <w:p w14:paraId="585A494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g) 拆装可能接触到的金属剪口或金属尖角部位应做防划伤处理，以保证安全；</w:t>
            </w:r>
          </w:p>
          <w:p w14:paraId="1A548C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h) 整机内部走线应规整，固线结构和位置要合理可靠并做防割线处理，需便于理线和插拔操作，走线应不影响系统各主要部件组装和拆卸；</w:t>
            </w:r>
          </w:p>
          <w:p w14:paraId="69C29D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i) 如需通过孔走线，过线孔应做防割线处理；</w:t>
            </w:r>
          </w:p>
          <w:p w14:paraId="35049BF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j) 各插头位置和插拔方向应合理，应做到插拔无障碍设计，具备防呆设计，有效避免误操作；</w:t>
            </w:r>
          </w:p>
          <w:p w14:paraId="207E29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k) 各主要部件拆装无障碍，使用常规工具拆装，无特殊拆装工具需求；</w:t>
            </w:r>
          </w:p>
          <w:p w14:paraId="620241D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l) 各主要部件拆装步骤要少，各自拆装需避免相互干扰；</w:t>
            </w:r>
          </w:p>
          <w:p w14:paraId="72BED3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m) 对于整机或零部件外表面为高亮面的，应粘贴保护膜，保护膜需粘贴牢固，运输、组装等过程不易脱落，撕下无残留；</w:t>
            </w:r>
          </w:p>
          <w:p w14:paraId="761146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n) 其它要求应符合 GB/T 9813.1-2016 的相关规定；</w:t>
            </w:r>
          </w:p>
          <w:p w14:paraId="56A6D8B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★4.机箱防护要求：机箱符合 GB/T 4208-2017 中 IP20 防护要求；</w:t>
            </w:r>
          </w:p>
          <w:p w14:paraId="031C098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★5.整机噪音：产品工作在空闲状态下，产品的声功率级应不超过 4.5 Bel；</w:t>
            </w:r>
          </w:p>
          <w:p w14:paraId="7315CC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★6.整机散热：在环境温度 25℃及处理器满载情况下，产品表面温度应符合如下要求：</w:t>
            </w:r>
          </w:p>
          <w:p w14:paraId="1349D27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出风口在机箱后面板情况下，出风口温度不高于 55℃；</w:t>
            </w:r>
          </w:p>
          <w:p w14:paraId="2C66FA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可触及面温度不高于 45℃；</w:t>
            </w:r>
          </w:p>
          <w:p w14:paraId="13446E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显示器表面温度：显示屏不高于38℃，显示屏上下灯带位置温度（如涉及）不高于 40℃，出风口温度不高于 45℃；</w:t>
            </w:r>
          </w:p>
          <w:p w14:paraId="06080EC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★7.整机能效限定值：产品能效限定值应达到 GB 28380-2012标准中能效等级 2 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7E32D08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★8.机身材质：金属；</w:t>
            </w:r>
          </w:p>
          <w:p w14:paraId="182E79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★9.机身颜色：黑色等商务色系；</w:t>
            </w:r>
          </w:p>
          <w:p w14:paraId="5683316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★10.机箱尺寸容量：机箱体积应不大于 8L；</w:t>
            </w:r>
          </w:p>
          <w:p w14:paraId="0A3AA4F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十一、CPU性能</w:t>
            </w:r>
          </w:p>
          <w:p w14:paraId="38DE4FD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★1.CPU 物理核数：≥8；</w:t>
            </w:r>
          </w:p>
          <w:p w14:paraId="406C293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★2.CPU 主频：≥2.7GHz；</w:t>
            </w:r>
          </w:p>
          <w:p w14:paraId="7005C1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3.CPU线程数：≥8；</w:t>
            </w:r>
          </w:p>
          <w:p w14:paraId="2221F0B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★4.CPU 末级缓存容量：≥8MB；</w:t>
            </w:r>
          </w:p>
          <w:p w14:paraId="093747E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★5.CPU 支持的内存最高速率：≥2666MT/s；</w:t>
            </w:r>
          </w:p>
          <w:p w14:paraId="3736B6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十二、内存性能</w:t>
            </w:r>
          </w:p>
          <w:p w14:paraId="59BBAE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★内存读写速率：≥2666MT/s；</w:t>
            </w:r>
          </w:p>
          <w:p w14:paraId="2AD76C1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十三、显卡性能</w:t>
            </w:r>
          </w:p>
          <w:p w14:paraId="6840026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★1.显示分辨率：≥1920×1080；</w:t>
            </w:r>
          </w:p>
          <w:p w14:paraId="6B2B1B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★2.显卡显示芯片核心频率：≥300MHz；</w:t>
            </w:r>
          </w:p>
          <w:p w14:paraId="437ECBD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★3.显存等效频率：≥1000MT/s；</w:t>
            </w:r>
          </w:p>
          <w:p w14:paraId="565BFE3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 xml:space="preserve">★4.显卡可支持多屏同时显示数量：显卡应支持 2 块屏幕同时显示，分辨率应不低于 1920×1080； </w:t>
            </w:r>
          </w:p>
          <w:p w14:paraId="02E0045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十四、显示设备性能</w:t>
            </w:r>
          </w:p>
          <w:p w14:paraId="746170A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★1.显示屏刷新率≥ 100 Hz；</w:t>
            </w:r>
          </w:p>
          <w:p w14:paraId="612F76D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★2.显示屏位深≥  8  位；</w:t>
            </w:r>
          </w:p>
          <w:p w14:paraId="47B05DE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★3.显示屏色域≥  99%   sRGB；</w:t>
            </w:r>
          </w:p>
          <w:p w14:paraId="386E5E9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★4.显示屏色准△E ≤  4  ；</w:t>
            </w:r>
          </w:p>
          <w:p w14:paraId="5C46CBA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★5.显示屏响应时间≤  7 ms；</w:t>
            </w:r>
          </w:p>
          <w:p w14:paraId="12FD2D7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★6.显示屏亮度≥  300  尼特；</w:t>
            </w:r>
          </w:p>
          <w:p w14:paraId="091EF6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★7.显示屏亮度一致性≥  75   %；</w:t>
            </w:r>
          </w:p>
          <w:p w14:paraId="3098242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★8.显示屏对比度≥  1000：1   ；</w:t>
            </w:r>
          </w:p>
          <w:p w14:paraId="778A5B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★9.显示器接口应与显卡外接显示接口匹配；</w:t>
            </w:r>
          </w:p>
          <w:p w14:paraId="5251B92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★10.显示器应提供显示器支架；</w:t>
            </w:r>
          </w:p>
          <w:p w14:paraId="37131C8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★11.显示器参数调节：提供 OSD 选单按钮用于调节色彩、模式等，支持色温、亮度、对比度调节；</w:t>
            </w:r>
          </w:p>
          <w:p w14:paraId="2AE31DF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★12.显示屏其他参数应符合 SJ/T 11292 的相关规定。</w:t>
            </w:r>
          </w:p>
          <w:p w14:paraId="5180D82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十五、网络设备性能</w:t>
            </w:r>
          </w:p>
          <w:p w14:paraId="6405BC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★有线网卡速率：最高速率应不低于 1000Mbps，应支持10Mbps、100Mbps、1000Mbps 速率自适应；</w:t>
            </w:r>
          </w:p>
          <w:p w14:paraId="520EB40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十六、主板功能</w:t>
            </w:r>
          </w:p>
          <w:p w14:paraId="36072C9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★1.内存扩展接口(板载内存不涉及)：≥2个；</w:t>
            </w:r>
          </w:p>
          <w:p w14:paraId="4C4913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★2.主板 USB瞬间过流保护：支持有瞬间过流保护功能；</w:t>
            </w:r>
          </w:p>
          <w:p w14:paraId="44B413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★3.主板防静电保护：支持防静电保护功能；</w:t>
            </w:r>
          </w:p>
          <w:p w14:paraId="3A03170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682B043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十七、显卡功能</w:t>
            </w:r>
          </w:p>
          <w:p w14:paraId="492CA8E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★显卡外接显示接口：显卡至少支持 VGA、HDMI、DVI、DP、Type-C 中 1 种显示接口，并与显示器接口相匹配；</w:t>
            </w:r>
          </w:p>
          <w:p w14:paraId="336F14F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十八、存储功能</w:t>
            </w:r>
          </w:p>
          <w:p w14:paraId="7CD7CE3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★1.存储功能：通过 SATA 固态存储/PCIe 固态存储/UFS 固态存储/SATA 硬磁盘等存储部件提供存储功能；</w:t>
            </w:r>
          </w:p>
          <w:p w14:paraId="0BBAFBC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十九、网络设备功能</w:t>
            </w:r>
          </w:p>
          <w:p w14:paraId="0B9E5A5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★1.网络功能：</w:t>
            </w:r>
          </w:p>
          <w:p w14:paraId="5832D0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a)支持网络连接、网络开启/关闭功能；</w:t>
            </w:r>
          </w:p>
          <w:p w14:paraId="429B46C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b)支持访问网络和数据交换功能；</w:t>
            </w:r>
          </w:p>
          <w:p w14:paraId="73DF0E1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★2.数据传输：支持数据传输能力，并提供数据流量和异常日志记录功能；</w:t>
            </w:r>
          </w:p>
          <w:p w14:paraId="1629C2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★3.有线网卡接口类型：支持 RJ45 接口；</w:t>
            </w:r>
          </w:p>
          <w:p w14:paraId="4180F90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★4.网络设备拆装：网络设备支持物理拆装，包括无线网卡和蓝牙模块等；</w:t>
            </w:r>
          </w:p>
          <w:p w14:paraId="7D7D5C5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二十、外部接口功能</w:t>
            </w:r>
          </w:p>
          <w:p w14:paraId="5D327DE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★1.音频接口类型：支持 3.5mm 孔径 3 段式或 4 段式接口</w:t>
            </w:r>
          </w:p>
          <w:p w14:paraId="276D334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★2.视频接口类型：至少支持 VGA、HDMI、DVI、DP、Type-C中 1 种显示接口；</w:t>
            </w:r>
          </w:p>
          <w:p w14:paraId="047D9A4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3.HDMI、DP、Type-C 显示接口要求：若提供 HDMI 或 DP 或 Type-C 作为显示接口，应支持音频和视频同步输出；</w:t>
            </w:r>
          </w:p>
          <w:p w14:paraId="0A8EC8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二十一、电源功能</w:t>
            </w:r>
          </w:p>
          <w:p w14:paraId="708ADB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★电源线适配能力：电源适配器电线组件应符合 GB/T15934 的要求；</w:t>
            </w:r>
          </w:p>
          <w:p w14:paraId="498017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二十二、操作系统及软件功能</w:t>
            </w:r>
          </w:p>
          <w:p w14:paraId="3F0DD88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★1.中文信息处理要求：符合GB18030的相关规定；</w:t>
            </w:r>
          </w:p>
          <w:p w14:paraId="2A14FA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★2.操作系统备份及还原功能：支持操作系统备份及还原功能；</w:t>
            </w:r>
          </w:p>
          <w:p w14:paraId="17F219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★3.固件备份还原能力：支持备份及还原固件的功能；</w:t>
            </w:r>
          </w:p>
          <w:p w14:paraId="7BD580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★4.操作系统及驱动升级：支持通过网络、闪存盘等方式对操作系统、驱动进行升级；</w:t>
            </w:r>
          </w:p>
          <w:p w14:paraId="41913E0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★5.固件升级：支持通过网络、闪存盘等方式对固件进行升级；</w:t>
            </w:r>
          </w:p>
          <w:p w14:paraId="043105D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★6.BIOS支持关闭通讯接口：支持BIOS关闭以太网及USB接口；</w:t>
            </w:r>
          </w:p>
          <w:p w14:paraId="14048B7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★7.固件查看信息：支持查看固件版本、内存信息、主板信息、处理器信息和系统时间信息等功能；</w:t>
            </w:r>
          </w:p>
          <w:p w14:paraId="2CB3C4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★8.固件设置启动顺序：支持设置启动顺序功能，并按照设置的启动顺序启动；</w:t>
            </w:r>
          </w:p>
          <w:p w14:paraId="1A2E996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★9.固件设置口令：支持设置口令、修改口令、验证口令功能；</w:t>
            </w:r>
          </w:p>
          <w:p w14:paraId="682E570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★10.固件设置网络引导：支持网络引导启动和关闭功能；</w:t>
            </w:r>
          </w:p>
          <w:p w14:paraId="4383488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二十三、存储设备可靠性</w:t>
            </w:r>
          </w:p>
          <w:p w14:paraId="4D3BD2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★1.固态存储寿命：TBW ≥80TB（条件：256GB 硬盘容量）；</w:t>
            </w:r>
          </w:p>
          <w:p w14:paraId="0BBBA6E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★2.机械硬盘寿命：通电时间≥5万小时；</w:t>
            </w:r>
          </w:p>
          <w:p w14:paraId="200E7CC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二十四、显示设备可靠性</w:t>
            </w:r>
          </w:p>
          <w:p w14:paraId="1E114DB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★显示屏屏幕失效 点：符合 GB/T 9813.2 的要求；</w:t>
            </w:r>
          </w:p>
          <w:p w14:paraId="6CAF2C8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二十五、外设可靠性</w:t>
            </w:r>
          </w:p>
          <w:p w14:paraId="44591E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★1.键盘按键寿命：≥1000万次；</w:t>
            </w:r>
          </w:p>
          <w:p w14:paraId="5548317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★2.鼠标按键寿命：≥500 万次；</w:t>
            </w:r>
          </w:p>
          <w:p w14:paraId="2703856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★3.键盘鼠标线材寿命：键盘鼠标所用线材经±60°弯折不低于 3000 次，功能、外观完好；</w:t>
            </w:r>
          </w:p>
          <w:p w14:paraId="2FF4FB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★4.风扇寿命：≥4 万小时；</w:t>
            </w:r>
          </w:p>
          <w:p w14:paraId="7271984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二十六、整机可靠性要求</w:t>
            </w:r>
          </w:p>
          <w:p w14:paraId="79BDD0D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★1.电磁兼容性要求的抗扰度：符合 GB/T 9254.2-2022 的规定，考虑设备工作稳定：要求设备通过浪涌（冲击）抗扰度的适应性认证；</w:t>
            </w:r>
          </w:p>
          <w:p w14:paraId="4DCDC0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★2.环境条件要求的气候环境适应性：符合 GB/T 9813.1-2016 中规定，考虑使用环境差异，要求设备通过温度0~40℃/低气压61.6kPa（4000m）的环境适应性认证；</w:t>
            </w:r>
          </w:p>
          <w:p w14:paraId="09C2CE5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★3.环境条件要求的振动适应性：符合 GB/T 9813.1-2016 中规定；</w:t>
            </w:r>
          </w:p>
          <w:p w14:paraId="198435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★4.环境条件要求的冲击适应性：符合 GB/T 9813.1-2016 中规定；</w:t>
            </w:r>
          </w:p>
          <w:p w14:paraId="676DFE4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★5.环境条件要求的碰撞适应性：符合 GB/T 9813.1 -2016中规定；</w:t>
            </w:r>
          </w:p>
          <w:p w14:paraId="7D8AE2B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★6.环境条件要求的运输包装件跌落适应性：符合 GB/T 9813.1-2016 中规定；</w:t>
            </w:r>
          </w:p>
          <w:p w14:paraId="12D233D7">
            <w:pPr>
              <w:keepNext w:val="0"/>
              <w:keepLines w:val="0"/>
              <w:pageBreakBefore w:val="0"/>
              <w:widowControl/>
              <w:numPr>
                <w:ilvl w:val="0"/>
                <w:numId w:val="0"/>
              </w:numPr>
              <w:suppressLineNumbers w:val="0"/>
              <w:kinsoku/>
              <w:wordWrap/>
              <w:overflowPunct/>
              <w:topLinePunct w:val="0"/>
              <w:bidi w:val="0"/>
              <w:spacing w:line="440" w:lineRule="exact"/>
              <w:ind w:left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cs="宋体"/>
                <w:i w:val="0"/>
                <w:iCs w:val="0"/>
                <w:strike w:val="0"/>
                <w:color w:val="auto"/>
                <w:kern w:val="0"/>
                <w:sz w:val="21"/>
                <w:szCs w:val="21"/>
                <w:u w:val="none"/>
                <w:lang w:val="en-US" w:eastAsia="zh-CN" w:bidi="ar"/>
              </w:rPr>
              <w:t>7.</w:t>
            </w:r>
            <w:r>
              <w:rPr>
                <w:rFonts w:hint="eastAsia" w:ascii="宋体" w:hAnsi="宋体" w:eastAsia="宋体" w:cs="宋体"/>
                <w:i w:val="0"/>
                <w:iCs w:val="0"/>
                <w:strike w:val="0"/>
                <w:color w:val="auto"/>
                <w:kern w:val="0"/>
                <w:sz w:val="21"/>
                <w:szCs w:val="21"/>
                <w:u w:val="none"/>
                <w:lang w:val="en-US" w:eastAsia="zh-CN" w:bidi="ar"/>
              </w:rPr>
              <w:t>静音舒适性：考虑工作环境的静音舒适，要求设备的噪声声功率级≤3.03Bel，噪声声压级≤23.86dB；</w:t>
            </w:r>
          </w:p>
          <w:p w14:paraId="7163DF07">
            <w:pPr>
              <w:keepNext w:val="0"/>
              <w:keepLines w:val="0"/>
              <w:pageBreakBefore w:val="0"/>
              <w:widowControl/>
              <w:numPr>
                <w:ilvl w:val="0"/>
                <w:numId w:val="0"/>
              </w:numPr>
              <w:suppressLineNumbers w:val="0"/>
              <w:kinsoku/>
              <w:wordWrap/>
              <w:overflowPunct/>
              <w:topLinePunct w:val="0"/>
              <w:bidi w:val="0"/>
              <w:spacing w:line="440" w:lineRule="exact"/>
              <w:ind w:left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★8.MTBF测试：MTBF(m1)≥30万小时。</w:t>
            </w:r>
          </w:p>
          <w:p w14:paraId="5210786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二十七、兼容要求</w:t>
            </w:r>
          </w:p>
          <w:p w14:paraId="38C4694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★1.常用软件兼容：支持流式软件、版式软件、浏览器、邮件采购人端、解压软件、多媒体、图形图像处理等常用软件；</w:t>
            </w:r>
          </w:p>
          <w:p w14:paraId="23A26DC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★2.数据库兼容：兼容 3 个及以上厂商的数据库产品；</w:t>
            </w:r>
          </w:p>
          <w:p w14:paraId="772980C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★3.中间件兼容：兼容 3 个及以上厂商中间件产品；</w:t>
            </w:r>
          </w:p>
          <w:p w14:paraId="53C82D1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★4.平台软件兼容：兼容 3 个及以上厂商云计算及大数据平台；</w:t>
            </w:r>
          </w:p>
          <w:p w14:paraId="750F74B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二十八、包装及运输要求</w:t>
            </w:r>
          </w:p>
          <w:p w14:paraId="53B522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★标志、包装、运输和贮存：符合 GB/T 9813.1-2016 和商品包装政府采购需求标准的相关规定；</w:t>
            </w:r>
          </w:p>
          <w:p w14:paraId="132AE2F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二十九、关键部件安全</w:t>
            </w:r>
          </w:p>
          <w:p w14:paraId="58B642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p>
          <w:p w14:paraId="0C4F31F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三十、整机安全性要求</w:t>
            </w:r>
          </w:p>
          <w:p w14:paraId="534C139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p>
          <w:p w14:paraId="177B61A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★2.信息安全基本要求：</w:t>
            </w:r>
          </w:p>
          <w:p w14:paraId="7F765A3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a) 产品应符合 GB/T 39276-2020 的 5.2 的规定；</w:t>
            </w:r>
          </w:p>
          <w:p w14:paraId="722B17A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b) 生产厂商应建立漏洞跟踪表，保证产品版本涉及到的漏洞(如驱动程序等)可查看；</w:t>
            </w:r>
          </w:p>
          <w:p w14:paraId="540DE29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c) 产品不得包含已知的恶意代码或漏洞，不存在未声明的指令、功能、接口；</w:t>
            </w:r>
          </w:p>
          <w:p w14:paraId="72CF6FC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★3.固件安全启动：支持固件安全启动功能，固件启动过程中只有通过启动校验才能正常启动；</w:t>
            </w:r>
          </w:p>
          <w:p w14:paraId="4775AFE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i w:val="0"/>
                <w:iCs w:val="0"/>
                <w:strike w:val="0"/>
                <w:color w:val="auto"/>
                <w:kern w:val="0"/>
                <w:sz w:val="21"/>
                <w:szCs w:val="21"/>
                <w:u w:val="none"/>
                <w:lang w:val="en-US" w:eastAsia="zh-CN" w:bidi="ar"/>
              </w:rPr>
              <w:t>★4.限用物质的限量要求：符合 GB/T 26572-2011 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4DE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C334B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38A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C3F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主控计算机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C83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4B7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8A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一、CPU规格</w:t>
            </w:r>
          </w:p>
          <w:p w14:paraId="01459B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CPU：物理核心≥8核，主频≥3.0GHz，末级缓存容量≥16MB，线程数≥16，CPU PCle通道总数≥32，CPU基本功率≥65W, CPU支持的内存最高速率≥3200MT/s；</w:t>
            </w:r>
          </w:p>
          <w:p w14:paraId="2AC4C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二、内存规格</w:t>
            </w:r>
          </w:p>
          <w:p w14:paraId="0568D4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1.内存配置容量：≥8GB；</w:t>
            </w:r>
          </w:p>
          <w:p w14:paraId="7FA0F1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2.内存类型：支持DDR4/LPDDR4/LPDDR4X及以上内存类型；</w:t>
            </w:r>
          </w:p>
          <w:p w14:paraId="3D0956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3.内存条配置数量（板载内存不涉及）：≥2；</w:t>
            </w:r>
          </w:p>
          <w:p w14:paraId="5A8E93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三、主板规格</w:t>
            </w:r>
          </w:p>
          <w:p w14:paraId="46F5EB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1.主板集成模块：集成资源扩展模块、计算处理模块、音频扩展模块等，主板的互联拓扑可通过处理器或交换电路实现；</w:t>
            </w:r>
          </w:p>
          <w:p w14:paraId="35E1E0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2.主板支持的 CPU情况：物理核心≥8核，主频≥3.0GHz，末级缓存容量≥16MB，线程数≥16，CPU PCle通道总数≥32，CPU基本功率≥65W, CPU 支持的内存最高速率≥3200 MT/s；</w:t>
            </w:r>
          </w:p>
          <w:p w14:paraId="607C5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 主板支持的内存情况：内存读写速率≥3200MT/s，内存条数量≥2；</w:t>
            </w:r>
          </w:p>
          <w:p w14:paraId="30928F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4.主板其他内置接口：≥4个SATA接口；≥M.2接口*1，≥USB接口*7，固态硬盘占用M.2接口*1，机械硬盘占用SATA接口*1</w:t>
            </w:r>
          </w:p>
          <w:p w14:paraId="3F97ED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5.单内存插槽最大可支持容量（板载内存不涉及）：≥32GB；</w:t>
            </w:r>
          </w:p>
          <w:p w14:paraId="1C401E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6.内存插槽满配时提供的最高内存总容量：≥64GB；</w:t>
            </w:r>
          </w:p>
          <w:p w14:paraId="3E4D9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四、存储设备规格</w:t>
            </w:r>
          </w:p>
          <w:p w14:paraId="2274A3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 xml:space="preserve">1.固态盘数量：≥1 个； </w:t>
            </w:r>
          </w:p>
          <w:p w14:paraId="46F1F1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2.固态存储容量：≥512GB；</w:t>
            </w:r>
          </w:p>
          <w:p w14:paraId="002ED0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3.固态存储形态：采用插卡或板载等形态，可选用符合M.2 或2.5 寸 SATA 或 mSATA 等标准的插卡形态；</w:t>
            </w:r>
          </w:p>
          <w:p w14:paraId="0FBEB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4.存储设备其他参数要求：a)固态盘应符合 SJ/T 11654-2016 相关规定；b)机械硬盘准备时间应不大于 30s；侧面固定螺丝孔数量可为 4 孔或 6 孔；工作状态环境温度应满足 5℃-55℃；其它参数应符合 GB/T 12628-2008 相关规定；</w:t>
            </w:r>
          </w:p>
          <w:p w14:paraId="317A7D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五、显卡规格</w:t>
            </w:r>
          </w:p>
          <w:p w14:paraId="3B0B64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1.显卡类型：独立显卡；</w:t>
            </w:r>
          </w:p>
          <w:p w14:paraId="6C8FFC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2.显存类型≥ LPDDR4  型；</w:t>
            </w:r>
          </w:p>
          <w:p w14:paraId="4D3C6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3.独立显卡，显存容量≥2GB</w:t>
            </w:r>
          </w:p>
          <w:p w14:paraId="3DA8CE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★六、显示设备规格</w:t>
            </w:r>
          </w:p>
          <w:p w14:paraId="365712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1.尺寸：≥23英寸</w:t>
            </w:r>
          </w:p>
          <w:p w14:paraId="0F114A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2.显示屏屏占比：≥90%；</w:t>
            </w:r>
          </w:p>
          <w:p w14:paraId="7217C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3.分辨率：1920×1080 像素，</w:t>
            </w:r>
          </w:p>
          <w:p w14:paraId="6E2063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4.刷新率：≥100Hz</w:t>
            </w:r>
          </w:p>
          <w:p w14:paraId="090400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5.屏幕比例：16：9</w:t>
            </w:r>
          </w:p>
          <w:p w14:paraId="7AEB2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6.可视角度：178度宽广视角</w:t>
            </w:r>
          </w:p>
          <w:p w14:paraId="2C3958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7.接口要求：至少支持VGA、HDMI、DVI、DP、Type-C中1种显示接口，并与主机接口相匹配。</w:t>
            </w:r>
          </w:p>
          <w:p w14:paraId="4DE8F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8.显示屏防蓝光：支持防蓝光模式，蓝光加权辐射亮度比应≤0.0012W/(·cd·sr)（瓦每坎特拉每球面度）；</w:t>
            </w:r>
          </w:p>
          <w:p w14:paraId="242033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9.显示屏低频闪：显示屏应支持低频闪≤-35dB；</w:t>
            </w:r>
          </w:p>
          <w:p w14:paraId="2F1CE3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10.显示屏防炫目：显示屏镜面反射率≤10%；</w:t>
            </w:r>
          </w:p>
          <w:p w14:paraId="43E0EA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11.显示器外观颜色：黑色等商务色系</w:t>
            </w:r>
          </w:p>
          <w:p w14:paraId="0DFDFA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七、外设规格</w:t>
            </w:r>
          </w:p>
          <w:p w14:paraId="0FFDEF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1.鼠标数量：≥1个；</w:t>
            </w:r>
          </w:p>
          <w:p w14:paraId="17274A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2.键盘数量：≥1个；</w:t>
            </w:r>
          </w:p>
          <w:p w14:paraId="3594EC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3.键盘按键数目：104键；</w:t>
            </w:r>
          </w:p>
          <w:p w14:paraId="3AA771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4.键盘连接方式：有线；</w:t>
            </w:r>
          </w:p>
          <w:p w14:paraId="0268A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5.键盘键程：2.3mm～4.0mm；</w:t>
            </w:r>
          </w:p>
          <w:p w14:paraId="3C45C1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6.键盘按键压力：按键压力应在0.54N±0.14N；</w:t>
            </w:r>
          </w:p>
          <w:p w14:paraId="6667A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7.有线键盘连接线：≥1.5米；</w:t>
            </w:r>
          </w:p>
          <w:p w14:paraId="4BA644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8.键盘颜色：黑色等商务色系；</w:t>
            </w:r>
          </w:p>
          <w:p w14:paraId="128A23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9.鼠标连接方式：有线；</w:t>
            </w:r>
          </w:p>
          <w:p w14:paraId="65E057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10.有线鼠标连接线：≥1.5米；</w:t>
            </w:r>
          </w:p>
          <w:p w14:paraId="2F4EA2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11.鼠标DPI分辨率：800～1600；</w:t>
            </w:r>
          </w:p>
          <w:p w14:paraId="5EECEC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12.鼠标颜色：黑色等商务色系；</w:t>
            </w:r>
          </w:p>
          <w:p w14:paraId="2151EA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13.鼠标其他要求：其它参数应符合 GB/T 26245-2010 的相关规定；</w:t>
            </w:r>
          </w:p>
          <w:p w14:paraId="1629A2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八、网络设备规格</w:t>
            </w:r>
          </w:p>
          <w:p w14:paraId="0E9DEB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有线网卡数量：≥1；</w:t>
            </w:r>
          </w:p>
          <w:p w14:paraId="16A82E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九、外部接口规格</w:t>
            </w:r>
          </w:p>
          <w:p w14:paraId="2C5CEF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1.USB 接口数量机箱前面板应提供不少于3个USB 接口（含2个USB3.0及以上接口）；</w:t>
            </w:r>
          </w:p>
          <w:p w14:paraId="08E753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2.视频接口数量≥2 ，视频接口类型至少支持 VGA、HDMI、DVI、DP、Type-C中1种显示接口，若提供 HDMI或DP或Type-C作为显示接口，应支持音频和视频同步输出；</w:t>
            </w:r>
          </w:p>
          <w:p w14:paraId="6E0BD3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3.音频接口数量≥5，音频接口类型支持3.5mm孔径3段式或4段式接口。</w:t>
            </w:r>
          </w:p>
          <w:p w14:paraId="08D21F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十、整机基础规格</w:t>
            </w:r>
          </w:p>
          <w:p w14:paraId="493D1A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1.整机外观：</w:t>
            </w:r>
          </w:p>
          <w:p w14:paraId="507304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产品表面不应有凹痕、划伤、裂缝、变形和污染等。表面涂层均匀，不应起泡、龟裂、脱落和磨损，金属零部件无锈蚀及其它机械损伤；</w:t>
            </w:r>
          </w:p>
          <w:p w14:paraId="5CECA7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产品表面说明功能的文字、符号、标志，应清晰、端正、牢固；</w:t>
            </w:r>
          </w:p>
          <w:p w14:paraId="25F252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2.状态指示灯：在产品显著位置提供状态指示功能；</w:t>
            </w:r>
          </w:p>
          <w:p w14:paraId="341B32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3.整机结构：</w:t>
            </w:r>
          </w:p>
          <w:p w14:paraId="7BC5A6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机箱应符合 GB/T 4208-2017、GB/T 26246-2010的相关规定；</w:t>
            </w:r>
          </w:p>
          <w:p w14:paraId="6E1CEF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产品内部结构应符合通用部件的安装需求；</w:t>
            </w:r>
          </w:p>
          <w:p w14:paraId="46AF5A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所有输入输出接口应符合相关国家或行业标准；</w:t>
            </w:r>
          </w:p>
          <w:p w14:paraId="3CC649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d) 产品零部件应紧固无松动，可插拔部件应可靠连接，开关、按钮和其它控制部件应灵活可靠，布局应方便使用；</w:t>
            </w:r>
          </w:p>
          <w:p w14:paraId="18858A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e) 所有 I/O连接器及需插接线缆的部位应预留采购人操作空间，方便插拔解锁与插拔线缆；</w:t>
            </w:r>
          </w:p>
          <w:p w14:paraId="28D6B5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f) 可插拔板卡插槽部位应预留安装、拆卸或更换板卡空间；</w:t>
            </w:r>
          </w:p>
          <w:p w14:paraId="4F275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g) 拆装可能接触到的金属剪口或金属尖角部位应做防划伤处理，以保证安全；</w:t>
            </w:r>
          </w:p>
          <w:p w14:paraId="5E6804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h) 整机内部走线应规整，固线结构和位置要合理可靠并做防割线处理，需便于理线和插拔操作，走线应不影响系统各主要部件组装和拆卸；</w:t>
            </w:r>
          </w:p>
          <w:p w14:paraId="633AB8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i) 如需通过孔走线，过线孔应做防割线处理；</w:t>
            </w:r>
          </w:p>
          <w:p w14:paraId="682E6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j) 各插头位置和插拔方向应合理，应做到插拔无障碍设计，具备防呆设计，有效避免误操作；</w:t>
            </w:r>
          </w:p>
          <w:p w14:paraId="388CF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k) 各主要部件拆装无障碍，使用常规工具拆装，无特殊拆装工具需求；</w:t>
            </w:r>
          </w:p>
          <w:p w14:paraId="17B6AB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l) 各主要部件拆装步骤要少，各自拆装需避免相互干扰；</w:t>
            </w:r>
          </w:p>
          <w:p w14:paraId="0C72F7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m) 对于整机或零部件外表面为高亮面的，应粘贴保护膜，保护膜需粘贴牢固，运输、组装等过程不易脱落，撕下无残留；</w:t>
            </w:r>
          </w:p>
          <w:p w14:paraId="159F74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n) 其它要求应符合 GB/T 9813.1-2016 的相关规定；</w:t>
            </w:r>
          </w:p>
          <w:p w14:paraId="4C96E7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4.机箱防护要求：机箱符合 GB/T 4208-2017 中 IP20 防护要求；</w:t>
            </w:r>
          </w:p>
          <w:p w14:paraId="748D66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5.整机噪音：产品工作在空闲状态下，产品的声功率级应不超过 4.5 Bel；</w:t>
            </w:r>
          </w:p>
          <w:p w14:paraId="42F00D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6.整机散热：在环境温度 25℃及处理器满载情况下，产品表面温度应符合如下要求：</w:t>
            </w:r>
          </w:p>
          <w:p w14:paraId="3BD8F3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出风口在机箱后面板情况下，出风口温度不高于 55℃；</w:t>
            </w:r>
          </w:p>
          <w:p w14:paraId="6A1C59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可触及面温度不高于 45℃；</w:t>
            </w:r>
          </w:p>
          <w:p w14:paraId="1C46E8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显示器表面温度：显示屏不高于38℃，显示屏上下灯带位置温度（如涉及）不高于40℃，出风口温度不高于45℃；</w:t>
            </w:r>
          </w:p>
          <w:p w14:paraId="23E482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7.整机能效限定值：产品能效限定值应达到GB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45D9C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8.机身材质：金属；</w:t>
            </w:r>
          </w:p>
          <w:p w14:paraId="6170E7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9.机身颜色：黑色等商务色系；</w:t>
            </w:r>
          </w:p>
          <w:p w14:paraId="565FAF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10.机箱尺寸容量：机箱体积应不大于15L；</w:t>
            </w:r>
          </w:p>
          <w:p w14:paraId="75A90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十一、CPU性能</w:t>
            </w:r>
          </w:p>
          <w:p w14:paraId="018D02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1.CPU物理核数：≥8；</w:t>
            </w:r>
          </w:p>
          <w:p w14:paraId="5660A6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2.CPU主频：≥3.0GHz；</w:t>
            </w:r>
          </w:p>
          <w:p w14:paraId="2001A5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3.CPU线程数：≥16；</w:t>
            </w:r>
          </w:p>
          <w:p w14:paraId="50473B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4.CPU末级缓存容量：≥16MB；</w:t>
            </w:r>
          </w:p>
          <w:p w14:paraId="0A4F31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5.CPU支持的内存最高速率：≥3200MT/s；</w:t>
            </w:r>
          </w:p>
          <w:p w14:paraId="20AA9A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十二、内存性能</w:t>
            </w:r>
          </w:p>
          <w:p w14:paraId="382B0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内存读写速率：≥3200 MT/s；</w:t>
            </w:r>
          </w:p>
          <w:p w14:paraId="4D9766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十三、显卡性能</w:t>
            </w:r>
          </w:p>
          <w:p w14:paraId="2AAB7B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1.显示分辨率：≥1920×1080；</w:t>
            </w:r>
          </w:p>
          <w:p w14:paraId="49FC5F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2.显卡显示芯片核心频率：≥1350MHz；</w:t>
            </w:r>
          </w:p>
          <w:p w14:paraId="25CB54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3.显存等效频率：≥3733 MMT/s；</w:t>
            </w:r>
          </w:p>
          <w:p w14:paraId="7BC4AD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 xml:space="preserve">4.显卡可支持多屏同时显示数量：显卡应支持2 块屏幕同时显示，分辨率应不低于1920×1080； </w:t>
            </w:r>
          </w:p>
          <w:p w14:paraId="5E4C0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十四、显示设备性能</w:t>
            </w:r>
          </w:p>
          <w:p w14:paraId="55B9ED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1.显示屏刷新率≥100 Hz；</w:t>
            </w:r>
          </w:p>
          <w:p w14:paraId="25757A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2.显示屏位深≥8位；</w:t>
            </w:r>
          </w:p>
          <w:p w14:paraId="0058DE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3.显示屏色域≥99% sRGB；</w:t>
            </w:r>
          </w:p>
          <w:p w14:paraId="132C21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4.显示屏色准△E ≤4  ；</w:t>
            </w:r>
          </w:p>
          <w:p w14:paraId="236E52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5.显示屏响应时间≤7 ms；</w:t>
            </w:r>
          </w:p>
          <w:p w14:paraId="737C30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6.显示屏亮度≥300尼特；</w:t>
            </w:r>
          </w:p>
          <w:p w14:paraId="6A168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7.显示屏亮度一致性≥75%；</w:t>
            </w:r>
          </w:p>
          <w:p w14:paraId="525E86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8.显示屏对比度≥1000：1；</w:t>
            </w:r>
          </w:p>
          <w:p w14:paraId="34547E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9.显示器接口应与显卡外接显示接口匹配；</w:t>
            </w:r>
          </w:p>
          <w:p w14:paraId="0EDAF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10.显示器应提供显示器支架；</w:t>
            </w:r>
          </w:p>
          <w:p w14:paraId="239FDB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11.显示器参数调节：提供OSD选单按钮用于调节色彩、模式等，支持色温、亮度、对比度调节；</w:t>
            </w:r>
          </w:p>
          <w:p w14:paraId="44C465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12.显示屏其他参数应符合SJ/T 11292 的相关规定。</w:t>
            </w:r>
          </w:p>
          <w:p w14:paraId="7DFF32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十五、网络设备性能</w:t>
            </w:r>
          </w:p>
          <w:p w14:paraId="67A04A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 有线网卡速率：最高速率应不低于1000Mbps，应支持10Mbps、100Mbps、1000Mbps 速率自适应；</w:t>
            </w:r>
          </w:p>
          <w:p w14:paraId="5A155B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十六、主板功能</w:t>
            </w:r>
          </w:p>
          <w:p w14:paraId="1408D4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1.内存扩展接口(板载内存不涉及)：≥2个；</w:t>
            </w:r>
          </w:p>
          <w:p w14:paraId="51ADEE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2.主板USB瞬间过流保护：支持有瞬间过流保护功能；</w:t>
            </w:r>
          </w:p>
          <w:p w14:paraId="71F7BA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3.主板防静电保护：支持防静电保护功能；</w:t>
            </w:r>
          </w:p>
          <w:p w14:paraId="0D9632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I/O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14:paraId="5960B5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十七、显卡功能</w:t>
            </w:r>
          </w:p>
          <w:p w14:paraId="0A7AD4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1.显卡外接显示接口：显卡至少支持 VGA、HDMI、DVI、DP、Type-C 中 1 种显示接口，并与显示器接口相匹配；</w:t>
            </w:r>
          </w:p>
          <w:p w14:paraId="15BC75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十八、存储功能</w:t>
            </w:r>
          </w:p>
          <w:p w14:paraId="7DBBF0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1.存储功能：通过SATA固态存储/PCIe固态存储/UFS固态存储/SATA 硬磁盘等存储部件提供存储功能；</w:t>
            </w:r>
          </w:p>
          <w:p w14:paraId="090D5B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十九、网络设备功能</w:t>
            </w:r>
          </w:p>
          <w:p w14:paraId="518BD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1.网络功能：</w:t>
            </w:r>
          </w:p>
          <w:p w14:paraId="4FADD9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a)支持网络连接、网络开启/关闭功能；</w:t>
            </w:r>
          </w:p>
          <w:p w14:paraId="78CBAC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b)支持访问网络和数据交换功能；</w:t>
            </w:r>
          </w:p>
          <w:p w14:paraId="65CA7D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2.数据传输：支持数据传输能力，并提供数据流量和异常日志记录功能；</w:t>
            </w:r>
          </w:p>
          <w:p w14:paraId="1ED8B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3.有线网卡接口类型：支持 RJ45接口；</w:t>
            </w:r>
          </w:p>
          <w:p w14:paraId="0ECFD3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4.网络设备拆装：网络设备支持物理拆装，包括无线网卡和蓝牙模块等；</w:t>
            </w:r>
          </w:p>
          <w:p w14:paraId="4F5F0A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二十、外部接口功能</w:t>
            </w:r>
          </w:p>
          <w:p w14:paraId="6D5069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1.音频接口类型：支持3.5mm孔径3段式或4段式接口</w:t>
            </w:r>
          </w:p>
          <w:p w14:paraId="51EC59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2.视频接口类型：至少支持 VGA、HDMI、DVI、DP、Type-C中1 种显示接口；</w:t>
            </w:r>
          </w:p>
          <w:p w14:paraId="7247D2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3.HDMI、DP、Type-C显示接口要求：若提供HDMI或DP或Type-C 作为显示接口，应支持音频和视频同步输出；</w:t>
            </w:r>
          </w:p>
          <w:p w14:paraId="421437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二十一、电源功能</w:t>
            </w:r>
          </w:p>
          <w:p w14:paraId="35760E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b w:val="0"/>
                <w:bCs w:val="0"/>
                <w:strike w:val="0"/>
                <w:color w:val="auto"/>
                <w:sz w:val="21"/>
                <w:szCs w:val="21"/>
                <w:lang w:val="en-US" w:eastAsia="zh-CN"/>
              </w:rPr>
              <w:t>★</w:t>
            </w:r>
            <w:r>
              <w:rPr>
                <w:rFonts w:hint="eastAsia"/>
                <w:strike w:val="0"/>
                <w:color w:val="auto"/>
              </w:rPr>
              <w:t>1.电源线适配能力：电源适配器电线组件应符合GB/T15934的要求；</w:t>
            </w:r>
          </w:p>
          <w:p w14:paraId="69F5EF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二十二、操作系统及软件功能</w:t>
            </w:r>
          </w:p>
          <w:p w14:paraId="6C4ABA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1.中文信息处理要求：符合GB18030的相关规定；</w:t>
            </w:r>
          </w:p>
          <w:p w14:paraId="66179F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2.操作系统备份及还原功能：支持操作系统备份及还原功能；</w:t>
            </w:r>
          </w:p>
          <w:p w14:paraId="231631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3.固件备份还原能力：支持备份及还原固件的功能；</w:t>
            </w:r>
          </w:p>
          <w:p w14:paraId="2A6D7D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4.操作系统及驱动升级：支持通过网络、闪存盘等方式对操作系统、驱动进行升级；</w:t>
            </w:r>
          </w:p>
          <w:p w14:paraId="45B884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5.固件升级：支持通过网络、闪存盘等方式对固件进行升级；</w:t>
            </w:r>
          </w:p>
          <w:p w14:paraId="7662F2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6.BIOS支持关闭通讯接口：支持BIOS关闭以太网及USB接口；</w:t>
            </w:r>
          </w:p>
          <w:p w14:paraId="71FC35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7.固件查看信息：支持查看固件版本、内存信息、主板信息、处理器信息和系统时间信息等功能；</w:t>
            </w:r>
          </w:p>
          <w:p w14:paraId="2E37C8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8.固件设置启动顺序：支持设置启动顺序功能，并按照设置的启动顺序启动；</w:t>
            </w:r>
          </w:p>
          <w:p w14:paraId="274D40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9.固件设置口令：支持设置口令、</w:t>
            </w:r>
            <w:r>
              <w:rPr>
                <w:rFonts w:hint="eastAsia" w:eastAsia="宋体"/>
                <w:strike w:val="0"/>
                <w:color w:val="auto"/>
              </w:rPr>
              <w:t>修改</w:t>
            </w:r>
            <w:r>
              <w:rPr>
                <w:rFonts w:hint="eastAsia"/>
                <w:strike w:val="0"/>
                <w:color w:val="auto"/>
              </w:rPr>
              <w:t>口令、验证口令功能；</w:t>
            </w:r>
          </w:p>
          <w:p w14:paraId="370E81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10.固件设置网络引导：支持网络引导启动和关闭功能；</w:t>
            </w:r>
          </w:p>
          <w:p w14:paraId="7A692D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二十三、存储设备可靠性</w:t>
            </w:r>
          </w:p>
          <w:p w14:paraId="612C9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1.固态存储寿命：TBW≥80TB（条件：256GB硬盘容量）；</w:t>
            </w:r>
          </w:p>
          <w:p w14:paraId="486A97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2.机械硬盘寿命：通电时间≥5万小时；</w:t>
            </w:r>
          </w:p>
          <w:p w14:paraId="6D0F3C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二十四、显示设备可靠性</w:t>
            </w:r>
          </w:p>
          <w:p w14:paraId="30E7B1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显示屏屏幕失效点：符合GB/T 9813.2 的要求；</w:t>
            </w:r>
          </w:p>
          <w:p w14:paraId="0A1B07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二十五、外设可靠性</w:t>
            </w:r>
          </w:p>
          <w:p w14:paraId="7AB408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1.键盘按键寿命：≥1000万次；</w:t>
            </w:r>
          </w:p>
          <w:p w14:paraId="2B257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2.鼠标按键寿命：≥500万次；</w:t>
            </w:r>
          </w:p>
          <w:p w14:paraId="49B06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3.键盘鼠标线材寿命：键盘鼠标所用线材经±60°弯折不低于3000 次，功能、外观完好；</w:t>
            </w:r>
          </w:p>
          <w:p w14:paraId="58D849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4.风扇寿命：≥4万小时；</w:t>
            </w:r>
          </w:p>
          <w:p w14:paraId="665CEB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二十六、整机可靠性要求</w:t>
            </w:r>
          </w:p>
          <w:p w14:paraId="0E5F8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1.电磁兼容性要求的抗扰度：符合 GB/T 9254.2-2022 的规定，考虑设备工作稳定：要求设备通过浪涌（冲击）抗扰度的适应性认证；</w:t>
            </w:r>
          </w:p>
          <w:p w14:paraId="26DCBA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2.环境条件要求的气候环境适应性：符合 GB/T 9813.1-2016中规定，考虑使用环境差异，要求设备通过温度0~40℃/低气压61.6kPa（4000m）的环境适应性认证；</w:t>
            </w:r>
          </w:p>
          <w:p w14:paraId="520A6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3.环境条件要求的振动适应性：符合 GB/T 9813.1-2016 中规定；</w:t>
            </w:r>
          </w:p>
          <w:p w14:paraId="30826F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4.环境条件要求的冲击适应性：符合 GB/T 9813.1-2016 中规定；</w:t>
            </w:r>
          </w:p>
          <w:p w14:paraId="6D59A6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5.环境条件要求的碰撞适应性：符合 GB/T 9813.1 -2016中规定；</w:t>
            </w:r>
          </w:p>
          <w:p w14:paraId="11049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6.环境条件要求的运输包装件跌落适应性：符合 GB/T 9813.1-2016 中规定；</w:t>
            </w:r>
          </w:p>
          <w:p w14:paraId="4F2049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7.静音舒适性：考虑工作环境的静音舒适，要求设备的噪声声功率级≤3.03Bel，噪声声压级≤23.86dB；8.MTBF测试：MTBF(m1)≥30万小时。</w:t>
            </w:r>
          </w:p>
          <w:p w14:paraId="72A29E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二十七、兼容要求</w:t>
            </w:r>
          </w:p>
          <w:p w14:paraId="7E4B9E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1.常用软件兼容：支持流式软件、版式软件、浏览器、邮件采购人端、解压软件、多媒体、图形图像处理等常用软件；</w:t>
            </w:r>
          </w:p>
          <w:p w14:paraId="282AC9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2.数据库兼容：兼容3个及以上厂商的数据库产品；</w:t>
            </w:r>
          </w:p>
          <w:p w14:paraId="3E9174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3.中间件兼容：兼容3个及以上厂商中间件产品；</w:t>
            </w:r>
          </w:p>
          <w:p w14:paraId="380B12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4.平台软件兼容：兼容3个及以上厂商云计算及大数据平台；</w:t>
            </w:r>
          </w:p>
          <w:p w14:paraId="576FF3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二十八、包装及运输要求</w:t>
            </w:r>
          </w:p>
          <w:p w14:paraId="02EE9A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标志、包装、运输和贮存：符合 GB/T 9813.1-2016和商品包装政府采购需求标准的相关规定；</w:t>
            </w:r>
          </w:p>
          <w:p w14:paraId="3DDB5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二十九、关键部件安全</w:t>
            </w:r>
          </w:p>
          <w:p w14:paraId="30CBB5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14:paraId="6D7227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三十、整机安全性要求</w:t>
            </w:r>
          </w:p>
          <w:p w14:paraId="47504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1.密码算法实现：CPU芯片应符合 GM/T 0008-2012的相关规定，或芯片密码模块应符合 GB/T 37092-2018或GM/T 0028-2014的相关规定；通过商用密码检测机构检测并经商用密码认证机构认证合格。</w:t>
            </w:r>
          </w:p>
          <w:p w14:paraId="59383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2.信息安全基本要求：</w:t>
            </w:r>
          </w:p>
          <w:p w14:paraId="589CB1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产品应符合 GB/T 39276-2020的5.2的规定；</w:t>
            </w:r>
          </w:p>
          <w:p w14:paraId="76EFFA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生产厂商应建立漏洞跟踪表，保证产品版本涉及到的漏洞(如驱动程序等)可查看；</w:t>
            </w:r>
          </w:p>
          <w:p w14:paraId="32F82D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产品不得包含已知的恶意代码或漏洞，不存在未声明的指令、功能、接口；</w:t>
            </w:r>
          </w:p>
          <w:p w14:paraId="5DA300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3.固件安全启动：支持固件安全启动功能，固件启动过程中只有通过启动校验才能正常启动；</w:t>
            </w:r>
          </w:p>
          <w:p w14:paraId="21A296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strike w:val="0"/>
                <w:color w:val="auto"/>
              </w:rPr>
              <w:t>4.限用物质的限量要求：符合 GB/T 26572-2011中规定；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18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0B38C0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30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4C1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教室广播软件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67A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188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21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1.登录方式多样性：支持账号/密码和手机微信扫码两种登录方式。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2.设备管理：可实现实时监控学生机画面、以及进行统一的教学管理，文件共享和回收。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3.人员管理：学校超级管理员可以添加教师和管理员的角色，添加之后管理员能够绑定设备和进行正常的授课工作，教师只能在终端应用软件进行授课操作。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4.教师云空间：支持老师自定义上传、存储文件内容。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支持上传的格式有：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文档：ppt、pptx、word、pdf;</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图片：bmp、png、jpg、jpeg、gif;</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音视频：mp3.wav、ogg、aac、mp4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5.教师广播：不需要借助任何外接设备，支持将教师机的画面以及声音广播给全班学生。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6.学生演示：支持老师将指定学生的屏幕画面广播给其他所有学生，同时老师也能看到该指定学生的屏幕图像。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7.下发课堂活动：在开启授课时支持教师发起不低于4种课堂活动，支持学生拖动答案进行作答，系统将自动判断是否正确。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8.课堂活动作答：支持学生在完成教师下发的课堂活动时，查看自己的排名、耗时以及答题情况。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10.切换课堂通知：当课堂通知大于或等于2条时，支持用户手动切换查看。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11.教学白板课件同步：支持同步教学白板软件的课件内容，支持按照大小、更新时间进行排序，支持按照按照文件类型进行筛选。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12.文件上传：支持上传“本地文件”到终端应用软件的教师云空间。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13.文件共享：支持教师把云空间的文件批量共享给指定的多个授课班级，资料被删除后文件仍可重新下载。支持教师把已共享的资料进行取消共享。</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14.授课班级状态：当作业空间存在多个班级的时候，支持显示当前正在授课班级。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15.文件查看：当开启需输入姓名进入课堂功能时，系统支持按照班级学生的姓名归档查看学生提交的作业文件。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16.导入文件共享：支持教师直接把“我的文件”内容导入共享给班级学生。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17.黑屏管控：教师可以选定学生执行黑屏操作。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18.离线自动黑屏：支持教师统一配置授课是否开启离线黑屏。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E0F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6E03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5A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57C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云桌面机房运维管理系统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896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8FA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DEF0BF">
            <w:pPr>
              <w:keepNext w:val="0"/>
              <w:keepLines w:val="0"/>
              <w:pageBreakBefore w:val="0"/>
              <w:widowControl/>
              <w:numPr>
                <w:ilvl w:val="0"/>
                <w:numId w:val="11"/>
              </w:numPr>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系统设计</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1.在配置管理平台使用终端设备时，支持多种身份识别方式。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2.支持通过账号登录、手机扫码登录、无账号访客登录。</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4.账号互通：在配置管理平台使用终端设备时，支持统一互通的用户身份认证服务，账号登录进入云桌面镜像后，打开教学白板软件、学生行为评价软件的教学应用工具时无需再次输入账号密码重复登录。</w:t>
            </w:r>
          </w:p>
          <w:p w14:paraId="4FB420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highlight w:val="none"/>
                <w:lang w:bidi="ar"/>
              </w:rPr>
              <w:t>5.支持终端设备运行时无</w:t>
            </w:r>
            <w:r>
              <w:rPr>
                <w:rFonts w:hint="eastAsia" w:ascii="宋体" w:hAnsi="宋体" w:eastAsia="宋体" w:cs="宋体"/>
                <w:strike w:val="0"/>
                <w:color w:val="auto"/>
                <w:kern w:val="0"/>
                <w:sz w:val="21"/>
                <w:szCs w:val="21"/>
                <w:lang w:bidi="ar"/>
              </w:rPr>
              <w:t>需运行独立的虚拟化系统，终端设备配置的IP与进入云桌面镜像后的IP能够保持一致，同一个终端无需使用多个IP，简化运维管理与网络规划复杂度。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6.支持在终端设备部署多个云桌面镜像切换使用，支持Windows、UOS、KylinOS、Ubuntu等桌面操作系统的云桌面镜像支持国产化操作系统的使用，包括但不限于UOS、银河麒麟。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7.支持在无法进入操作系统的情况下，快速恢复操作系统的使用，无需依赖网络、服务器、以及还原类软件。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8.支持包括Windows、统信、麒麟云桌面镜像，在对应云桌面镜像系统中查看设备的CPU型号、GPU型号、系统型号、BIOS版本等系统信息显示与终端物理设备一致。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（二）管理平台设计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 管理平台采用B/S架构，中文图形化操作界面；无需本地额外部署服务器等设备，通过浏览器打开即可运维管理云桌面终端设备，支持手机扫码登录/账号密码登录完成鉴权。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highlight w:val="none"/>
                <w:lang w:bidi="ar"/>
              </w:rPr>
              <w:t>2.具备基于广域网统一纳管多分支机构云桌面的能力，支持三层网络、多校区等复杂网络环境安装。</w:t>
            </w:r>
          </w:p>
          <w:p w14:paraId="7CF6B6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eastAsia="zh-CN" w:bidi="ar"/>
              </w:rPr>
            </w:pPr>
            <w:r>
              <w:rPr>
                <w:rFonts w:hint="eastAsia" w:ascii="宋体" w:hAnsi="宋体" w:eastAsia="宋体" w:cs="宋体"/>
                <w:strike w:val="0"/>
                <w:color w:val="auto"/>
                <w:kern w:val="0"/>
                <w:sz w:val="21"/>
                <w:szCs w:val="21"/>
                <w:lang w:bidi="ar"/>
              </w:rPr>
              <w:t>3. 基于Web浏览器，提供用户统一登录认证功能，包括：手机号码注册、登录、忘记密码、扫码登录、账号管理功能。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4.支持PC终端设备与云桌面终端设备统一管理，支持在同一个设备分组中添加不同类型的PC和云桌面设备，并支持对选择的PC和云桌面设备的批量作。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5.支持查看全部设备和分组下设备的运行状态，包括CPU、内存、磁盘的使用率，CPU温度，实时上下行网速与上下行网络流量。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6.硬件资产管理：收集平台中所有云桌面终端和PC终端的硬件配置与状态信息，包括终端名称、主板型号、CPU型号、内存容量、最近运行时间、硬盘信息等。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7.支持终端发现，无需安装插件或程序，仅通过浏览器即可扫描局</w:t>
            </w:r>
            <w:r>
              <w:rPr>
                <w:rFonts w:hint="eastAsia" w:ascii="宋体" w:hAnsi="宋体" w:eastAsia="宋体" w:cs="宋体"/>
                <w:strike w:val="0"/>
                <w:color w:val="auto"/>
                <w:kern w:val="0"/>
                <w:sz w:val="21"/>
                <w:szCs w:val="21"/>
                <w:highlight w:val="none"/>
                <w:lang w:bidi="ar"/>
              </w:rPr>
              <w:t>域网内可访问互联网的终端设备进行批量配置，包括关联学校、关联分组、设置名称、配置网络。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8.支持增强终端发现，安装插件后通过浏览器即可扫描局域网内不可访问互联网的终端设备进行批量配置，包括关联学校、关联分组、设置名称、配置网络</w:t>
            </w:r>
            <w:r>
              <w:rPr>
                <w:rFonts w:hint="eastAsia" w:ascii="宋体" w:hAnsi="宋体" w:cs="宋体"/>
                <w:strike w:val="0"/>
                <w:color w:val="auto"/>
                <w:kern w:val="0"/>
                <w:sz w:val="21"/>
                <w:szCs w:val="21"/>
                <w:highlight w:val="none"/>
                <w:lang w:eastAsia="zh-CN" w:bidi="ar"/>
              </w:rPr>
              <w:t>。</w:t>
            </w:r>
          </w:p>
          <w:p w14:paraId="7ACD05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9.支持远程管理终端设备，通过管理平台进行开机、关机、重启、还原、初始化、删除、配置更改、硬</w:t>
            </w:r>
            <w:r>
              <w:rPr>
                <w:rFonts w:hint="eastAsia" w:ascii="宋体" w:hAnsi="宋体" w:eastAsia="宋体" w:cs="宋体"/>
                <w:strike w:val="0"/>
                <w:color w:val="auto"/>
                <w:kern w:val="0"/>
                <w:sz w:val="21"/>
                <w:szCs w:val="21"/>
                <w:lang w:bidi="ar"/>
              </w:rPr>
              <w:t>件信息查看、桌面运行状态查看等。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11.支持终端设备分组管理，支持在终端组中添加不同型号的终端设备，支持为分组启用座位编号管理。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12.支持批量修改计算机名、IP地址；支持对使用Windows系统的终端，统一设置群组的计算机名，也支持单独设置群组内某一终端的</w:t>
            </w:r>
            <w:r>
              <w:rPr>
                <w:rFonts w:hint="eastAsia" w:ascii="宋体" w:hAnsi="宋体" w:eastAsia="宋体" w:cs="宋体"/>
                <w:strike w:val="0"/>
                <w:color w:val="auto"/>
                <w:kern w:val="0"/>
                <w:sz w:val="21"/>
                <w:szCs w:val="21"/>
                <w:highlight w:val="none"/>
                <w:lang w:bidi="ar"/>
              </w:rPr>
              <w:t>计算机名。</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13.支持终端批量配置，通过管理平台批量修改终端设备的所属组织（学校、校区）、设备名称、网络IP、上电自启BIOS配置、时间自动同步等设置，无需逐台配置。</w:t>
            </w:r>
          </w:p>
          <w:p w14:paraId="32EA5E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14.支持日志信息管理，对终端、镜像等操作信息进行汇总，方便对常见问题的判断追查；支持保留桌面下发记录，包括终端名称，镜像名称，状态等信息。</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16.支持通过账号登录、手机扫码登录、无账号访客登录启动的云桌面镜像均可访问公共数据分</w:t>
            </w:r>
            <w:r>
              <w:rPr>
                <w:rFonts w:hint="eastAsia" w:ascii="宋体" w:hAnsi="宋体" w:eastAsia="宋体" w:cs="宋体"/>
                <w:strike w:val="0"/>
                <w:color w:val="auto"/>
                <w:kern w:val="0"/>
                <w:sz w:val="21"/>
                <w:szCs w:val="21"/>
                <w:lang w:bidi="ar"/>
              </w:rPr>
              <w:t>区（D盘）。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17.支持终端云桌面系统升级，开启自动升级后，终端自动下载最新的终端版本并升级安装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18.可由管理平台指定启动镜像且多个镜像系统环境可快速切换。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19.支持远程还原终端设备，在终端设备在云桌面镜像系统无法启动、系统异常时，可远程操作系统恢复；同时可选清空终端设备的公共数据分区（D盘）的数据。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20.</w:t>
            </w:r>
            <w:r>
              <w:rPr>
                <w:rFonts w:hint="eastAsia" w:ascii="宋体" w:hAnsi="宋体" w:eastAsia="宋体" w:cs="宋体"/>
                <w:strike w:val="0"/>
                <w:color w:val="auto"/>
                <w:kern w:val="0"/>
                <w:sz w:val="21"/>
                <w:szCs w:val="21"/>
                <w:highlight w:val="none"/>
                <w:lang w:bidi="ar"/>
              </w:rPr>
              <w:t>支持配置终端设备的使用方式统一配置，可配置成开机自动启动云桌面镜像或进入云桌面系统。</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21.支持配置终端设备使用鉴权方式统一配置，可配置成仅使用无账号登录、仅使用有账号登录、同时启用两种登录方式，支持同时配置不同登录方式的还原设置。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22.支持分别配置无账号登录、有账号登录方式的还原模式，开启还原后终端设备的云桌面镜像系统的使用记录与数据将不被保留。</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23.支持策略生命周期管理，包括新建、删除、启用、停用。</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24.支持设备计划关机，支持按照全部设备、指定分组、指定设备，设置终端关机操作，并可设置某时间单次执行或周期循环执行。</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25.支持一键打开管理平台的帮助手册。</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26.提供组织管理员管理功能，包括：管理员添加、移除和转移，同时支持设置管理员的管理权限，包括：组织管理，系统管理员管理，角色权限，工作台配置，应用管理，区域语言和操作日志。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bCs/>
                <w:strike w:val="0"/>
                <w:color w:val="auto"/>
                <w:kern w:val="0"/>
                <w:sz w:val="21"/>
                <w:szCs w:val="21"/>
                <w:highlight w:val="none"/>
              </w:rPr>
              <w:t>▲</w:t>
            </w:r>
            <w:r>
              <w:rPr>
                <w:rFonts w:hint="eastAsia" w:ascii="宋体" w:hAnsi="宋体" w:eastAsia="宋体" w:cs="宋体"/>
                <w:strike w:val="0"/>
                <w:color w:val="auto"/>
                <w:kern w:val="0"/>
                <w:sz w:val="21"/>
                <w:szCs w:val="21"/>
                <w:highlight w:val="none"/>
                <w:lang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2C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42333C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E45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27A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教师电脑桌椅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B17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757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89A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2.五金配件：采用东泰牌优质五金配件，平滑度及滑动性好，承载力强，安全系数高。所有五金件均通过国际标准盐雾测试48小时以上。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3.胶粘剂:胶粘剂粘性强，具有防水性、防潮性等特点。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101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A53DB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D36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FE1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学生电脑桌椅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6AD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F24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5BF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1.板材采用E1级优质环保颗粒板，甲醛释放量4.4mg/100g,含水率7.3%，强度高、刚性好、不易变形、比重合理，所有板材均经防虫防腐化学处理，表面握钉力及静曲强度均达到国际标准；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2.五金配件：采用优质五金配件，平滑度及滑动性好，承载力强，安全系数高。所有五金件均通过国际标准盐雾测试48小时以上；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3.胶粘剂:胶粘剂</w:t>
            </w:r>
            <w:r>
              <w:rPr>
                <w:rFonts w:hint="eastAsia" w:ascii="宋体" w:hAnsi="宋体" w:eastAsia="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粘性强，具有防水性、防潮性等特点。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5F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98C6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64A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0A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48口互联交换机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64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A20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BFE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1.48个10/100/1000Base-T RJ45端口；4个独立千兆SFP端口；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2.支持IEEE 802.1Q VLAN，用户可以按需求灵活划分VLAN；</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3.支持语音VLAN，为语音数据流配置QoS参数，提高语音数据流的传输优先级、保证通话质量；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4.支持QoS，支持基于端口、基于802.1P和基于DSCP的三种优先级模式和Equ、SP、WRR、SP+WRR四种队列调度算法；</w:t>
            </w:r>
          </w:p>
          <w:p w14:paraId="34FAF6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5.支持ACL，通过配置匹配规则、处理操作以及时间权限来实现对数据包的过滤，提供灵活的安全访问控制策略；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6.支持IGMP V1/V2组播协议，支持IGMP Snooping，满足多终端高清视频监控和视频会议接入需求。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ADC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D2E74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B6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5DB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24口互联交换机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F9F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FAC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3E0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1.设备性能：交换容量≥52Gbps，包转发率≥38.69Mpps；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2.设备配置：提供千兆电口≥24个，千兆光口≥2个，无风扇静音设计自然散热，交流供电；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 规格表项：支持MAC地址≥8K；</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 运维：设备即插即用，无需配置管理。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F99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968E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245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E31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717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A7B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02EAE8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w:t>
            </w:r>
            <w:r>
              <w:rPr>
                <w:rFonts w:hint="eastAsia" w:ascii="宋体" w:hAnsi="宋体" w:cs="宋体"/>
                <w:strike w:val="0"/>
                <w:color w:val="auto"/>
                <w:kern w:val="0"/>
                <w:sz w:val="21"/>
                <w:szCs w:val="21"/>
                <w:lang w:eastAsia="zh-CN" w:bidi="ar"/>
              </w:rPr>
              <w:t>、</w:t>
            </w:r>
            <w:r>
              <w:rPr>
                <w:rFonts w:hint="eastAsia" w:ascii="宋体" w:hAnsi="宋体" w:eastAsia="宋体" w:cs="宋体"/>
                <w:strike w:val="0"/>
                <w:color w:val="auto"/>
                <w:kern w:val="0"/>
                <w:sz w:val="21"/>
                <w:szCs w:val="21"/>
                <w:lang w:bidi="ar"/>
              </w:rPr>
              <w:t>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2661A1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03688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A9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93D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i w:val="0"/>
                <w:iCs w:val="0"/>
                <w:strike w:val="0"/>
                <w:color w:val="auto"/>
                <w:kern w:val="0"/>
                <w:sz w:val="21"/>
                <w:szCs w:val="21"/>
                <w:u w:val="none"/>
                <w:lang w:val="en-US" w:eastAsia="zh-CN" w:bidi="ar"/>
              </w:rPr>
              <w:t>备授课软件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CAE0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B4B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60</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08B3D68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1）教学平台为全校教师提供可扩展，易于学校管理，安全可靠的云存储空间，根据每名教师使用时长与教学资料制作频率提供可扩展升级至不小于200G的个人云空间。</w:t>
            </w:r>
          </w:p>
          <w:p w14:paraId="2D1B21C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2）PPT小工具：支持小组端进入PPT放映模式后提供批注、黑板、橡皮、撤销、批注分享等工具，满足学生小组研讨的使用</w:t>
            </w:r>
          </w:p>
          <w:p w14:paraId="01EBADA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14:paraId="7871358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★4）一键开课：教师可一键开课生成课程海报；学生扫描课程海报微信二维码即可加入直播课堂，无需额外安装APP。</w:t>
            </w:r>
          </w:p>
          <w:p w14:paraId="0C08F95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5）剪辑重录：支持按照课件页面片段剪辑和重录微课，支持一键上传至云端保存。</w:t>
            </w:r>
          </w:p>
          <w:p w14:paraId="6078EA06">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★6）课程回放：课程结束后自动生成直播回放，报名课程的学生可反复学习；回放课程自动保存在云端，支持人工删除。</w:t>
            </w:r>
          </w:p>
          <w:p w14:paraId="4D56A80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7）发起集备：支持选择教案、课件、胶囊资源上传发起集备研讨，支持设置多重访问权限，通过手机号搜索即可邀请外校老师，可用于跨校教研场景。</w:t>
            </w:r>
          </w:p>
          <w:p w14:paraId="513A18D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w:t>
            </w:r>
          </w:p>
          <w:p w14:paraId="5CFB94B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12.电脑应用助手</w:t>
            </w:r>
          </w:p>
          <w:p w14:paraId="384503C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1）登录方式多样性：支持帐号/密码和手机微信扫码两种登录方式。用户首次登录时绑定微信ID与帐号的对应关系，绑定后可通过微信扫码登录，无需再次输入帐号/密码。</w:t>
            </w:r>
          </w:p>
          <w:p w14:paraId="5D9DE42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2）终端关联设备：设备通过微信扫码可绑定学校的设备管理系统，能设置当前设备类型与归属用户。</w:t>
            </w:r>
          </w:p>
          <w:p w14:paraId="4F921AA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p>
          <w:p w14:paraId="52FE2B2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4）设备运行状态：能查看当前设备的内存、CPU、硬盘、系统盘、网速的实时占用状态信息。</w:t>
            </w:r>
          </w:p>
          <w:p w14:paraId="4DFBA05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5）整体描述：发送端软件发送文件至接收端软件。</w:t>
            </w:r>
          </w:p>
          <w:p w14:paraId="67162E5A">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6）文件条件：支持一次发送多个文件；可发送图片、视频、文档等类型的文件。</w:t>
            </w:r>
          </w:p>
          <w:p w14:paraId="6873088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7）文件发送：可以从不同的文件夹拖动或选择文件至发送区；能查看待发送的文件列表，并可移除选择错误的文件。</w:t>
            </w:r>
          </w:p>
          <w:p w14:paraId="1352BE21">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8）快捷发送：支持拖动文件至发送区进行文件发送。</w:t>
            </w:r>
          </w:p>
          <w:p w14:paraId="15AEF35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9）离线暂存：支持一次发送文件给多个接收端设备。接收端离线时文件能够暂存在云端，接收端设备在线后可进行自动下载。</w:t>
            </w:r>
          </w:p>
          <w:p w14:paraId="6D00B7B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10）其他：支持查看发送进度；</w:t>
            </w:r>
          </w:p>
          <w:p w14:paraId="0B36DBCB">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11）个性接收夹：在接收端设备上能够创建自己独立的文件接收夹。可个性化定义文件的名称与图标颜色；接收到新文件时有提示新文件；</w:t>
            </w:r>
          </w:p>
          <w:p w14:paraId="307D321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p>
          <w:p w14:paraId="666178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13）自动下载：支持接收端设备在线状态下可自动接收发送端设备发送的文件。</w:t>
            </w:r>
          </w:p>
          <w:p w14:paraId="2E43AF2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14）自动清理：支持自动清理超过14天的文件。</w:t>
            </w:r>
          </w:p>
          <w:p w14:paraId="77F9769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15）状态查看：支持展示电脑实时的数据信息，包括CPU、内存、系统盘、总存储、实时网速数据信息，离线的设备展示最后的数据信息。</w:t>
            </w:r>
          </w:p>
          <w:p w14:paraId="37BA739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2E08402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p>
          <w:p w14:paraId="43B7BAA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7519FD7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19）预览：能够在线预览图片、音视频、文档；支持预览的格式，包括，图片：BMP、GIF、JPE、JPEG、JPG、PNG；音频：WAV、MP3、OGG；视频：3GP、F4V、M4V、MKV、MP4、OGV、MOV；文档：DOC、DOCX、PDF、PPT、XLS、XLSX。</w:t>
            </w:r>
          </w:p>
          <w:p w14:paraId="7A04383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★20）发送到班级：用户可在资料夹中把多个文件发送至接收端软件中，发送的文件不限格式，接收端软件自动下载该文件。</w:t>
            </w:r>
          </w:p>
          <w:p w14:paraId="7C7172A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05794A3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22）最近使用课件：助手栏展示最近使用的前3条课件，点击课件支持在发送端软件内打开和编辑。</w:t>
            </w:r>
          </w:p>
          <w:p w14:paraId="5BD4744D">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23)编辑：用户可自定义助手栏展示的内容，根据自己的需求能对内容进行移除、添加、移动位置，变更后数据会跟随当前登陆的账号，登录另一台电脑时会同步当前编辑的结果。</w:t>
            </w:r>
          </w:p>
          <w:p w14:paraId="146FAA5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24)网站：支持用户主动添加网址，添加的网站会呈现在助手栏中，点击即可在发送端软件打开。</w:t>
            </w:r>
          </w:p>
          <w:p w14:paraId="4392411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★25)移动：用户能拖动助手栏到屏幕的任意位置，当用户拖动助手栏靠近屏幕边缘时会自动收到侧边；鼠标悬浮在侧边的时候，会弹出该助手栏，再次拖动助手栏会取消收起。</w:t>
            </w:r>
          </w:p>
          <w:p w14:paraId="5CCC46A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26)对话式生成：根据输入的文字生成文本，并通过类人类对话的形式表达，还支持根据上下文进行多轮连续对话。</w:t>
            </w:r>
          </w:p>
          <w:p w14:paraId="431C698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★27)写作：支持输入主题一键生成活动感想、发言稿、活动策划；支持选择生成的文字数量。</w:t>
            </w:r>
          </w:p>
          <w:p w14:paraId="22152A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28)评价：支持根据输入的学生姓名与评价维度生成评语。</w:t>
            </w:r>
          </w:p>
          <w:p w14:paraId="6E49059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29)提示词：支持进入百宝箱后默认展示3条提示词，一键问询AI问题。</w:t>
            </w:r>
          </w:p>
          <w:p w14:paraId="3722FF2C">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30)生成编辑：支持对AI生成的内容复制或重新生成。</w:t>
            </w:r>
          </w:p>
          <w:p w14:paraId="31677BD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★31)批量生成：支持批量生成学生的奖状，并可对奖状内容、奖励称号、颁奖人/单位、颁发日期、印章内容进行自定义编辑；支持选择生成的奖状模板。</w:t>
            </w:r>
          </w:p>
          <w:p w14:paraId="34C37417">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32)下载：支持将生成的奖状一键下载到本地。</w:t>
            </w:r>
          </w:p>
          <w:p w14:paraId="1DDF76E0">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0BF6C5F2">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34)录屏：支持对全屏/区域的屏幕内容、电脑的声音、麦克风声音、摄像头内容进行录制；支持切换录制的分辨率。</w:t>
            </w:r>
          </w:p>
          <w:p w14:paraId="2E13BAFF">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35)录制中：支持录制过程中进行画笔标注与擦除；支持中途暂停录制和继续录制。</w:t>
            </w:r>
          </w:p>
          <w:p w14:paraId="66F5B3D4">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36)录制结束：支持录制结束后进行文字快剪、视频编辑。</w:t>
            </w:r>
          </w:p>
          <w:p w14:paraId="3F1291A3">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37)传屏：支持把发送端设备的屏幕同步到班班通设备；传屏成功后支持在班班通设备反向触控发送端设备。</w:t>
            </w:r>
          </w:p>
          <w:p w14:paraId="15299A4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38)设备连接：支持通过连接码的方式与班班通设备建立传屏关系；支持自动发现附近的班班通设备，一键连接班班通设备。</w:t>
            </w:r>
          </w:p>
          <w:p w14:paraId="67EC50F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39)指令下发：支持对单个电脑或批量设备下发关机与重启指令、移动分组、移除设备。</w:t>
            </w:r>
          </w:p>
          <w:p w14:paraId="61EE4B6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7EA0975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★41)图片转格式：支持对图片进行在线转换格式，图片原始格式为bmp、jpg、jpeg、png、tif、webp、heic;转换为jpg、png;转换后支持下载图片到电脑本地。</w:t>
            </w:r>
          </w:p>
          <w:p w14:paraId="4A2267D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42)提取文字：支持对图片进行在线文字识别；识别后支持对文字进行复制。</w:t>
            </w:r>
          </w:p>
          <w:p w14:paraId="506F4C4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★43)文字快剪：支持提取视频的声音并转换成文字，自动识别出语气词，用户可选择删除，支持手动删除文字从而达到剪辑的目的。</w:t>
            </w:r>
          </w:p>
          <w:p w14:paraId="1A7AE6E5">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2AAFAE9E">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45)退出关联：支持学校管理员可通过手机微信扫描接收端软件的二维码退出学校。退出后普通老师无法在该学校对该设备远程创建接收夹；</w:t>
            </w:r>
          </w:p>
          <w:p w14:paraId="679133B8">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p>
          <w:p w14:paraId="00613219">
            <w:pPr>
              <w:keepNext w:val="0"/>
              <w:keepLines w:val="0"/>
              <w:pageBreakBefore w:val="0"/>
              <w:widowControl/>
              <w:suppressLineNumbers w:val="0"/>
              <w:kinsoku/>
              <w:wordWrap/>
              <w:overflowPunct/>
              <w:topLinePunct w:val="0"/>
              <w:bidi w:val="0"/>
              <w:spacing w:line="440" w:lineRule="exact"/>
              <w:ind w:firstLine="0" w:firstLineChars="0"/>
              <w:jc w:val="left"/>
              <w:textAlignment w:val="center"/>
              <w:rPr>
                <w:rFonts w:hint="eastAsia" w:ascii="宋体" w:hAnsi="宋体" w:eastAsia="宋体" w:cs="宋体"/>
                <w:i w:val="0"/>
                <w:iCs w:val="0"/>
                <w:strike w:val="0"/>
                <w:color w:val="auto"/>
                <w:kern w:val="0"/>
                <w:sz w:val="21"/>
                <w:szCs w:val="21"/>
                <w:u w:val="none"/>
                <w:lang w:val="en-US" w:eastAsia="zh-CN" w:bidi="ar"/>
              </w:rPr>
            </w:pPr>
            <w:r>
              <w:rPr>
                <w:rFonts w:hint="eastAsia" w:ascii="宋体" w:hAnsi="宋体" w:eastAsia="宋体" w:cs="宋体"/>
                <w:i w:val="0"/>
                <w:iCs w:val="0"/>
                <w:strike w:val="0"/>
                <w:color w:val="auto"/>
                <w:kern w:val="0"/>
                <w:sz w:val="21"/>
                <w:szCs w:val="21"/>
                <w:u w:val="none"/>
                <w:lang w:val="en-US" w:eastAsia="zh-CN" w:bidi="ar"/>
              </w:rPr>
              <w:t>47)设备信息：支持查看单个电脑的硬件信息与系统信息。</w:t>
            </w:r>
          </w:p>
          <w:p w14:paraId="511022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7719B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5C904C">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A2C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（二）教师计算机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B6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49D15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93C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5BC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教师计算机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750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72F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932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★一、CPU规格</w:t>
            </w:r>
          </w:p>
          <w:p w14:paraId="651378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CPU：物理核心≥8核，主频≥3.0GHz，末级缓存容量≥16MB，线程数≥16，CPU PCle通道总数≥32，CPU基本功率≥65W, CPU支持的内存最高速率≥3200MT/s；</w:t>
            </w:r>
          </w:p>
          <w:p w14:paraId="006FAA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★二、内存规格</w:t>
            </w:r>
          </w:p>
          <w:p w14:paraId="270D13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1.内存配置容量：≥8GB；</w:t>
            </w:r>
          </w:p>
          <w:p w14:paraId="2D0532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2.内存类型：支持DDR4/LPDDR4/LPDDR4X及以上内存类型；</w:t>
            </w:r>
          </w:p>
          <w:p w14:paraId="659074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3.内存条配置数量（板载内存不涉及）：≥2；</w:t>
            </w:r>
          </w:p>
          <w:p w14:paraId="3F9FD9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三、主板规格</w:t>
            </w:r>
          </w:p>
          <w:p w14:paraId="56E2A0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1.主板集成模块：集成资源扩展模块、计算处理模块、音频扩展模块等，主板的互联拓扑可通过处理器或交换电路实现；</w:t>
            </w:r>
          </w:p>
          <w:p w14:paraId="7ABABE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2.主板支持的 CPU情况：物理核心≥8核，主频≥3.0GHz，末级缓存容量≥16MB，线程数≥16，CPU PCle通道总数≥32，CPU基本功率≥65W, CPU 支持的内存最高速率≥3200 MT/s；</w:t>
            </w:r>
          </w:p>
          <w:p w14:paraId="78331A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 主板支持的内存情况：内存读写速率≥3200MT/s，内存条数量≥2；</w:t>
            </w:r>
          </w:p>
          <w:p w14:paraId="53A7EB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4.主板其他内置接口：≥4个SATA接口；≥M.2接口*1，≥USB接口*7，固态硬盘占用M.2接口*1，机械硬盘占用SATA接口*1</w:t>
            </w:r>
          </w:p>
          <w:p w14:paraId="3067A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5.单内存插槽最大可支持容量（板载内存不涉及）：≥32GB；</w:t>
            </w:r>
          </w:p>
          <w:p w14:paraId="18D9CD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6.内存插槽满配时提供的最高内存总容量：≥64GB；</w:t>
            </w:r>
          </w:p>
          <w:p w14:paraId="6AE24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四、存储设备规格</w:t>
            </w:r>
          </w:p>
          <w:p w14:paraId="65FDE1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 xml:space="preserve">1.固态盘数量：≥1 个； </w:t>
            </w:r>
          </w:p>
          <w:p w14:paraId="21916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2.固态存储容量：≥512GB；</w:t>
            </w:r>
          </w:p>
          <w:p w14:paraId="12E05D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3.固态存储形态：采用插卡或板载等形态，可选用符合M.2或2.5寸SATA或mSATA等标准的插卡形态；</w:t>
            </w:r>
          </w:p>
          <w:p w14:paraId="55C57C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4.存储设备其他参数要求：a)固态盘应符合 SJ/T 11654-2016 相关规定；b)机械硬盘准备时间应不大于30s；侧面固定螺丝孔数量可为 4 孔或6孔；工作状态环境温度应满足5℃-55℃；其它参数应符合 GB/T 12628-2008相关规定；</w:t>
            </w:r>
          </w:p>
          <w:p w14:paraId="033B82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五、显卡规格</w:t>
            </w:r>
          </w:p>
          <w:p w14:paraId="68CCF0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1.显卡类型：独立显卡；</w:t>
            </w:r>
          </w:p>
          <w:p w14:paraId="1AF3C5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2.显存类型≥LPDDR4型；</w:t>
            </w:r>
          </w:p>
          <w:p w14:paraId="16C2E1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3.独立显卡，显存容量≥2GB</w:t>
            </w:r>
          </w:p>
          <w:p w14:paraId="6F852B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★六、显示设备规格</w:t>
            </w:r>
          </w:p>
          <w:p w14:paraId="05DC4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1.尺寸：≥23英寸</w:t>
            </w:r>
          </w:p>
          <w:p w14:paraId="202F18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2.显示屏屏占比：≥90%；</w:t>
            </w:r>
          </w:p>
          <w:p w14:paraId="5AE47F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3.分辨率：1920×1080像素，</w:t>
            </w:r>
          </w:p>
          <w:p w14:paraId="09FE1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4.刷新率：≥100Hz</w:t>
            </w:r>
          </w:p>
          <w:p w14:paraId="2814BC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5.屏幕比例：16：9</w:t>
            </w:r>
          </w:p>
          <w:p w14:paraId="174240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6.可视角度：178度宽广视角</w:t>
            </w:r>
          </w:p>
          <w:p w14:paraId="56B552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7.接口要求：至少支持VGA、HDMI、DVI、DP、Type-C中1种显示接口，并与主机接口相匹配。</w:t>
            </w:r>
          </w:p>
          <w:p w14:paraId="40AD78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8.显示屏防蓝光：支持防蓝光模式，蓝光加权辐射亮度比应≤0.0012W/(·cd·sr)（瓦每坎特拉每球面度）；</w:t>
            </w:r>
          </w:p>
          <w:p w14:paraId="06BF64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9.显示屏低频闪：显示屏应支持低频闪≤-35dB；</w:t>
            </w:r>
          </w:p>
          <w:p w14:paraId="20F0CF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10.显示屏防炫目：显示屏镜面反射率≤10%；</w:t>
            </w:r>
          </w:p>
          <w:p w14:paraId="5E116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11.显示器外观颜色：黑色等商务色系</w:t>
            </w:r>
          </w:p>
          <w:p w14:paraId="212ABB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七、外设规格</w:t>
            </w:r>
          </w:p>
          <w:p w14:paraId="1FA821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1.鼠标数量：≥1个；</w:t>
            </w:r>
          </w:p>
          <w:p w14:paraId="36F528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2.键盘数量：≥1个；</w:t>
            </w:r>
          </w:p>
          <w:p w14:paraId="085D6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3.键盘按键数目：104键；</w:t>
            </w:r>
          </w:p>
          <w:p w14:paraId="02E66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4.键盘连接方式：有线；</w:t>
            </w:r>
          </w:p>
          <w:p w14:paraId="4ED8EC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5.键盘键程：2.3mm～4.0mm；</w:t>
            </w:r>
          </w:p>
          <w:p w14:paraId="7B589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6.键盘按键压力：按键压力应在0.54N±0.14N；</w:t>
            </w:r>
          </w:p>
          <w:p w14:paraId="31413F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7.有线键盘连接线：≥1.5米；</w:t>
            </w:r>
          </w:p>
          <w:p w14:paraId="096920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8.键盘颜色：黑色等商务色系；</w:t>
            </w:r>
          </w:p>
          <w:p w14:paraId="7385FB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9.鼠标连接方式：有线；</w:t>
            </w:r>
          </w:p>
          <w:p w14:paraId="026AED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10.有线鼠标连接线：≥1.5米；</w:t>
            </w:r>
          </w:p>
          <w:p w14:paraId="576543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11.鼠标DPI分辨率：800～1600；</w:t>
            </w:r>
          </w:p>
          <w:p w14:paraId="6505F0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12.鼠标颜色：黑色等商务色系；</w:t>
            </w:r>
          </w:p>
          <w:p w14:paraId="0F58E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13.鼠标其他要求：其它参数应符合 GB/T 26245-2010 的相关规定；</w:t>
            </w:r>
          </w:p>
          <w:p w14:paraId="4BD7C9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八、网络设备规格</w:t>
            </w:r>
          </w:p>
          <w:p w14:paraId="3CA82E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有线网卡数量：≥1；</w:t>
            </w:r>
          </w:p>
          <w:p w14:paraId="6942FB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九、外部接口规格</w:t>
            </w:r>
          </w:p>
          <w:p w14:paraId="3B048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1.USB 接口数量机箱前面板应提供不少于</w:t>
            </w:r>
            <w:r>
              <w:rPr>
                <w:rFonts w:hint="eastAsia"/>
                <w:strike w:val="0"/>
                <w:color w:val="auto"/>
                <w:lang w:val="en-US" w:eastAsia="zh-CN"/>
              </w:rPr>
              <w:t>3</w:t>
            </w:r>
            <w:r>
              <w:rPr>
                <w:rFonts w:hint="eastAsia"/>
                <w:strike w:val="0"/>
                <w:color w:val="auto"/>
              </w:rPr>
              <w:t>个USB 接口（含2个USB3.0及以上接口）；</w:t>
            </w:r>
          </w:p>
          <w:p w14:paraId="744B76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2.视频接口数量≥2 ，视频接口类型至少支持VGA、HDMI、DVI、DP、Type-C中</w:t>
            </w:r>
            <w:r>
              <w:rPr>
                <w:rFonts w:hint="eastAsia"/>
                <w:strike w:val="0"/>
                <w:color w:val="auto"/>
                <w:lang w:val="en-US" w:eastAsia="zh-CN"/>
              </w:rPr>
              <w:t>1</w:t>
            </w:r>
            <w:r>
              <w:rPr>
                <w:rFonts w:hint="eastAsia"/>
                <w:strike w:val="0"/>
                <w:color w:val="auto"/>
              </w:rPr>
              <w:t>种显示接口，若提供 HDMI或DP或Type-C作为显示接口，应支持音频和视频同步输出；</w:t>
            </w:r>
          </w:p>
          <w:p w14:paraId="28340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3.音频接口数量≥5 ，音频接口类型支持3.5mm孔径3段式或4段式接口。</w:t>
            </w:r>
          </w:p>
          <w:p w14:paraId="634EC0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十、整机基础规格</w:t>
            </w:r>
          </w:p>
          <w:p w14:paraId="50E93E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1.整机外观：</w:t>
            </w:r>
          </w:p>
          <w:p w14:paraId="005C32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产品表面不应有凹痕、划伤、裂缝、变形和污染等。表面涂层均匀，不应起泡、龟裂、脱落和磨损，金属零部件无锈蚀及其它机械损伤；</w:t>
            </w:r>
          </w:p>
          <w:p w14:paraId="375B48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产品表面说明功能的文字、符号、标志，应清晰、端正、牢固；</w:t>
            </w:r>
          </w:p>
          <w:p w14:paraId="5CAB9A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2.状态指示灯：在产品显著位置提供状态指示功能；</w:t>
            </w:r>
          </w:p>
          <w:p w14:paraId="3D8A55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3.整机结构：</w:t>
            </w:r>
          </w:p>
          <w:p w14:paraId="2FFB97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机箱应符合 GB/T 4208-2017、GB/T 26246-2010的相关规定；</w:t>
            </w:r>
          </w:p>
          <w:p w14:paraId="79AD86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产品内部结构应符合通用部件的安装需求；</w:t>
            </w:r>
          </w:p>
          <w:p w14:paraId="4AD90A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所有输入输出接口应符合相关国家或行业标准；</w:t>
            </w:r>
          </w:p>
          <w:p w14:paraId="72DE30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d) 产品零部件应紧固无松动，可插拔部件应可靠连接，开关、按钮和其它控制部件应灵活可靠，布局应方便使用；</w:t>
            </w:r>
          </w:p>
          <w:p w14:paraId="784C4C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e) 所有 I/O 连接器及需插接线缆的部位应预留采购人操作空间，方便插拔解锁与插拔线缆；</w:t>
            </w:r>
          </w:p>
          <w:p w14:paraId="7C2EA3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f) 可插拔板卡插槽部位应预留安装、拆卸或更换板卡空间；</w:t>
            </w:r>
          </w:p>
          <w:p w14:paraId="128A7A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g) 拆装可能接触到的金属剪口或金属尖角部位应做防划伤处理，以保证安全；</w:t>
            </w:r>
          </w:p>
          <w:p w14:paraId="2DB90A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h) 整机内部走线应规整，固线结构和位置要合理可靠并做防割线处理，需便于理线和插拔操作，走线应不影响系统各主要部件组装和拆卸；</w:t>
            </w:r>
          </w:p>
          <w:p w14:paraId="77DEEB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i) 如需通过孔走线，过线孔应做防割线处理；</w:t>
            </w:r>
          </w:p>
          <w:p w14:paraId="420138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j) 各插头位置和插拔方向应合理，应做到插拔无障碍设计，具备防呆设计，有效避免误操作；</w:t>
            </w:r>
          </w:p>
          <w:p w14:paraId="0DB092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k) 各主要部件拆装无障碍，使用常规工具拆装，无特殊拆装工具需求；</w:t>
            </w:r>
          </w:p>
          <w:p w14:paraId="20F3A6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l) 各主要部件拆装步骤要少，各自拆装需避免相互干扰；</w:t>
            </w:r>
          </w:p>
          <w:p w14:paraId="42648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m) 对于整机或零部件外表面为高亮面的，应粘贴保护膜，保护膜需粘贴牢固，运输、组装等过程不易脱落，撕下无残留；</w:t>
            </w:r>
          </w:p>
          <w:p w14:paraId="00511E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n) 其它要求应符合GB/T 9813.1-2016的相关规定；</w:t>
            </w:r>
          </w:p>
          <w:p w14:paraId="7E8C69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4.机箱防护要求：机箱符合 GB/T 4208-2017 中 IP20 防护要求；</w:t>
            </w:r>
          </w:p>
          <w:p w14:paraId="638C8D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5.整机噪音：产品工作在空闲状态下，产品的声功率级应不超过4.5 Bel；</w:t>
            </w:r>
          </w:p>
          <w:p w14:paraId="1C60BD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6.整机散热：在环境温度 25℃及处理器满载情况下，产品表面温度应符合如下要求：</w:t>
            </w:r>
          </w:p>
          <w:p w14:paraId="5D811B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出风口在机箱后面板情况下，出风口温度不高于55℃；</w:t>
            </w:r>
          </w:p>
          <w:p w14:paraId="31360E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可触及面温度不高于45℃；</w:t>
            </w:r>
          </w:p>
          <w:p w14:paraId="3BCD3A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显示器表面温度：显示屏不高于38℃，显示屏上下灯带位置温度（如涉及）不高于40℃，出风口温度不高于45℃；</w:t>
            </w:r>
          </w:p>
          <w:p w14:paraId="741AFB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7.整机能效限定值：产品能效限定值应达到 GB 28380-2012标准中能效等级2级及以上；</w:t>
            </w:r>
            <w:r>
              <w:rPr>
                <w:rFonts w:hint="eastAsia" w:ascii="宋体" w:hAnsi="宋体" w:cs="宋体"/>
                <w:strike w:val="0"/>
                <w:color w:val="auto"/>
                <w:sz w:val="21"/>
                <w:szCs w:val="21"/>
                <w:lang w:val="en-US" w:eastAsia="zh-CN"/>
              </w:rPr>
              <w:t>产品型号获得</w:t>
            </w:r>
            <w:r>
              <w:rPr>
                <w:rFonts w:hint="eastAsia" w:ascii="宋体" w:hAnsi="宋体" w:eastAsia="宋体" w:cs="宋体"/>
                <w:strike w:val="0"/>
                <w:color w:val="auto"/>
                <w:sz w:val="21"/>
                <w:szCs w:val="21"/>
                <w:lang w:val="en-US" w:eastAsia="zh-CN"/>
              </w:rPr>
              <w:t>依据国家确定的认证机构出具的、处于有效期之内的节能产品认证证书。</w:t>
            </w:r>
          </w:p>
          <w:p w14:paraId="2C0712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8.机身材质：金属；</w:t>
            </w:r>
          </w:p>
          <w:p w14:paraId="14CB00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9.机身颜色：黑色等商务色系；</w:t>
            </w:r>
          </w:p>
          <w:p w14:paraId="104CFC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10.机箱尺寸容量：机箱体积应不大于15L；</w:t>
            </w:r>
          </w:p>
          <w:p w14:paraId="25F9BB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十一、CPU性能</w:t>
            </w:r>
          </w:p>
          <w:p w14:paraId="12817B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1.CPU物理核数：≥8；</w:t>
            </w:r>
          </w:p>
          <w:p w14:paraId="6B52ED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2.CPU主频：≥3.0GHz；</w:t>
            </w:r>
          </w:p>
          <w:p w14:paraId="29C74B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3.CPU线程数：≥16；</w:t>
            </w:r>
          </w:p>
          <w:p w14:paraId="3D760A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4.CPU末级缓存容量：≥16MB；</w:t>
            </w:r>
          </w:p>
          <w:p w14:paraId="52C19B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5.CPU支持的内存最高速率：≥3200MT/s；</w:t>
            </w:r>
          </w:p>
          <w:p w14:paraId="03E42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十二、内存性能</w:t>
            </w:r>
          </w:p>
          <w:p w14:paraId="723CEF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内存读写速率：≥3200 MT/s；</w:t>
            </w:r>
          </w:p>
          <w:p w14:paraId="18A14F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十三、显卡性能</w:t>
            </w:r>
          </w:p>
          <w:p w14:paraId="31E8CC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1.显示分辨率：≥1920×1080；</w:t>
            </w:r>
          </w:p>
          <w:p w14:paraId="592E8D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2.显卡显示芯片核心频率：≥1350MHz；</w:t>
            </w:r>
          </w:p>
          <w:p w14:paraId="13CA0A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3.显存等效频率：≥3733 MMT/s；</w:t>
            </w:r>
          </w:p>
          <w:p w14:paraId="31050D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 xml:space="preserve">4.显卡可支持多屏同时显示数量：显卡应支持2块屏幕同时显示，分辨率应不低于1920×1080； </w:t>
            </w:r>
          </w:p>
          <w:p w14:paraId="43AEE8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十四、显示设备性能</w:t>
            </w:r>
          </w:p>
          <w:p w14:paraId="53953B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1.显示屏刷新率≥100 Hz；</w:t>
            </w:r>
          </w:p>
          <w:p w14:paraId="1EE8B4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2.显示屏位深≥8位；</w:t>
            </w:r>
          </w:p>
          <w:p w14:paraId="5033CD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3.显示屏色域≥99% sRGB；</w:t>
            </w:r>
          </w:p>
          <w:p w14:paraId="1219B5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4.显示屏色准△E ≤4；</w:t>
            </w:r>
          </w:p>
          <w:p w14:paraId="24C78F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5.显示屏响应时间≤7 ms；</w:t>
            </w:r>
          </w:p>
          <w:p w14:paraId="4A8793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6.显示屏亮度≥300尼特；</w:t>
            </w:r>
          </w:p>
          <w:p w14:paraId="54614C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7.显示屏亮度一致性≥75 %；</w:t>
            </w:r>
          </w:p>
          <w:p w14:paraId="629C06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8.显示屏对比度≥1000：1 ；</w:t>
            </w:r>
          </w:p>
          <w:p w14:paraId="38ECD9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9.显示器接口应与显卡外接显示接口匹配；</w:t>
            </w:r>
          </w:p>
          <w:p w14:paraId="63B96E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10.显示器应提供显示器支架；</w:t>
            </w:r>
          </w:p>
          <w:p w14:paraId="7D25F6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11.显示器参数调节：提供OSD 选单按钮用于调节色彩、模式等，支持色温、亮度、对比度调节；</w:t>
            </w:r>
          </w:p>
          <w:p w14:paraId="1808D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12.显示屏其他参数应符合 SJ/T 11292 的相关规定。</w:t>
            </w:r>
          </w:p>
          <w:p w14:paraId="277B84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十五、网络设备性能</w:t>
            </w:r>
          </w:p>
          <w:p w14:paraId="3B98EE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有线网卡速率：最高速率应不低于1000Mbps，应支持10Mbps、100Mbps、1000Mbps 速率自适应；</w:t>
            </w:r>
          </w:p>
          <w:p w14:paraId="4B4D34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十六、主板功能</w:t>
            </w:r>
          </w:p>
          <w:p w14:paraId="77AAF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1.内存扩展接口(板载内存不涉及)：≥2个；</w:t>
            </w:r>
          </w:p>
          <w:p w14:paraId="39915A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2.主板 USB瞬间过流保护：支持有瞬间过流保护功能；</w:t>
            </w:r>
          </w:p>
          <w:p w14:paraId="7D4D46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3.主板防静电保护：支持防静电保护功能；</w:t>
            </w:r>
          </w:p>
          <w:p w14:paraId="614C05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14:paraId="4847BA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十七、显卡功能</w:t>
            </w:r>
          </w:p>
          <w:p w14:paraId="67D019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显卡外接显示接口：显卡至少支持 VGA、HDMI、DVI、DP、Type-C 中 1 种显示接口，并与显示器接口相匹配；</w:t>
            </w:r>
          </w:p>
          <w:p w14:paraId="2DD41D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十八、存储功能</w:t>
            </w:r>
          </w:p>
          <w:p w14:paraId="385F44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存储功能：通过 SATA 固态存储/PCIe 固态存储/UFS 固态存储/SATA 硬磁盘等存储部件提供存储功能；</w:t>
            </w:r>
          </w:p>
          <w:p w14:paraId="1F4ED7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十九、网络设备功能</w:t>
            </w:r>
          </w:p>
          <w:p w14:paraId="4A5CF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1.网络功能：</w:t>
            </w:r>
          </w:p>
          <w:p w14:paraId="7A5511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a)支持网络连接、网络开启/关闭功能；</w:t>
            </w:r>
          </w:p>
          <w:p w14:paraId="26B1F0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b)支持访问网络和数据交换功能；</w:t>
            </w:r>
          </w:p>
          <w:p w14:paraId="2A1CAC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2.数据传输：支持数据传输能力，并提供数据流量和异常日志记录功能；</w:t>
            </w:r>
          </w:p>
          <w:p w14:paraId="52E9E3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3.有线网卡接口类型：支持 RJ45 接口；</w:t>
            </w:r>
          </w:p>
          <w:p w14:paraId="3506F3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4.网络设备拆装：网络设备支持物理拆装，包括无线网卡和蓝牙模块等；</w:t>
            </w:r>
          </w:p>
          <w:p w14:paraId="0D88BE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二十、外部接口功能</w:t>
            </w:r>
          </w:p>
          <w:p w14:paraId="25CAF1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1.音频接口类型：支持 3.5mm 孔径 3 段式或 4 段式接口</w:t>
            </w:r>
          </w:p>
          <w:p w14:paraId="67E6A6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2.视频接口类型：至少支持 VGA、HDMI、DVI、DP、Type-C中 1 种显示接口；</w:t>
            </w:r>
          </w:p>
          <w:p w14:paraId="6A4F05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3.HDMI、DP、Type-C 显示接口要求：若提供 HDMI 或 DP 或 Type-C 作为显示接口，应支持音频和视频同步输出；</w:t>
            </w:r>
          </w:p>
          <w:p w14:paraId="24016F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二十一、电源功能</w:t>
            </w:r>
          </w:p>
          <w:p w14:paraId="6507E7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电源线适配能力：电源适配器电线组件应符合 GB/T15934 的要求；</w:t>
            </w:r>
          </w:p>
          <w:p w14:paraId="5EE314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lang w:val="en-US" w:eastAsia="zh-CN"/>
              </w:rPr>
              <w:t>★</w:t>
            </w:r>
            <w:r>
              <w:rPr>
                <w:rFonts w:hint="eastAsia"/>
                <w:strike w:val="0"/>
                <w:color w:val="auto"/>
              </w:rPr>
              <w:t>二十二、操作系统及软件功能</w:t>
            </w:r>
          </w:p>
          <w:p w14:paraId="4A89C4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1.中文信息处理要求：符合GB18030的相关规定；</w:t>
            </w:r>
          </w:p>
          <w:p w14:paraId="7AF13E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2.操作系统备份及还原功能：支持操作系统备份及还原功能；</w:t>
            </w:r>
          </w:p>
          <w:p w14:paraId="6C5A63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3.固件备份还原能力：支持备份及还原固件的功能；</w:t>
            </w:r>
          </w:p>
          <w:p w14:paraId="1F5217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4.操作系统及驱动升级：支持通过网络、闪存盘等方式对操作系统、驱动进行升级；</w:t>
            </w:r>
          </w:p>
          <w:p w14:paraId="080CC0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5.固件升级：支持通过网络、闪存盘等方式对固件进行升级；</w:t>
            </w:r>
          </w:p>
          <w:p w14:paraId="5E44A2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6.BIOS支持关闭通讯接口：支持BIOS关闭以太网及USB接口；</w:t>
            </w:r>
          </w:p>
          <w:p w14:paraId="3CA341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7.固件查看信息：支持查看固件版本、内存信息、主板信息、处理器信息和系统时间信息等功能；</w:t>
            </w:r>
          </w:p>
          <w:p w14:paraId="26F3A4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8.固件设置启动顺序：支持设置启动顺序功能，并按照设置的启动顺序启动；</w:t>
            </w:r>
          </w:p>
          <w:p w14:paraId="4E4F15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9.固件设置口令：支持设置口令、修改口令、验证口令功能；</w:t>
            </w:r>
          </w:p>
          <w:p w14:paraId="061F8B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10.固件设置网络引导：支持网络引导启动和关闭功能；</w:t>
            </w:r>
          </w:p>
          <w:p w14:paraId="129653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二十三、存储设备可靠性</w:t>
            </w:r>
          </w:p>
          <w:p w14:paraId="5387A4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1.固态存储寿命：TBW ≥80TB（条件：256GB 硬盘容量）；</w:t>
            </w:r>
          </w:p>
          <w:p w14:paraId="37B6A7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2.机械硬盘寿命：通电时间≥5万小时；</w:t>
            </w:r>
          </w:p>
          <w:p w14:paraId="442A84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二十四、显示设备可靠性</w:t>
            </w:r>
          </w:p>
          <w:p w14:paraId="4F280E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显示屏屏幕失效 点：符合 GB/T 9813.2 的要求；</w:t>
            </w:r>
          </w:p>
          <w:p w14:paraId="232FCA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二十五、外设可靠性</w:t>
            </w:r>
          </w:p>
          <w:p w14:paraId="534658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1.键盘按键寿命：≥1000万次；</w:t>
            </w:r>
          </w:p>
          <w:p w14:paraId="3BF51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2.鼠标按键寿命：≥500 万次；</w:t>
            </w:r>
          </w:p>
          <w:p w14:paraId="5815B7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3.键盘鼠标线材寿命：键盘鼠标所用线材经±60°弯折不低于 3000 次，功能、外观完好；4.风扇寿命：≥4 万小时；</w:t>
            </w:r>
          </w:p>
          <w:p w14:paraId="32EAAD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二十六、整机可靠性要求</w:t>
            </w:r>
          </w:p>
          <w:p w14:paraId="559FEC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1.电磁兼容性要求的抗扰度：符合 GB/T 9254.2-2022 的规定，考虑设备工作稳定：要求设备通过浪涌（冲击）抗扰度的适应性认证；</w:t>
            </w:r>
          </w:p>
          <w:p w14:paraId="28D98E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2.环境条件要求的气候环境适应性：符合 GB/T 9813.1-2016 中规定，考虑使用环境差异，要求设备通过温度0~40℃/低气压61.6kPa（4000m）的环境适应性认证；</w:t>
            </w:r>
          </w:p>
          <w:p w14:paraId="0A85AB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3.环境条件要求的振动适应性：符合 GB/T 9813.1-2016 中规定；</w:t>
            </w:r>
          </w:p>
          <w:p w14:paraId="1648CB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4.环境条件要求的冲击适应性：符合 GB/T 9813.1-2016 中规定；</w:t>
            </w:r>
          </w:p>
          <w:p w14:paraId="44F30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5.环境条件要求的碰撞适应性：符合 GB/T 9813.1 -2016中规定；</w:t>
            </w:r>
          </w:p>
          <w:p w14:paraId="53B52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6.环境条件要求的运输包装件跌落适应性：符合 GB/T 9813.1-2016 中规定；</w:t>
            </w:r>
          </w:p>
          <w:p w14:paraId="5804B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7.静音舒适性：考虑工作环境的静音舒适，要求设备的噪声声功率级≤3.03Bel，噪声声压级≤23.86dB；8.MTBF测试：MTBF(m1)≥30万小时。</w:t>
            </w:r>
          </w:p>
          <w:p w14:paraId="6BDF4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二十七、兼容要求</w:t>
            </w:r>
          </w:p>
          <w:p w14:paraId="389CD6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1.常用软件兼容：支持流式软件、版式软件、浏览器、邮件采购人端、解压软件、多媒体、图形图像处理等常用软件；</w:t>
            </w:r>
          </w:p>
          <w:p w14:paraId="316E97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2.数据库兼容：兼容 3 个及以上厂商的数据库产品；</w:t>
            </w:r>
          </w:p>
          <w:p w14:paraId="5155AD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3.中间件兼容：兼容 3 个及以上厂商中间件产品；</w:t>
            </w:r>
          </w:p>
          <w:p w14:paraId="0F257B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4.平台软件兼容：兼容 3 个及以上厂商云计算及大数据平台；</w:t>
            </w:r>
          </w:p>
          <w:p w14:paraId="7AE15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二十八、包装及运输要求</w:t>
            </w:r>
          </w:p>
          <w:p w14:paraId="4E9229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标志、包装、运输和贮存：符合 GB/T 9813.1-2016 和商品包装政府采购需求标准的相关规定；</w:t>
            </w:r>
          </w:p>
          <w:p w14:paraId="53F2A6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二十九、关键部件安全</w:t>
            </w:r>
          </w:p>
          <w:p w14:paraId="264FA0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关键部件安全要求：CPU安全可靠等级≥Ⅱ级， 操作系统安全可靠等级≥Ⅰ级，其他关键部件应当符合安全可靠测评要求；通过中国信息安全测评中心和国家保密科技测评中心网站查看安全可靠测评结果。</w:t>
            </w:r>
          </w:p>
          <w:p w14:paraId="692F3F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ascii="宋体" w:hAnsi="宋体" w:eastAsia="宋体" w:cs="宋体"/>
                <w:strike w:val="0"/>
                <w:color w:val="auto"/>
                <w:sz w:val="21"/>
                <w:szCs w:val="21"/>
              </w:rPr>
              <w:t>★</w:t>
            </w:r>
            <w:r>
              <w:rPr>
                <w:rFonts w:hint="eastAsia"/>
                <w:strike w:val="0"/>
                <w:color w:val="auto"/>
              </w:rPr>
              <w:t>三十、整机安全性要求</w:t>
            </w:r>
          </w:p>
          <w:p w14:paraId="36B64A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1.密码算法实现：CPU 芯片应符合 GM/T 0008-2012 的相关规定，或芯片密码模块应符合 GB/T 37092-2018或 GM/T 0028-2014 的相关规定；通过商用密码检测机构检测并经商用密码认证机构认证合格。</w:t>
            </w:r>
          </w:p>
          <w:p w14:paraId="60F1E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2.信息安全基本要求：</w:t>
            </w:r>
          </w:p>
          <w:p w14:paraId="37BB5B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a) 产品应符合 GB/T 39276-2020 的 5.2 的规定；</w:t>
            </w:r>
          </w:p>
          <w:p w14:paraId="45E8B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b) 生产厂商应建立漏洞跟踪表，保证产品版本涉及到的漏洞(如驱动程序等)可查看；</w:t>
            </w:r>
          </w:p>
          <w:p w14:paraId="420DC4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c) 产品不得包含已知的恶意代码或漏洞，不存在未声明的指令、功能、接口；</w:t>
            </w:r>
          </w:p>
          <w:p w14:paraId="3B1C23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r>
              <w:rPr>
                <w:rFonts w:hint="eastAsia"/>
                <w:strike w:val="0"/>
                <w:color w:val="auto"/>
              </w:rPr>
              <w:t>3.固件安全启动：支持固件安全启动功能，固件启动过程中只有通过启动校验才能正常启动；</w:t>
            </w:r>
          </w:p>
          <w:p w14:paraId="61BDB1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strike w:val="0"/>
                <w:color w:val="auto"/>
              </w:rPr>
              <w:t>4.限用物质的限量要求：符合 GB/T 26572-2011 中规定；</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8D3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60616B4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0DC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067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strike w:val="0"/>
                <w:color w:val="auto"/>
              </w:rPr>
              <w:t>教</w:t>
            </w:r>
            <w:r>
              <w:rPr>
                <w:rFonts w:hint="eastAsia" w:eastAsia="宋体"/>
                <w:strike w:val="0"/>
                <w:color w:val="auto"/>
              </w:rPr>
              <w:t>学</w:t>
            </w:r>
            <w:r>
              <w:rPr>
                <w:rFonts w:hint="eastAsia" w:eastAsia="宋体"/>
                <w:strike w:val="0"/>
                <w:color w:val="auto"/>
                <w:lang w:val="en-US" w:eastAsia="zh-CN"/>
              </w:rPr>
              <w:t>应用</w:t>
            </w:r>
            <w:r>
              <w:rPr>
                <w:rFonts w:hint="eastAsia" w:eastAsia="宋体"/>
                <w:strike w:val="0"/>
                <w:color w:val="auto"/>
              </w:rPr>
              <w:t>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F1F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A07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default" w:ascii="宋体" w:hAnsi="宋体" w:eastAsia="宋体" w:cs="宋体"/>
                <w:strike w:val="0"/>
                <w:color w:val="auto"/>
                <w:kern w:val="0"/>
                <w:sz w:val="21"/>
                <w:szCs w:val="21"/>
                <w:lang w:val="en-US" w:eastAsia="zh-CN" w:bidi="ar"/>
              </w:rPr>
            </w:pPr>
            <w:r>
              <w:rPr>
                <w:rFonts w:hint="eastAsia" w:ascii="宋体" w:hAnsi="宋体" w:cs="宋体"/>
                <w:strike w:val="0"/>
                <w:color w:val="auto"/>
                <w:kern w:val="0"/>
                <w:sz w:val="21"/>
                <w:szCs w:val="21"/>
                <w:lang w:val="en-US" w:eastAsia="zh-CN" w:bidi="ar"/>
              </w:rPr>
              <w:t>70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91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w:t>
            </w:r>
            <w:r>
              <w:rPr>
                <w:rFonts w:hint="eastAsia" w:eastAsia="宋体"/>
                <w:strike w:val="0"/>
                <w:color w:val="auto"/>
                <w:lang w:eastAsia="zh-CN"/>
              </w:rPr>
              <w:t>）</w:t>
            </w:r>
            <w:r>
              <w:rPr>
                <w:rFonts w:hint="eastAsia" w:eastAsia="宋体"/>
                <w:strike w:val="0"/>
                <w:color w:val="auto"/>
              </w:rPr>
              <w:t>登录方式多样性：支持帐号/密码和手机微信扫码两种登录方式。用户首次登录时绑定微信ID与帐号的对应关系，绑定后可通过微信扫码登录，无需再次输入帐号/密码。</w:t>
            </w:r>
          </w:p>
          <w:p w14:paraId="7813BD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w:t>
            </w:r>
            <w:r>
              <w:rPr>
                <w:rFonts w:hint="eastAsia" w:eastAsia="宋体"/>
                <w:strike w:val="0"/>
                <w:color w:val="auto"/>
                <w:lang w:eastAsia="zh-CN"/>
              </w:rPr>
              <w:t>）</w:t>
            </w:r>
            <w:r>
              <w:rPr>
                <w:rFonts w:hint="eastAsia" w:eastAsia="宋体"/>
                <w:strike w:val="0"/>
                <w:color w:val="auto"/>
              </w:rPr>
              <w:t>终端关联设备：设备通过微信扫码可绑定学校的设备管理系统，能设置当前设备类型与归属用户。</w:t>
            </w:r>
          </w:p>
          <w:p w14:paraId="5D6558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3</w:t>
            </w:r>
            <w:r>
              <w:rPr>
                <w:rFonts w:hint="eastAsia" w:eastAsia="宋体"/>
                <w:strike w:val="0"/>
                <w:color w:val="auto"/>
                <w:lang w:eastAsia="zh-CN"/>
              </w:rPr>
              <w:t>）</w:t>
            </w:r>
            <w:r>
              <w:rPr>
                <w:rFonts w:hint="eastAsia" w:eastAsia="宋体"/>
                <w:strike w:val="0"/>
                <w:color w:val="auto"/>
              </w:rPr>
              <w:t>设备详情：能查看当前设备的硬件信息和和系统信息。可查看的硬件信息包CPU、主板、显卡、硬盘、显示器、网卡、声卡。可查看的系统信息包括操作系统、系统激活状态、连接ID、SN号、MAC地址、内外网IP。</w:t>
            </w:r>
          </w:p>
          <w:p w14:paraId="5AA9B7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w:t>
            </w:r>
            <w:r>
              <w:rPr>
                <w:rFonts w:hint="eastAsia" w:eastAsia="宋体"/>
                <w:strike w:val="0"/>
                <w:color w:val="auto"/>
                <w:lang w:eastAsia="zh-CN"/>
              </w:rPr>
              <w:t>）</w:t>
            </w:r>
            <w:r>
              <w:rPr>
                <w:rFonts w:hint="eastAsia" w:eastAsia="宋体"/>
                <w:strike w:val="0"/>
                <w:color w:val="auto"/>
              </w:rPr>
              <w:t>设备运行状态：能查看当前设备的内存、CPU、硬盘、系统盘、网速的实时占用状态信息。</w:t>
            </w:r>
          </w:p>
          <w:p w14:paraId="69636D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5</w:t>
            </w:r>
            <w:r>
              <w:rPr>
                <w:rFonts w:hint="eastAsia" w:eastAsia="宋体"/>
                <w:strike w:val="0"/>
                <w:color w:val="auto"/>
                <w:lang w:eastAsia="zh-CN"/>
              </w:rPr>
              <w:t>）</w:t>
            </w:r>
            <w:r>
              <w:rPr>
                <w:rFonts w:hint="eastAsia" w:eastAsia="宋体"/>
                <w:strike w:val="0"/>
                <w:color w:val="auto"/>
              </w:rPr>
              <w:t>整体描述：发送端软件发送文件至接收端软件。</w:t>
            </w:r>
          </w:p>
          <w:p w14:paraId="1B42A3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6</w:t>
            </w:r>
            <w:r>
              <w:rPr>
                <w:rFonts w:hint="eastAsia" w:eastAsia="宋体"/>
                <w:strike w:val="0"/>
                <w:color w:val="auto"/>
                <w:lang w:eastAsia="zh-CN"/>
              </w:rPr>
              <w:t>）</w:t>
            </w:r>
            <w:r>
              <w:rPr>
                <w:rFonts w:hint="eastAsia" w:eastAsia="宋体"/>
                <w:strike w:val="0"/>
                <w:color w:val="auto"/>
              </w:rPr>
              <w:t>文件条件：支持一次发送多个文件；可发送图片、视频、文档等类型的文件。</w:t>
            </w:r>
          </w:p>
          <w:p w14:paraId="5ECC90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7</w:t>
            </w:r>
            <w:r>
              <w:rPr>
                <w:rFonts w:hint="eastAsia" w:eastAsia="宋体"/>
                <w:strike w:val="0"/>
                <w:color w:val="auto"/>
                <w:lang w:eastAsia="zh-CN"/>
              </w:rPr>
              <w:t>）</w:t>
            </w:r>
            <w:r>
              <w:rPr>
                <w:rFonts w:hint="eastAsia" w:eastAsia="宋体"/>
                <w:strike w:val="0"/>
                <w:color w:val="auto"/>
              </w:rPr>
              <w:t>文件发送：可以从不同的文件夹拖动或选择文件至发送区；能查看待发送的文件列表，并可移除选择错误的文件。</w:t>
            </w:r>
          </w:p>
          <w:p w14:paraId="03FB4B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8</w:t>
            </w:r>
            <w:r>
              <w:rPr>
                <w:rFonts w:hint="eastAsia" w:eastAsia="宋体"/>
                <w:strike w:val="0"/>
                <w:color w:val="auto"/>
                <w:lang w:eastAsia="zh-CN"/>
              </w:rPr>
              <w:t>）</w:t>
            </w:r>
            <w:r>
              <w:rPr>
                <w:rFonts w:hint="eastAsia" w:eastAsia="宋体"/>
                <w:strike w:val="0"/>
                <w:color w:val="auto"/>
              </w:rPr>
              <w:t>快捷发送：支持拖动文件至发送区进行文件发送。</w:t>
            </w:r>
          </w:p>
          <w:p w14:paraId="301E1D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9</w:t>
            </w:r>
            <w:r>
              <w:rPr>
                <w:rFonts w:hint="eastAsia" w:eastAsia="宋体"/>
                <w:strike w:val="0"/>
                <w:color w:val="auto"/>
                <w:lang w:eastAsia="zh-CN"/>
              </w:rPr>
              <w:t>）</w:t>
            </w:r>
            <w:r>
              <w:rPr>
                <w:rFonts w:hint="eastAsia" w:eastAsia="宋体"/>
                <w:strike w:val="0"/>
                <w:color w:val="auto"/>
              </w:rPr>
              <w:t>离线暂存：支持一次发送文件给多个接收端设备。接收端离线时文件能够暂存在云端，接收端设备在线后可进行自动下载。</w:t>
            </w:r>
          </w:p>
          <w:p w14:paraId="4AAB60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10</w:t>
            </w:r>
            <w:r>
              <w:rPr>
                <w:rFonts w:hint="eastAsia" w:eastAsia="宋体"/>
                <w:strike w:val="0"/>
                <w:color w:val="auto"/>
                <w:lang w:eastAsia="zh-CN"/>
              </w:rPr>
              <w:t>）</w:t>
            </w:r>
            <w:r>
              <w:rPr>
                <w:rFonts w:hint="eastAsia" w:eastAsia="宋体"/>
                <w:strike w:val="0"/>
                <w:color w:val="auto"/>
              </w:rPr>
              <w:t>其他：支持查看发送进度；</w:t>
            </w:r>
          </w:p>
          <w:p w14:paraId="35B0AC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11</w:t>
            </w:r>
            <w:r>
              <w:rPr>
                <w:rFonts w:hint="eastAsia" w:eastAsia="宋体"/>
                <w:strike w:val="0"/>
                <w:color w:val="auto"/>
                <w:lang w:eastAsia="zh-CN"/>
              </w:rPr>
              <w:t>）</w:t>
            </w:r>
            <w:r>
              <w:rPr>
                <w:rFonts w:hint="eastAsia" w:eastAsia="宋体"/>
                <w:strike w:val="0"/>
                <w:color w:val="auto"/>
              </w:rPr>
              <w:t>个性接收夹：在接收端设备上能够创建自己独立的文件接收夹。可个性化定义文件的名称与图标颜色；接收到新文件时有提示新文件；</w:t>
            </w:r>
          </w:p>
          <w:p w14:paraId="3904F6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12</w:t>
            </w:r>
            <w:r>
              <w:rPr>
                <w:rFonts w:hint="eastAsia" w:eastAsia="宋体"/>
                <w:strike w:val="0"/>
                <w:color w:val="auto"/>
                <w:lang w:eastAsia="zh-CN"/>
              </w:rPr>
              <w:t>）</w:t>
            </w:r>
            <w:r>
              <w:rPr>
                <w:rFonts w:hint="eastAsia" w:eastAsia="宋体"/>
                <w:strike w:val="0"/>
                <w:color w:val="auto"/>
              </w:rPr>
              <w:t>文件列表：支接收端设备可查看当前已接收的文件列表，包括文件名称、接收时间、接收状态信息；可直接打开已下载的文件，能手动下载未下载或下载失败的文件；支持查看单个文件下载进度与总进度。</w:t>
            </w:r>
          </w:p>
          <w:p w14:paraId="596C76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13</w:t>
            </w:r>
            <w:r>
              <w:rPr>
                <w:rFonts w:hint="eastAsia" w:eastAsia="宋体"/>
                <w:strike w:val="0"/>
                <w:color w:val="auto"/>
                <w:lang w:eastAsia="zh-CN"/>
              </w:rPr>
              <w:t>）</w:t>
            </w:r>
            <w:r>
              <w:rPr>
                <w:rFonts w:hint="eastAsia" w:eastAsia="宋体"/>
                <w:strike w:val="0"/>
                <w:color w:val="auto"/>
              </w:rPr>
              <w:t>自动下载：支持接收端设备在线状态下可自动接收发送端设备发送的文件。</w:t>
            </w:r>
          </w:p>
          <w:p w14:paraId="55221A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14</w:t>
            </w:r>
            <w:r>
              <w:rPr>
                <w:rFonts w:hint="eastAsia" w:eastAsia="宋体"/>
                <w:strike w:val="0"/>
                <w:color w:val="auto"/>
                <w:lang w:eastAsia="zh-CN"/>
              </w:rPr>
              <w:t>）</w:t>
            </w:r>
            <w:r>
              <w:rPr>
                <w:rFonts w:hint="eastAsia" w:eastAsia="宋体"/>
                <w:strike w:val="0"/>
                <w:color w:val="auto"/>
              </w:rPr>
              <w:t>自动清理：支持自动清理超过14天的文件。</w:t>
            </w:r>
          </w:p>
          <w:p w14:paraId="42C353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15</w:t>
            </w:r>
            <w:r>
              <w:rPr>
                <w:rFonts w:hint="eastAsia" w:eastAsia="宋体"/>
                <w:strike w:val="0"/>
                <w:color w:val="auto"/>
                <w:lang w:eastAsia="zh-CN"/>
              </w:rPr>
              <w:t>）</w:t>
            </w:r>
            <w:r>
              <w:rPr>
                <w:rFonts w:hint="eastAsia" w:eastAsia="宋体"/>
                <w:strike w:val="0"/>
                <w:color w:val="auto"/>
              </w:rPr>
              <w:t>状态查看：支持展示电脑实时的数据信息，包括CPU、内存、系统盘、总存储、实时网速数据信息，离线的设备展示最后的数据信息。</w:t>
            </w:r>
          </w:p>
          <w:p w14:paraId="1EB1B0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16</w:t>
            </w:r>
            <w:r>
              <w:rPr>
                <w:rFonts w:hint="eastAsia" w:eastAsia="宋体"/>
                <w:strike w:val="0"/>
                <w:color w:val="auto"/>
                <w:lang w:eastAsia="zh-CN"/>
              </w:rPr>
              <w:t>）</w:t>
            </w:r>
            <w:r>
              <w:rPr>
                <w:rFonts w:hint="eastAsia" w:eastAsia="宋体"/>
                <w:strike w:val="0"/>
                <w:color w:val="auto"/>
              </w:rPr>
              <w:t>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p>
          <w:p w14:paraId="4575F6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17</w:t>
            </w:r>
            <w:r>
              <w:rPr>
                <w:rFonts w:hint="eastAsia" w:eastAsia="宋体"/>
                <w:strike w:val="0"/>
                <w:color w:val="auto"/>
                <w:lang w:eastAsia="zh-CN"/>
              </w:rPr>
              <w:t>）</w:t>
            </w:r>
            <w:r>
              <w:rPr>
                <w:rFonts w:hint="eastAsia" w:eastAsia="宋体"/>
                <w:strike w:val="0"/>
                <w:color w:val="auto"/>
              </w:rPr>
              <w:t>编辑：用户可在任意路径节点创建文件夹，并且可以自定义文件夹名称；用户可以对上传的文件和文件夹进行重命名；支持用户对文件和文件夹进行移动和批量移动；支持用户删除文件和文件夹。</w:t>
            </w:r>
          </w:p>
          <w:p w14:paraId="0EDF4B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18</w:t>
            </w:r>
            <w:r>
              <w:rPr>
                <w:rFonts w:hint="eastAsia" w:eastAsia="宋体"/>
                <w:strike w:val="0"/>
                <w:color w:val="auto"/>
                <w:lang w:eastAsia="zh-CN"/>
              </w:rPr>
              <w:t>）</w:t>
            </w:r>
            <w:r>
              <w:rPr>
                <w:rFonts w:hint="eastAsia" w:eastAsia="宋体"/>
                <w:strike w:val="0"/>
                <w:color w:val="auto"/>
              </w:rPr>
              <w:t>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p>
          <w:p w14:paraId="6D5CA9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19</w:t>
            </w:r>
            <w:r>
              <w:rPr>
                <w:rFonts w:hint="eastAsia" w:eastAsia="宋体"/>
                <w:strike w:val="0"/>
                <w:color w:val="auto"/>
                <w:lang w:eastAsia="zh-CN"/>
              </w:rPr>
              <w:t>）</w:t>
            </w:r>
            <w:r>
              <w:rPr>
                <w:rFonts w:hint="eastAsia" w:eastAsia="宋体"/>
                <w:strike w:val="0"/>
                <w:color w:val="auto"/>
              </w:rPr>
              <w:t>预览：能够在线预览图片、音视频、文档；支持预览的格式，包括，图片：BMP、GIF、JPE、JPEG、JPG、PNG；音频：WAV、MP3、OGG；视频：3GP、F4V、M4V、MKV、MP4、OGV、MOV；文档：DOC、DOCX、PDF、PPT、XLS、XLSX。</w:t>
            </w:r>
          </w:p>
          <w:p w14:paraId="26D88A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20</w:t>
            </w:r>
            <w:r>
              <w:rPr>
                <w:rFonts w:hint="eastAsia" w:eastAsia="宋体"/>
                <w:strike w:val="0"/>
                <w:color w:val="auto"/>
                <w:lang w:eastAsia="zh-CN"/>
              </w:rPr>
              <w:t>）</w:t>
            </w:r>
            <w:r>
              <w:rPr>
                <w:rFonts w:hint="eastAsia" w:eastAsia="宋体"/>
                <w:strike w:val="0"/>
                <w:color w:val="auto"/>
              </w:rPr>
              <w:t>发送到班级：用户可在资料夹中把多个文件发送至接收端软件中，发送的文件不限格式，接收端软件自动下载该文件。</w:t>
            </w:r>
          </w:p>
          <w:p w14:paraId="308951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21</w:t>
            </w:r>
            <w:r>
              <w:rPr>
                <w:rFonts w:hint="eastAsia" w:eastAsia="宋体"/>
                <w:strike w:val="0"/>
                <w:color w:val="auto"/>
                <w:lang w:eastAsia="zh-CN"/>
              </w:rPr>
              <w:t>）</w:t>
            </w:r>
            <w:r>
              <w:rPr>
                <w:rFonts w:hint="eastAsia" w:eastAsia="宋体"/>
                <w:strike w:val="0"/>
                <w:color w:val="auto"/>
              </w:rPr>
              <w:t>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p>
          <w:p w14:paraId="01243C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22</w:t>
            </w:r>
            <w:r>
              <w:rPr>
                <w:rFonts w:hint="eastAsia" w:eastAsia="宋体"/>
                <w:strike w:val="0"/>
                <w:color w:val="auto"/>
                <w:lang w:eastAsia="zh-CN"/>
              </w:rPr>
              <w:t>）</w:t>
            </w:r>
            <w:r>
              <w:rPr>
                <w:rFonts w:hint="eastAsia" w:eastAsia="宋体"/>
                <w:strike w:val="0"/>
                <w:color w:val="auto"/>
              </w:rPr>
              <w:t>最近使用课件：助手栏展示最近使用的前3条课件，点击课件支持在发送端软件内打开和编辑。</w:t>
            </w:r>
          </w:p>
          <w:p w14:paraId="756D1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23</w:t>
            </w:r>
            <w:r>
              <w:rPr>
                <w:rFonts w:hint="eastAsia" w:eastAsia="宋体"/>
                <w:strike w:val="0"/>
                <w:color w:val="auto"/>
                <w:lang w:eastAsia="zh-CN"/>
              </w:rPr>
              <w:t>）</w:t>
            </w:r>
            <w:r>
              <w:rPr>
                <w:rFonts w:hint="eastAsia" w:eastAsia="宋体"/>
                <w:strike w:val="0"/>
                <w:color w:val="auto"/>
              </w:rPr>
              <w:t>编辑：用户可自定义助手栏展示的内容，根据自己的需求能对内容进行移除、添加、移动位置，变更后数据会跟随当前登陆的账号，登录另一台电脑时会同步当前编辑的结果。</w:t>
            </w:r>
          </w:p>
          <w:p w14:paraId="5A2D8D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24</w:t>
            </w:r>
            <w:r>
              <w:rPr>
                <w:rFonts w:hint="eastAsia" w:eastAsia="宋体"/>
                <w:strike w:val="0"/>
                <w:color w:val="auto"/>
                <w:lang w:eastAsia="zh-CN"/>
              </w:rPr>
              <w:t>）</w:t>
            </w:r>
            <w:r>
              <w:rPr>
                <w:rFonts w:hint="eastAsia" w:eastAsia="宋体"/>
                <w:strike w:val="0"/>
                <w:color w:val="auto"/>
              </w:rPr>
              <w:t>网站：支持用户主动添加网址，添加的网站会呈现在助手栏中，点击即可在发送端软件打开。</w:t>
            </w:r>
          </w:p>
          <w:p w14:paraId="6F2419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25</w:t>
            </w:r>
            <w:r>
              <w:rPr>
                <w:rFonts w:hint="eastAsia" w:eastAsia="宋体"/>
                <w:strike w:val="0"/>
                <w:color w:val="auto"/>
                <w:lang w:eastAsia="zh-CN"/>
              </w:rPr>
              <w:t>）</w:t>
            </w:r>
            <w:r>
              <w:rPr>
                <w:rFonts w:hint="eastAsia" w:eastAsia="宋体"/>
                <w:strike w:val="0"/>
                <w:color w:val="auto"/>
              </w:rPr>
              <w:t>移动：用户能拖动助手栏到屏幕的任意位置，当用户拖动助手栏靠近屏幕边缘时会自动收到侧边；鼠标悬浮在侧边的时候，会弹出该助手栏，再次拖动助手栏会取消收起。</w:t>
            </w:r>
          </w:p>
          <w:p w14:paraId="6F8A2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26</w:t>
            </w:r>
            <w:r>
              <w:rPr>
                <w:rFonts w:hint="eastAsia" w:eastAsia="宋体"/>
                <w:strike w:val="0"/>
                <w:color w:val="auto"/>
                <w:lang w:eastAsia="zh-CN"/>
              </w:rPr>
              <w:t>）</w:t>
            </w:r>
            <w:r>
              <w:rPr>
                <w:rFonts w:hint="eastAsia" w:eastAsia="宋体"/>
                <w:strike w:val="0"/>
                <w:color w:val="auto"/>
              </w:rPr>
              <w:t>对话式生成：根据输入的文字生成文本，并通过类人类对话的形式表达，还支持根据上下文进行多轮连续对话。</w:t>
            </w:r>
          </w:p>
          <w:p w14:paraId="2016D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27</w:t>
            </w:r>
            <w:r>
              <w:rPr>
                <w:rFonts w:hint="eastAsia" w:eastAsia="宋体"/>
                <w:strike w:val="0"/>
                <w:color w:val="auto"/>
                <w:lang w:eastAsia="zh-CN"/>
              </w:rPr>
              <w:t>）</w:t>
            </w:r>
            <w:r>
              <w:rPr>
                <w:rFonts w:hint="eastAsia" w:eastAsia="宋体"/>
                <w:strike w:val="0"/>
                <w:color w:val="auto"/>
              </w:rPr>
              <w:t>写作：支持输入主题一键生成活动感想、发言稿、活动策划；支持选择生成的文字数量</w:t>
            </w:r>
          </w:p>
          <w:p w14:paraId="09C5B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28</w:t>
            </w:r>
            <w:r>
              <w:rPr>
                <w:rFonts w:hint="eastAsia" w:eastAsia="宋体"/>
                <w:strike w:val="0"/>
                <w:color w:val="auto"/>
                <w:lang w:eastAsia="zh-CN"/>
              </w:rPr>
              <w:t>）</w:t>
            </w:r>
            <w:r>
              <w:rPr>
                <w:rFonts w:hint="eastAsia" w:eastAsia="宋体"/>
                <w:strike w:val="0"/>
                <w:color w:val="auto"/>
              </w:rPr>
              <w:t>评价：支持根据输入的学生姓名与评价维度生成评语。</w:t>
            </w:r>
          </w:p>
          <w:p w14:paraId="3E72A7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29</w:t>
            </w:r>
            <w:r>
              <w:rPr>
                <w:rFonts w:hint="eastAsia" w:eastAsia="宋体"/>
                <w:strike w:val="0"/>
                <w:color w:val="auto"/>
                <w:lang w:eastAsia="zh-CN"/>
              </w:rPr>
              <w:t>）</w:t>
            </w:r>
            <w:r>
              <w:rPr>
                <w:rFonts w:hint="eastAsia" w:eastAsia="宋体"/>
                <w:strike w:val="0"/>
                <w:color w:val="auto"/>
              </w:rPr>
              <w:t>提示词：支持进入百宝箱后默认展示3条提示词，一键问询AI问题。</w:t>
            </w:r>
          </w:p>
          <w:p w14:paraId="0545AA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rPr>
              <w:t>3</w:t>
            </w:r>
            <w:r>
              <w:rPr>
                <w:rFonts w:hint="eastAsia" w:eastAsia="宋体"/>
                <w:strike w:val="0"/>
                <w:color w:val="auto"/>
                <w:highlight w:val="none"/>
              </w:rPr>
              <w:t>0</w:t>
            </w:r>
            <w:r>
              <w:rPr>
                <w:rFonts w:hint="eastAsia" w:eastAsia="宋体"/>
                <w:strike w:val="0"/>
                <w:color w:val="auto"/>
                <w:highlight w:val="none"/>
                <w:lang w:eastAsia="zh-CN"/>
              </w:rPr>
              <w:t>）</w:t>
            </w:r>
            <w:r>
              <w:rPr>
                <w:rFonts w:hint="eastAsia" w:eastAsia="宋体"/>
                <w:strike w:val="0"/>
                <w:color w:val="auto"/>
                <w:highlight w:val="none"/>
              </w:rPr>
              <w:t>生成编辑：支持对AI生成的内容复制或重新生成。</w:t>
            </w:r>
          </w:p>
          <w:p w14:paraId="27EA42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▲31</w:t>
            </w:r>
            <w:r>
              <w:rPr>
                <w:rFonts w:hint="eastAsia" w:eastAsia="宋体"/>
                <w:strike w:val="0"/>
                <w:color w:val="auto"/>
                <w:highlight w:val="none"/>
                <w:lang w:eastAsia="zh-CN"/>
              </w:rPr>
              <w:t>）</w:t>
            </w:r>
            <w:r>
              <w:rPr>
                <w:rFonts w:hint="eastAsia" w:eastAsia="宋体"/>
                <w:strike w:val="0"/>
                <w:color w:val="auto"/>
                <w:highlight w:val="none"/>
              </w:rPr>
              <w:t>批量生成：支持批量生成学生的奖状，并可对奖状内容、奖励称号、颁奖人/单位、颁发日期、印章内容进行自定义编辑；支持选择生成的奖状模板。</w:t>
            </w:r>
          </w:p>
          <w:p w14:paraId="316FEA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32</w:t>
            </w:r>
            <w:r>
              <w:rPr>
                <w:rFonts w:hint="eastAsia" w:eastAsia="宋体"/>
                <w:strike w:val="0"/>
                <w:color w:val="auto"/>
                <w:highlight w:val="none"/>
                <w:lang w:eastAsia="zh-CN"/>
              </w:rPr>
              <w:t>）</w:t>
            </w:r>
            <w:r>
              <w:rPr>
                <w:rFonts w:hint="eastAsia" w:eastAsia="宋体"/>
                <w:strike w:val="0"/>
                <w:color w:val="auto"/>
                <w:highlight w:val="none"/>
              </w:rPr>
              <w:t>下载：支持将生成的奖状一键下载到本地。</w:t>
            </w:r>
          </w:p>
          <w:p w14:paraId="5C9BC8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33</w:t>
            </w:r>
            <w:r>
              <w:rPr>
                <w:rFonts w:hint="eastAsia" w:eastAsia="宋体"/>
                <w:strike w:val="0"/>
                <w:color w:val="auto"/>
                <w:highlight w:val="none"/>
                <w:lang w:eastAsia="zh-CN"/>
              </w:rPr>
              <w:t>）</w:t>
            </w:r>
            <w:r>
              <w:rPr>
                <w:rFonts w:hint="eastAsia" w:eastAsia="宋体"/>
                <w:strike w:val="0"/>
                <w:color w:val="auto"/>
                <w:highlight w:val="none"/>
              </w:rPr>
              <w:t>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p>
          <w:p w14:paraId="592900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34</w:t>
            </w:r>
            <w:r>
              <w:rPr>
                <w:rFonts w:hint="eastAsia" w:eastAsia="宋体"/>
                <w:strike w:val="0"/>
                <w:color w:val="auto"/>
                <w:highlight w:val="none"/>
                <w:lang w:eastAsia="zh-CN"/>
              </w:rPr>
              <w:t>）</w:t>
            </w:r>
            <w:r>
              <w:rPr>
                <w:rFonts w:hint="eastAsia" w:eastAsia="宋体"/>
                <w:strike w:val="0"/>
                <w:color w:val="auto"/>
                <w:highlight w:val="none"/>
              </w:rPr>
              <w:t>录屏：支持对全屏/区域的屏幕内容、电脑的声音、麦克风声音、摄像头内容进行录制；支持切换录制的分辨率。</w:t>
            </w:r>
          </w:p>
          <w:p w14:paraId="5D39D8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35</w:t>
            </w:r>
            <w:r>
              <w:rPr>
                <w:rFonts w:hint="eastAsia" w:eastAsia="宋体"/>
                <w:strike w:val="0"/>
                <w:color w:val="auto"/>
                <w:highlight w:val="none"/>
                <w:lang w:eastAsia="zh-CN"/>
              </w:rPr>
              <w:t>）</w:t>
            </w:r>
            <w:r>
              <w:rPr>
                <w:rFonts w:hint="eastAsia" w:eastAsia="宋体"/>
                <w:strike w:val="0"/>
                <w:color w:val="auto"/>
                <w:highlight w:val="none"/>
              </w:rPr>
              <w:t>录制中：支持录制过程中进行画笔标注与擦除；支持中途暂停录制和继续录制。</w:t>
            </w:r>
          </w:p>
          <w:p w14:paraId="7A3C33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36</w:t>
            </w:r>
            <w:r>
              <w:rPr>
                <w:rFonts w:hint="eastAsia" w:eastAsia="宋体"/>
                <w:strike w:val="0"/>
                <w:color w:val="auto"/>
                <w:highlight w:val="none"/>
                <w:lang w:eastAsia="zh-CN"/>
              </w:rPr>
              <w:t>）</w:t>
            </w:r>
            <w:r>
              <w:rPr>
                <w:rFonts w:hint="eastAsia" w:eastAsia="宋体"/>
                <w:strike w:val="0"/>
                <w:color w:val="auto"/>
                <w:highlight w:val="none"/>
              </w:rPr>
              <w:t>录制结束：支持录制结束后进行文字快剪、视频编辑。</w:t>
            </w:r>
          </w:p>
          <w:p w14:paraId="7BEA16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37</w:t>
            </w:r>
            <w:r>
              <w:rPr>
                <w:rFonts w:hint="eastAsia" w:eastAsia="宋体"/>
                <w:strike w:val="0"/>
                <w:color w:val="auto"/>
                <w:highlight w:val="none"/>
                <w:lang w:eastAsia="zh-CN"/>
              </w:rPr>
              <w:t>）</w:t>
            </w:r>
            <w:r>
              <w:rPr>
                <w:rFonts w:hint="eastAsia" w:eastAsia="宋体"/>
                <w:strike w:val="0"/>
                <w:color w:val="auto"/>
                <w:highlight w:val="none"/>
              </w:rPr>
              <w:t>传屏：支持把发送端设备的屏幕同步到班班通设备；传屏成功后支持在班班通设备反向触控发送端设备。</w:t>
            </w:r>
          </w:p>
          <w:p w14:paraId="1094D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38</w:t>
            </w:r>
            <w:r>
              <w:rPr>
                <w:rFonts w:hint="eastAsia" w:eastAsia="宋体"/>
                <w:strike w:val="0"/>
                <w:color w:val="auto"/>
                <w:highlight w:val="none"/>
                <w:lang w:eastAsia="zh-CN"/>
              </w:rPr>
              <w:t>）</w:t>
            </w:r>
            <w:r>
              <w:rPr>
                <w:rFonts w:hint="eastAsia" w:eastAsia="宋体"/>
                <w:strike w:val="0"/>
                <w:color w:val="auto"/>
                <w:highlight w:val="none"/>
              </w:rPr>
              <w:t>设备连接：支持通过连接码的方式与班班通设备建立传屏关系；支持自动发现附近的班班通设备，一键连接班班通设备。</w:t>
            </w:r>
          </w:p>
          <w:p w14:paraId="0B733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39</w:t>
            </w:r>
            <w:r>
              <w:rPr>
                <w:rFonts w:hint="eastAsia" w:eastAsia="宋体"/>
                <w:strike w:val="0"/>
                <w:color w:val="auto"/>
                <w:highlight w:val="none"/>
                <w:lang w:eastAsia="zh-CN"/>
              </w:rPr>
              <w:t>）</w:t>
            </w:r>
            <w:r>
              <w:rPr>
                <w:rFonts w:hint="eastAsia" w:eastAsia="宋体"/>
                <w:strike w:val="0"/>
                <w:color w:val="auto"/>
                <w:highlight w:val="none"/>
              </w:rPr>
              <w:t>指令下发：支持对单个电脑或批量设备下发关机与重启指令、移动分组、移除设备。</w:t>
            </w:r>
          </w:p>
          <w:p w14:paraId="168F3B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▲40</w:t>
            </w:r>
            <w:r>
              <w:rPr>
                <w:rFonts w:hint="eastAsia" w:eastAsia="宋体"/>
                <w:strike w:val="0"/>
                <w:color w:val="auto"/>
                <w:highlight w:val="none"/>
                <w:lang w:eastAsia="zh-CN"/>
              </w:rPr>
              <w:t>）</w:t>
            </w:r>
            <w:r>
              <w:rPr>
                <w:rFonts w:hint="eastAsia" w:eastAsia="宋体"/>
                <w:strike w:val="0"/>
                <w:color w:val="auto"/>
                <w:highlight w:val="none"/>
              </w:rPr>
              <w:t>PDF格式转化：支持在线对PDF的文件进行转换格式，转换为XLSX、DOCX、PPT;转换后文件内容的排布与源PDF保持基本一致；支持对转换后的文件进行编辑，包括(编辑文本、编辑表格、编辑图片);转换后支持下载文件至电脑本地。</w:t>
            </w:r>
          </w:p>
          <w:p w14:paraId="3A9FDC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41</w:t>
            </w:r>
            <w:r>
              <w:rPr>
                <w:rFonts w:hint="eastAsia" w:eastAsia="宋体"/>
                <w:strike w:val="0"/>
                <w:color w:val="auto"/>
                <w:highlight w:val="none"/>
                <w:lang w:eastAsia="zh-CN"/>
              </w:rPr>
              <w:t>）</w:t>
            </w:r>
            <w:r>
              <w:rPr>
                <w:rFonts w:hint="eastAsia" w:eastAsia="宋体"/>
                <w:strike w:val="0"/>
                <w:color w:val="auto"/>
                <w:highlight w:val="none"/>
              </w:rPr>
              <w:t>图片转格式：支持对图片进行在线转换格式，图片原始格式为bmp、jpg、jpeg、png、tif、webp、heic;转换为jpg、png;转换后支持下载图片到电脑本地。</w:t>
            </w:r>
          </w:p>
          <w:p w14:paraId="7099E7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42</w:t>
            </w:r>
            <w:r>
              <w:rPr>
                <w:rFonts w:hint="eastAsia" w:eastAsia="宋体"/>
                <w:strike w:val="0"/>
                <w:color w:val="auto"/>
                <w:highlight w:val="none"/>
                <w:lang w:eastAsia="zh-CN"/>
              </w:rPr>
              <w:t>）</w:t>
            </w:r>
            <w:r>
              <w:rPr>
                <w:rFonts w:hint="eastAsia" w:eastAsia="宋体"/>
                <w:strike w:val="0"/>
                <w:color w:val="auto"/>
                <w:highlight w:val="none"/>
              </w:rPr>
              <w:t>提取文字：支持对图片进行在线文字识别；识别后支持对文字进行复制。</w:t>
            </w:r>
          </w:p>
          <w:p w14:paraId="21CC2C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▲43</w:t>
            </w:r>
            <w:r>
              <w:rPr>
                <w:rFonts w:hint="eastAsia" w:eastAsia="宋体"/>
                <w:strike w:val="0"/>
                <w:color w:val="auto"/>
                <w:highlight w:val="none"/>
                <w:lang w:eastAsia="zh-CN"/>
              </w:rPr>
              <w:t>）</w:t>
            </w:r>
            <w:r>
              <w:rPr>
                <w:rFonts w:hint="eastAsia" w:eastAsia="宋体"/>
                <w:strike w:val="0"/>
                <w:color w:val="auto"/>
                <w:highlight w:val="none"/>
              </w:rPr>
              <w:t>文字快剪：支持提取视频的声音并转换成文字，自动识别出语气词，用户可选择删除，支持手动删除文字从而达到剪辑的目的。</w:t>
            </w:r>
          </w:p>
          <w:p w14:paraId="1FF6C3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highlight w:val="none"/>
              </w:rPr>
            </w:pPr>
            <w:r>
              <w:rPr>
                <w:rFonts w:hint="eastAsia" w:eastAsia="宋体"/>
                <w:strike w:val="0"/>
                <w:color w:val="auto"/>
                <w:highlight w:val="none"/>
              </w:rPr>
              <w:t>44</w:t>
            </w:r>
            <w:r>
              <w:rPr>
                <w:rFonts w:hint="eastAsia" w:eastAsia="宋体"/>
                <w:strike w:val="0"/>
                <w:color w:val="auto"/>
                <w:highlight w:val="none"/>
                <w:lang w:eastAsia="zh-CN"/>
              </w:rPr>
              <w:t>）</w:t>
            </w:r>
            <w:r>
              <w:rPr>
                <w:rFonts w:hint="eastAsia" w:eastAsia="宋体"/>
                <w:strike w:val="0"/>
                <w:color w:val="auto"/>
                <w:highlight w:val="none"/>
              </w:rPr>
              <w:t>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p>
          <w:p w14:paraId="3005BF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45</w:t>
            </w:r>
            <w:r>
              <w:rPr>
                <w:rFonts w:hint="eastAsia" w:eastAsia="宋体"/>
                <w:strike w:val="0"/>
                <w:color w:val="auto"/>
                <w:lang w:eastAsia="zh-CN"/>
              </w:rPr>
              <w:t>）</w:t>
            </w:r>
            <w:r>
              <w:rPr>
                <w:rFonts w:hint="eastAsia" w:eastAsia="宋体"/>
                <w:strike w:val="0"/>
                <w:color w:val="auto"/>
              </w:rPr>
              <w:t>退出关联：支持学校管理员可通过手机微信扫描接收端软件的二维码退出学校。退出后普通老师无法在该学校对该设备远程创建接收夹；</w:t>
            </w:r>
          </w:p>
          <w:p w14:paraId="06F140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eastAsia="宋体"/>
                <w:strike w:val="0"/>
                <w:color w:val="auto"/>
              </w:rPr>
            </w:pPr>
            <w:r>
              <w:rPr>
                <w:rFonts w:hint="eastAsia" w:eastAsia="宋体"/>
                <w:strike w:val="0"/>
                <w:color w:val="auto"/>
              </w:rPr>
              <w:t>46</w:t>
            </w:r>
            <w:r>
              <w:rPr>
                <w:rFonts w:hint="eastAsia" w:eastAsia="宋体"/>
                <w:strike w:val="0"/>
                <w:color w:val="auto"/>
                <w:lang w:eastAsia="zh-CN"/>
              </w:rPr>
              <w:t>）</w:t>
            </w:r>
            <w:r>
              <w:rPr>
                <w:rFonts w:hint="eastAsia" w:eastAsia="宋体"/>
                <w:strike w:val="0"/>
                <w:color w:val="auto"/>
              </w:rPr>
              <w:t>设备管理：支持查看当前学校的电脑列表，包括电脑在线状态、归属用户、操作系统、IP地址、上线时间与最后在线时间；支持对设备进行分组管理；支持通过设备名称与归属用户进行搜索。</w:t>
            </w:r>
          </w:p>
          <w:p w14:paraId="1A7B63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strike w:val="0"/>
                <w:color w:val="auto"/>
              </w:rPr>
            </w:pP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F2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66751EB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3C1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三、科学实验室成套设备</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CFC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543DB1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8F3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5ED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教师演示台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412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00E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FF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规格：≥2400×750×850mm</w:t>
            </w:r>
          </w:p>
          <w:p w14:paraId="5A1AB2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一体化台面，采用≥10mm厚实验室专用抗倍特板成型制作，四边加厚，机械打磨；新型环保材料，具有抗冲击、耐磨损、防震防摔、防潮、防水、防霉、耐化学腐蚀、耐热、防静电、易清洁防紫外线等特点；四周边缘加厚至≥20mm，并经精密加工、倒角、打磨，呈光滑半圆形。</w:t>
            </w:r>
          </w:p>
          <w:p w14:paraId="7F953D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台面颜色：学校自由选择</w:t>
            </w:r>
          </w:p>
          <w:p w14:paraId="7B5F9A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产品结构：铝木结构</w:t>
            </w:r>
          </w:p>
          <w:p w14:paraId="49CE0E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用材：采用模具成型≥φ50mm双层（外圈铝合金直径≥50mm，内圈直径≥31mm，铝合金壁厚≥1.2mm）圆型铝镁合金框架，内置框架采用≥28×28mm方形铝镁合金，柜体间转角将根据产品内部结构之差异，采用模具开发合金连插件连接，使整体框架结构更为合理，其承重性及整体稳定性特别强。铝镁合金表面经电泳、静电环氧树脂粉末喷涂处理，具有耐腐蚀、防火、防潮等功能。</w:t>
            </w:r>
          </w:p>
          <w:p w14:paraId="42A315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封边：采用≥16mm厚环保三聚氰胺双贴面防潮板，所有板材外露端面采用高质量PVC封边条，利用机械封边机配以热溶胶高温封边，高密封性不吸水、不膨胀。</w:t>
            </w:r>
          </w:p>
          <w:p w14:paraId="2FA553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台身设计：</w:t>
            </w:r>
          </w:p>
          <w:p w14:paraId="77650A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1、箱体预设有多媒体设备展架、电脑主机箱柜、视频展台柜、电源控制台、键盘等。台面可暗置≥19″寸LCD显示器，位置在台面左边或右边。</w:t>
            </w:r>
          </w:p>
          <w:p w14:paraId="10C96B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2、台背部为开门设计，便于电器维护，并装百页窗保证电器通风散热，有效延长电器设备的寿命。所带柜门安装一钥通开锁。</w:t>
            </w:r>
          </w:p>
          <w:p w14:paraId="5DB85A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lang w:val="en-US" w:eastAsia="zh-CN"/>
              </w:rPr>
              <w:t>3.</w:t>
            </w:r>
            <w:r>
              <w:rPr>
                <w:rFonts w:hint="eastAsia" w:ascii="宋体" w:hAnsi="宋体" w:eastAsia="宋体" w:cs="宋体"/>
                <w:strike w:val="0"/>
                <w:color w:val="auto"/>
                <w:sz w:val="21"/>
                <w:szCs w:val="21"/>
              </w:rPr>
              <w:t>组装接缝严密，连接牢固，无松动现象。</w:t>
            </w:r>
          </w:p>
          <w:p w14:paraId="1E7507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lang w:val="en-US" w:eastAsia="zh-CN"/>
              </w:rPr>
              <w:t>4.</w:t>
            </w:r>
            <w:r>
              <w:rPr>
                <w:rFonts w:hint="eastAsia" w:ascii="宋体" w:hAnsi="宋体" w:eastAsia="宋体" w:cs="宋体"/>
                <w:strike w:val="0"/>
                <w:color w:val="auto"/>
                <w:sz w:val="21"/>
                <w:szCs w:val="21"/>
              </w:rPr>
              <w:t>可调脚：采用模具成型PC＋ABS工程塑料合金注塑≥25mm厚专用垫，可隐蔽固定防止晃动，可隐蔽固定防止晃动，并能有效防止桌身受潮，延长设备的使用寿命。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FE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FF7BD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528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B1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电源总控台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5B7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2DC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367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装置在演示台内：</w:t>
            </w:r>
          </w:p>
          <w:p w14:paraId="146037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规格：≥550×265mm</w:t>
            </w:r>
          </w:p>
          <w:p w14:paraId="0B76E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触摸键控制，薄膜面板装置在演示台内，其主要技术参数指标如下：</w:t>
            </w:r>
          </w:p>
          <w:p w14:paraId="5A20EA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1、微电脑控制、智能设计、触摸按键，使用开关电源，功耗特小、负载能力强，在压降大时结温不变，质量非常稳定；</w:t>
            </w:r>
          </w:p>
          <w:p w14:paraId="48287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2、设有电源总开关、漏电保护开关、工作指示表、220V交流输出多用插座等多种操作功能；</w:t>
            </w:r>
          </w:p>
          <w:p w14:paraId="6FA668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3、密码开机：有密码记忆功能、只有相关老师输入正确密码后方可打开设备进行操作；</w:t>
            </w:r>
          </w:p>
          <w:p w14:paraId="3737E1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4、定时关机：本产品还具有定时功能，从开机时间起，一小时后自动关机；</w:t>
            </w:r>
          </w:p>
          <w:p w14:paraId="46F6ED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5、时钟显示：能显示老师工作时间，为教师提供各种实验中的精确时间数据；</w:t>
            </w:r>
          </w:p>
          <w:p w14:paraId="43D3E1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6、0-30V交流电压电源，分档输出（具有短路、过载自动保护、自动复位功能）；</w:t>
            </w:r>
          </w:p>
          <w:p w14:paraId="7ED590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7、1.25-30V精密稳压电源，分辨率为≥0.1V，具有短路、过载自动保护、自动复位功能；</w:t>
            </w:r>
          </w:p>
          <w:p w14:paraId="384140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8、低压直流大电流输出：≥9V/40A；延时≥8S自动关断，采用软件控制，误差几乎为零；</w:t>
            </w:r>
          </w:p>
          <w:p w14:paraId="750D68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9、高压小直流电压：300V/150V、≥0.1A，有自动保护功能，保护电流为≥100MA；</w:t>
            </w:r>
          </w:p>
          <w:p w14:paraId="52FF4E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10、控制学生所有供电输出。</w:t>
            </w:r>
          </w:p>
          <w:p w14:paraId="1B07D1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rPr>
              <w:t>11、配套电源控制箱包含总电源开关，分组220V电源开关，具有过载、短路等保护功能。</w:t>
            </w:r>
          </w:p>
          <w:p w14:paraId="1F5E47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val="en-US" w:eastAsia="zh-CN"/>
              </w:rPr>
              <w:t>12.</w:t>
            </w:r>
            <w:r>
              <w:rPr>
                <w:rFonts w:hint="eastAsia" w:ascii="宋体" w:hAnsi="宋体" w:eastAsia="宋体" w:cs="宋体"/>
                <w:strike w:val="0"/>
                <w:color w:val="auto"/>
                <w:sz w:val="21"/>
                <w:szCs w:val="21"/>
                <w:highlight w:val="none"/>
              </w:rPr>
              <w:t>所有输出参数符合JY/T0374-2004《实验室设备电源系统》标准。</w:t>
            </w:r>
          </w:p>
          <w:p w14:paraId="4E7063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strike w:val="0"/>
                <w:color w:val="auto"/>
                <w:sz w:val="21"/>
                <w:szCs w:val="21"/>
                <w:highlight w:val="none"/>
                <w:lang w:val="en-US" w:eastAsia="zh-CN"/>
              </w:rPr>
              <w:t>13.</w:t>
            </w:r>
            <w:r>
              <w:rPr>
                <w:rFonts w:hint="eastAsia" w:ascii="宋体" w:hAnsi="宋体" w:eastAsia="宋体" w:cs="宋体"/>
                <w:strike w:val="0"/>
                <w:color w:val="auto"/>
                <w:sz w:val="21"/>
                <w:szCs w:val="21"/>
                <w:highlight w:val="none"/>
              </w:rPr>
              <w:t>电源总控台： (1)高温贮存试验：在包装状态下，温度为≥55℃，保持≥4h，室温下恢复≥2h，试验后应无开裂、变形和明显变色，产品功能应正常。(2)低温贮存试验：在包装状态下，温度为≤-25℃，保持≥4h，室温下恢复≥2h，试验后应无开裂、变形和明显变色，产品功能应正常。(3)恒定湿热贮存试验：在包装状态下温度为≥50℃，相对湿度为≥93%，保持≥48h，室温下恢复≥4h，试验后应无开裂、变形和明显变色，产品功能应正常。</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4A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bdr w:val="single" w:color="000000" w:sz="4" w:space="0"/>
                <w:shd w:val="clear" w:color="auto" w:fill="FFFFFF"/>
                <w:lang w:bidi="ar"/>
              </w:rPr>
            </w:pPr>
          </w:p>
        </w:tc>
      </w:tr>
      <w:tr w14:paraId="31FF7E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52D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EAF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6C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条</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EE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16C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1、产品规格：≥360×430mm，有效座位高度420-540(高度可调)</w:t>
            </w:r>
          </w:p>
          <w:p w14:paraId="0B6796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技术参数：椅面采用聚丙烯中空吹塑成型，接触面为防滑处理，采用曲面设计增加接触面积，符合人体工程学增强坐感舒适度可有效纠正学生错误坐姿；学生椅选用气杆，与椅面连接处安装加宽加强防爆机构，气杆防尘套（≥Ø70×170mm）为聚丙烯一体注塑成型表面磨砂处理；支架选用半径为≥230mm五星脚，不占用空间面积，五星脚采用高强度尼龙材料一体注塑成型，具有结构牢固、耐酸碱腐蚀等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156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6F35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EF1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26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学生实验台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1B6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C71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6CE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规格：≥1500×1200×780mm</w:t>
            </w:r>
          </w:p>
          <w:p w14:paraId="059856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台面：一体化台面，采用≥40mm厚刨花板双面外贴防火板加工制作，四周采用ABS封边，具有防火、耐磨、耐高温、耐刮、抗渗透、容易清洁等优点；</w:t>
            </w:r>
          </w:p>
          <w:p w14:paraId="5D7EF3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产品结构：铝合金结构</w:t>
            </w:r>
          </w:p>
          <w:p w14:paraId="4E969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立柱采用≥100×50mm壁厚≥1.3mm“L”型铝镁合金立柱一次挤压成型；</w:t>
            </w:r>
          </w:p>
          <w:p w14:paraId="5D0CF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横梁为≥40×40×1.2mm铝合金方管；</w:t>
            </w:r>
          </w:p>
          <w:p w14:paraId="5379E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连接转角规格为≥165×180×100mm，根据产品内部结构差异，采用铝合金压铸工艺一次成型，配模具ABS工程塑料防尘堵头；</w:t>
            </w:r>
          </w:p>
          <w:p w14:paraId="6D56C8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铝镁合金表面经电泳、静电环氧树脂粉末喷涂处理，具有耐腐蚀、防火、防潮等功能，美观实用。</w:t>
            </w:r>
          </w:p>
          <w:p w14:paraId="43FEDF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脚垫：采用模具成型PC+ABS工程塑料合金注塑专用垫，可避免水浸及防潮,有效延长设备寿命。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2F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4632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4CC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658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电源功能柱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65D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24C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02E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1.规格：≥110*70*700mm；</w:t>
            </w:r>
          </w:p>
          <w:p w14:paraId="68BFA7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2.材质：主体支撑材质采用≥1.2mm厚度铝型材一次挤压成型，铝型材表面经电泳、静电环氧树脂粉末喷涂处理，具有耐腐蚀、防火、防潮等功能，美观实用。</w:t>
            </w:r>
          </w:p>
          <w:p w14:paraId="576EC2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功能操作面板采用优质工程塑料材质，安装于主体支撑结构侧面；</w:t>
            </w:r>
          </w:p>
          <w:p w14:paraId="3F8AD1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3.功能：功能操作面板预留电源功能模块，包含一组（不少于3个）220V电源五孔插座，功能模块成竖向分布，方便学生使用。</w:t>
            </w:r>
          </w:p>
          <w:p w14:paraId="13C4D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4.采用嵌入式拼插方式安装于L型桌，与L型桌配套使用。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236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BFA1C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A2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525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AD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F14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5F1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1、产品规格：凳面直径≥320mm，高度≥380-480mm（高度可调）；</w:t>
            </w:r>
          </w:p>
          <w:p w14:paraId="7369B4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技术参数：凳面采用≥3mm厚聚丙烯（PP）一体注塑成型，接触面为皮纹处理，采用曲面设计增加接触面积，符合人体工程学增强坐感舒适度；凳面弧形挡边设计，可有效纠正学生错误坐姿；学生凳选用气杆，与凳面连接处安装加宽加强防爆机构，气杆防尘套（≥Ø70×170mm）为聚丙烯一体注塑成型表面磨砂处理；支架选用半径为≥230mm五星脚，不占用空间面积，五星脚采用高强度尼龙材料一体注塑成型，具有结构牢固、耐酸碱腐蚀等特点。</w:t>
            </w:r>
          </w:p>
          <w:p w14:paraId="31DB77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凳面：依据 GB/T6040 - 2019 检测，经红外材质分析确认为主体材质为PP材质。</w:t>
            </w:r>
          </w:p>
          <w:p w14:paraId="0DB6B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学生实验凳：1、邻边垂直度：面板、框架-对角线长度，长度差≤2mm；2、底脚平稳性：≤2mm；3、塑料件：耐冷热循环，应无裂纹、鼓泡、变色、起皱；4、稳定性：凳子任意方向的倾翻试验，无倾翻；5、强度和耐久性：座面冲击试验，冲击高度≥180mm，冲击次数≥10次，无损。</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14E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84E7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5A2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28B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水槽台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051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AA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C9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1、产品规格:长≥1200×宽600×高780mm</w:t>
            </w:r>
          </w:p>
          <w:p w14:paraId="02718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台面:一体化台面，采用≥10mm厚实验室专用抗倍特板成型制作，四边加厚，机械打磨；新型环保材料，具有抗冲击、耐磨损、防震防摔、防潮、防水、防霉、耐化学腐蚀、耐热、防静电、易清洁防紫外线等特点；四周边缘加厚至≥20mm，并经精密加工、倒角、打磨，呈光滑半圆形，注重人性化设计，美观实用。</w:t>
            </w:r>
          </w:p>
          <w:p w14:paraId="66142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台身结构：铝木结构采用模具成型≥φ50mm双层（外圈铝合金直径≥50mm，内圈直径≥31mm，铝合金壁厚≥1.2mm）圆型铝镁合金框架，内置框架采用≥28×28mm方形铝镁合金，柜体间转角将根据产品内部结构之差异，采用模具开发合金连插件连接，使整体框架结构更为合理，其承重性及整体稳定性特别强。铝镁合金表面经电泳、静电环氧树脂粉末喷涂处理，具有耐腐蚀、防火、防潮等功能，美观实用。</w:t>
            </w:r>
          </w:p>
          <w:p w14:paraId="6711A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台身主体背板及吊板采用≥16mm厚三聚氰胺防潮双贴面板，所有外露板边都采用机器进行PVC热压平封边。</w:t>
            </w:r>
          </w:p>
          <w:p w14:paraId="40603B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5、水槽（两幅）：采用PP水槽，耐酸碱腐蚀、耐有机溶剂。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C15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AD6E3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50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C7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实验室给排水管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C02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AA5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5F7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给水采用≥φ25㎜PPR(国标)管</w:t>
            </w:r>
          </w:p>
          <w:p w14:paraId="6A22ED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排水采用≥φ50㎜PVC(国标)管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4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60141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B5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A1E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实验室电气管线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128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18B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75C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电源线为国标铜芯多股电线</w:t>
            </w:r>
          </w:p>
          <w:p w14:paraId="5D588B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管材为UPVC(国标)管，耐压≥500V，交直流两用。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8B4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348F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E83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0FE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0A5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6F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77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整室产品安装调试：包括教师演示台、学生实验桌、实验凳、电源总控台、学生电源等。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AC6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3C02D0">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5C2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四、教学仪器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AC4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340591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8DE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（一）浦北县第十小学美术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E61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49CA22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98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2DA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画架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3B5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B85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993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梯形画架：</w:t>
            </w:r>
          </w:p>
          <w:p w14:paraId="62AC15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1、材质:松木，防蛀、防裂，表面平滑、无毛刺。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2、丁字活动脚。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3、外形尺寸不小于：厚15mm×宽280mm×高1380mm。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F5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393B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7C6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392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F11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7C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C76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751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A552A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B3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57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9A5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7DA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581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高度不底于 60cm，照射角度可调，可降。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B98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D89A4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DEC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ABE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工作台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347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1D2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4F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160cm×80cm×70cm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88F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7C4F0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01E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998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0ED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F3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149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A1B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5BA0C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C63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A91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91F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DDD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602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60cm×90cm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20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DFD70D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BF5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D61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静物台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F50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6DE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D2D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60cm×60cm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2D9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277E1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9D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19F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磁性白黑板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8A4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679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282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100cm×80cm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58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D57E1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D3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C1A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衬布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C6A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68C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AD0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100cm×200cm；棉、麻、丝、绒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EAAA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19C58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710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713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D82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5DB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B78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高度不低于 60cm，照射角度可调，可升降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FD2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AC7A0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E1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857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F27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DB7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A84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5E0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EF7C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F56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8CA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展示画框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629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20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4FB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不小于60cm×90cm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3F1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3C7D9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89F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973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写生教具（2）</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B3B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B64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914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石膏几何形体：圆球，长方体，正方体，圆柱体，六棱柱，圆锥，方锥</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287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6DD74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FB6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77F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480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5EA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99E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60cm×45cm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922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30C347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2F3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3B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写生凳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EC6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FFC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C76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高度不低于 40cm，可升降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601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9FB1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FC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DFB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国画和书法工具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766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03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89A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 8 支、画毡 1 块、调色盘 1 块、砚台 1 个、笔洗1 个、笔架 1 个、镇尺 1 付、笔帘 1、墨 1 块、墨汁 1瓶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0F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CC38A8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8E2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D99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美术学具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1C7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E66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9C6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毛笔、小剪刀、调色盘、笔洗、美工刀、水溶性油墨、黑色胶滚、毛毡、刻纸刀、水粉画笔、调色盒、直尺。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89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AED60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60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24A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小学美术教学挂图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7EB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934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8EF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适合小学美术教学要求的绘画、手工、欣赏内容，不少于 48 幅，对开，应为国家正式出版物。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83F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ACC6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F6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2AC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美术教学软件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B3A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83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2E5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1、具备多种类数字画笔，有铅笔、毛笔笔触和橡皮擦等12种基本笔触；2、还有小草、蝴蝶等8种常用特殊笔触，工具栏自定义笔触可增加至50种特殊笔触；</w:t>
            </w:r>
          </w:p>
          <w:p w14:paraId="14A537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3、支持数字化图形图像处理技术、可调整图像，进行图像选中、提取、旋转、移动、缩放、复制等操作；</w:t>
            </w:r>
          </w:p>
          <w:p w14:paraId="645D0F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4、可以实现图层取色和油漆桶填色或自定义取色操作，可以输入文本、调整字体、字号和颜色； </w:t>
            </w:r>
          </w:p>
          <w:p w14:paraId="4D57F7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5、支持图层无极缩放和分层操作，可单独保存图层为多种图像格式，便于数字资源积累和原创素材增加；</w:t>
            </w:r>
          </w:p>
          <w:p w14:paraId="310221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6、支持psd、png、jpg等常用图片格式的导入和导出；</w:t>
            </w:r>
          </w:p>
          <w:p w14:paraId="0ECE06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7、可以添加浮雕、磨砂玻璃等多种滤镜效果；</w:t>
            </w:r>
          </w:p>
          <w:p w14:paraId="1A3F31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8、支持美术作品创作记录和和无极变速回放演示；</w:t>
            </w:r>
          </w:p>
          <w:p w14:paraId="740B06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9、内置“可扩展素材库”，支持素材库扩展功能，素材库分类包括植物、动物、人物、风光等并可以根据校本教学需求设置年级、班级和地方特色素材库；</w:t>
            </w:r>
          </w:p>
          <w:p w14:paraId="1849BD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10、支持美术课程局域网内多用户交互式教学，支持示范评价以及美术作品欣赏管理，</w:t>
            </w:r>
          </w:p>
          <w:p w14:paraId="14FE3D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11、软件自身可一键登录云平台网站，无需借助其他浏览器。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A05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5E8BE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3E8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66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美术教学网络系统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940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09B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6DE8C">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借助云平台收集美术教学资源和开展探究性美术学习， </w:t>
            </w:r>
          </w:p>
          <w:p w14:paraId="29539610">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可以连接教学软件，一键登录云平台； </w:t>
            </w:r>
          </w:p>
          <w:p w14:paraId="40D8B547">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支持在线学习交流，支持美术课程局域网内多用户交互式教学和美术作品欣赏管理。 </w:t>
            </w:r>
          </w:p>
          <w:p w14:paraId="3C9D6667">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可实现点评、互评、示范评价操作，可以提交美术电子作业。 </w:t>
            </w:r>
          </w:p>
          <w:p w14:paraId="7BC33A60">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与同一品牌配套美术教学软件无缝连接，具有多种数字画笔； </w:t>
            </w:r>
          </w:p>
          <w:p w14:paraId="19C283F9">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具有图层单独操作功能、可扩展素材库内容以及多种滤镜效果， </w:t>
            </w:r>
          </w:p>
          <w:p w14:paraId="6208AD8D">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软件支持电子绘画板压感输入特性，支持导入导出多种文件格式.jpg/png/bmp/psd等； </w:t>
            </w:r>
          </w:p>
          <w:p w14:paraId="5296BBFC">
            <w:pPr>
              <w:keepNext w:val="0"/>
              <w:keepLines w:val="0"/>
              <w:pageBreakBefore w:val="0"/>
              <w:widowControl/>
              <w:numPr>
                <w:ilvl w:val="0"/>
                <w:numId w:val="12"/>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支持美术作品创作记录和回放演示。 </w:t>
            </w:r>
          </w:p>
          <w:p w14:paraId="2978AA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9、可以设置学校用户，按学校分别管理； </w:t>
            </w:r>
          </w:p>
          <w:p w14:paraId="209CD7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10、可以设置教师用户，教师可以发布作品、教学案例，审核及评价学生作品； </w:t>
            </w:r>
          </w:p>
          <w:p w14:paraId="5CF61E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11、可以设置学生用户，学生可以提交作品，下载教师课件和在线学习。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91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F9E950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A2C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5ED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影像资料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CB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256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345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幻灯片、光盘、数字化美术教学资源库、虚拟美术博物馆、美术展等。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E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15D5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CD6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9A4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07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62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B93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水粉笔 1～12#各 1 支，水彩笔 1～12#各 1 支、大白云毛笔 1 支、小狼毫 1 支、勾线笔 1 支、斗笔 1 支、扁笔 1 支、调色盒 1 个、调色盘 1 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B57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DCBFE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C08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082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国画和书法工具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B42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31D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9AA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毛笔(斗笔、大白云、中白云、小白云、小狼毫、勾线笔) 、毛毡、镇尺、笔洗、墨汁、调色盘、笔架、名家字贴。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02D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4816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5F5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802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国画工具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22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59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478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毛笔(斗笔、大白云、中白云、小白云、小狼毫、勾线笔) 、毛毡、笔洗、墨汁、中国画颜料、四尺宣纸、调色盘、镇尺、笔架等。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175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51610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84F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BFC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书法与篆刻</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A5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442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CD6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书法教学挂图或书法名作欣赏挂图，应为国家正式出版物。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554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482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F0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97A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D74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F78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7A8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篆刻刀、印床、章料、印泥等。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1C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61B8F2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D41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87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电子绘画板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BB4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1AC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DBD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绘画区域不小于 92mm× 147mm,1024 级压感以上，无线无源，配备与教材相应的软件。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04D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8D6ADD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5C7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629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绘图工具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463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4B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F3F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圆规，直尺，三角板，曲线板。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ABE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BEE5D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98A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4EF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20D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979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153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25cm；45°、60°各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C3F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637872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9F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278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丁字尺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E46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5ED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197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演示用,不小于 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20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610F6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BB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D81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版画工具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3D0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F30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B3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1、木刻刀5把、手柄木制，直径11mm长105mm；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2、笔刀1把、铝合金柄身、总长120mm，笔刀片3件、刀刃长20mm；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3、电烙铁1把、200V/240V、35W；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4、木蘑托1只、蘑托头直径50mm、手柄长95mm；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5、胶滚1套、胶滚面宽度95mm、手柄长105mm；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6、油石1件、尺寸70*50*16mm；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7、2H、2B、中华绘图铅笔各2支；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8、石刻刀1件、长135mm；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9、马莲1件、注塑成型直径98mm，中空注塑定位包装。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10、参照JY0001-2003《教学仪器设备产品的一般质量要求》标准，满足以下4项要求：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10-1、教学仪器设备产品的外观要造型美观、色彩协调、规整光洁。表面不应有明显的擦伤、划痕和碰撞的坑疤；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10-2、漆层附着牢固，不脱落，表面平整光滑、色调美观、薄厚均匀，不应有流疤、龟裂、皱皮、剥落和露底。美术漆层应花纹清楚，裂纹层不应露出底漆；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10-3、塑料件表面应平整清洁，不应有划痕、溶迹、缩迹，不应有气泡、烧粉和夹生，边缘不应有毛刺、变形、破边和凹凸不平，不应有明显的浇口飞边；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10-4、木质件应平整清洁，无霉变、虫眼、死节、树脂漆（明子）和明显变形。且其检测结果均为与标准要求一致。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11、参照GB21027-2020《学生用品的安全通用要求》标准，可迁移元素mg/kg（锑、钡、铬、汞、砷、镉、铅、硒）其检测结果为黄色塑料均未检出。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80B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AB091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AD8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1A9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制作工具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D5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BB7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98B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美工刀 1 把、剪刀 2 把、木刻刀 12 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把、铁砧子1件。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F85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26290B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842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770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美术教学用品柜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C8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5CB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1DB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不小于 80cm×45cm×180cm。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E2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D651C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BA4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60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民间美术欣赏及写生样本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CA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931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5AA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中国结、京剧脸谱、扎染、蜡染、皮影、年画、木板年画、剪纸、面具、泥塑、玩具、风车、纹样、风筝、唐三彩、彩陶器、瓷器、壮锦、绣球等。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64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26241D">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C83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（二）浦北县第十小学体育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C2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8F0EC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2EA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216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0A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A86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E52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函数型。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991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352F62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A5C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610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录放音机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643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1B4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082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调频/中波/短波接收，交直流两用，超重低音，立体声，CD播放，带USB接口。输出功率≥10W*2。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BC5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EEC50A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DF2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ED2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60D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FA4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E0E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50m，仿皮外壳，苎麻布卷尺，防水，防腐蚀； 铜制卡扣和收放扣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475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10568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C10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EC4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23B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BB3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FBC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三排显示，60时段记忆功能（1/100秒精确计时）预置倒数计时，专设步频节拍器可显示最快、最慢、平均时间时间、日历、定时闹响（12/24小时制式转换）大容量锂电池，电池寿命1年,二种秒表功能模式。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86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5289B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C8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77E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标志筒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06D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41B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E0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 180 mm、230 mm、320 mm、380 mm、480 mm 等， 4 种颜色，圆锥体状，放置平稳。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B56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0293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107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D0A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标志杆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32F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4E6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AC9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高 1.2m~1.6m，立柱直径 25mm，三角形红色旗面。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3A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0F4886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830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50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爬绳和爬杆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2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0A9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3B5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1.绳2，杆2，绳杆的握持直径 28mm~35mm,有效 使用宽度≥600mm,有效使用高度≤3500mm,爬杆 的下端若设置为非固定结构的悬空型式时，其下 端至运动地面的离地高度应为 200mm,且爬杆至 其垂直轴线的单向摆动幅度应不大于 8° 。</w:t>
            </w:r>
          </w:p>
          <w:p w14:paraId="54D301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2.爬绳 和爬杆上端的连接部分应设置有防止绳杆断裂 的防护装置。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0E8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B57B5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E21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CC8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肋木架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83B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间</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A0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EB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宜三柱二间，使用宽度≥800mm,最高使用高度 2200mm±100mm，横肋间距 250mm，握持直径  28mm~32mm，立柱为φ75mm 钢管，材质为普通 钢管，钢管经抛丸喷砂除锈，表面静电喷涂。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0BF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79656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FBC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1DA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平行梯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1BC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59E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8F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4000mm±500mm,有效使用宽度 600mm±100mm,最高使用高度≤2100mm,悬垂握持直径 28mm~32mm,纵向握持间距≤300mm。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B4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91B24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221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5C9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FB9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619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B64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860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A85B3F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976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366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17B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4A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3F5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3000mm~4000mm，直径 25mm~30mm,质量不超 过 2000g,采用不宜折断的适宜材料制成，不应 采用金属材料，除两端外，横截面应呈圆形，颜 色醒目。横杆固定在立柱上，中心自然下垂应小于 20mm。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F0B9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75CA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60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752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软式练习跨栏架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14A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85E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166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1.栏架长：700mm~800mm，底板宽：200mm~250mm，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2.横板宽：80mm~100mm;高度可三档调节 为:300mm、500mm、600mm。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7D5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4B44B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37F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4B8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43A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50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970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枪身长 800mm~900mm，直径 ：45mm~50mm，软 质材料制成。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4D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212AA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57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5D4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掷准练习标枪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CCE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0D5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04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枪体长 300mm~320mm；呈橄榄状，枪体装有响 哨，柔软材料制成。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325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E312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814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CDE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塑胶练习标枪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995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9DD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BF6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枪体长 680mm，直径 35mm，质量 300g，枪头由 柔软塑胶材料制成。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FAE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5CD3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7EE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A48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软式教学铁饼</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A5B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21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159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 200mm~220mm,质量 400g；空心结构，边缘 为锯齿状，有把手，标有旋转方向箭头，柔软塑 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39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AB99F9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417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8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软式练习铅球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DC3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A66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CA7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 85mm~100mm，质量：1000g，外胆由柔软 塑胶材料制成。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BC6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7676F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243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759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软式趣味绳套</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C1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BC3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66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长度 9500mm，每节长度 500mm，黑白或彩色相间；可随意摆放成各种格子供跑跳练习，柔软泡沫材料制成。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FB7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97D8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087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086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软式跳高横杆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392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FF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1CD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长度 3500mm，杆体直径 25mm~30mm；中间穿高强度弹力绳，两边连接塑料绳扣，通过绳扣完成 横杆与立杆的快捷连接，杆体由柔软泡沫材料制成。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371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98FC9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A4D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FE5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助跳板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4CE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DA7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7CB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1．助跳板长1200mm，宽600mm,高150mm。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2．上盖表层应有柔性层和防滑层。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3．S型弹簧，材质坚硬而富有弹性，表面漆层均匀光洁，木材无裂缝，无疤痕，不变形并经脱脂干燥处理。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CFB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59D61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D2C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AB1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山羊</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C66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6C5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6E2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升降600mm-800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80F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3492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BA21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9A0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2F6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B79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E65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杠面高度：1200mm~2000mm，两立柱支点中心距： 2000mm~2400mm，横杠材料：弹簧钢，立柱材料： 钢管。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6D8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D577E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53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520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F3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5B2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31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木制钢筋加固杠面或其他同等强度及性能的材 料，杠高 1000mm~1300mm，杠长 2700mm~ 3000mm，两杠内侧距离 320mm~520mm，纵向立 轴中心距 1800mm~2000mm，升降间距 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4EB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FEE6C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9C4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533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5F9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DC5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16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 1200mm±5mm,宽 600mm±5mm,厚≥50mm。在长 度方向可对半折叠，两侧应各有提手，四周加装 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633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6D61C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4FD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83C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大跳垫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DD3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8E2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30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 2000mm±5mm,宽 1000mm±5mm,厚≥100mm。在 长度方向可对半折叠，两侧应各有提手，四周加 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B5D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D94D4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829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C38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体操凳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A8F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A64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5CC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Ⅱ型：长 2000mm±10mm,宽不小于 200mm,高不小于280mm，板面厚度 40mm~50mm。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E10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1DFCB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D68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BEB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小学用篮球架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28E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731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F3C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篮圈高 2350mm±8mm (4~6 年级)。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CD54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E632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CBE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6CE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C7E6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291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9B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移动配重式，可调，网柱高度：1920mm±5mm， 拉网中央高度 1800mm±5mm。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AD3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5593C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AA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D95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60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6A3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439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排球网长度 9500mm~10000mm，宽度 700mm± 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C8E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94088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A7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3C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乒乓球台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02C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DEA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A34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1、台面尺寸规格：≥2740mm×1525mm,台高≥760mm，配置铁制球网高150mm，长1530mm，符合标准要求。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2、球台台面采用SMC材料，整体高温模压一次成型，球台台面四角为R型弧角，不能为直角，能有效防止运动员在使用中受到尖锐碰击。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3、台面翻边高度15mm。背面小方格内有对角加强筋，高3mm，宽5mm；台面与彩虹支腿连接处台面背面采用“井”字形用20mm×30mm的方管加固框连接。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5、底架采用彩虹腿设计结构，Φ60mm优质钢管，保证整体的稳定性；台腿外边距两端台边280mm，任何撑档离地大于230mm，保证使用者的运动安全。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6、球台网及网架防锈、防松、防损坏；焊接严密牢固、无漏焊、虚焊、包渣、裂纹等缺陷。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7、器材不允许有钩挂、卡夹等潜在危险，表面处理采用抛光工艺，除锈彻底，增大工件表面面积，增强塑粉附着力，外表面环保静电粉末。</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C2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5B9A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3E4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C07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8F36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4A7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40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1．移动式。底座外形尺寸：400mm*300mm*170mm，石子配重90kg，底部配有滚轮，移动静音，使用方便，室内室外通用。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4.各部件焊接应严密牢固，不应有漏焊、虚焊、裂纹等缺陷。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DD9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3320E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40E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694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59C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CB0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0A9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羽毛球网长度≥6100mm，宽度 500mm±25mm。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361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90D64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74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B8A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拔河绳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EEE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7EA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FDC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长30m,质量 10kg 左右,采用天然麻棕线绞制。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194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E9D5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2CCB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6A9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手动记分牌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89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A3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53A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手动翻分，局分 0~5，比分 0~999。</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181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07ADE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AE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（三）浦北县第十小学音乐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DCA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184E13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7C0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A6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04E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68B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733F0">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1、88键标配重锤，琴盖带缓降；</w:t>
            </w:r>
          </w:p>
          <w:p w14:paraId="34BB3FD5">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五金件颜色为银色,中盘材料选用实木拼板结构,使其耐变形且减少杂音源；</w:t>
            </w:r>
          </w:p>
          <w:p w14:paraId="56CCFA85">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油漆黑色进口PE不饱和树脂漆,漆黑且清澈透亮,硬度2H以上,以保证耐磨耐用；</w:t>
            </w:r>
          </w:p>
          <w:p w14:paraId="1E1ABC42">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音板:实木复合音板；</w:t>
            </w:r>
          </w:p>
          <w:p w14:paraId="31E6AB5A">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桥码:A级榉木；</w:t>
            </w:r>
          </w:p>
          <w:p w14:paraId="60DDBF8B">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钢板:用HT150材料铸造而成,承重力为16吨以上；</w:t>
            </w:r>
          </w:p>
          <w:p w14:paraId="0691239D">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琴弦:悬壁式结构,最大张力145KG以上,最小张力不小于50KG；</w:t>
            </w:r>
          </w:p>
          <w:p w14:paraId="59EEE376">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击弦机:止音尼毡为进口尼毡,平音头毡密度为0.16~0.22MM三角毡密度为0.25~0.30MM,色泽均匀一致,无分层,调整到位后,制音头离弦,贴弦一致,动手整齐有效；</w:t>
            </w:r>
          </w:p>
          <w:p w14:paraId="74A3CACF">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弦槌:红木榔头，毛毡采用进口呢，毡密度为0.4~0.9R的钢琴弦槌呢毡,色泽均匀一致,音色甜美,柔和,经久耐用；</w:t>
            </w:r>
          </w:p>
          <w:p w14:paraId="65F90957">
            <w:pPr>
              <w:keepNext w:val="0"/>
              <w:keepLines w:val="0"/>
              <w:widowControl/>
              <w:numPr>
                <w:ilvl w:val="0"/>
                <w:numId w:val="13"/>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键盘:复合键盘,克服了变形的缺陷,耐磨耐用；</w:t>
            </w:r>
          </w:p>
          <w:p w14:paraId="68A943D1">
            <w:pPr>
              <w:keepNext w:val="0"/>
              <w:keepLines w:val="0"/>
              <w:widowControl/>
              <w:numPr>
                <w:ilvl w:val="0"/>
                <w:numId w:val="0"/>
              </w:numPr>
              <w:suppressLineNumbers w:val="0"/>
              <w:ind w:leftChars="0"/>
              <w:jc w:val="left"/>
              <w:textAlignment w:val="center"/>
              <w:rPr>
                <w:rFonts w:hint="eastAsia" w:ascii="宋体" w:hAnsi="宋体" w:eastAsia="宋体" w:cs="宋体"/>
                <w:strike w:val="0"/>
                <w:color w:val="auto"/>
                <w:sz w:val="21"/>
                <w:szCs w:val="21"/>
                <w:highlight w:val="cyan"/>
              </w:rPr>
            </w:pPr>
            <w:r>
              <w:rPr>
                <w:rFonts w:hint="eastAsia" w:ascii="宋体" w:hAnsi="宋体" w:eastAsia="宋体" w:cs="宋体"/>
                <w:i w:val="0"/>
                <w:iCs w:val="0"/>
                <w:strike w:val="0"/>
                <w:color w:val="auto"/>
                <w:kern w:val="0"/>
                <w:sz w:val="21"/>
                <w:szCs w:val="21"/>
                <w:highlight w:val="none"/>
                <w:u w:val="none"/>
                <w:lang w:val="en-US" w:eastAsia="zh-CN" w:bidi="ar"/>
              </w:rPr>
              <w:t>11、配件：琴凳、琴罩、脚垫、键盘。</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A9D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9CEFF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AA3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676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近距离背夹麦克风</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8D3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01D0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A8A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1.高精密咪头，高精度分离式线路；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2.咪头具有全向等指向特性，高灵敏度拾音；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3.频响宽，失真小，动态范围大；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4.灵敏度衰减开关，应对大动态拾音场合；</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5.低功耗，使用时间更持久。</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参数说明：</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1.麦克风尺寸：32.5×24×49mm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2.麦克风重量：21g *2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3.电池容量：200mAh</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4.充电时间：&lt;2H</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5.充电输入接口:TYPE-C</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6.关机功耗:仓内&lt;20uA，仓外200uA。</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F36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086C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718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A8F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智慧终端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782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B63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BE0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1.壁挂式安装，设备收放自如；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2.双话筒、线路输入、输出，学生、老师高效双向沟通；</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3.带蓝牙无线连接、AUX接口，更方便快捷的连接方式，可直接同步电脑、手机音频，播放WMA、MP3、MP4等格式音频；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4.NFC卡片解锁，设备安全防护；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5.设备即放即充，快速充电；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6.多EQ选择，适应不同教学环境。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参数说明：</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1.终端机尺寸：148.5*109.5*43.5mm；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2.终端机重量：267g；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3.音频输出接口：Aux、RCA接口；</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4.充电电压：5V；</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5.充电电流：&lt; 500mA。</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5D0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9B3E23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0CA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B6D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扬声器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ED0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F23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C7A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产品特点：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1.多点M8吊挂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2.金属防护网，6mm圆形透声孔</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可280°调节音响角度，适应不同安装环境。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技术指标：</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1.功率：20W；</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2.喇叭额定阻抗： 8Ω；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3.特性灵敏度：1.6KHZ（0 dB）；</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4.输出声压级：1M 1W  88d；</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5.额定频率范围:20HZ~20KHZ；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6.音频频率响应范围：20HZ~20KHZ；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7.覆盖角度H×V：135°；</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8.扬声器单元：2*4；</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9.扬声器尺寸:148.5*109.5*43.5mm；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10.扬声器主机：1868g；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11.扬声器副机：1800g * 3；</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12.音频输入接口：RCA接口。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73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EDC54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BFF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5EF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节拍器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A62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F5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6BC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1.节拍速度：40-208拍/分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2.拍子型：0、2、3、4、6五种选择。</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3.节拍音色：机械声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4.尺寸：110*110*220mm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5.颜色：黒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6.结构：金属大机芯。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71F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D12B6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261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739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9C4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A98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F98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1.材质：塑料，八个一组；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2.外观：八中颜色、色泽均匀，光滑，无劈裂，与人体接触部位无锐利边角及毛刺。无变型；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3.音质：音准-25～+15音分；发音清脆，音高清晰可辨，无其他杂音；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 直径：4.2cm，筒长分别为30cm,31.8cm,36cm,41.5cm,46.5cm,48.9cm,55.4cm,61.8cm（误差±0.5mm）。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D5F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654025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12A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9C3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6EA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78B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9E2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1.构成：由实木制六面体音箱和铝片构成，带有便携带木盒，                                                                                                                                                                                           2.组成部分：音条、发音箱、琴锤，产品表面镀层牢固、完整、光亮，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3.规格：铝制17块音块组成，规格：最长音块≧210mm、最短音块≧140mm；音块高≧40mm；音块的铝板琴片厚度≧5mm；  木盒尺寸：555*470*75mm                                                                                                                                                              4.音色：C-E.音灵敏，主音清晰，悦耳，音色饱满，共鸣好，无杂音；音准符合标准要求。                                                                        </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49F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BBE169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3D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A81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钟琴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E5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C67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FBE2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1.材质：优质钢铝；</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2.结构：音板、音锤、支架、琴包组成；由1个32音的裸琴和1副不锈钢制支架组合而成，琴片上刻有音阶，不锈钢制支架的3个分支架底部均有黑色橡胶垫保护，起到稳定、固定的作用；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3.使用方法：演奏时将铝板琴放在组装好的支架上，然后左右手手持敲棒敲击琴片即可；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2F0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7FFCBA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CDC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A97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沙锤</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1DE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A4E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1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1.材质：榉木；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2.外观：色漆，表面光滑；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3.音质：声音明亮清脆；无其他噪音；可发“沙拉拉”音响效果；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4.尺寸:锤体直径：55-60mm；锤体长度：95-100mm；手柄直径： 10-20mm；手柄长度：105-110mm。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4C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A61C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8A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B05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D4F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E59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7E9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1.材质：木质；</w:t>
            </w:r>
          </w:p>
          <w:p w14:paraId="082F63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2.工艺：原木色；</w:t>
            </w:r>
          </w:p>
          <w:p w14:paraId="3688B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3.尺寸：长9.5cm，直径3.5cm。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35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E0489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7E5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20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摇铃（5铃）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764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46E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1D385">
            <w:pPr>
              <w:keepNext w:val="0"/>
              <w:keepLines w:val="0"/>
              <w:pageBreakBefore w:val="0"/>
              <w:widowControl/>
              <w:numPr>
                <w:ilvl w:val="0"/>
                <w:numId w:val="14"/>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外观构成：手摇铃由木制手柄、优质牛皮铃圈和5颗金属铃铛构成；  </w:t>
            </w:r>
          </w:p>
          <w:p w14:paraId="44FF345E">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2.铃铛规格20*20mm； </w:t>
            </w:r>
          </w:p>
          <w:p w14:paraId="5C62DD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3.使用方法：使用时手持摇铃，摇晃使其发声。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AF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8265CA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398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22C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棒铃（21铃）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63F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069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133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1.外观构成：木棒上部配有21颗金属铃铛组成，手柄处为原木清漆，美观精致。</w:t>
            </w:r>
          </w:p>
          <w:p w14:paraId="7CE8F4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2.尺寸：全长 24cm；</w:t>
            </w:r>
          </w:p>
          <w:p w14:paraId="4F1ADF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3.使用方法：手持棒铃，左右或上下摇晃，使其铃铛同时发声，清越响亮。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A52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D58DA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D60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B3E0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双响筒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6FE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985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E43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筒体、手柄、击槌，筒体为原木色，筒体全长不小于19cm，筒体直径不小于40mm，手柄用硬杂木制成，握把全长不小于155mm，击槌用硬杂木制成，击槌两端呈球状。涂树脂清漆，表面光亮，均匀</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A56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E45AA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86F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189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响板（木舞板）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DEB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8C4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73B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1.材质：木制；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2.外观：表面光滑完整；圆形，主板及盖板各有两个孔，主板夹在两盖板中间，用线绳穿过两圆孔串联在一起；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3.音质：清脆无杂音；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4.尺寸:直径55-60mm;长度：205-210mm。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436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3E709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00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819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响棒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4A4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707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106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1.材质：木制；</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2.外观：无锐利边角，毛刺，涂饰均匀；两根为一对；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3.音质：清脆悦耳；</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4.尺寸:直径20-25mm;长度：195-200mm。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D21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DC385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E9A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CD8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刮棒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B32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B0D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A3E08">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外观构成：由一根粗细一致的实木棒，用机械旋转掏空成均匀大小的螺纹制成，底端圆滑凸起部分为手柄，外观原木清漆，配敲棒一支； </w:t>
            </w:r>
          </w:p>
          <w:p w14:paraId="615CF8CD">
            <w:pPr>
              <w:keepNext w:val="0"/>
              <w:keepLines w:val="0"/>
              <w:pageBreakBefore w:val="0"/>
              <w:widowControl/>
              <w:numPr>
                <w:ilvl w:val="0"/>
                <w:numId w:val="15"/>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规格：全长19.5cm；</w:t>
            </w:r>
          </w:p>
          <w:p w14:paraId="64C00F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3.使用方法：使用时左右手分别手持刮棒，用其中的小棒去刮另一个棒子的表面而发声。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B8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F162C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8EB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BC8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蛙鸣筒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AE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C62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FADCF">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外观构成：蛙鸣筒，形状似鱼型，腰部均匀加沟，原木清漆，头部和尾部彩漆，附敲棒一根； </w:t>
            </w:r>
          </w:p>
          <w:p w14:paraId="6A8B69A9">
            <w:pPr>
              <w:keepNext w:val="0"/>
              <w:keepLines w:val="0"/>
              <w:pageBreakBefore w:val="0"/>
              <w:widowControl/>
              <w:numPr>
                <w:ilvl w:val="0"/>
                <w:numId w:val="16"/>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规格：全长≧20cm；</w:t>
            </w:r>
          </w:p>
          <w:p w14:paraId="016117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3.使用方法：使用时一手持蛙鸣筒，一手持敲棒敲击或刮擦发出声响，似青蛙叫，音色响亮清脆。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CF7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A000CA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84F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E34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木鱼</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3A3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3B5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DECE2">
            <w:pPr>
              <w:keepNext w:val="0"/>
              <w:keepLines w:val="0"/>
              <w:pageBreakBefore w:val="0"/>
              <w:widowControl/>
              <w:numPr>
                <w:ilvl w:val="0"/>
                <w:numId w:val="17"/>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外观构成：木鱼呈团鱼形，腹部中空，头部正中开口，为发音空，尾部盘绕，其状昂首缩尾，背部(敲击部位)呈斜坡形，两侧三角形，底部椭圆;木制棰，手工制作，附敲槌一个，外观红色喷漆，金色画漆。 </w:t>
            </w:r>
          </w:p>
          <w:p w14:paraId="2D93910D">
            <w:pPr>
              <w:keepNext w:val="0"/>
              <w:keepLines w:val="0"/>
              <w:pageBreakBefore w:val="0"/>
              <w:widowControl/>
              <w:numPr>
                <w:ilvl w:val="0"/>
                <w:numId w:val="17"/>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规格：材质为椿木，敲击不同尺寸的木鱼，会有不一样的声音，7个为一组。 </w:t>
            </w:r>
          </w:p>
          <w:p w14:paraId="7A44B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3.使用方法：手持敲槌，敲击木鱼，使其发声。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F97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A587F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D2B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3DC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铃鼓</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54D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40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5BE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木框,铜钹,羊皮鼓面,鼓面直径20cm，高4.5CM.。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27B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10CE7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826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EE0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三角铁</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E5D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3C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900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1.材质：锰钢；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2.外观：光洁，无毛刺；三个为一组；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3.发音清脆、悦耳，穿透力强，无其他杂音；延音长4s；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4.尺寸:边长145-155mm、190-210mm、246-250mm；击棒直径4-5mm；击棒长度115-125mm。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327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7D2D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6FC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3F7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碰铃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CA1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B04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8D2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1.材质：响铜；</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2.外观：光洁，无毛刺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3.音色清脆、悦耳，发音响亮，余音环绕；延音≥6S；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4.尺寸:直径40-45mm，高度40-45mm；重量：75-80g。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674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026A0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6E4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BD9C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棒钟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03C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1C5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32A8E">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外观构成：碰钟为黄铜材质，颜色为黄色，形似喇叭花型，手柄为木制，原木色，碰钟和手柄由螺丝钉联接构成；2个为一付； </w:t>
            </w:r>
          </w:p>
          <w:p w14:paraId="05E81A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2.规格：全长 12.5cm，口最大直径 3cm。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4F4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07282B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B68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5E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八音按钟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C7D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6BB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8FB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直径约8cm，每套8个。可发出8种不同的声音，色彩鲜艳。材质：优质金属、ABS材料。</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D7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ABDF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64C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FAE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E43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45C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1B7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1.键盘：61键力度触感标准键盘；</w:t>
            </w:r>
          </w:p>
          <w:p w14:paraId="5FA91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2.显示：多功能LCD背光液晶显示；</w:t>
            </w:r>
          </w:p>
          <w:p w14:paraId="742721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3.复音数：32；</w:t>
            </w:r>
          </w:p>
          <w:p w14:paraId="1AF659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4.音色：844种音色(包括553种旋律音色、16种民族音色和13组键盘打击乐)40个面板直选音色音色控制：调音台、延音、移调、微调、琶音、双音色；</w:t>
            </w:r>
          </w:p>
          <w:p w14:paraId="2A93F9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5.踏板功能：接上多功能踏板（另配），提供七种脚踏功能选择；</w:t>
            </w:r>
          </w:p>
          <w:p w14:paraId="531B43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6.效果：10种混响，混响开关，13种合唱；</w:t>
            </w:r>
          </w:p>
          <w:p w14:paraId="48048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7.节奏：204种节奏，包括11种民族节奏、40个面板直选节奏；</w:t>
            </w:r>
          </w:p>
          <w:p w14:paraId="5797FA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8.伴奏控制：同步启动、启动/停止、前奏/尾奏、插入、单键设置；</w:t>
            </w:r>
          </w:p>
          <w:p w14:paraId="10386B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9.键盘控制：和弦、全和弦、分离、和声、和弦字典5种力度曲线；</w:t>
            </w:r>
          </w:p>
          <w:p w14:paraId="0B9537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10.示范曲：160首；</w:t>
            </w:r>
          </w:p>
          <w:p w14:paraId="1F4B08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11.录音功能：5轨录音/放音；</w:t>
            </w:r>
          </w:p>
          <w:p w14:paraId="65F262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12.状态记忆：5x8组面板设定状态；</w:t>
            </w:r>
          </w:p>
          <w:p w14:paraId="204526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13.外置声卡：(USB音频)；</w:t>
            </w:r>
          </w:p>
          <w:p w14:paraId="102DD9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14.其他功能：33种功能参数调节和设定，断电保存，速度/敲击、节拍器、滑音、冻结、Local开关控制；</w:t>
            </w:r>
          </w:p>
          <w:p w14:paraId="1D11A9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15.接口：电源，耳机/输出，线路输入，多功能踏板（延音、弱音、保持音、感情踏板、启动/停止、插入、存储控制），麦克风，USB接口，可连接计算机和智能手机,平板电脑；</w:t>
            </w:r>
          </w:p>
          <w:p w14:paraId="0D5892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16.喇叭：YD120-3A1/4Ω5W：5W/4Ω*2。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B35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690EB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A8A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1BA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非洲鼓</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967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8A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ABC8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专业 8寸 40*19-20cm 鼓面19-20cm 鼓高40cm 整木掏空 山羊皮。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9588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026D1C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373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117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录像机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627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3C6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5AB9A">
            <w:pPr>
              <w:keepNext w:val="0"/>
              <w:keepLines w:val="0"/>
              <w:pageBreakBefore w:val="0"/>
              <w:widowControl/>
              <w:numPr>
                <w:ilvl w:val="0"/>
                <w:numId w:val="19"/>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rPr>
              <w:t>闪存式DV：</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2.光学变焦倍数：30倍</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3.屏幕尺寸：3英寸</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4.数码像素：201-300万</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5.重量：151g(含)-200g(含)</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6.附加功能：支持WIFI、防抖性能、五轴防抖</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7.传感器尺寸：1/5.8英寸</w:t>
            </w:r>
            <w:r>
              <w:rPr>
                <w:rFonts w:hint="eastAsia" w:ascii="宋体" w:hAnsi="宋体" w:eastAsia="宋体" w:cs="宋体"/>
                <w:strike w:val="0"/>
                <w:color w:val="auto"/>
                <w:sz w:val="21"/>
                <w:szCs w:val="21"/>
              </w:rPr>
              <w:br w:type="textWrapping"/>
            </w:r>
            <w:r>
              <w:rPr>
                <w:rFonts w:hint="eastAsia" w:ascii="宋体" w:hAnsi="宋体" w:eastAsia="宋体" w:cs="宋体"/>
                <w:strike w:val="0"/>
                <w:color w:val="auto"/>
                <w:sz w:val="21"/>
                <w:szCs w:val="21"/>
              </w:rPr>
              <w:t>8.感光元件：CMOS</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DE4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85C9D4">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12A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（四）浦北县第十小学科学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3D5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2928AEF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E3A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049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护目镜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DC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D28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F3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1.侧面完全遮挡，耐腐蚀，抗冲击，耐磨，便于清洗。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97D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7ACCA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09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A73E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教学电源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C5D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EB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245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1.交流 2 V～12 V，5 A，每 2 V 为一档；直 流 1.5 V～12 V，2 A，分为 1.5 V、3 V、 4.5 V、6 V、9 V、12 V，共 6 档；40 A、8 s 自动关断，延时 1 s；各档空载电压应≤1.05U 标＋0.3 V，各档满载电压应≥0.95U-0.3 V，直流输出时电压偏调±（2％U 标＋0.1 V）。</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22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44DEE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39E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4CC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电池盒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4BD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529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FFD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适用于R6电池。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72A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BC9E80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670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AA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充电电池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8D7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490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3CB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镍氢电池，R6。</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13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9757A3">
        <w:tblPrEx>
          <w:tblCellMar>
            <w:top w:w="0" w:type="dxa"/>
            <w:left w:w="108" w:type="dxa"/>
            <w:bottom w:w="0" w:type="dxa"/>
            <w:right w:w="108" w:type="dxa"/>
          </w:tblCellMar>
        </w:tblPrEx>
        <w:trPr>
          <w:trHeight w:val="659"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4DE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827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DD8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E2F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6BA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1.1000 mm,分度值为1mm；材料为 1Cr18Ni9、1Cr13 或其他类似性能材料，硬度应≥342 HV；刻度面平面度误差应≤0.25 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9F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6724B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0D3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500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EA2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470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73A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1.400mm或 500 mm，分度值为1mm；材料为 1Cr18Ni9、1Cr13 或其他类似性能材料，硬度应≥342 HV；刻度面平面度误差应≤0.25 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B1A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7987E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E2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C85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钢卷尺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BD0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96C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CA7F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1.量程0 mm～2000 mm，分度值1 mm。B型（自卷制动式 ） ， 尺带宽 ≥  12 mm， 厚≥0.15mm。尺带拉伸、收卷轻便灵活，无卡阻现象。活动尺钩缩回时，尺钩外侧为零点端。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E2C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DCF7B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018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A5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1BB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AE9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8A1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 m,折卷式，尺带表面应平滑、色泽均匀， 应无气孔、杂质等影响外观和使用性能缺陷。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B4B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D416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E8B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00C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BFC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17C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9E3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1.5m, 折卷式, 尺带表面应平滑、色泽均匀， 应无气孔、杂质等影响外观和使用性能缺陷。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D6F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E09364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0B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DD4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布纤维卷尺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E01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E0F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B7D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1.摇卷盒式，量程0m～30m，分度值1cm，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2.尺带宽度20 mm，有“CMC”标志，刻度清晰， 边缘平直、材料环保、耐磨损。</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245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6FCF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AA3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72E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滚轮长度标线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F02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2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D60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轮式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B10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51B69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7A8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253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CAC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735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C74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轮式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57E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5F3D36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F21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60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46F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D52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ED5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望远镜:主机(1个)、Type-C充电线(1个)、说明书(1个)、包装盒(1个)、便携包(1个)、擦镜布(1个）、干燥剂(1个)、手绳(1个)、望远镜倍率6X、目镜直径16mm、物镜直径25mm、测角范围±90°、测量误差±(1.0m+Dx0.2%)、分辨率0.1M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F14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2337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DB5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DC0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激光测距仪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D77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131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3D5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手持式50米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783A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0E82A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18D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0C1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测量计数器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549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479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A72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F69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F1EC5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0B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4C7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红液温度 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7D1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4C98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7D6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量程-20℃～+100℃，分度值1℃，示值 误差&lt;1.5℃。</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6D8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F6E3EB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144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34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水银温度 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16A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400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81C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0℃～200℃，分度值 1℃，示值误差＜0.5℃，有保护套。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A5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4E88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FDF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57E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体温计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894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2C2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DB9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水银，量程 35℃～42℃，分度值0.1℃， 感温液柱不应中断、自流、难甩，应有“CCV”标志。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043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E53D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5F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4A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红外人体表面温度快速筛检仪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4E7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830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79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红外线电子测温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065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9D2B6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AB4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BBE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寒暑表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6B9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9E7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9C5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量程-50℃～+50℃，分度值 1℃，允许误 差±1℃；底板长200 mm～300 mm，温度计外径5 mm～8 mm，感温泡长8 mm～15 mm；当温度达到100℃时，安全泡应能容纳上升 感温液，温度计不致胀破。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178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B66D45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55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D02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干湿球温度计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FF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582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513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0℃～50℃，分度值0.5℃，测量湿度0%～100%。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772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53D8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848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30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托盘天平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93C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CE6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C9C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单杠杆等臂式双盘天平，配6级（M2级）砝码：100g、50g、10g、5g各1个，20g 2个，钢制镊子。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C2C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00A3A5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72D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3F5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电子秤(电子天平）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E45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DCE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D9D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量程 500g,分度值0.01g。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5C2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EECA6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A27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464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580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230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167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非专用型，手持式，分辨力 0.1 s，电池更 换周期≥1 年，测量时段：10min。</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8380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D3E497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D8B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567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B70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FA4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3FD0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 mL，透明钠钙玻璃制，分度线、数字和标志应完整、清晰和耐久，容积为20℃时 充满量筒刻度线所容纳体积。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B7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01BC69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212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B10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34B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5DF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B24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 mL，透明钠钙玻璃制，分度线、数字和标志应完整、清晰和耐久，容积为20℃时 充满量筒刻度线所容纳体积。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68A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D074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DBD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B0E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水槽</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2BA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BC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2F3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透明塑料、树脂，长方形，带盖，带透气孔，长 30 cm×宽 20cmx15cm。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E19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DFFB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76A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8EB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底部带孔塑料杯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D1A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261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555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容积200mL～250mL,配橡胶塞</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B05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205C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E04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24D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注射器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AD2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58A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22E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20mL，塑料制，无注射针。</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E49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BB048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E54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E2F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漏斗</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6E3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F0D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D0E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60mm，直径准确，锥度适中。</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E6A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BBAB91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12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2A5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6CA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32D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650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 mL，透明硼硅酸盐玻璃制，烧杯的满口 容量应超过标称容量的10%或烧杯的满口容 量和标称容量的两液面间距不应少于10mm，并应采用容量差值较大的一种。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21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7405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FF9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E8D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CA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DF9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C27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 mL，透明硼硅酸盐玻璃制，烧杯的满口 容量应超过标称容量的 10%或烧杯的满口容 量和标称容量的两液面间距不应少于 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8A9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0CFA2F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CF9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E78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8A2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678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922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500 mL，透明硼硅酸盐玻璃制，烧杯的满口 容量应超过标称容量的 10%或烧杯的满口容 量和标称容量的两液面间距不应少于 10mm，并应采用容量差值较大的一种。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8AE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61D23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1B5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1EE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简单机械构造与组合实验箱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885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B60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1E5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包括斜面、杠杆、钩码、单滑轮、二串滑轮、轮轴、木块、圆筒、测力计底座、支架杆、固定夹等，仪器配套配备，配置齐全，通过组装可完成建议活动。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8DB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A20F4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C66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D60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光现象实验箱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595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4BE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77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包括但不限于平面镜、凹透镜、凸透镜、形体模型（包括球体、圆锥、三棱锥、三棱柱和四棱柱、圆柱）、太阳能小车、光电池风扇、激光笔、小孔成像装置、电池盒、光具座底座、白屏、毛屏、强光光源 LED、光源支架等，仪器配套配备，配置齐全，通过组装可完成建议活动。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2921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880CE3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BAE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33B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热现象实验箱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305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E5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6A5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温度计、数字温度表、物体热传导观察装置、热传导金属板、对流实验循环管、金属箔、便携式酒精炉、胶塞、金属比热计、物体吸热演示器、金属环、金属套环、金属支杆、固定夹、底座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A85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1632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B09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986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声现象实验箱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8C3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B48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52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但不限于鼓膜振动模拟装置、小鼓、锣、镲、共鸣盒、音叉、八音盒、发音片、共鸣盒皮绳支架、共鸣盒皮筋旋钮、声音导管、塑料试管、振动片、塑料杯（底带孔）、细线、塑料杯、小锤、橡皮筋、泡沫小球，小编钟，铝片琴，长度相同、粗细不同的同种材质的金属管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D3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2FECC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48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2AB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电现象实验箱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33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B53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795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玻璃棒、胶棒、旋转架、水果发电装置、人体感应装置、电路实验器材、电热实验器、手摇发电机、电铃、导体与绝缘体、电池盒(已配）、导线等，仪器配套配备，配置齐全，通过组装可完成建议活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8AC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4E760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9A0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EA0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磁现象资源箱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704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C06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F7E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条形磁铁、蹄形磁铁、磁铁（无标示）、磁粉盒、磁饼、磁饼支架、塑料小车、塑料卡通娃娃、迷宫塑料板、手持磁铁、手持蹄形磁铁、小磁球、指南针、指南针材料、电磁铁装置、导线、电池盒(已配）、铁制品、其他金属制品、木制品、塑料制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EA7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0D4FE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EC2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8E9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空气的特性资源箱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ACC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7792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529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1.包含集气瓶组合、气筒、水槽、玻璃杯、空气对流实验器装置、气动小车、风力做功装置、马德保半球及抽气装置、管塑料袋等材料盒；</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2.马德保半球：由半球、拉手、气嘴、阀门、橡胶管2根以及底座等组成；球体外径应≥80mm,气嘴外径 8mm。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DE3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C08B4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AD8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791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水的性质资源箱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504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3A1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EB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水容器、量杯、表面张力实验器材、毛细管、蒸发板、烧杯、数字温度表、便携式酒精炉、标有刻度的塑料柱、弹簧秤、小水轮、小铁环、支架杆、石棉网、白砂糖（食盐）、沙粒、油、铁托台、固定架、底座、橡皮管、水漏、固定夹、水温计、滴管、透明水槽、塑料片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ABD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3420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2BB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62E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运动与力资源箱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EEA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D3B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900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包含但不限于支架杆、带钩横棒、固定夹、底座、塑料球、钢球、细线、小车、秒表、钩码、弹簧等。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224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AFBB7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BD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F91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重力、弹力、摩擦力实验箱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795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49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032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包含但不限于摩擦板、摩擦块（木块）、夹子、布、毛巾、圆筒测力计、支架杆、固定夹、底座、钩码盒、钩码、带钩横棒等。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40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8BFAD3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DAF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126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热胀冷缩资源箱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B68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670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BB9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包含但不限于胶塞、玻璃管、气球、锥形瓶、 塑料杯带手柄、数字温度表、便携式酒精炉、 固体热涨冷缩实验器等。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7C3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3E19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1DF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CB6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教学支架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575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3E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0D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方形座,含铁夹、复夹、铁圈，重心稳定不 晃动，夹持器内侧应有垫衬。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FBE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CBEA44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90A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24C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9DD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B0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5A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Φ15mm×150mm，透明，硼硅酸盐玻璃制。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F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4C2FC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C22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BF60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试管夹</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19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75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013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木制或者竹制，长度≥200mm，宽度约20mm， 厚度约20mm。试管夹闭口缝≤1mm，开口距离≥25 mm。毡块粘接牢固，试管夹弹簧 作防锈处理。试管夹持部位圆弧内径≤15mm。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8B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22FD3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F84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87A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E09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DB1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0CF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木制或塑料制，8孔，孔径21mm，立柱粘 结牢固。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EEA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2DA0F3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D8A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113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试管刷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95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267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81E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刷头Φ12mm，手持部分顶端应为环状，顶 部要有刷丝，铁丝不可外露。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C29D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BE712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DBC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B2A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锥形瓶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914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FB2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3D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100mL，透明硼硅酸盐玻璃制，放在平台上 应直立不摇晃、不转动。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3DF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7D4078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3FF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5D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集气瓶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B68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494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C80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 mL，透明钠钙玻璃制，磨砂面应均匀地 覆盖瓶口端面与盖板，磨砂面不应有光斑； 盖板四角应倒角，四边应磨光盖板与瓶口密 合性应符合：盖板与瓶口充分湿润盖合后， 倒提瓶体盖板在瓶口上保持 30s不脱落。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FB6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56AB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6FE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08B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A59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E78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268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250mL，平底。</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62A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AA0B06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44D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06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烧瓶刷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555D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728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308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250mL 烧瓶用,手持部分顶端应为环状,顶 部要有刷丝,铁丝不外露。</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E06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6B92D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B07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47E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橡胶塞</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984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kg</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011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D3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000、00、0 号～10 号，白色，质地均匀。</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638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1BD1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6A0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DF8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D2D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0F2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948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Φ5mm～Φ6mm，中性料，管口应打磨或 烧结，避免划伤事故。</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3FA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6CDA6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341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20E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玻璃弯管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EF9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6C1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5E3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Φ7mm～Φ8mm，一端长度为6cm～7cm， 另一端长度约20cm，形状为锐角、直角和 钝角，管口应打磨或烧结，避免划伤事故。</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670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EA44C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5B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603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玻璃棒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C6B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25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23B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Φ5mm～Φ6mm，粗细均匀，两端烧结使其光滑。</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A4E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7DE21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2C9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82E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滴管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0A5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85A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529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1.100mm，直形，滴管尖嘴口径1mm，上端有；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2.防滑脱翻口，翻口处直径比滴管直径略多 1 mm～2mm。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7B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A46FC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43F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01C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蒸发皿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C1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3F4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703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Φ100mm，瓷制，耐受温度≥800℃。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DBD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A6B7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9BD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61C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坩埚钳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B27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0B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0FB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200mm，钢制，中间弯曲部分内径应在2cm～3cm。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12E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D82765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650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C01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酒精灯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A2E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72E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5FE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150 mL，采用透明钠钙玻璃制造，无明显黄 绿色，灯口应平整，瓷灯头与灯口平面间隙 不应超过 1.5 mm，玻璃灯罩应磨口，瓷灯 头应为白色，表面无气泡，无疵点，无裂纹， 无碰损缺口，酒精灯应配置与灯口孔径相适 应的整齐完整的棉线灯芯。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C8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B4500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2E7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val="en-US" w:eastAsia="zh-CN"/>
              </w:rPr>
            </w:pPr>
            <w:r>
              <w:rPr>
                <w:rFonts w:hint="eastAsia" w:ascii="宋体" w:hAnsi="宋体" w:eastAsia="宋体" w:cs="宋体"/>
                <w:strike w:val="0"/>
                <w:color w:val="auto"/>
                <w:sz w:val="21"/>
                <w:szCs w:val="21"/>
                <w:lang w:val="en-US" w:eastAsia="zh-CN"/>
              </w:rPr>
              <w:t>62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F04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三脚架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1A2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221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73A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铁制，环内径75mm，高150mm。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B9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5066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3C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827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陶土网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69E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F8F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EC9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金属网尺寸≥125 mm×125 mm，耐火材料为 陶土，功能等同于石棉网。</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34B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4D71B03">
        <w:tblPrEx>
          <w:tblCellMar>
            <w:top w:w="0" w:type="dxa"/>
            <w:left w:w="108" w:type="dxa"/>
            <w:bottom w:w="0" w:type="dxa"/>
            <w:right w:w="108" w:type="dxa"/>
          </w:tblCellMar>
        </w:tblPrEx>
        <w:trPr>
          <w:trHeight w:val="46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AC8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6E8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冰盒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046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46A5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848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冰格</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0E1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1D330C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9BC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4A9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放大镜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2F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BA0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13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手持式，有效光孔径不小于20mm,5倍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031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96965E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201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263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放大镜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1D3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795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FE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手持式，有效光孔径不小于10mm,10倍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8E9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27F58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FE64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4CF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生物显微镜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AF3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772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968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1.640倍单目斜筒，单目头可360°旋转。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2.目镜：WF10X，WF16X各1个。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3.消色差物镜：4X，10X，40X（弹簧）。</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4.机械筒长：160mm。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5.调焦：粗调、微调同轴。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6.电源：110V-220V。</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7.照明：带1W上、下2个LED光源。使用上光源可作解剖镜用，使用下光源可作生物显微镜用，下光源可旋钮调节亮度。</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8.支持充电宝，干电池，适配器。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9.载物台：单层平台带压片夹。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10.显微镜弯臂自带提手，提携更方便。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BC7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8341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6B5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F07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数码生物显微镜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638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CD2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7EE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1.目镜：大视野平场目镜，可带指针，可带测微尺；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2.物镜：平场消色差物镜 4倍、10倍、40倍，100倍；</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3.照明：LED 照明，亮度连续可调；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4.三目（一个电子目镜，2个传统目镜）。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2F7D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339795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47C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CC5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数码液晶显微镜</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9A8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BB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F75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1.消色差物镜：4×、10×、40×；广视场目镜：WF10×；带照明光源和聚光镜，三目（1个电子目镜，2个传统目镜）。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A88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C69F7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E69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621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载玻片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874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6D4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068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无色透明，平整。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979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59A6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843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852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盖玻片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C765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4BA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1E6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无色透明，平整。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926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42F1F6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19B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7B0C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生物玻片标本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D19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B49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37A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包括洋葱表皮、植物根尖横切、草本植物茎、 动物表皮细胞、神经细胞、口腔上皮细胞等。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D63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5D153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BCE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74F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镊子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F76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994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B6B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弯尖头，整体长度 122 mm(弯头部分 40mm)。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E8C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A00AF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0DF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4E3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镊子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EC69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376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924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直尖头,140mm。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DC2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A50B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D8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033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昆虫盒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E965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F67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B33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圆形、带不小于3倍的放大镜。</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B7E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DD72A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DE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D3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02F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B85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66E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长90mm、宽18mm、折叠，刀刃60mm。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028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F2FE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EFD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1BE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圆底烧瓶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92C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F5A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934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容积 250 mL。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02B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016FEC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AE0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152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锥形瓶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93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73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EE892">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高硼硅玻璃材质；</w:t>
            </w:r>
          </w:p>
          <w:p w14:paraId="3FECC9C5">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规格：锥形，250mL；</w:t>
            </w:r>
          </w:p>
          <w:p w14:paraId="22F895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3、底部不允许有结石、节瘤存在。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CD6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22076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470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FB2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植物的器官资源箱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F83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36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EE7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包含但不限于植物解剖工具、根的标本、根的图片、茎的标本、茎的图片、叶的标本、叶的图片、花的标本、花的图片、果实的标本、果实的图片、种子的标本、种子的图片等。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E55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B12FD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E1F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9C6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植物的生长资源箱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A0F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364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355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1.包含但不限于手持放大镜、种子发育盒、植 物向光性实验装置、种子萌发与生长标本；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2.（大豆）、种子萌发与生长标本（水稻）、 种子萌发与生长标本（花生）、种子萌发与 生长标本（小麦）等。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232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B9D89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245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9C2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植物分类挂图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695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7DE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D37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狗尾草、槐树、榕树、水葫芦、荷花等植物 名称、图片及简单文字介绍（如生存环境、 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6D1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AF5F4D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B43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275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植物分类图册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404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7CA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0E7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图片内容包含但不限于:植物分类方法;藻 类植物、苔藓植物、蕨类植物、种子植物; 植物的一生、植物的根茎和叶、植物的花、 果实和种子;植物和人类的关系;保护植物 的方法等。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1FB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2FD4A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E14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F56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动物分类挂图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74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6F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EDB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包含昆虫、鸟类、鱼类、哺乳类的主要代表 动物名称、图片及简单文字介绍（如生存环 境、外形结构）。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121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379AE1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E7C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0A9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珍稀动物挂图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F65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C74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092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我国珍稀动物名称、图片及简单文字介绍（如生存环境、外形结构）。</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C6FB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FFB49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02E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8F8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动物分类图册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8EB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D6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03D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图片内容包含但不限于:无脊椎和脊椎动 物、动物的繁殖和成长历程、动物怎样捕食、 运动、怎样保护自己、动物与人类生活的关 系、保护动物等。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488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7A056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658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A61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人体器官挂图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1EA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6E6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574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包含呼吸系统、感觉系统、消化系统、神经 系统标注名称及简单说明。</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C94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F7454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90E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C08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人体半身模型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03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6D7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0E3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850 mm，橡胶制，消化系统、呼吸系统、泌 尿系统模型细节清晰，可以清楚地看到各部 件的相关关系；材料选择环保材料；着色不失真；可拆卸。</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687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E4F791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DEC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237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呼吸系统挂图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B21B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325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D62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包含鼻孔、咽喉、气管、左右支气管、肺， 细节清晰。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750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B43D0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CC19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119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呼吸系统卡片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D64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EC2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51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包含鼻孔、咽喉、气管、左右支气管、肺。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94C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6AFEB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C15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540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消化系统挂图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31FF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3A3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A54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至少包含口腔、咽、食管、胃、小肠、大肠等细节清晰。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AB9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9A6D6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53D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AED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消化系统卡片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309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EDD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AD1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至少包含口腔、咽、食管、胃、小肠、大肠等。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92D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BCC9F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0DD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6A7B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脑解剖模型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A7A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FEA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5BD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自然大，大脑做正中矢状切面，左侧脑半球 经外侧沟向枕部再做水平切面，并保留完整 的脑干形态，应示大脑、小脑、延髓、脑桥、上下丘、胼胝体、透明隔、嗅球、视神经、 动眼神经等部位。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813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6743F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3D9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E7A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人体资源箱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FFC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F8A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FE3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包含人体模型书、眼球模型、牙列模型、耳模型、心脏模型、脑模型。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E93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C9EE17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9D5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737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植物生命周期挂图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A0F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8AA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400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包含两部分，①一张图中包含凤仙花的整个 生命周期，包括种子、萌发、开花、结果和 死亡过程。②凤仙花生命各个周期的放大图。</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3FB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1AF53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BB8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F40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动物生命周期挂图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525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5E3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E21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包含两部分，①一张图中蚕的生命周期，包 括卵、幼虫、蛹、成虫、产卵和死亡过程。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②蚕生命各个周期的放大图。</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DB6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D738A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3B4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2E5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化石挂图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93B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C2F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E09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恐龙、猛犸象名称、图片及文字介绍（生活 时代、环境特征和体形特征等）。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DA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51868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9F8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CD3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食物链与食物网挂图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F2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3A0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F27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挂图规格：高100cm×宽80cm,图中需有 一个生物生存的背景场所：玉米地。在图中 圆标浮现一下生物：狗尾草、玉米、毛毛虫、 蝗虫、麻雀、螳螂、禅、蛇、鹰。</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E20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CF9DB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2542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DAD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食物链食物网卡片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D34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5BE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CFC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卡片规格：长10 cm×宽10cm×厚0.1cm, 图片中出现一下生物：狗尾草、玉米、小麦、 蝗虫、蜜蜂、蛇、老鼠、鹰、兔子、螳螂、 禅等。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688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E5F88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4AF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282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动物筑巢挂图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BEC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BCA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A97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挂图规格：高 100 cm×宽 80 cm.水獭巢穴， 织巢鸟巢穴，织叶蚁巢穴，磁石白蚁巢穴，蜜蜂巢穴，织布鸟，海狸巢穴，兔子巢穴。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29E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B5572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87AF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1B0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动物筑巢卡片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EAB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332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861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卡片规格：长 10 cm×宽 10 cm×厚 0.1 cm,水獭 巢穴，织巢鸟巢穴，织叶蚁巢穴，磁石白蚁巢穴， 蜜蜂巢穴，织布鸟，海狸巢穴，兔子巢穴。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B1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BD7DD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2276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BCE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平面地形地球仪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DB43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10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ACEF1">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i w:val="0"/>
                <w:iCs w:val="0"/>
                <w:strike w:val="0"/>
                <w:color w:val="auto"/>
                <w:kern w:val="0"/>
                <w:sz w:val="22"/>
                <w:szCs w:val="22"/>
                <w:u w:val="none"/>
                <w:lang w:val="en-US" w:eastAsia="zh-CN" w:bidi="ar"/>
              </w:rPr>
              <w:t>1</w:t>
            </w:r>
            <w:r>
              <w:rPr>
                <w:rFonts w:hint="eastAsia" w:ascii="宋体" w:hAnsi="宋体" w:eastAsia="宋体" w:cs="宋体"/>
                <w:strike w:val="0"/>
                <w:color w:val="auto"/>
                <w:kern w:val="0"/>
                <w:sz w:val="21"/>
                <w:szCs w:val="21"/>
                <w:lang w:val="en-US" w:eastAsia="zh-CN" w:bidi="ar"/>
              </w:rPr>
              <w:t>、产品由球体和支架等组成；</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2、球体直径为320±5mm，平面比例尺1/40000000；</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3、球体通过地轴连接在支架上可以自由转动，并能停止在任一位置；</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4、球体为正圆形，地轴的倾角为66.5°，并垂直于赤道面；</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5、球体要做防潮处理，表面涂清漆。表面不得有裂纹、皱纹、气泡和脱落；</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6、教学演示效果明显；</w:t>
            </w:r>
            <w:r>
              <w:rPr>
                <w:rFonts w:hint="eastAsia" w:ascii="宋体" w:hAnsi="宋体" w:eastAsia="宋体" w:cs="宋体"/>
                <w:strike w:val="0"/>
                <w:color w:val="auto"/>
                <w:kern w:val="0"/>
                <w:sz w:val="21"/>
                <w:szCs w:val="21"/>
                <w:lang w:val="en-US" w:eastAsia="zh-CN" w:bidi="ar"/>
              </w:rPr>
              <w:br w:type="textWrapping"/>
            </w:r>
            <w:r>
              <w:rPr>
                <w:rFonts w:hint="eastAsia" w:ascii="宋体" w:hAnsi="宋体" w:eastAsia="宋体" w:cs="宋体"/>
                <w:strike w:val="0"/>
                <w:color w:val="auto"/>
                <w:kern w:val="0"/>
                <w:sz w:val="21"/>
                <w:szCs w:val="21"/>
                <w:lang w:val="en-US" w:eastAsia="zh-CN" w:bidi="ar"/>
              </w:rPr>
              <w:t>7、参照JY0001-2003《教学仪器设备产品的一般质量要求》标准，满足以下2项要求：</w:t>
            </w:r>
            <w:r>
              <w:rPr>
                <w:rFonts w:hint="eastAsia" w:ascii="宋体" w:hAnsi="宋体" w:eastAsia="宋体" w:cs="宋体"/>
                <w:strike w:val="0"/>
                <w:color w:val="auto"/>
                <w:kern w:val="0"/>
                <w:sz w:val="21"/>
                <w:szCs w:val="21"/>
                <w:lang w:val="en-US" w:eastAsia="zh-CN" w:bidi="ar"/>
              </w:rPr>
              <w:br w:type="textWrapping"/>
            </w:r>
            <w:r>
              <w:rPr>
                <w:rStyle w:val="165"/>
                <w:strike w:val="0"/>
                <w:color w:val="auto"/>
                <w:lang w:val="en-US" w:eastAsia="zh-CN" w:bidi="ar"/>
              </w:rPr>
              <w:t>7-1、教学仪器设备产品的外观要造型美观、色彩协调、规整光洁。表面不应有明显的擦伤、划痕和碰撞的坑疤；</w:t>
            </w:r>
            <w:r>
              <w:rPr>
                <w:rStyle w:val="165"/>
                <w:strike w:val="0"/>
                <w:color w:val="auto"/>
                <w:lang w:val="en-US" w:eastAsia="zh-CN" w:bidi="ar"/>
              </w:rPr>
              <w:br w:type="textWrapping"/>
            </w:r>
            <w:r>
              <w:rPr>
                <w:rStyle w:val="165"/>
                <w:strike w:val="0"/>
                <w:color w:val="auto"/>
                <w:lang w:val="en-US" w:eastAsia="zh-CN" w:bidi="ar"/>
              </w:rPr>
              <w:t>7-2、塑料件表面应平整清洁，不应有划痕、溶迹、缩迹，不应有气泡、烧粉和夹生，边缘不应有毛刺、变形、破边和凹凸不平，不应有明显的浇口飞边。且其检测结果均为与标准要求一致。</w:t>
            </w:r>
            <w:r>
              <w:rPr>
                <w:rStyle w:val="165"/>
                <w:strike w:val="0"/>
                <w:color w:val="auto"/>
                <w:lang w:val="en-US" w:eastAsia="zh-CN" w:bidi="ar"/>
              </w:rPr>
              <w:br w:type="textWrapping"/>
            </w:r>
            <w:r>
              <w:rPr>
                <w:rStyle w:val="165"/>
                <w:strike w:val="0"/>
                <w:color w:val="auto"/>
                <w:lang w:val="en-US" w:eastAsia="zh-CN" w:bidi="ar"/>
              </w:rPr>
              <w:t>8、参照GB21027-2020《学生用品的安全通用要求》标准，可迁移元素mg/kg（锑、钡、铬、汞、砷、镉、铅、硒）其检测结果为黑色塑料钡：3（技术标准要求：钡≤1000mg/kg），其他均未检出。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C56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E441BE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3C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D7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发光手电筒</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831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E77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34D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总长16cm，LED节能，充电式，容量400mA镜头5cm，塑料材质。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16F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F5701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261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EC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A9B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B13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EA4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可自制，100 W灯泡，圆形乳白色外罩，乒乓球1个，小铁丝，大小皮带轮各1个（12：1），支柱，小塑料泡沫球，60cm托板。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B28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D7EE8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E02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D23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活动星盘图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BE0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31D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5B1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Φ25 cm～Φ30 cm；用于野外观测星空时配 套使用；可手动调节观看时间、日期、月份； 带指南针定方位；三种观看模式(星座连线 观看、神话星图观看、双重模式观看)；可探索 30个以上星座。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B3B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8799C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4A17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06D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月球仪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62C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2C16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42D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1.140mm，整个球面标绘应幅面清晰、色彩协调、对比鲜明；</w:t>
            </w:r>
          </w:p>
          <w:p w14:paraId="50CE5649">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球面要作防潮处理，表面光洁，无起皱、起泡、破损，无污斑、流渍等；</w:t>
            </w:r>
          </w:p>
          <w:p w14:paraId="6C5BF097">
            <w:pPr>
              <w:keepNext w:val="0"/>
              <w:keepLines w:val="0"/>
              <w:pageBreakBefore w:val="0"/>
              <w:widowControl/>
              <w:numPr>
                <w:ilvl w:val="0"/>
                <w:numId w:val="18"/>
              </w:numPr>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地平圈、子午圈、方位尺等应无目测之变形，标尺刻度应均匀、清晰；</w:t>
            </w:r>
          </w:p>
          <w:p w14:paraId="512E970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4.球体绕轴转动、子午圈在轨道内滑动，均应松紧适度、灵活自如，且能停止在任一位置；</w:t>
            </w:r>
          </w:p>
          <w:p w14:paraId="4E0165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5.球体在轴上应不窜动、不晃动。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7A7B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F5570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033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DAF1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雨量器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4A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A5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0499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承水口内径 200 mm，高 230 mm，配锥形导水漏斗，1000 mL 塑料量筒。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29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7C0FA2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642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887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便携式风速风向仪</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FF46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C79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CD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1.风速指标：风速测量范围：0m/s～30m/s；</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2.风速传感器启动风速：0.8m/s；可显示的；</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3.风速参数：  瞬时风速、平均风速、瞬时风级、 平均风级、对应浪高；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4.风向指标：风向测量范围 0°～360°，16个方位；风向传感器启动风速1.0 m/s，风 向测量精度±1/2方位。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590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618410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1A9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5DD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地球表面海陆分布模型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8AC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A0C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63BE4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地球表面海陆分布模型 在模型上标注比例尺和图例，能看出陆地分 成的几大板块，以及陆地上的主要地形地貌。</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BC8B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EABDC3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5F7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612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土壤标本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7B6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FA75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9A1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沙质土、黏质土、壤土标本。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771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068A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35A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D34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地球内部构造模型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329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1C6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83F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立体剖面模型，能够看出地壳、地幔、地核 三部分及其特点。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1B0D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5FBAA6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308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2FA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火山爆发模型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479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6423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D9A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模型中有地球内部构造，及其火山喷发时地 壳、地幔的岩浆的变化。</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28F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30824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D80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1C8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分类垃圾桶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8BC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DD7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8D5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PP材质，30L。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E00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3FF7AE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E259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AD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反光式太阳能加热实验装置</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665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BB6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03D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太阳灶：太阳灶尺寸不小于φ380mm，利用太阳能，用太阳灶加可烧热水及烤面包等。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481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AB110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0BD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959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太阳能驱动小车</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E93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453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6B3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太阳能电池板驱动小车，包括太阳能电池板2V60mA，电机。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B51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82484C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9C0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00F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小型电热炉</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093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3ED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BCB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小型加热炉电热炉电炉额定电压 220 V、额定功率≦500 W、发热盘直径≦10cm、高≦8cm。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7D62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55B0C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0F9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6E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电动卷笔刀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93A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30B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090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直径70mm、高130mm；削笔的孔径6 mm～8 mm；可配USB外接电源，也可放若干节 1.5 V 的 AA 电池驱动；自动双开关启动：装上垃圾盒放上铅笔才可工作；可削彩铅，碳铅及铅笔。</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2C0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47DE27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367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42F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记忆合金</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470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8C40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0FB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1.弹簧形状记忆合金。规格 100 mm×Φ10 mm；效果：把弹簧放在热水中，弹簧的长度立即伸长，再放到冷水中，它会立即恢复原状。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FFB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89EBE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F1A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7BC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四驱遥控车小车</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515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辆</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5CD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BD1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四驱遥控车小车（可拼装）外形尺寸：20 cm×9 cm×5 cm；控制方式：遥控。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3A0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ECD0E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D37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A79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酒精灯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C70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869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DAA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150mL。</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67B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F49938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1BB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D733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十字螺丝刀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2EC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816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D33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旋杆直径6mm,长150mm,工作端带磁性。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9FCB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D1F7E5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8D9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46A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一字螺丝刀</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13F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A5A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EA9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旋杆直径6mm,长150mm,工作端带磁性。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88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A683DD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45E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C62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4D9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60A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F170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由杠杆、轴、调平装置和6个挂钩组成，挂 钩在标尺上能连续移动，杠杆长≥500 mm，木杠杆尺端需包头加固。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B4A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0036F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BA1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6AC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滑轮组</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3F4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组</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703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32E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由单滑轮4件、二并滑轮2件、二串滑轮2件、支杆滑轮2件构成，每个滑轮组中至少有1个可止动滑轮，附滑轮绳；额定负荷：单滑轮 9.8 N，串及并滑轮为 19.6 N，支杆滑轮为 9.8 N；满负荷时，单、支杆滑轮 的效率不应低于 90％，并串滑轮的效率 不应低于75％。</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E1B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C7737F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54A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D81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保温杯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FC9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0E5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lang w:eastAsia="zh-CN"/>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F0D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能观察到内部结构，易拆解。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DF0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1404CF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9C2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D31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沙漏</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6ED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232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391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可自制。 利用细沙、塑料瓶或玻璃瓶实现计量时间，可计量1 min、5 min或者 10min，计时误差＜10%。</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90E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F43A81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9509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064E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光能板互联黑板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9B2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6AF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val="en-US" w:eastAsia="zh-CN" w:bidi="ar"/>
              </w:rPr>
            </w:pPr>
            <w:r>
              <w:rPr>
                <w:rFonts w:hint="eastAsia" w:ascii="宋体" w:hAnsi="宋体" w:eastAsia="宋体" w:cs="宋体"/>
                <w:strike w:val="0"/>
                <w:color w:val="auto"/>
                <w:kern w:val="0"/>
                <w:sz w:val="21"/>
                <w:szCs w:val="21"/>
                <w:lang w:val="en-US" w:eastAsia="zh-CN"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BE5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一、硬件要求</w:t>
            </w:r>
          </w:p>
          <w:p w14:paraId="63717F4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1、触控一体机两侧各放置一块光能黑板。</w:t>
            </w:r>
            <w:r>
              <w:rPr>
                <w:rFonts w:hint="eastAsia" w:ascii="宋体" w:hAnsi="宋体" w:eastAsia="宋体" w:cs="宋体"/>
                <w:strike w:val="0"/>
                <w:color w:val="auto"/>
                <w:sz w:val="21"/>
                <w:szCs w:val="21"/>
              </w:rPr>
              <w:t>1100mm＜单块长度＜1200mm，高度≥1160（高）mm。</w:t>
            </w:r>
          </w:p>
          <w:p w14:paraId="615EF1D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2</w:t>
            </w:r>
            <w:r>
              <w:rPr>
                <w:rFonts w:hint="eastAsia" w:ascii="宋体" w:hAnsi="宋体" w:eastAsia="宋体" w:cs="宋体"/>
                <w:b w:val="0"/>
                <w:bCs w:val="0"/>
                <w:strike w:val="0"/>
                <w:color w:val="auto"/>
                <w:kern w:val="0"/>
                <w:sz w:val="21"/>
                <w:szCs w:val="21"/>
              </w:rPr>
              <w:t>、无需</w:t>
            </w:r>
            <w:r>
              <w:rPr>
                <w:rFonts w:hint="eastAsia" w:ascii="宋体" w:hAnsi="宋体" w:eastAsia="宋体" w:cs="宋体"/>
                <w:b w:val="0"/>
                <w:bCs w:val="0"/>
                <w:strike w:val="0"/>
                <w:color w:val="auto"/>
                <w:kern w:val="0"/>
                <w:sz w:val="21"/>
                <w:szCs w:val="21"/>
                <w:lang w:val="en-US" w:eastAsia="zh-CN"/>
              </w:rPr>
              <w:t>任何</w:t>
            </w:r>
            <w:r>
              <w:rPr>
                <w:rFonts w:hint="eastAsia" w:ascii="宋体" w:hAnsi="宋体" w:eastAsia="宋体" w:cs="宋体"/>
                <w:b w:val="0"/>
                <w:bCs w:val="0"/>
                <w:strike w:val="0"/>
                <w:color w:val="auto"/>
                <w:kern w:val="0"/>
                <w:sz w:val="21"/>
                <w:szCs w:val="21"/>
              </w:rPr>
              <w:t>耗材，</w:t>
            </w:r>
            <w:r>
              <w:rPr>
                <w:rFonts w:hint="eastAsia" w:ascii="宋体" w:hAnsi="宋体" w:eastAsia="宋体" w:cs="宋体"/>
                <w:b w:val="0"/>
                <w:bCs w:val="0"/>
                <w:strike w:val="0"/>
                <w:color w:val="auto"/>
                <w:kern w:val="0"/>
                <w:sz w:val="21"/>
                <w:szCs w:val="21"/>
                <w:lang w:val="en-US" w:eastAsia="zh-CN"/>
              </w:rPr>
              <w:t>硬度适中的物体</w:t>
            </w:r>
            <w:r>
              <w:rPr>
                <w:rFonts w:hint="eastAsia" w:ascii="宋体" w:hAnsi="宋体" w:eastAsia="宋体" w:cs="宋体"/>
                <w:b w:val="0"/>
                <w:bCs w:val="0"/>
                <w:strike w:val="0"/>
                <w:color w:val="auto"/>
                <w:kern w:val="0"/>
                <w:sz w:val="21"/>
                <w:szCs w:val="21"/>
              </w:rPr>
              <w:t>均可在板面进行书写，</w:t>
            </w:r>
            <w:r>
              <w:rPr>
                <w:rFonts w:hint="eastAsia" w:ascii="宋体" w:hAnsi="宋体" w:eastAsia="宋体" w:cs="宋体"/>
                <w:b w:val="0"/>
                <w:bCs w:val="0"/>
                <w:strike w:val="0"/>
                <w:color w:val="auto"/>
                <w:kern w:val="0"/>
                <w:sz w:val="21"/>
                <w:szCs w:val="21"/>
                <w:lang w:val="en-US" w:eastAsia="zh-CN"/>
              </w:rPr>
              <w:t>杜绝</w:t>
            </w:r>
            <w:r>
              <w:rPr>
                <w:rFonts w:hint="eastAsia" w:ascii="宋体" w:hAnsi="宋体" w:eastAsia="宋体" w:cs="宋体"/>
                <w:b w:val="0"/>
                <w:bCs w:val="0"/>
                <w:strike w:val="0"/>
                <w:color w:val="auto"/>
                <w:kern w:val="0"/>
                <w:sz w:val="21"/>
                <w:szCs w:val="21"/>
              </w:rPr>
              <w:t>粉笔</w:t>
            </w:r>
            <w:r>
              <w:rPr>
                <w:rFonts w:hint="eastAsia" w:ascii="宋体" w:hAnsi="宋体" w:eastAsia="宋体" w:cs="宋体"/>
                <w:b w:val="0"/>
                <w:bCs w:val="0"/>
                <w:strike w:val="0"/>
                <w:color w:val="auto"/>
                <w:kern w:val="0"/>
                <w:sz w:val="21"/>
                <w:szCs w:val="21"/>
                <w:lang w:val="en-US" w:eastAsia="zh-CN"/>
              </w:rPr>
              <w:t>灰</w:t>
            </w:r>
            <w:r>
              <w:rPr>
                <w:rFonts w:hint="eastAsia" w:ascii="宋体" w:hAnsi="宋体" w:eastAsia="宋体" w:cs="宋体"/>
                <w:b w:val="0"/>
                <w:bCs w:val="0"/>
                <w:strike w:val="0"/>
                <w:color w:val="auto"/>
                <w:kern w:val="0"/>
                <w:sz w:val="21"/>
                <w:szCs w:val="21"/>
              </w:rPr>
              <w:t>尘对师生</w:t>
            </w:r>
            <w:r>
              <w:rPr>
                <w:rFonts w:hint="eastAsia" w:ascii="宋体" w:hAnsi="宋体" w:eastAsia="宋体" w:cs="宋体"/>
                <w:b w:val="0"/>
                <w:bCs w:val="0"/>
                <w:strike w:val="0"/>
                <w:color w:val="auto"/>
                <w:kern w:val="0"/>
                <w:sz w:val="21"/>
                <w:szCs w:val="21"/>
                <w:lang w:val="en-US" w:eastAsia="zh-CN"/>
              </w:rPr>
              <w:t>的健康危害</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配有塑料笔，书写时在物理压力的作用下板面显示出清晰绿色的笔迹，高度模拟硬笔书写状态，笔锋效果明显。</w:t>
            </w:r>
            <w:r>
              <w:rPr>
                <w:rFonts w:hint="eastAsia" w:ascii="宋体" w:hAnsi="宋体" w:eastAsia="宋体" w:cs="宋体"/>
                <w:b w:val="0"/>
                <w:bCs w:val="0"/>
                <w:strike w:val="0"/>
                <w:color w:val="auto"/>
                <w:kern w:val="0"/>
                <w:sz w:val="21"/>
                <w:szCs w:val="21"/>
              </w:rPr>
              <w:t>书写压力为2N~3N，可擦次数不低于10万次。</w:t>
            </w:r>
          </w:p>
          <w:p w14:paraId="47939FD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3</w:t>
            </w:r>
            <w:r>
              <w:rPr>
                <w:rFonts w:hint="eastAsia" w:ascii="宋体" w:hAnsi="宋体" w:eastAsia="宋体" w:cs="宋体"/>
                <w:b w:val="0"/>
                <w:bCs w:val="0"/>
                <w:strike w:val="0"/>
                <w:color w:val="auto"/>
                <w:kern w:val="0"/>
                <w:sz w:val="21"/>
                <w:szCs w:val="21"/>
              </w:rPr>
              <w:t>、板面无频闪、无背光，上膜不应产生眩光。板书笔迹可视距离40米，可视角度≥150°，对比度≥150:1。光泽度不高于30光泽单位。</w:t>
            </w:r>
          </w:p>
          <w:p w14:paraId="06D81E3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highlight w:val="none"/>
              </w:rPr>
            </w:pPr>
            <w:r>
              <w:rPr>
                <w:rFonts w:hint="eastAsia" w:ascii="宋体" w:hAnsi="宋体" w:eastAsia="宋体" w:cs="宋体"/>
                <w:b w:val="0"/>
                <w:bCs w:val="0"/>
                <w:strike w:val="0"/>
                <w:color w:val="auto"/>
                <w:kern w:val="0"/>
                <w:sz w:val="21"/>
                <w:szCs w:val="21"/>
                <w:lang w:val="en-US" w:eastAsia="zh-CN"/>
              </w:rPr>
              <w:t>4</w:t>
            </w: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下边框配有一键清除按键，可一键擦除板面整体板书。</w:t>
            </w:r>
            <w:r>
              <w:rPr>
                <w:rFonts w:hint="eastAsia" w:ascii="宋体" w:hAnsi="宋体" w:eastAsia="宋体" w:cs="宋体"/>
                <w:b w:val="0"/>
                <w:bCs w:val="0"/>
                <w:strike w:val="0"/>
                <w:color w:val="auto"/>
                <w:kern w:val="0"/>
                <w:sz w:val="21"/>
                <w:szCs w:val="21"/>
              </w:rPr>
              <w:t>一键擦除时</w:t>
            </w:r>
            <w:r>
              <w:rPr>
                <w:rFonts w:hint="eastAsia" w:ascii="宋体" w:hAnsi="宋体" w:eastAsia="宋体" w:cs="宋体"/>
                <w:b w:val="0"/>
                <w:bCs w:val="0"/>
                <w:strike w:val="0"/>
                <w:color w:val="auto"/>
                <w:kern w:val="0"/>
                <w:sz w:val="21"/>
                <w:szCs w:val="21"/>
                <w:highlight w:val="none"/>
              </w:rPr>
              <w:t>间不大于1.5秒，擦除应无断点、无死角等，擦除后应无明显残留痕迹。</w:t>
            </w:r>
          </w:p>
          <w:p w14:paraId="5866E9E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highlight w:val="none"/>
                <w:lang w:bidi="ar"/>
              </w:rPr>
            </w:pPr>
            <w:r>
              <w:rPr>
                <w:rFonts w:hint="eastAsia" w:ascii="宋体" w:hAnsi="宋体" w:eastAsia="宋体" w:cs="宋体"/>
                <w:b w:val="0"/>
                <w:bCs w:val="0"/>
                <w:strike w:val="0"/>
                <w:color w:val="auto"/>
                <w:kern w:val="0"/>
                <w:sz w:val="21"/>
                <w:szCs w:val="21"/>
                <w:highlight w:val="none"/>
              </w:rPr>
              <w:t>★</w:t>
            </w:r>
            <w:r>
              <w:rPr>
                <w:rFonts w:hint="eastAsia" w:ascii="宋体" w:hAnsi="宋体" w:eastAsia="宋体" w:cs="宋体"/>
                <w:b w:val="0"/>
                <w:bCs w:val="0"/>
                <w:strike w:val="0"/>
                <w:color w:val="auto"/>
                <w:kern w:val="0"/>
                <w:sz w:val="21"/>
                <w:szCs w:val="21"/>
                <w:highlight w:val="none"/>
                <w:lang w:val="en-US" w:eastAsia="zh-CN"/>
              </w:rPr>
              <w:t>5</w:t>
            </w:r>
            <w:r>
              <w:rPr>
                <w:rFonts w:hint="eastAsia" w:ascii="宋体" w:hAnsi="宋体" w:eastAsia="宋体" w:cs="宋体"/>
                <w:b w:val="0"/>
                <w:bCs w:val="0"/>
                <w:strike w:val="0"/>
                <w:color w:val="auto"/>
                <w:kern w:val="0"/>
                <w:sz w:val="21"/>
                <w:szCs w:val="21"/>
                <w:highlight w:val="none"/>
              </w:rPr>
              <w:t>、为减少老师</w:t>
            </w:r>
            <w:r>
              <w:rPr>
                <w:rFonts w:hint="eastAsia" w:ascii="宋体" w:hAnsi="宋体" w:eastAsia="宋体" w:cs="宋体"/>
                <w:b w:val="0"/>
                <w:bCs w:val="0"/>
                <w:strike w:val="0"/>
                <w:color w:val="auto"/>
                <w:kern w:val="0"/>
                <w:sz w:val="21"/>
                <w:szCs w:val="21"/>
                <w:highlight w:val="none"/>
                <w:lang w:val="en-US" w:eastAsia="zh-CN"/>
              </w:rPr>
              <w:t>长时间</w:t>
            </w:r>
            <w:r>
              <w:rPr>
                <w:rFonts w:hint="eastAsia" w:ascii="宋体" w:hAnsi="宋体" w:eastAsia="宋体" w:cs="宋体"/>
                <w:b w:val="0"/>
                <w:bCs w:val="0"/>
                <w:strike w:val="0"/>
                <w:color w:val="auto"/>
                <w:kern w:val="0"/>
                <w:sz w:val="21"/>
                <w:szCs w:val="21"/>
                <w:highlight w:val="none"/>
              </w:rPr>
              <w:t>书写疲劳感，板面粗糙度Sa≤0.3um。可使用板擦和手势对板书进行局部擦除，局部擦除时间不大于0.4秒，擦除应无断点、无死角等，擦除后应无明显残留痕迹，非擦除区域不受影响。</w:t>
            </w:r>
            <w:r>
              <w:rPr>
                <w:rFonts w:hint="eastAsia" w:ascii="宋体" w:hAnsi="宋体" w:eastAsia="宋体" w:cs="宋体"/>
                <w:strike w:val="0"/>
                <w:color w:val="auto"/>
                <w:kern w:val="0"/>
                <w:sz w:val="21"/>
                <w:szCs w:val="21"/>
                <w:highlight w:val="none"/>
                <w:lang w:bidi="ar"/>
              </w:rPr>
              <w:t>（提供证明材料：包括但不限于厂家证明或功能截图</w:t>
            </w:r>
            <w:r>
              <w:rPr>
                <w:rFonts w:hint="eastAsia" w:ascii="宋体" w:hAnsi="宋体" w:cs="宋体"/>
                <w:i w:val="0"/>
                <w:iCs w:val="0"/>
                <w:strike w:val="0"/>
                <w:color w:val="auto"/>
                <w:kern w:val="0"/>
                <w:sz w:val="21"/>
                <w:szCs w:val="21"/>
                <w:u w:val="none"/>
                <w:lang w:val="en-US" w:eastAsia="zh-CN" w:bidi="ar"/>
              </w:rPr>
              <w:t>等证明材料</w:t>
            </w:r>
            <w:r>
              <w:rPr>
                <w:rFonts w:hint="eastAsia" w:ascii="宋体" w:hAnsi="宋体" w:eastAsia="宋体" w:cs="宋体"/>
                <w:strike w:val="0"/>
                <w:color w:val="auto"/>
                <w:kern w:val="0"/>
                <w:sz w:val="21"/>
                <w:szCs w:val="21"/>
                <w:highlight w:val="none"/>
                <w:lang w:bidi="ar"/>
              </w:rPr>
              <w:t>并加盖供应商公章）</w:t>
            </w:r>
          </w:p>
          <w:p w14:paraId="7978AB9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highlight w:val="none"/>
              </w:rPr>
            </w:pPr>
            <w:r>
              <w:rPr>
                <w:rFonts w:hint="eastAsia" w:ascii="宋体" w:hAnsi="宋体" w:eastAsia="宋体" w:cs="宋体"/>
                <w:b w:val="0"/>
                <w:bCs w:val="0"/>
                <w:strike w:val="0"/>
                <w:color w:val="auto"/>
                <w:kern w:val="0"/>
                <w:sz w:val="21"/>
                <w:szCs w:val="21"/>
                <w:highlight w:val="none"/>
              </w:rPr>
              <w:t>▲</w:t>
            </w:r>
            <w:r>
              <w:rPr>
                <w:rFonts w:hint="eastAsia" w:ascii="宋体" w:hAnsi="宋体" w:eastAsia="宋体" w:cs="宋体"/>
                <w:b w:val="0"/>
                <w:bCs w:val="0"/>
                <w:strike w:val="0"/>
                <w:color w:val="auto"/>
                <w:kern w:val="0"/>
                <w:sz w:val="21"/>
                <w:szCs w:val="21"/>
                <w:highlight w:val="none"/>
                <w:lang w:val="en-US" w:eastAsia="zh-CN"/>
              </w:rPr>
              <w:t>6</w:t>
            </w:r>
            <w:r>
              <w:rPr>
                <w:rFonts w:hint="eastAsia" w:ascii="宋体" w:hAnsi="宋体" w:eastAsia="宋体" w:cs="宋体"/>
                <w:b w:val="0"/>
                <w:bCs w:val="0"/>
                <w:strike w:val="0"/>
                <w:color w:val="auto"/>
                <w:kern w:val="0"/>
                <w:sz w:val="21"/>
                <w:szCs w:val="21"/>
                <w:highlight w:val="none"/>
              </w:rPr>
              <w:t>、最大工作电流（瞬间电流）不得超过1000mA。</w:t>
            </w:r>
          </w:p>
          <w:p w14:paraId="7B1E49E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rPr>
              <w:t>★</w:t>
            </w:r>
            <w:r>
              <w:rPr>
                <w:rFonts w:hint="eastAsia" w:ascii="宋体" w:hAnsi="宋体" w:eastAsia="宋体" w:cs="宋体"/>
                <w:b w:val="0"/>
                <w:bCs w:val="0"/>
                <w:strike w:val="0"/>
                <w:color w:val="auto"/>
                <w:kern w:val="0"/>
                <w:sz w:val="21"/>
                <w:szCs w:val="21"/>
                <w:lang w:val="en-US" w:eastAsia="zh-CN"/>
              </w:rPr>
              <w:t>7</w:t>
            </w:r>
            <w:r>
              <w:rPr>
                <w:rFonts w:hint="eastAsia" w:ascii="宋体" w:hAnsi="宋体" w:eastAsia="宋体" w:cs="宋体"/>
                <w:b w:val="0"/>
                <w:bCs w:val="0"/>
                <w:strike w:val="0"/>
                <w:color w:val="auto"/>
                <w:kern w:val="0"/>
                <w:sz w:val="21"/>
                <w:szCs w:val="21"/>
              </w:rPr>
              <w:t>、黑板表面具有</w:t>
            </w:r>
            <w:r>
              <w:rPr>
                <w:rFonts w:hint="eastAsia" w:ascii="宋体" w:hAnsi="宋体" w:eastAsia="宋体" w:cs="宋体"/>
                <w:b w:val="0"/>
                <w:bCs w:val="0"/>
                <w:strike w:val="0"/>
                <w:color w:val="auto"/>
                <w:kern w:val="0"/>
                <w:sz w:val="21"/>
                <w:szCs w:val="21"/>
                <w:lang w:val="en-US" w:eastAsia="zh-CN"/>
              </w:rPr>
              <w:t>经纬</w:t>
            </w:r>
            <w:r>
              <w:rPr>
                <w:rFonts w:hint="eastAsia" w:ascii="宋体" w:hAnsi="宋体" w:eastAsia="宋体" w:cs="宋体"/>
                <w:b w:val="0"/>
                <w:bCs w:val="0"/>
                <w:strike w:val="0"/>
                <w:color w:val="auto"/>
                <w:kern w:val="0"/>
                <w:sz w:val="21"/>
                <w:szCs w:val="21"/>
              </w:rPr>
              <w:t>暗格，用以提供给师生在书写板书时的直线参照，可避免板书歪斜。黑板表面可吸附磁贴、磁扣等教学工具，便于老师教学使用。</w:t>
            </w:r>
          </w:p>
          <w:p w14:paraId="4FDF985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b w:val="0"/>
                <w:bCs w:val="0"/>
                <w:strike w:val="0"/>
                <w:color w:val="auto"/>
                <w:kern w:val="0"/>
                <w:sz w:val="21"/>
                <w:szCs w:val="21"/>
              </w:rPr>
            </w:pPr>
            <w:r>
              <w:rPr>
                <w:rFonts w:hint="eastAsia" w:ascii="宋体" w:hAnsi="宋体" w:eastAsia="宋体" w:cs="宋体"/>
                <w:b w:val="0"/>
                <w:bCs w:val="0"/>
                <w:strike w:val="0"/>
                <w:color w:val="auto"/>
                <w:kern w:val="0"/>
                <w:sz w:val="21"/>
                <w:szCs w:val="21"/>
                <w:lang w:val="en-US" w:eastAsia="zh-CN"/>
              </w:rPr>
              <w:t>8</w:t>
            </w:r>
            <w:r>
              <w:rPr>
                <w:rFonts w:hint="eastAsia" w:ascii="宋体" w:hAnsi="宋体" w:eastAsia="宋体" w:cs="宋体"/>
                <w:b w:val="0"/>
                <w:bCs w:val="0"/>
                <w:strike w:val="0"/>
                <w:color w:val="auto"/>
                <w:kern w:val="0"/>
                <w:sz w:val="21"/>
                <w:szCs w:val="21"/>
              </w:rPr>
              <w:t>、黑板的功能接口应在产品后侧，安装后正面观察无明显外露</w:t>
            </w:r>
            <w:r>
              <w:rPr>
                <w:rFonts w:hint="eastAsia" w:ascii="宋体" w:hAnsi="宋体" w:eastAsia="宋体" w:cs="宋体"/>
                <w:b w:val="0"/>
                <w:bCs w:val="0"/>
                <w:strike w:val="0"/>
                <w:color w:val="auto"/>
                <w:kern w:val="0"/>
                <w:sz w:val="21"/>
                <w:szCs w:val="21"/>
                <w:lang w:eastAsia="zh-CN"/>
              </w:rPr>
              <w:t>。</w:t>
            </w:r>
            <w:r>
              <w:rPr>
                <w:rFonts w:hint="eastAsia" w:ascii="宋体" w:hAnsi="宋体" w:eastAsia="宋体" w:cs="宋体"/>
                <w:b w:val="0"/>
                <w:bCs w:val="0"/>
                <w:strike w:val="0"/>
                <w:color w:val="auto"/>
                <w:kern w:val="0"/>
                <w:sz w:val="21"/>
                <w:szCs w:val="21"/>
              </w:rPr>
              <w:t>为方便老师使用，应在下方预留接口，用于外接设备。</w:t>
            </w:r>
          </w:p>
          <w:p w14:paraId="4BB5F88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b w:val="0"/>
                <w:bCs w:val="0"/>
                <w:strike w:val="0"/>
                <w:color w:val="auto"/>
                <w:kern w:val="0"/>
                <w:sz w:val="21"/>
                <w:szCs w:val="21"/>
                <w:lang w:val="en-US" w:eastAsia="zh-CN"/>
              </w:rPr>
              <w:t>9</w:t>
            </w:r>
            <w:r>
              <w:rPr>
                <w:rFonts w:hint="eastAsia" w:ascii="宋体" w:hAnsi="宋体" w:eastAsia="宋体" w:cs="宋体"/>
                <w:b w:val="0"/>
                <w:bCs w:val="0"/>
                <w:strike w:val="0"/>
                <w:color w:val="auto"/>
                <w:kern w:val="0"/>
                <w:sz w:val="21"/>
                <w:szCs w:val="21"/>
              </w:rPr>
              <w:t>、黑板侧面</w:t>
            </w:r>
            <w:r>
              <w:rPr>
                <w:rFonts w:hint="eastAsia" w:ascii="宋体" w:hAnsi="宋体" w:eastAsia="宋体" w:cs="宋体"/>
                <w:b w:val="0"/>
                <w:bCs w:val="0"/>
                <w:strike w:val="0"/>
                <w:color w:val="auto"/>
                <w:kern w:val="0"/>
                <w:sz w:val="21"/>
                <w:szCs w:val="21"/>
                <w:lang w:val="en-US" w:eastAsia="zh-CN"/>
              </w:rPr>
              <w:t>配有</w:t>
            </w:r>
            <w:r>
              <w:rPr>
                <w:rFonts w:hint="eastAsia" w:ascii="宋体" w:hAnsi="宋体" w:eastAsia="宋体" w:cs="宋体"/>
                <w:b w:val="0"/>
                <w:bCs w:val="0"/>
                <w:strike w:val="0"/>
                <w:color w:val="auto"/>
                <w:kern w:val="0"/>
                <w:sz w:val="21"/>
                <w:szCs w:val="21"/>
              </w:rPr>
              <w:t>侧封板，用于遮挡黑板</w:t>
            </w:r>
            <w:r>
              <w:rPr>
                <w:rFonts w:hint="eastAsia" w:ascii="宋体" w:hAnsi="宋体" w:eastAsia="宋体" w:cs="宋体"/>
                <w:b w:val="0"/>
                <w:bCs w:val="0"/>
                <w:strike w:val="0"/>
                <w:color w:val="auto"/>
                <w:kern w:val="0"/>
                <w:sz w:val="21"/>
                <w:szCs w:val="21"/>
                <w:lang w:val="en-US" w:eastAsia="zh-CN"/>
              </w:rPr>
              <w:t>侧面</w:t>
            </w:r>
            <w:r>
              <w:rPr>
                <w:rFonts w:hint="eastAsia" w:ascii="宋体" w:hAnsi="宋体" w:eastAsia="宋体" w:cs="宋体"/>
                <w:b w:val="0"/>
                <w:bCs w:val="0"/>
                <w:strike w:val="0"/>
                <w:color w:val="auto"/>
                <w:kern w:val="0"/>
                <w:sz w:val="21"/>
                <w:szCs w:val="21"/>
              </w:rPr>
              <w:t>与墙面缝隙，</w:t>
            </w:r>
            <w:r>
              <w:rPr>
                <w:rFonts w:hint="eastAsia" w:ascii="宋体" w:hAnsi="宋体" w:eastAsia="宋体" w:cs="宋体"/>
                <w:b w:val="0"/>
                <w:bCs w:val="0"/>
                <w:strike w:val="0"/>
                <w:color w:val="auto"/>
                <w:kern w:val="0"/>
                <w:sz w:val="21"/>
                <w:szCs w:val="21"/>
                <w:lang w:val="en-US" w:eastAsia="zh-CN"/>
              </w:rPr>
              <w:t>活动安装后</w:t>
            </w:r>
            <w:r>
              <w:rPr>
                <w:rFonts w:hint="eastAsia" w:ascii="宋体" w:hAnsi="宋体" w:eastAsia="宋体" w:cs="宋体"/>
                <w:b w:val="0"/>
                <w:bCs w:val="0"/>
                <w:strike w:val="0"/>
                <w:color w:val="auto"/>
                <w:kern w:val="0"/>
                <w:sz w:val="21"/>
                <w:szCs w:val="21"/>
              </w:rPr>
              <w:t>能</w:t>
            </w:r>
            <w:r>
              <w:rPr>
                <w:rFonts w:hint="eastAsia" w:ascii="宋体" w:hAnsi="宋体" w:eastAsia="宋体" w:cs="宋体"/>
                <w:b w:val="0"/>
                <w:bCs w:val="0"/>
                <w:strike w:val="0"/>
                <w:color w:val="auto"/>
                <w:kern w:val="0"/>
                <w:sz w:val="21"/>
                <w:szCs w:val="21"/>
                <w:lang w:val="en-US" w:eastAsia="zh-CN"/>
              </w:rPr>
              <w:t>调节</w:t>
            </w:r>
            <w:r>
              <w:rPr>
                <w:rFonts w:hint="eastAsia" w:ascii="宋体" w:hAnsi="宋体" w:eastAsia="宋体" w:cs="宋体"/>
                <w:b w:val="0"/>
                <w:bCs w:val="0"/>
                <w:strike w:val="0"/>
                <w:color w:val="auto"/>
                <w:kern w:val="0"/>
                <w:sz w:val="21"/>
                <w:szCs w:val="21"/>
              </w:rPr>
              <w:t>与墙面的闭合距离。</w:t>
            </w:r>
          </w:p>
          <w:p w14:paraId="61A8E05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二、软件要求</w:t>
            </w:r>
          </w:p>
          <w:p w14:paraId="27C5837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lang w:eastAsia="zh-CN"/>
              </w:rPr>
            </w:pPr>
            <w:r>
              <w:rPr>
                <w:rFonts w:hint="eastAsia" w:ascii="宋体" w:hAnsi="宋体" w:eastAsia="宋体" w:cs="宋体"/>
                <w:strike w:val="0"/>
                <w:color w:val="auto"/>
                <w:kern w:val="0"/>
                <w:sz w:val="21"/>
                <w:szCs w:val="21"/>
              </w:rPr>
              <w:t>1、在光能黑板上的书写内容可同步显示在触控一体机上。</w:t>
            </w:r>
            <w:r>
              <w:rPr>
                <w:rFonts w:hint="eastAsia" w:ascii="宋体" w:hAnsi="宋体" w:eastAsia="宋体" w:cs="宋体"/>
                <w:strike w:val="0"/>
                <w:color w:val="auto"/>
                <w:kern w:val="0"/>
                <w:sz w:val="21"/>
                <w:szCs w:val="21"/>
                <w:lang w:val="en-US" w:eastAsia="zh-CN"/>
              </w:rPr>
              <w:t>同步显示时可</w:t>
            </w:r>
            <w:r>
              <w:rPr>
                <w:rFonts w:hint="eastAsia" w:ascii="宋体" w:hAnsi="宋体" w:eastAsia="宋体" w:cs="宋体"/>
                <w:strike w:val="0"/>
                <w:color w:val="auto"/>
                <w:kern w:val="0"/>
                <w:sz w:val="21"/>
                <w:szCs w:val="21"/>
              </w:rPr>
              <w:t>设置</w:t>
            </w:r>
            <w:r>
              <w:rPr>
                <w:rFonts w:hint="eastAsia" w:ascii="宋体" w:hAnsi="宋体" w:eastAsia="宋体" w:cs="宋体"/>
                <w:strike w:val="0"/>
                <w:color w:val="auto"/>
                <w:kern w:val="0"/>
                <w:sz w:val="21"/>
                <w:szCs w:val="21"/>
                <w:lang w:val="en-US" w:eastAsia="zh-CN"/>
              </w:rPr>
              <w:t>10种</w:t>
            </w:r>
            <w:r>
              <w:rPr>
                <w:rFonts w:hint="eastAsia" w:ascii="宋体" w:hAnsi="宋体" w:eastAsia="宋体" w:cs="宋体"/>
                <w:strike w:val="0"/>
                <w:color w:val="auto"/>
                <w:kern w:val="0"/>
                <w:sz w:val="21"/>
                <w:szCs w:val="21"/>
              </w:rPr>
              <w:t>不同的笔迹颜色，实现老师对于教学重点的标识及批注</w:t>
            </w:r>
            <w:r>
              <w:rPr>
                <w:rFonts w:hint="eastAsia" w:ascii="宋体" w:hAnsi="宋体" w:eastAsia="宋体" w:cs="宋体"/>
                <w:strike w:val="0"/>
                <w:color w:val="auto"/>
                <w:kern w:val="0"/>
                <w:sz w:val="21"/>
                <w:szCs w:val="21"/>
                <w:lang w:eastAsia="zh-CN"/>
              </w:rPr>
              <w:t>。</w:t>
            </w:r>
          </w:p>
          <w:p w14:paraId="29E1B79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2、为便于老师记忆和操作，板书界面与电脑桌面/PPT课件之间，可以</w:t>
            </w:r>
            <w:r>
              <w:rPr>
                <w:rFonts w:hint="eastAsia" w:ascii="宋体" w:hAnsi="宋体" w:eastAsia="宋体" w:cs="宋体"/>
                <w:strike w:val="0"/>
                <w:color w:val="auto"/>
                <w:kern w:val="0"/>
                <w:sz w:val="21"/>
                <w:szCs w:val="21"/>
                <w:lang w:val="en-US" w:eastAsia="zh-CN"/>
              </w:rPr>
              <w:t>一键</w:t>
            </w:r>
            <w:r>
              <w:rPr>
                <w:rFonts w:hint="eastAsia" w:ascii="宋体" w:hAnsi="宋体" w:eastAsia="宋体" w:cs="宋体"/>
                <w:strike w:val="0"/>
                <w:color w:val="auto"/>
                <w:kern w:val="0"/>
                <w:sz w:val="21"/>
                <w:szCs w:val="21"/>
              </w:rPr>
              <w:t>来回切换，方便快捷。</w:t>
            </w:r>
          </w:p>
          <w:p w14:paraId="3A7B7F4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3、光能黑板具有两种书写记录模式，支持单板书写时，单页面显示（此时只有一块黑板界面），也可以支持多板同时书写时，多页面同时显示；可以通过触摸快捷键，快速切换。</w:t>
            </w:r>
          </w:p>
          <w:p w14:paraId="4384532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4</w:t>
            </w:r>
            <w:r>
              <w:rPr>
                <w:rFonts w:hint="eastAsia" w:ascii="宋体" w:hAnsi="宋体" w:eastAsia="宋体" w:cs="宋体"/>
                <w:strike w:val="0"/>
                <w:color w:val="auto"/>
                <w:kern w:val="0"/>
                <w:sz w:val="21"/>
                <w:szCs w:val="21"/>
              </w:rPr>
              <w:t>、保存后的板书可以上下翻页，也可以通过触摸快捷键，快速预览所有已经存储的板书内容。</w:t>
            </w:r>
          </w:p>
          <w:p w14:paraId="5D1262F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5</w:t>
            </w:r>
            <w:r>
              <w:rPr>
                <w:rFonts w:hint="eastAsia" w:ascii="宋体" w:hAnsi="宋体" w:eastAsia="宋体" w:cs="宋体"/>
                <w:strike w:val="0"/>
                <w:color w:val="auto"/>
                <w:kern w:val="0"/>
                <w:sz w:val="21"/>
                <w:szCs w:val="21"/>
              </w:rPr>
              <w:t>、板书电子文档</w:t>
            </w:r>
            <w:r>
              <w:rPr>
                <w:rFonts w:hint="eastAsia" w:ascii="宋体" w:hAnsi="宋体" w:eastAsia="宋体" w:cs="宋体"/>
                <w:strike w:val="0"/>
                <w:color w:val="auto"/>
                <w:kern w:val="0"/>
                <w:sz w:val="21"/>
                <w:szCs w:val="21"/>
                <w:lang w:val="en-US" w:eastAsia="zh-CN"/>
              </w:rPr>
              <w:t>可</w:t>
            </w:r>
            <w:r>
              <w:rPr>
                <w:rFonts w:hint="eastAsia" w:ascii="宋体" w:hAnsi="宋体" w:eastAsia="宋体" w:cs="宋体"/>
                <w:strike w:val="0"/>
                <w:color w:val="auto"/>
                <w:kern w:val="0"/>
                <w:sz w:val="21"/>
                <w:szCs w:val="21"/>
              </w:rPr>
              <w:t>进行分享，可以存储在本地PC端，同时生成二维码，便于师生扫码获取。</w:t>
            </w:r>
          </w:p>
          <w:p w14:paraId="56E18365">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6</w:t>
            </w:r>
            <w:r>
              <w:rPr>
                <w:rFonts w:hint="eastAsia" w:ascii="宋体" w:hAnsi="宋体" w:eastAsia="宋体" w:cs="宋体"/>
                <w:strike w:val="0"/>
                <w:color w:val="auto"/>
                <w:kern w:val="0"/>
                <w:sz w:val="21"/>
                <w:szCs w:val="21"/>
              </w:rPr>
              <w:t>、可以对课堂的板书和讲解进行录制，生成视频文档，利于学生课后复习回放。</w:t>
            </w:r>
          </w:p>
          <w:p w14:paraId="2C2F615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7</w:t>
            </w:r>
            <w:r>
              <w:rPr>
                <w:rFonts w:hint="eastAsia" w:ascii="宋体" w:hAnsi="宋体" w:eastAsia="宋体" w:cs="宋体"/>
                <w:strike w:val="0"/>
                <w:color w:val="auto"/>
                <w:kern w:val="0"/>
                <w:sz w:val="21"/>
                <w:szCs w:val="21"/>
              </w:rPr>
              <w:t>、支持导入PPT课件，可以在同传软件上同时显示出PPT课件和板书的记录文本。</w:t>
            </w:r>
          </w:p>
          <w:p w14:paraId="57A9971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lang w:val="en-US" w:eastAsia="zh-CN"/>
              </w:rPr>
              <w:t>8</w:t>
            </w:r>
            <w:r>
              <w:rPr>
                <w:rFonts w:hint="eastAsia" w:ascii="宋体" w:hAnsi="宋体" w:eastAsia="宋体" w:cs="宋体"/>
                <w:strike w:val="0"/>
                <w:color w:val="auto"/>
                <w:kern w:val="0"/>
                <w:sz w:val="21"/>
                <w:szCs w:val="21"/>
              </w:rPr>
              <w:t>、具备打印功能，可连接打印机将保存的板书文档传输至打印机打印，方便灵活。</w:t>
            </w:r>
          </w:p>
          <w:p w14:paraId="3CA49612">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三、其他要求</w:t>
            </w:r>
          </w:p>
          <w:p w14:paraId="271FD38E">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1.</w:t>
            </w:r>
            <w:r>
              <w:rPr>
                <w:rFonts w:hint="eastAsia" w:ascii="宋体" w:hAnsi="宋体" w:eastAsia="宋体" w:cs="宋体"/>
                <w:strike w:val="0"/>
                <w:color w:val="auto"/>
                <w:kern w:val="0"/>
                <w:sz w:val="21"/>
                <w:szCs w:val="21"/>
                <w:lang w:val="en-US" w:eastAsia="zh-CN"/>
              </w:rPr>
              <w:t>为确保产品功能的真实性和有效性，在签订合同正式供货时，</w:t>
            </w:r>
            <w:r>
              <w:rPr>
                <w:rFonts w:hint="eastAsia" w:ascii="宋体" w:hAnsi="宋体" w:eastAsia="宋体" w:cs="宋体"/>
                <w:strike w:val="0"/>
                <w:color w:val="auto"/>
                <w:kern w:val="0"/>
                <w:sz w:val="21"/>
                <w:szCs w:val="21"/>
              </w:rPr>
              <w:t>采购人将根据投标文件对所提供本次采购产品一套预安装，对参数的真实性和实际效果进行逐条逐字</w:t>
            </w:r>
            <w:r>
              <w:rPr>
                <w:rFonts w:hint="eastAsia" w:ascii="宋体" w:hAnsi="宋体" w:eastAsia="宋体" w:cs="宋体"/>
                <w:strike w:val="0"/>
                <w:color w:val="auto"/>
                <w:kern w:val="0"/>
                <w:sz w:val="21"/>
                <w:szCs w:val="21"/>
                <w:lang w:val="en-US" w:eastAsia="zh-CN"/>
              </w:rPr>
              <w:t>的</w:t>
            </w:r>
            <w:r>
              <w:rPr>
                <w:rFonts w:hint="eastAsia" w:ascii="宋体" w:hAnsi="宋体" w:eastAsia="宋体" w:cs="宋体"/>
                <w:strike w:val="0"/>
                <w:color w:val="auto"/>
                <w:kern w:val="0"/>
                <w:sz w:val="21"/>
                <w:szCs w:val="21"/>
              </w:rPr>
              <w:t>功能验证，在检测测试过程中如发现有虚假应标行为的，采购人将</w:t>
            </w:r>
            <w:r>
              <w:rPr>
                <w:rFonts w:hint="eastAsia" w:ascii="宋体" w:hAnsi="宋体" w:eastAsia="宋体" w:cs="宋体"/>
                <w:strike w:val="0"/>
                <w:color w:val="auto"/>
                <w:kern w:val="0"/>
                <w:sz w:val="21"/>
                <w:szCs w:val="21"/>
                <w:lang w:val="en-US" w:eastAsia="zh-CN"/>
              </w:rPr>
              <w:t>不予通过</w:t>
            </w:r>
            <w:r>
              <w:rPr>
                <w:rFonts w:hint="eastAsia" w:ascii="宋体" w:hAnsi="宋体" w:eastAsia="宋体" w:cs="宋体"/>
                <w:strike w:val="0"/>
                <w:color w:val="auto"/>
                <w:kern w:val="0"/>
                <w:sz w:val="21"/>
                <w:szCs w:val="21"/>
              </w:rPr>
              <w:t>验收。</w:t>
            </w:r>
          </w:p>
          <w:p w14:paraId="71B41E0C">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kern w:val="0"/>
                <w:sz w:val="21"/>
                <w:szCs w:val="21"/>
              </w:rPr>
            </w:pPr>
            <w:r>
              <w:rPr>
                <w:rFonts w:hint="eastAsia" w:ascii="宋体" w:hAnsi="宋体" w:eastAsia="宋体" w:cs="宋体"/>
                <w:strike w:val="0"/>
                <w:color w:val="auto"/>
                <w:kern w:val="0"/>
                <w:sz w:val="21"/>
                <w:szCs w:val="21"/>
              </w:rPr>
              <w:t>2.为确保</w:t>
            </w:r>
            <w:r>
              <w:rPr>
                <w:rFonts w:hint="eastAsia" w:ascii="宋体" w:hAnsi="宋体" w:eastAsia="宋体" w:cs="宋体"/>
                <w:strike w:val="0"/>
                <w:color w:val="auto"/>
                <w:kern w:val="0"/>
                <w:sz w:val="21"/>
                <w:szCs w:val="21"/>
                <w:lang w:val="en-US" w:eastAsia="zh-CN"/>
              </w:rPr>
              <w:t>是</w:t>
            </w:r>
            <w:r>
              <w:rPr>
                <w:rFonts w:hint="eastAsia" w:ascii="宋体" w:hAnsi="宋体" w:eastAsia="宋体" w:cs="宋体"/>
                <w:strike w:val="0"/>
                <w:color w:val="auto"/>
                <w:kern w:val="0"/>
                <w:sz w:val="21"/>
                <w:szCs w:val="21"/>
              </w:rPr>
              <w:t>全新</w:t>
            </w:r>
            <w:r>
              <w:rPr>
                <w:rFonts w:hint="eastAsia" w:ascii="宋体" w:hAnsi="宋体" w:eastAsia="宋体" w:cs="宋体"/>
                <w:strike w:val="0"/>
                <w:color w:val="auto"/>
                <w:kern w:val="0"/>
                <w:sz w:val="21"/>
                <w:szCs w:val="21"/>
                <w:lang w:eastAsia="zh-CN"/>
              </w:rPr>
              <w:t>、</w:t>
            </w:r>
            <w:r>
              <w:rPr>
                <w:rFonts w:hint="eastAsia" w:ascii="宋体" w:hAnsi="宋体" w:eastAsia="宋体" w:cs="宋体"/>
                <w:strike w:val="0"/>
                <w:color w:val="auto"/>
                <w:kern w:val="0"/>
                <w:sz w:val="21"/>
                <w:szCs w:val="21"/>
                <w:lang w:val="en-US" w:eastAsia="zh-CN"/>
              </w:rPr>
              <w:t>合格的产品</w:t>
            </w:r>
            <w:r>
              <w:rPr>
                <w:rFonts w:hint="eastAsia" w:ascii="宋体" w:hAnsi="宋体" w:eastAsia="宋体" w:cs="宋体"/>
                <w:strike w:val="0"/>
                <w:color w:val="auto"/>
                <w:kern w:val="0"/>
                <w:sz w:val="21"/>
                <w:szCs w:val="21"/>
              </w:rPr>
              <w:t>，签订合同</w:t>
            </w:r>
            <w:r>
              <w:rPr>
                <w:rFonts w:hint="eastAsia" w:ascii="宋体" w:hAnsi="宋体" w:eastAsia="宋体" w:cs="宋体"/>
                <w:strike w:val="0"/>
                <w:color w:val="auto"/>
                <w:kern w:val="0"/>
                <w:sz w:val="21"/>
                <w:szCs w:val="21"/>
                <w:lang w:val="en-US" w:eastAsia="zh-CN"/>
              </w:rPr>
              <w:t>时需</w:t>
            </w:r>
            <w:r>
              <w:rPr>
                <w:rFonts w:hint="eastAsia" w:ascii="宋体" w:hAnsi="宋体" w:eastAsia="宋体" w:cs="宋体"/>
                <w:strike w:val="0"/>
                <w:color w:val="auto"/>
                <w:kern w:val="0"/>
                <w:sz w:val="21"/>
                <w:szCs w:val="21"/>
              </w:rPr>
              <w:t>提供</w:t>
            </w:r>
            <w:r>
              <w:rPr>
                <w:rFonts w:hint="eastAsia" w:ascii="宋体" w:hAnsi="宋体" w:eastAsia="宋体" w:cs="宋体"/>
                <w:strike w:val="0"/>
                <w:color w:val="auto"/>
                <w:kern w:val="0"/>
                <w:sz w:val="21"/>
                <w:szCs w:val="21"/>
                <w:lang w:val="en-US" w:eastAsia="zh-CN"/>
              </w:rPr>
              <w:t>有</w:t>
            </w:r>
            <w:r>
              <w:rPr>
                <w:rFonts w:hint="eastAsia" w:ascii="宋体" w:hAnsi="宋体" w:eastAsia="宋体" w:cs="宋体"/>
                <w:strike w:val="0"/>
                <w:color w:val="auto"/>
                <w:kern w:val="0"/>
                <w:sz w:val="21"/>
                <w:szCs w:val="21"/>
              </w:rPr>
              <w:t>厂家</w:t>
            </w:r>
            <w:r>
              <w:rPr>
                <w:rFonts w:hint="eastAsia" w:ascii="宋体" w:hAnsi="宋体" w:eastAsia="宋体" w:cs="宋体"/>
                <w:strike w:val="0"/>
                <w:color w:val="auto"/>
                <w:kern w:val="0"/>
                <w:sz w:val="21"/>
                <w:szCs w:val="21"/>
                <w:lang w:val="en-US" w:eastAsia="zh-CN"/>
              </w:rPr>
              <w:t>出具并盖章</w:t>
            </w:r>
            <w:r>
              <w:rPr>
                <w:rFonts w:hint="eastAsia" w:ascii="宋体" w:hAnsi="宋体" w:eastAsia="宋体" w:cs="宋体"/>
                <w:strike w:val="0"/>
                <w:color w:val="auto"/>
                <w:kern w:val="0"/>
                <w:sz w:val="21"/>
                <w:szCs w:val="21"/>
              </w:rPr>
              <w:t>的技术参数确认表、售后服务保证原件、供货证明原件，否则采购方将不予验收通过。</w:t>
            </w:r>
          </w:p>
          <w:p w14:paraId="5625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rPr>
                <w:rFonts w:hint="eastAsia" w:ascii="宋体" w:hAnsi="宋体" w:eastAsia="宋体" w:cs="宋体"/>
                <w:strike w:val="0"/>
                <w:color w:val="auto"/>
                <w:kern w:val="0"/>
                <w:sz w:val="21"/>
                <w:szCs w:val="21"/>
                <w:lang w:val="en-US" w:eastAsia="zh-CN" w:bidi="ar-SA"/>
              </w:rPr>
            </w:pPr>
            <w:r>
              <w:rPr>
                <w:rFonts w:hint="eastAsia" w:ascii="宋体" w:hAnsi="宋体" w:eastAsia="宋体" w:cs="宋体"/>
                <w:strike w:val="0"/>
                <w:color w:val="auto"/>
                <w:kern w:val="0"/>
                <w:sz w:val="21"/>
                <w:szCs w:val="21"/>
                <w:lang w:val="en-US" w:eastAsia="zh-CN" w:bidi="ar"/>
              </w:rPr>
              <w:t>3.所销售产品应有知识产权或经权利人合法授权，保证没有侵犯第三方知识产权等权利。构成侵权的，供货方需承担法律责任。</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98FF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87A87C7">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08B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（五）浦北县六硍镇寄宿制学校-实验室</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AC2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4A8D38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8E5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978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学生实验桌</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DA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2EB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57CF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学生实验台 ：铝木结构，一体化台面，设置桌斗，基本要求如下：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（1）台面尺寸对角1400mm*高760mm，6人座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（2）台面：12.7mm厚双面膜实芯理化板。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（3）台体框架：制作材料、连接要求等与教师演示台相同。</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（4）台体衬板：与教师演示台相同，桌斗应设置挂凳扣，挂凳板的外露截面采用1.5mm厚塑制优质封边条机械封边。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（5）桌脚：采用直径10mm的金属螺杆与ABS工程塑料一次注塑成型的脚垫，高度可调节。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93D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4D94C5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B1D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02A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教师演示台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7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7ED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4541E">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 cy="145415"/>
                  <wp:effectExtent l="0" t="0" r="15875" b="6985"/>
                  <wp:wrapNone/>
                  <wp:docPr id="2" name="Picture_1"/>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16"/>
                          <a:stretch>
                            <a:fillRect/>
                          </a:stretch>
                        </pic:blipFill>
                        <pic:spPr>
                          <a:xfrm>
                            <a:off x="0" y="0"/>
                            <a:ext cx="9525" cy="145415"/>
                          </a:xfrm>
                          <a:prstGeom prst="rect">
                            <a:avLst/>
                          </a:prstGeom>
                          <a:noFill/>
                          <a:ln>
                            <a:noFill/>
                          </a:ln>
                        </pic:spPr>
                      </pic:pic>
                    </a:graphicData>
                  </a:graphic>
                </wp:anchor>
              </w:drawing>
            </w:r>
            <w:r>
              <w:rPr>
                <w:rFonts w:hint="eastAsia" w:ascii="宋体" w:hAnsi="宋体" w:eastAsia="宋体" w:cs="宋体"/>
                <w:i w:val="0"/>
                <w:iCs w:val="0"/>
                <w:strike w:val="0"/>
                <w:color w:val="auto"/>
                <w:kern w:val="0"/>
                <w:sz w:val="21"/>
                <w:szCs w:val="21"/>
                <w:highlight w:val="none"/>
                <w:u w:val="none"/>
                <w:lang w:val="en-US" w:eastAsia="zh-CN" w:bidi="ar"/>
              </w:rPr>
              <w:t>铝木结构，一体化台面，设置抽屉、柜子，基本要求如下：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1、台面尺寸（长宽高）2400mm×700mm×850mm；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台面：采用13mm厚优抗板，且依据GB/T4893.1-2021《家具表面漆膜理化性能试验第1部分：耐冷液测定法》、JC/T908-2013《人造石》、GB/T3854-2017《增强塑料巴柯尔硬度试验方法》、GB/T32487-2016《塑料家具通用技术条件》、GB6566-2010《建筑材料放射性核素限量》、GB6675.4-2014《玩具安全第4部分：特定元素的迁移》、GB8624-2012《建筑材料及制品燃烧性能分级》满足如下参数要求：</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表面耐污染性能：耐污染性能不少于60项试验污染物的检测，且包含：丙酮、食盐溶液（10%溶液）、氢氧化钠（25%的溶液）、双氧水（30%的溶液）、硝酸银（1%的溶液）、硝酸（65%的溶液）、硫酸（98%的溶液）、柠檬酸（10%溶液）等试剂，覆盖玻璃盖板和未覆盖玻璃盖板检验结果≥5级</w:t>
            </w:r>
          </w:p>
          <w:p w14:paraId="664BF762">
            <w:pPr>
              <w:keepNext w:val="0"/>
              <w:keepLines w:val="0"/>
              <w:widowControl/>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2-2、密度：检验结果≥1.48g/cm³。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2-3、24h吸水率：检验结果≤0.4%。</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2-4、静曲强度：检验结果≥78.0MPa。</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2-5、弹性模量：检验结果≥11480MPa。</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2-6、尺寸稳定性：检验结果≤0.6%。</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2-7、耐高温性能：检验结果为试件表面无裂纹。</w:t>
            </w:r>
          </w:p>
          <w:p w14:paraId="7D0DA99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2-8、耐光色牢度：检验结果为4-5级。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2-9、表面耐水蒸气性能：检验结果为≥5级。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2-10、表面耐龟裂性能：检验结果为≥5级。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2-11、表面耐冷热循环性能：检验结果为无裂纹、鼓泡。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2-12、表面耐磨性能：检验结果为不低于700r。</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2-13、表面耐香烟灼烧性能：检验结果为5级。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2-14、抗冲击性能：检查结果为落球高度1000mm，压痕直径≤4.47mm，有轻微压痕。</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2-15、耐液性：检验结果为耐酸（10%乙酸溶液）1级，耐碱（10%碳酸钠溶液）1级。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2-16、巴氏硬度：实体面材：UPR类：检验结果≥73。</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2-17、含水率：检验结果≤0.7%。</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-18、①甲醛释放量：检验结果≤0.03mg/m³。②挥发性有机化合物：A、苯，检验结果为未检出（检出限不高于2μg/m³）或苯＜2μg/m³。B、甲苯，检验结果＜10μg/m³。C、二甲苯，检验结果为未检出（检出限不高于2μg/m³）或苯＜2μg/m³。D、总挥发性有机化合物，检验结果＜50μg/m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2-19、建筑材料放射性核素限量：检验结果为IRa＜0.1，Ir＜0.1。</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-20、玩具材料中可迁移元素的最大限量要求：其他玩具材料（除造型黏土和指画颜料）：A、锑，检验结果为未检出（检出限不高于0.1mg/kg）或检测结果小于0.1mg/kg。B、砷，检验结果为未检出（检出限不高于0.2mg/kg）或检测结果小于0.2mg/kg。C、钡，检验结果≤2.8mg/kg。D、镉，检验结果≤0.5mg/kg。E、铬，检验结果≤3mg/kg。F、铅，检验结果≤10mg/kg。G、汞，检验结果≤0.02mg/kg。H、硒，检验结果为未检出（检出限不高于0.2mg/kg）或检测结果小于0.2mg/kg。</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2-21、火焰横向蔓延未到达试样长翼边缘：检验结果为三组试样火焰横向蔓延均未到达试样长翼边缘。</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2-22、600s的总放热量（MJ）：三组试样检测结果均≤15  15  15。</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2-23、60s内焰尖高度：检验结果为三组试样在横、纵两个方向均满足：火焰均未传播至150mm刻度线。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2-24、60s内无燃烧滴落物引燃滤纸现象：检验结果为三组试样在横、纵两个方向均满足：燃烧滴落物均未引燃滤纸。</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2-25、燃烧性能等级：检验结果为B1（C）级。</w:t>
            </w:r>
            <w:r>
              <w:rPr>
                <w:rFonts w:hint="eastAsia" w:ascii="宋体" w:hAnsi="宋体" w:eastAsia="宋体" w:cs="宋体"/>
                <w:i w:val="0"/>
                <w:iCs w:val="0"/>
                <w:strike w:val="0"/>
                <w:d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台体框架：采用模具成型的专用铝合金型材制作，框架的立柱为45mm×45mm方管，框架的横梁为22mm×28mm方管，通过ABS或金属专用连接件组装而成，应保证组装接缝严密，连接牢固，无松动现象。铝合金型材的壁厚不小于1.0mm。铝合金型材应带凹槽，槽的宽度、深度应与所采用的柜体板材相匹配，接缝严密，无晃动现象。铝合金型材表面需经静电粉沫喷涂处理，整体耐腐蚀、防火、防潮、稳固耐用；</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4、台体衬板：用厚度为16mm±0.3mm，彩色和灰白色双面三聚氰胺板（即双饰面板）作为台体衬板，其内芯的基材为聚木屑纤维板，外漏截面采用1.5mm厚塑制优质封边条机械封边；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5、桌脚：采用直径不小于10mm的金属螺杆与ABS工程塑料一次注塑成型的脚垫，高度可调节，并可锁紧；</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6、柜门铰链：采用优质金属定位铰链，铰链的壁厚不小于1.0mm，安全、牢固、防腐、耐用。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5A0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bdr w:val="single" w:color="000000" w:sz="4" w:space="0"/>
                <w:shd w:val="clear" w:color="auto" w:fill="FFFFFF"/>
                <w:lang w:bidi="ar"/>
              </w:rPr>
            </w:pPr>
          </w:p>
        </w:tc>
      </w:tr>
      <w:tr w14:paraId="6C670A4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1D7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5F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EEB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2B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A11F6">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一、凳面：</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1、材质：采用环保型ABS改性塑料一次性注塑成型；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2、尺寸:直径300mm；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3、表面防滑不发光。</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二、脚钢架：</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1、材质及形状：椭圆形无缝钢管；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2、尺寸:20×40×1.2mm；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3、全圆满焊接完成，结构牢固，经高温粉体烤漆处理，长时间使用也不会产生表面烤漆剥落现象；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4、脚垫材质：采用PP加耐磨纤维质塑料，实心倒勾式一体射出成型；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5、凳面可通过旋转螺杆来升降凳子高度,可调高度5cm。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D5C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EA52D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C30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ED6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教师电源主控台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7EE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30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C5F7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l、漏电保护开关、工作指示灯选用国产优质产品，220V交流输出插座(六孔插座)取用国产优质产品；</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2、低压交流电源：2-24V可调(每档2V)，额定电流3A(短路、过载自动保护、自动复位)；</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3、直流稳压电源：1.5-18V连续可调，额定电流6A，18v—24v额定电流3A，(短路、过载自动保护、自动复位)；85系指针表显示；</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4、直流大电流输出：9V／40A；8秒自动断开；</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5、教师插座电源：220V交流，负载电流10A。五孔(或三孔两用)交流电源插座1个。设置在演示台的中间抽屉内；</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A:由教师控制学生实验台交流220V电源，每组由空气开关控制，共分四组，并配有漏电保护开关；</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B:由教师统一控制学生实验台低压电源，交流每档2V,共12档。直流可以在控制范围内微调。</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B63F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0DEC7E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D1A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2B44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学生电源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4A0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F68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E2A0E">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1、接受教师演示台送来的交流电源；</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2、学生电源低压交，直流可同时输出，设有自动过载保护功能，保护电路启动后，红色发光管点亮，工作指示灯熄灭（指示灯均为隐蔽式）。去掉负载电路恢复正常待机，不影响继续实验；</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3、高压电源：每台配备220V交流输出电源，电源全部由教师台控制。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84B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9C5686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21F8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30FF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实验室电气管线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22B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148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4F52">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1、铺设优质耐压PVC套管，主干电源线采用4mm²优质多芯铜质护套线，支干电源线采用2.5mm²优质多芯铜质护套线；</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2、所用电源线必须取得检测合格证，保证线路安全；</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3、此外，实验室电源布线系统应配备专用地线。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558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3F879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812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949C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实验水槽台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653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AB8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val="en-US" w:eastAsia="zh-CN"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4CE4D">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1、柜体规格:595×400×790mm；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2、榫卯连接结构并合理布局加强筋，安装时不用胶水粘结，使用产品自身力量相互连接，产品不变形，不扭曲，用M6螺丝固定；</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3、前门规格：510*365mm，主体壁厚不小于2mm背面设有厚2mm、高度不低于4.5mm的加强筋横6根竖6根；</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4、前门带内凹式塑料扣手，门与整体水柜不用铰链连接，直接采用内嵌式组装。柜子整体采用环保型ABS工程塑料注塑成型；</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5、水槽规格：595*380*300mm，水槽采用环保型PP材料一次性注塑成型，耐强酸碱&lt;80度有机溶剂并耐150度以下高温，壁厚3.5mm（含上水软管）；</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6、侧板规格：495*550*30mm，左右侧板一致、主体壁厚不小于2.5mm，背面设有厚2mm、高度不低于5.5mm的加强筋横4根竖4根。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2E2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3D0A2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9C6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FE73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三联水嘴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366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A53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79D18">
            <w:pPr>
              <w:keepNext w:val="0"/>
              <w:keepLines w:val="0"/>
              <w:widowControl/>
              <w:numPr>
                <w:ilvl w:val="0"/>
                <w:numId w:val="20"/>
              </w:numPr>
              <w:suppressLineNumbers w:val="0"/>
              <w:ind w:left="0" w:leftChars="0" w:firstLine="0" w:firstLineChars="0"/>
              <w:jc w:val="left"/>
              <w:textAlignment w:val="center"/>
              <w:rPr>
                <w:rFonts w:hint="eastAsia"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i w:val="0"/>
                <w:iCs w:val="0"/>
                <w:strike w:val="0"/>
                <w:color w:val="auto"/>
                <w:kern w:val="0"/>
                <w:sz w:val="21"/>
                <w:szCs w:val="21"/>
                <w:highlight w:val="none"/>
                <w:u w:val="none"/>
                <w:lang w:val="en-US" w:eastAsia="zh-CN" w:bidi="ar"/>
              </w:rPr>
              <w:t>鹅颈式实验室专用优质化验水嘴：要求防酸碱、防锈、防虹吸、防阻塞，表面环氧树脂喷涂；</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2、出水嘴为铜质瓷芯，高头，便于多用途使用，可拆卸清洗阻塞。出水嘴可拆卸，内有成型螺纹，可方便连接循环等特殊用水水管。</w:t>
            </w:r>
          </w:p>
          <w:p w14:paraId="2CB736FD">
            <w:pPr>
              <w:keepNext w:val="0"/>
              <w:keepLines w:val="0"/>
              <w:pageBreakBefore w:val="0"/>
              <w:widowControl/>
              <w:numPr>
                <w:ilvl w:val="0"/>
                <w:numId w:val="0"/>
              </w:numPr>
              <w:suppressLineNumbers w:val="0"/>
              <w:kinsoku/>
              <w:wordWrap/>
              <w:overflowPunct/>
              <w:topLinePunct w:val="0"/>
              <w:bidi w:val="0"/>
              <w:spacing w:line="440" w:lineRule="exact"/>
              <w:ind w:firstLine="0" w:firstLineChars="0"/>
              <w:jc w:val="left"/>
              <w:textAlignment w:val="center"/>
              <w:rPr>
                <w:rFonts w:hint="default" w:ascii="宋体" w:hAnsi="宋体" w:eastAsia="宋体" w:cs="宋体"/>
                <w:i w:val="0"/>
                <w:iCs w:val="0"/>
                <w:strike w:val="0"/>
                <w:color w:val="auto"/>
                <w:kern w:val="0"/>
                <w:sz w:val="21"/>
                <w:szCs w:val="21"/>
                <w:highlight w:val="none"/>
                <w:u w:val="none"/>
                <w:lang w:val="en-US" w:eastAsia="zh-CN" w:bidi="ar"/>
              </w:rPr>
            </w:pPr>
            <w:r>
              <w:rPr>
                <w:rFonts w:hint="eastAsia" w:ascii="宋体" w:hAnsi="宋体" w:eastAsia="宋体" w:cs="宋体"/>
                <w:strike w:val="0"/>
                <w:color w:val="auto"/>
                <w:sz w:val="21"/>
                <w:szCs w:val="21"/>
              </w:rPr>
              <w:t>★</w:t>
            </w:r>
            <w:r>
              <w:rPr>
                <w:rFonts w:hint="eastAsia" w:ascii="宋体" w:hAnsi="宋体" w:cs="宋体"/>
                <w:i w:val="0"/>
                <w:iCs w:val="0"/>
                <w:strike w:val="0"/>
                <w:color w:val="auto"/>
                <w:kern w:val="0"/>
                <w:sz w:val="21"/>
                <w:szCs w:val="21"/>
                <w:highlight w:val="none"/>
                <w:u w:val="none"/>
                <w:lang w:val="en-US" w:eastAsia="zh-CN" w:bidi="ar"/>
              </w:rPr>
              <w:t>3、</w:t>
            </w:r>
            <w:r>
              <w:rPr>
                <w:rFonts w:hint="eastAsia" w:ascii="宋体" w:hAnsi="宋体" w:cs="宋体"/>
                <w:color w:val="auto"/>
                <w:kern w:val="0"/>
                <w:highlight w:val="none"/>
                <w:lang w:val="en-US" w:eastAsia="zh-CN" w:bidi="ar"/>
              </w:rPr>
              <w:t>提供</w:t>
            </w:r>
            <w:r>
              <w:rPr>
                <w:rFonts w:hint="eastAsia" w:ascii="宋体" w:hAnsi="宋体" w:eastAsia="宋体" w:cs="宋体"/>
                <w:color w:val="auto"/>
                <w:kern w:val="0"/>
                <w:highlight w:val="none"/>
                <w:lang w:val="en-US" w:eastAsia="zh-CN" w:bidi="ar"/>
              </w:rPr>
              <w:t>国家确定的认证机构出具的、处于有效期之内的节能产品认证证书。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348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B22FE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AB6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EDD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实验室给排水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C4BE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C7AB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EF794">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1、每张实验台设置水阀开关一个。给水管采用优质PPR管，直径20mm；</w:t>
            </w:r>
            <w:r>
              <w:rPr>
                <w:rFonts w:hint="eastAsia" w:ascii="宋体" w:hAnsi="宋体" w:eastAsia="宋体" w:cs="宋体"/>
                <w:i w:val="0"/>
                <w:iCs w:val="0"/>
                <w:strike w:val="0"/>
                <w:color w:val="auto"/>
                <w:kern w:val="0"/>
                <w:sz w:val="21"/>
                <w:szCs w:val="21"/>
                <w:highlight w:val="none"/>
                <w:u w:val="none"/>
                <w:lang w:val="en-US" w:eastAsia="zh-CN"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2、排水管采用优质PVC耐蚀管，直径50mm。水槽下水管采用直径50mm优质PVC管。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3F7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F91CAA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B4A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9E8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系统集采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FC3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48B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3D789">
            <w:pPr>
              <w:keepNext w:val="0"/>
              <w:keepLines w:val="0"/>
              <w:widowControl/>
              <w:suppressLineNumbers w:val="0"/>
              <w:ind w:left="0" w:leftChars="0" w:firstLine="0" w:firstLineChars="0"/>
              <w:jc w:val="left"/>
              <w:textAlignment w:val="center"/>
              <w:rPr>
                <w:rFonts w:hint="eastAsia" w:ascii="宋体" w:hAnsi="宋体" w:eastAsia="宋体" w:cs="宋体"/>
                <w:strike w:val="0"/>
                <w:color w:val="auto"/>
                <w:sz w:val="21"/>
                <w:szCs w:val="21"/>
                <w:highlight w:val="none"/>
              </w:rPr>
            </w:pPr>
            <w:r>
              <w:rPr>
                <w:rFonts w:hint="eastAsia" w:ascii="宋体" w:hAnsi="宋体" w:eastAsia="宋体" w:cs="宋体"/>
                <w:i w:val="0"/>
                <w:iCs w:val="0"/>
                <w:strike w:val="0"/>
                <w:color w:val="auto"/>
                <w:kern w:val="0"/>
                <w:sz w:val="21"/>
                <w:szCs w:val="21"/>
                <w:highlight w:val="none"/>
                <w:u w:val="none"/>
                <w:lang w:val="en-US" w:eastAsia="zh-CN" w:bidi="ar"/>
              </w:rPr>
              <w:t>整室产品安装费用：包括教师演示台、学生实验桌、实验凳、电源总控台、学生电源等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D63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2F7062">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CE3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（六）浦北县六硍镇寄宿制学校-数学教学仪器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13F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4B1A110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2FF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78A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计算器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8D9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95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7B1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小学型计算器。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DCA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8AC77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8B9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070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4一6年级磁性教具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BFA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7D9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431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E76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CD01C1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13E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159A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百数表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E08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F5B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888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演示用；100cm×100cm，每行10个格，共10行；磁贴，可写可擦。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3E7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B8672A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9E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F1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点子图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48A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839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21D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演示用：磁贴，60mm×80mm,每行14个点子，12行。</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DFE8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6C915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46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588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钟表模型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EB58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3C1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A2F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演示用；三针，联动/非联动两用，12h/24h 表示，盘面直径应为 250mm一300mm，无透明钟面罩。</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876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15BC53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571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DE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651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503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0FF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专用型，全时段分辨力 0.01s；有防震、防水功能，电 池更换周期≥1.5 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222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10C98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ED7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5700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托盘天平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EAB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3E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9FF4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演示用，500g，0.5g。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CD1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FD0B60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959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F0D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简易天平</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98A3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790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30B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1.等臂双吊桶非自动天平，最大载荷 200g,分度值 1g，  </w:t>
            </w:r>
          </w:p>
          <w:p w14:paraId="0DFB91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2.槽码用金属制：10g 16 个，5g 8 个。</w:t>
            </w:r>
          </w:p>
          <w:p w14:paraId="1B50D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3.允许误差：应分别≤0.5g 和 0. 3g。</w:t>
            </w:r>
          </w:p>
          <w:p w14:paraId="182A8A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 xml:space="preserve">4.吊桶容积应为 200 mL,可称量液体。 </w:t>
            </w:r>
          </w:p>
          <w:p w14:paraId="60205D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5.吊桶应能自动调整方向，保持垂直与水平面。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017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E8B46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71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B1E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弹簧度盘秤</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A8C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1846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8D3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指针式，最大称量1kg，最小称量50g,分度值5g。</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1032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16125E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74E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36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杠杆平衡器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9B0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466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4C6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学生用；包含杠杆尺、支架及勾码1盒。</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05F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1CF7F2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877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62CE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几何图形片</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EBE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89F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1E6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包括正方形（100mm×100mm）、长方形（50mm×100mm）、直角三角形（直角边长50mm、100mm）、等边三角形（边长100mm）、等腰三角形（两腰长100mm）、平行四边形（底边200mm、高100mm）、直角梯形(底边长200mm、高100mm）、一般梯形（下底边长100mm）、圆形（直径100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C56F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9C07BE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57C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61B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几何形体模型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3F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100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F3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长方体（一般和特殊）、正方体、实心圆柱、空心圆柱、圆锥体（等底等高、等底不等高、等高不等底）、球等。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04F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20B721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023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135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七巧板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D16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D23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8B9B1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演示用；磁吸式，七种颜色，所组成的正方形 3≥400mm×400mm，厚≥4mm。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DB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8C22A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B62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214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七巧板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DCD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B88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1F19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学生用；七种颜色，所组成的正方形≥80mm×80mm, 厚≥1mm。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1BF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EB8707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0E8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7598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长正方体框架模型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A71C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E50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05D7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直径为2mm 的红、黄、蓝小棒各 16 根；红色小棒长150mm，黄色小棒长100mm，蓝色小棒长50mm；白色三通接口20个；透明收纳盒，用于收纳上述物品。</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CDA7C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41E429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0D1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AB8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角操作材料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E2B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B3F6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B477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可变换角的大小，两边长度可拉伸可收缩，可在60mm一100mm 范围内改变，宽度为7mm一10mm。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E46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CB6AA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25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F91A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钉板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893E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48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76DC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390mm×590mm，配有橡皮筋。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37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3E2748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A34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CBB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钉板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3C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CF7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3CD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学生用，塑料制，≥140mm×140mm，配有橡皮筋。</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692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298BB0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3E1E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299A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条形拼搭条</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2878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435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81EE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拼搭条的宽度为 8mm，长度和颜色分别为30mm（红色），40mm （黄色），50mm （蓝色），80mm （紫色），100mm （绿色），120mm  （橙色），各12条；拼搭条两端分别为公母扣，便于相互拼搭。</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EA9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E268E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CC5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8D6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直尺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57B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把</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052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E0EB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演示用；1m，最小分度值1mm，分别有米、分米、厘米、毫米四种单位，刻度清晰，宜采用工程塑料制。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2F7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DDCE27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DD42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676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F47E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5B9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noWrap w:val="0"/>
            <w:vAlign w:val="center"/>
          </w:tcPr>
          <w:p w14:paraId="0B46AA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软塑。规格：1500mm。软尺最小分度值为1cm，分度值之间有相应的数字，刻度线均匀、清晰，无形变。</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C3BE1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8F8A5D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52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75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610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068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478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演示用；工程塑料或木制，30°、60°直角三角尺和等腰直角三角尺各 1 个，带把手，60°角所对直角边和等腰三角尺的斜角边应有标尺，宜三边都有标尺；标尺长度应≥500mm,最小分度值应为 0.5cm,字体高度应≥10mm，标尺零位前不留空白。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7D6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71343D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115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926C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1E6B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105A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AD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演示用；工程塑料或木制，圆规两脚张开松紧应可调，一脚端部可夹普通粉笔或白板笔，另一脚端部能在黑板定位（宜采用橡胶摩擦定位）</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8479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286D5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E48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D48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量角器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EF9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2E3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A4F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1.演示用；塑料制，直角度分度线应为0°一180°和180°一0°双向标度，最小分度值应为1°,双向角度标度中间有划线槽；</w:t>
            </w:r>
          </w:p>
          <w:p w14:paraId="1DF934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2.在半圆的直径边应有直尺，直尺的最小分度值宜为1cm；</w:t>
            </w:r>
          </w:p>
          <w:p w14:paraId="3A1F81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3.半圆直径应为 500mm一510mm；厚≥8mm，半圆圆心定位孔的直应在0°一180°线（X 轴）上，在定位孔半圆圆周上应有一短线，标岀Y 轴的位置。</w:t>
            </w:r>
          </w:p>
          <w:p w14:paraId="178500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4.半圆孔直径应为10mm一12mm；手柄应安装在直尺与半圆定位孔之间。</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EEB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256A06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E90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63B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面积测量器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0E7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3CB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107D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非脆性的透明塑料板，面积测量部分≥100 mm×100mm,其中一面印刷边长为5mm的方格，每10mm处用粗线印刷，每5mm 处用细线印刷，粗线处标有数字。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BBA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53023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CC33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732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both"/>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探索几</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何图形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面积计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算公式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2A0C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4FF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3DB7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非脆性的透明塑料板，由1个边长30mm的正方形、1个边长 60mm×30mm 的长方形、1个底边边长 60mm、 高30mm的平行四边形，2个底边边长60mm、高30mm 的直角三角形、2个底边边长60mm、高30mm 的锐角三角形、2个底边边长 60 mm、高30mm的钝角三角形、2个上底20mm、下底40mm、高30mm的梯形组成。</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159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D4C52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FB1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DB7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both"/>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圆周率、</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圆面积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计算公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式推导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演示模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5AB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7DE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9DD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应由圆面积演示器和圆周率计算公式推导模型两部分组成；圆面积演示器直径 200mm，由 15 块 1/16扇形块和 2 块 1/32 扇形块组成，各扇形背面应附磁性塑料；圆周率计算公式推导演示模型应有底板、圆和刻度尺组成，圆直径 100 mm，刻度尺长340mm 并固定在底板上。</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9B7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94CC8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3F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7F1E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F16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D010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AA3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透明，圆柱形，2L,标度最小分度值应为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1B33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CB53CB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AFA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037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E16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1FDE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19B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透明，棱柱形，1.5L,标度最小分度值应为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D12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24853F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10D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E2E8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塑料量杯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D30D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0A4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240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透明，水杯形，1L,标度最小分度值应为 50mL,塑料量杯的容许误差应≤示值的 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E215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27CCE2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A7C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3DCA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体表面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积展开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40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CFF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8C6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演示用；长方体、正方体、圆柱体各一，三种不同颜色，长方体边长宜为 60 mm×120 mm×180 mm,正方体边长宜为 150mm,圆柱直径宜为 90mm、高宜为 150mm；几何形体外包有相应颜色的薄塑料制的表面积展开图形。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633D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F5327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375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3EE9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几何形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体表面</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积展开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模型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648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D0A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D81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学生用；长方体、正方体、圆柱体各一，三种不同颜色，长方体尺寸宜为 20mm×40mm×60mm,正方体尺寸宜为 50mm,圆柱直径宜为 30mm、高宜为50mm；几何形体外包有相应颜色的薄塑料制的表面积展开图形。</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B76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8E7CD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92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C02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立方厘米、立方分米模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型</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16C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EA3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D46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100mm×100mm×100mm 透明正方体容器1个，侧面显示刻度线， 内含四种规格立方体，规格数量如下：100mm×100mm×90mm白色长方体1个（表面有1平方厘米的格子线）100mm×90mm×10mm黄色长方体1个（表面有1平方厘米的格子线），90mm×  10mm×10mm黄色长方体 1个（表面有1平方厘米的格子线），10mm×10mm×10mm红色小正方体1个。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170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36C58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79B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6E35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探索几何形体体积计算公式材料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88B6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265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329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应由三部分组成，如下：长方体体积：由 18 个边长 10mm 的正方体和 1 个长方体容器构成，长方体内部尺寸 31mm×31mm×21mm；圆柱体体积： 由 2个颜色不同、截面为半圆的圆柱组成，每个半圆柱由截面为扇形的柱体构成，不少于 8 块；圆柱圆锥体积比： 由无色透明的圆柱形容器和圆锥形容器组成，圆柱和圆锥均高 100mm,直径 100mm,圆柱壁应有三等分的标度线。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043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A2A3798">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7CB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7BC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图形变换操作材料</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0E3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343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6D79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应有 2 个平行四边形（边长 30mm，高 20mm），2个正方形（边长 30mm）, 2 个三角形（底 30mm,高 20mm）和 2 个圆（直径 30mm）组成；彩色透明塑料制；用于平移、旋转、对称等内容。</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51F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B5CBEB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BF0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5589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演示用转盘</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3077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4BAA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D2A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1、由转盘和盘面可换的数字、色块、空白盘面组成，盘面直径≥400mm，更换盘面时应不需拆下指针，悬挂式，圆盘面应敷设磁性塑料；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2、可换盘面应采用铁片作材料，双面印有符号或颜色；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3、数字盘面应印有1～12；</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4、色块盘面应有三种不同的颜色，每种颜色四块；空白盘面一面应使用白色无光塑料，应可用白板笔书写。</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5、参照JY0001-2003《教学仪器设备产品的一般质量要求》标准，满足以下2项要求：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5-1、教学仪器设备产品的外观要造型美观、色彩协调、规整光洁。表面不应有明显的擦伤、划痕和碰撞的坑疤；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5-2、漆层附着牢固，不脱落，表面平整光滑、色调美观、薄厚均匀，不应有流疤、龟裂、皱皮、剥落和露底。美术漆层应花纹清楚，裂纹层不应露出底漆。且其检测结果均为与标准要求一致。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6、参照GB21027-2020《学生用品的安全通用要求》标准，可迁移元素mg/kg（锑、钡、铬、汞、砷、镉、铅、硒）其检测结果为涂层均未检出。</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CFA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16FB291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F2BD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867B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数字骰子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AB8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DD9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A61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≥12mm×12mm×12mm，每个侧面上有不同的数字，不少于3个。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5A2E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BFC313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EC1C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BB3F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空白骰子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2D7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BCA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AA2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≥12mm×12mm× 12mm,不少于2个，可用铅笔书写并 可擦除。</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6277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ED2EF1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69FD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16EA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塑料球</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734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A178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C76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五种颜色，每种颜色各10个，球径应≥20 mm，配不透明袋2个，袋口有伸、缩拉绳。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B17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A21E49">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D78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（七）浦北县六硍镇寄宿制学校-体育、音乐、美术教学仪器</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9D8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0DCF395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CB7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C18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录放音机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1A44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4EAD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8600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调频/中波/短波接收，交直流两用，超重低音，立体声，CD播放，带USB接口。输出功率≥10W*2。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CE37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F3A4A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1D05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E64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布卷尺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9A5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盒</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DA5A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D3EF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50m，仿皮外壳，苎麻布卷尺，防水，防腐蚀； 铜制卡扣和收放扣。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FEF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CE75E99">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042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2529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数字秒表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FCC0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567C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C1E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三排显示，60时段记忆功能（1/100秒精确计时）预置倒数计时，专设步频节拍器可显示最快、最慢、平均时间时间、日历、定时闹响（12/24小时制式转换）大容量锂电池，电池寿命1年,二种秒表功能模式。</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8A21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88075D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F14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151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爬绳和爬杆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CAC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783F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6FE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绳 2，杆 2，绳杆的握持直径 28mm~35mm,有效 使用宽度≥600mm,有效使用高度≤3500mm,爬杆 的下端若设置为非固定结构的悬空型式时，其下 端至运动地面的离地高度应为 200mm,且爬杆至 其垂直轴线的单向摆动幅度应不大于 8°。爬绳 和爬杆上端的连接部分应设置有防止绳杆断裂 的防护装置。</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72AD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CCB07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5F33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B95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肋木架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947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间</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CAC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F3C3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宜三柱二间，使用宽度≥800mm,最高使用高度 2200mm±100mm，横肋间距 250mm，握持直径  28mm~32mm，立柱为φ75mm 钢管，材质为普通 钢管，钢管经抛丸喷砂除锈，表面静电喷涂。</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7B02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A9FA79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703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DE6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平行梯</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41EF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架</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402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CC2A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 4000mm±500mm,有效使用宽度 600mm±   100mm,最高使用高度≤2100mm,悬垂握持直径 28mm~32mm,纵向握持间距≤300mm。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E0A0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971217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B3C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C39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625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A552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37BD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1.尺寸3000mm×2000mm×300mm，采用牛津布外皮；内胆为26#优质高弹海绵,经防静电处理,强力好,接缝处平整、均匀牢固、棱角平整、手把结实色泽均匀一致。表面层不得由对视觉由干扰的图像或标志。</w:t>
            </w:r>
          </w:p>
          <w:p w14:paraId="01E95D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2.可在长度方向对半折叠，两侧各有提手、便于移动，聚乙稀高泡海棉。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0FF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AD606F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A15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F37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跳高横杆</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F09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3118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DF1B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长3000mm~4000mm，直径25mm~30mm,质量不超过2000g,采用不宜折断的适宜材料制成，不应采用金属材料，除两端外，横截面应呈圆形，颜色醒目。横杆固定在立柱上，中心自然下垂应小于20mm。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739F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1EBEA4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6CD7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1A4A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助跳板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BF32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4380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03F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1.助跳板长1200mm，宽600mm,高150mm。</w:t>
            </w:r>
          </w:p>
          <w:p w14:paraId="10FD46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2.上盖表层应有柔性层和防滑层。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3.S型弹簧，材质坚硬而富有弹性，表面漆层均匀光洁，木材无裂缝，无疤痕，不变形并经脱脂干燥处理。</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4BB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BC5F67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83E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DA7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山羊</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F1D9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CEE5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1F64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升降600mm-800mm，五档调节，山羊头内用实木拼接，外包革面，尺寸：500mm×200mm×230mm±5mm。腿外管直径46mm，内管直径38mm，羊脚底椭圆面长泾76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5EB3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4D6F3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394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614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单杠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8B87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B33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00B7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杠面高度：1200mm~2000mm，两立柱支点中心距：2000mm~2400mm，横杠材料：弹簧钢，立柱材料：钢管。</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DBA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B371A2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EAF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2EF3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双杠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FD6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副</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3278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775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木制钢筋加固杠面或其他同等强度及性能的材 料，杠高 1000mm~1300mm，杠长 2700mm~    3000mm，两杠内侧距离 320mm~520mm，纵向立轴中心距 1800mm~2000mm，升降间距 50mm。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EE3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46E59C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96E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4E0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C93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685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F1D5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 长1200mm±5mm,宽 600mm±5mm,厚≥50mm。在长 度方向可对半折叠，两侧应各有提手，四周加装粘扣。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451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526A4E5">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374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DB1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大跳垫</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5F2E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F2E8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CA7F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采用泡沫塑料和泡沫乳胶，帆布或人造革外皮，长2000mm±5mm,宽 1000mm±5mm,厚≥100mm。在 长度方向可对半折叠，两侧应各有提手，四周加装粘扣。</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8D7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E2F0F4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E0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0D2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小学用篮球架</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584A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付</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7957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B07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篮圈高 2350mm±8mm (4~6 年级)。</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CA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CD79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9091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5E5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乒乓球台</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6C6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张</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02C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F32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1、台面尺寸规格：≥2740mm×1525mm,台高≥760mm，配置铁制球网高150mm，长1530mm，符合标准要求。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2、球台台面采用SMC材料，整体高温模压一次成型，球台台面四角为R型弧角，不能为直角，能有效防止运动员在使用中受到尖锐碰击。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3、台面翻边高度15mm。背面小方格内有对角加强筋，高3mm，宽5mm；台面与彩虹支腿连接处台面背面采用“井”字形用20mm×30mm的方管加固框连接。</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4、台面能承受500N静载荷要求和冲击球冲击要求，稳定性好，耐气候性强、耐老化程度高，防腐、防晒、防雨、阻燃、不易变形等，保证在户外使用8年内不变形、不开裂、不损坏。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5、底架采用彩虹腿设计结构，Φ60mm优质钢管，保证整体的稳定性；台腿外边距两端台边280mm，任何撑档离地大于230mm，保证使用者的运动安全。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6、球台网及网架防锈、防松、防损坏；焊接严密牢固、无漏焊、虚焊、包渣、裂纹等缺陷。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7、器材不允许有钩挂、卡夹等潜在危险，表面处理采用抛光工艺，除锈彻底，增大工件表面面积，增强塑粉附着力，外表面环保静电粉末。</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50A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4A5809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B4D1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F95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电子钢琴</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5BC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BA1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3DBB4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1.键盘：88键力度触感标准键盘，防尘推拉盖，</w:t>
            </w:r>
          </w:p>
          <w:p w14:paraId="6348DB8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显示：多功能LED数码显示数字键：0-9，+/-，等12个通用选择钮复3.音数：32音色：479种音色，包括128种GM标准PCM音色、19种民族音色、12组键盘打击乐音色（包括1组民族打击乐和1组效果音色）4.音色控制：延音，微调，力度效果：8种混响类型，混响深度调节，5.混响开关；8种合唱类型，合唱深度调节，合唱开关节奏：203种节奏风格，包括11种民族节奏伴奏控制：同步，启动/停止，前奏/尾奏，间奏，伴奏音量，伴奏速度键盘控制：正常，单指和弦，多指和弦，键盘分离示范曲：85首(含80首中、小学音乐教育学习歌曲)播放学习歌曲时可选择隐去旋律部分或伴奏部分进行演奏练习录音功能：录音、放音、断电保存记忆存储：4x4组面板设置存储接口：电源，耳机，踏板，线路输出，MIDI输出喇叭：YD120- 15： 10W *4Ω*2。</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17A2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45D4ACEA">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936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E58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音乐节拍器</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CE02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E3A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8F1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1.材料：注塑外壳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2.机芯：赛钢+金属；</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3.速度：40~208拍/分；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4.节奏类型：0、2、3、4、6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5.尺寸：约200*95*110MM；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6.特点：机械节能、操作简单、声音清脆凳。</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466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4B7F57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A57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F14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5E04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A4B0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710D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篆刻刀、印床、章料、印泥等。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1981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F0237C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AF1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E69E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电子绘画板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47A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1F9C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425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绘画区域不小于 92mm× 147mm,1024 级压感以上，无线无源，配备与教材相应的软件。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16AA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1CFFEF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7843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E10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绘图工具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E36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92C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62D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圆规，直尺，三角板，曲线板。</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DB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50FEC4F">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94E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5714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三角板</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B74DA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18C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C637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25cm；45°、60°各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1C5F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57ADB56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CB12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452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丁字尺</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7CE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ACD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100B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演示用,不小于 80cm。</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52D2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1112093">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2026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96C8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版画工具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A62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F2EE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7732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木刻刀 5 把、笔刀1把、笔刀片3件、电烙铁1把、木蘑托 1 只、胶滚1套（大中小各1件）、油石1件、刮刀2-3把、6B中华绘图铅笔2支。</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2B9D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3AF7A1A">
        <w:tblPrEx>
          <w:tblCellMar>
            <w:top w:w="0" w:type="dxa"/>
            <w:left w:w="108" w:type="dxa"/>
            <w:bottom w:w="0" w:type="dxa"/>
            <w:right w:w="108" w:type="dxa"/>
          </w:tblCellMar>
        </w:tblPrEx>
        <w:trPr>
          <w:trHeight w:val="277"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B8C9C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A7D4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制作工具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754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F915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E0E4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美工刀1把、剪刀2把、木刻刀12把、尖钻 1 把、篆刻刀 1 把、油石 1 块、改锥 2 把、多用锯 1 把、锯条 5 根、推刨 1 把、木锉 1 把、尖嘴钳 1 把、铁锤 1把、电烙铁 1 把、凿子 2 把、什锦锉 1 套、切割垫板1 块、三用圆规 1 件、订书器 1 个、壁纸刀 1 把、U型锯 1 把、线锯条 10 根、手摇钻 1 个、刨子 1 把、盒尺 1 个、角尺 1 把、砂纸 5 张、小台钳 1 台、钢丝钳 1 把、钢锉 1 把、钢板尺 1 把、金属剪 1 把、铁砧子 1 件。</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09B7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3BD51DB">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F2BC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4F89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民间美术欣赏及写生样本</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4754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9F95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34DB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中国结、京剧脸谱、扎染、蜡染、皮影、年画、木板年画、剪纸、面具、泥塑、玩具、风车、纹样、风筝、唐三彩、彩陶器、瓷器、壮锦、绣球等。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D731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3080F36">
        <w:tblPrEx>
          <w:tblCellMar>
            <w:top w:w="0" w:type="dxa"/>
            <w:left w:w="108" w:type="dxa"/>
            <w:bottom w:w="0" w:type="dxa"/>
            <w:right w:w="108" w:type="dxa"/>
          </w:tblCellMar>
        </w:tblPrEx>
        <w:trPr>
          <w:trHeight w:val="500" w:hRule="atLeast"/>
        </w:trPr>
        <w:tc>
          <w:tcPr>
            <w:tcW w:w="9059"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B3B6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sz w:val="21"/>
                <w:szCs w:val="21"/>
              </w:rPr>
            </w:pPr>
            <w:r>
              <w:rPr>
                <w:rFonts w:hint="eastAsia" w:ascii="宋体" w:hAnsi="宋体" w:eastAsia="宋体" w:cs="宋体"/>
                <w:b/>
                <w:bCs/>
                <w:strike w:val="0"/>
                <w:color w:val="auto"/>
                <w:kern w:val="0"/>
                <w:sz w:val="21"/>
                <w:szCs w:val="21"/>
                <w:lang w:bidi="ar"/>
              </w:rPr>
              <w:t>五、心理健康</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AFB0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bCs/>
                <w:strike w:val="0"/>
                <w:color w:val="auto"/>
                <w:kern w:val="0"/>
                <w:sz w:val="21"/>
                <w:szCs w:val="21"/>
                <w:lang w:bidi="ar"/>
              </w:rPr>
            </w:pPr>
          </w:p>
        </w:tc>
      </w:tr>
      <w:tr w14:paraId="7BD3AACD">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4394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E74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办公桌椅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DBC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544A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4D5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办公桌椅为简约现代风格，材质采用厚度为25mm环保板材，面板具有树脂保护膜，耐摩擦不褪色。办公桌规格：1200mm*600mm*750mm。配套人体工学网面办公椅1把，舒适柔软，回弹性好。</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048D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6E5F5D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FCA3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CB3F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心育自助服务系统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FC05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台</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E650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A8FB1">
            <w:pPr>
              <w:keepNext w:val="0"/>
              <w:keepLines w:val="0"/>
              <w:pageBreakBefore w:val="0"/>
              <w:widowControl/>
              <w:numPr>
                <w:ilvl w:val="0"/>
                <w:numId w:val="21"/>
              </w:numPr>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r>
              <w:rPr>
                <w:rFonts w:hint="eastAsia" w:ascii="宋体" w:hAnsi="宋体" w:eastAsia="宋体" w:cs="宋体"/>
                <w:strike w:val="0"/>
                <w:color w:val="auto"/>
                <w:kern w:val="0"/>
                <w:sz w:val="21"/>
                <w:szCs w:val="21"/>
                <w:lang w:bidi="ar"/>
              </w:rPr>
              <w:t>系统简介：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  心育自助服务系统是一款致力于帮助学生改善心理健康和增强心理适应能力的自助服务系统。提供了心理自助课堂、心理自助训练、运动放松调节等内容，通过视频的形式，帮助用户了解心理问题的本质和解决方法。系统提供多种心理自助训练，帮助用户提高自我认知和自我调节能力，以达到减轻心理压力和焦虑情绪的效果。心育自助服务系统是一款集学习、训练、调节、服务于一体的心理自助服务系统，旨在帮助用户提高心理健康和适应能力，同时提供在线预约和紧急援助等服务，帮助学生更好地应对学习和生活中碰到的问题。</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二、硬件参数：使用终端(22)，整机尺寸：≥长440*宽590*高1480mm；表面材质：前覆钢化玻璃机，铝合金氧化边框，五金后盖，圆角，安装方式：立式，边框颜色：白色+蓝色；</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三、用户注册登录：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3.1、支持密码登陆和人脸登陆进入系统；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3.2、支持可通过手机号验证码找回密码；</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四、软件系统功能：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系统主要分为心理自助课堂、心理自助训练、运动放松调节、互动训练、预约咨询、紧急援助、机构风采等不少于7个功能模块。</w:t>
            </w:r>
          </w:p>
          <w:p w14:paraId="206444B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4.1心理自助课堂：支持提供爱的化解、打败嫉妒、放下手机、合理拒绝、纠正偏科、科学自信等不少于6个主题类的课程教学视频。</w:t>
            </w:r>
          </w:p>
          <w:p w14:paraId="52D5E3B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4.2心理自助训练：提供爱的化解、打败嫉妒、放下手机、合理拒绝、纠正偏科、科学自信等不少于6个主题类的课程教学视频。</w:t>
            </w:r>
          </w:p>
          <w:p w14:paraId="5DC9005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highlight w:val="none"/>
                <w:lang w:bidi="ar"/>
              </w:rPr>
              <w:t>4.3运动放松调节：提供多种运动放松调节方式，如前后交叉小跳、原地慢跑、屈膝后侧拉伸等运动，通过身体活动来缓解压力、舒缓紧张情绪、提升心理健康的不少于4个课程教学视频。</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4.4互动训练：提供专注力训练、情绪主题、认知主题等不少于3个训练模块。</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4.4.1专注力训练：专注力训练至少提供黑桃A、圈数字、观察力训练、反应力训练、舒尔特方格等5个训练项目。</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4.4.2情绪主题：情绪主题提供情绪区分、情绪来源、情绪识别等不少于3个情绪训练项目，训练后提供情绪的识别、认知性情绪、条件性情绪等视频内容学习。</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4.4.2.1情绪主题训练包括：（你会区分积极情绪与消极情绪吗？你知道情绪有几种来源吗？你能从成语中识别常见的潜意识条件性情绪反应吗？）不少于3个训练内容，训练后可进行情绪识别、认知性情绪、和条件性情绪视频内容的学习。</w:t>
            </w:r>
          </w:p>
          <w:p w14:paraId="2E01DA6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highlight w:val="none"/>
                <w:lang w:bidi="ar"/>
              </w:rPr>
            </w:pPr>
            <w:r>
              <w:rPr>
                <w:rFonts w:hint="eastAsia" w:ascii="宋体" w:hAnsi="宋体" w:eastAsia="宋体" w:cs="宋体"/>
                <w:strike w:val="0"/>
                <w:color w:val="auto"/>
                <w:kern w:val="0"/>
                <w:sz w:val="21"/>
                <w:szCs w:val="21"/>
                <w:lang w:bidi="ar"/>
              </w:rPr>
              <w:t>4.4.3认知主题：认知主题提供被老师批评了、考试没有考好、调整情绪还是会焦虑等不少于3个认知训练项目，训练后提供知识与思维</w:t>
            </w:r>
            <w:r>
              <w:rPr>
                <w:rFonts w:hint="eastAsia" w:ascii="宋体" w:hAnsi="宋体" w:eastAsia="宋体" w:cs="宋体"/>
                <w:strike w:val="0"/>
                <w:color w:val="auto"/>
                <w:kern w:val="0"/>
                <w:sz w:val="21"/>
                <w:szCs w:val="21"/>
                <w:highlight w:val="none"/>
                <w:lang w:bidi="ar"/>
              </w:rPr>
              <w:t>、行为间的关系，情绪与思维关系的视频内容学习。</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4.4.3.1认知主题训练包括：（如果被老师批评了，心情不好时，你应该怎么想”？考试没有考好，你心情不好时，应该怎么想”？运用深呼吸、运动等方式来调整情绪，可是我有时还是会感到焦虑怎么办？）不少于3个训练内容，支持答题后给出对应的指导提示和视频内容学习。4.5预约咨询：支持心理老师在线预约咨询服务功能和设备在线预约功能。</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4.5.1支持用户在线预约心理老师，查看预约咨询信息，包括可预约的心理老师姓名、心理老师简介、具体时间等信息，用户根据需求选择相应咨询师进行预约时，须填写申请原因并选择心理老师咨询时段进行预约申请，同时可对预约信息进行取消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highlight w:val="none"/>
                <w:lang w:bidi="ar"/>
              </w:rPr>
              <w:t>4.5.2支持用户可查看预约心理设备信息，包括设备介绍、可预约时间等信息，用户根据需求选择心理设备进行预约，同时可对预约设备进行取消操作。</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i w:val="0"/>
                <w:iCs w:val="0"/>
                <w:strike w:val="0"/>
                <w:color w:val="auto"/>
                <w:kern w:val="0"/>
                <w:sz w:val="21"/>
                <w:szCs w:val="21"/>
                <w:highlight w:val="none"/>
                <w:u w:val="none"/>
                <w:lang w:val="en-US" w:eastAsia="zh-CN" w:bidi="ar"/>
              </w:rPr>
              <w:t>▲</w:t>
            </w:r>
            <w:r>
              <w:rPr>
                <w:rFonts w:hint="eastAsia" w:ascii="宋体" w:hAnsi="宋体" w:eastAsia="宋体" w:cs="宋体"/>
                <w:strike w:val="0"/>
                <w:color w:val="auto"/>
                <w:kern w:val="0"/>
                <w:sz w:val="21"/>
                <w:szCs w:val="21"/>
                <w:highlight w:val="none"/>
                <w:lang w:bidi="ar"/>
              </w:rPr>
              <w:t>4.6紧急援助：帮助用户在危急情况下迅速联系到紧急联系人。</w:t>
            </w:r>
          </w:p>
          <w:p w14:paraId="1D29EE7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4.7数据对接功能：支持与心理云平台实现用户数据对接，可通过心理云平台入口为自助服务系统实现用户信息的录入、保存、删除、报告等管理功能。训练者完成不同的训练模块会得到不同数据报告，其中报告分为训练数据，训练详</w:t>
            </w:r>
            <w:r>
              <w:rPr>
                <w:rFonts w:hint="eastAsia" w:ascii="宋体" w:hAnsi="宋体" w:eastAsia="宋体" w:cs="宋体"/>
                <w:strike w:val="0"/>
                <w:color w:val="auto"/>
                <w:kern w:val="0"/>
                <w:sz w:val="21"/>
                <w:szCs w:val="21"/>
                <w:lang w:bidi="ar"/>
              </w:rPr>
              <w:t>情、训练表现、报告总结等模块，后台可支持导出报告或删除报告。</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4.8动态屏保：支持可控制设备屏幕保护功能的开启和关闭功能。</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4.9个人信息管理：支持可记录头像、昵称、性别、年龄、出生年月、学校、年级和班级信息。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5.1机构风采：支持以文字、图片、视频等形式展示机构整体形象、文化特点和教育品质作品等。</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A56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textAlignment w:val="center"/>
              <w:rPr>
                <w:rFonts w:hint="eastAsia" w:ascii="宋体" w:hAnsi="宋体" w:eastAsia="宋体" w:cs="宋体"/>
                <w:strike w:val="0"/>
                <w:color w:val="auto"/>
                <w:kern w:val="0"/>
                <w:sz w:val="21"/>
                <w:szCs w:val="21"/>
                <w:lang w:bidi="ar"/>
              </w:rPr>
            </w:pPr>
          </w:p>
        </w:tc>
      </w:tr>
      <w:tr w14:paraId="284F101E">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E99C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C8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无声挂钟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FAC61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个</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26B6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77EF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控制咨询时间，尺寸: ≥12英寸；机芯：静音机芯；</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材质：金属、玻璃。</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1946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70517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A801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4</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7657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心理教辅工具</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9205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本</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E030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50</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F164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 xml:space="preserve">⑴适合于学生阅读的心理学、教育学图书和杂志；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 xml:space="preserve">⑵适合于心理教师阅读的比较专业的心理学、教育学图书和杂志；                                                     </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⑶适合于一般教师阅读的通俗的心理学、教育学图书和杂志。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CB9295">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CABE2E2">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67E3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5</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5DEA0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7745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68F4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41B4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内芯材质: 高清相纸；装裱方式: 黑色铝合金边框，环保透明面板；风格: 简约现代；工艺: 喷绘；风格: 工艺: 喷绘；组合形式: 独立；图片形式: 平面；可免拆边框更换内芯。含框尺寸: ≥440*570mm（±3mm）。（办公接待室管理制度，个体辅导室管理制度，沙盘游戏室管理制度，团体活动室管理制度，心理辅导人员工作守则，音乐放松室管理制度。）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D391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079C58E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3D1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6</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3039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沙发+茶几</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9F4E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2FC80">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E052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2个单人位，实木框架。布艺沙发，实木框架，采用海绵填充。茶几：圆形玻璃茶几或者木质茶几。</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9B4C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7FAE21A1">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1225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7</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35F61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制度挂图</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2EF1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幅</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1678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32E3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内芯材质: 高清相纸；装裱方式: 黑色铝合金边框，环保透明面板；风格: 简约现代；工艺: 喷绘；风格: 工艺: 喷绘；组合形式: 独立；图片形式: 平面；可免拆边框更换内芯。含框尺寸: ≥440*570mm（±3mm）。（办公接待室管理制度，个体辅导室管理制度，沙盘游戏室管理制度，团体活动室管理制度，心理辅导人员工作守则，音乐放松室管理制度。）</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4765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42CD626">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B47E1">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8</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2CF7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专业版实木心理沙盘</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19F0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0915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0589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cs="宋体"/>
                <w:strike w:val="0"/>
                <w:color w:val="auto"/>
                <w:kern w:val="0"/>
                <w:sz w:val="21"/>
                <w:szCs w:val="21"/>
                <w:lang w:val="en-US" w:eastAsia="zh-CN" w:bidi="ar"/>
              </w:rPr>
              <w:t>1、</w:t>
            </w:r>
            <w:r>
              <w:rPr>
                <w:rFonts w:hint="eastAsia" w:ascii="宋体" w:hAnsi="宋体" w:eastAsia="宋体" w:cs="宋体"/>
                <w:strike w:val="0"/>
                <w:color w:val="auto"/>
                <w:kern w:val="0"/>
                <w:sz w:val="21"/>
                <w:szCs w:val="21"/>
                <w:lang w:bidi="ar"/>
              </w:rPr>
              <w:t xml:space="preserve">1个个体实木心理沙盘，使用尺寸：≥长 720mm×宽 570mm×深70mm，边框厚度≥15mm，沙盘含架子整体高度≥750mm。专用三底两面环保漆；内侧底与边框、底部为蓝色，外部为实木色，表面光滑不伤手、防水、耐磨不掉色。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2</w:t>
            </w:r>
            <w:r>
              <w:rPr>
                <w:rFonts w:hint="eastAsia" w:ascii="宋体" w:hAnsi="宋体" w:eastAsia="宋体" w:cs="宋体"/>
                <w:strike w:val="0"/>
                <w:color w:val="auto"/>
                <w:kern w:val="0"/>
                <w:sz w:val="21"/>
                <w:szCs w:val="21"/>
                <w:lang w:bidi="ar"/>
              </w:rPr>
              <w:t xml:space="preserve">、1个团体实木沙盘，使用尺寸≥ 1150mm×宽 720mm×深70mm，边框厚度≥15mm，沙盘含架子整体高度≥750mm。专用三底两面环保漆；底部为蓝色，外部为实木色，表面光滑不伤手、防水、耐磨不掉色。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3</w:t>
            </w:r>
            <w:r>
              <w:rPr>
                <w:rFonts w:hint="eastAsia" w:ascii="宋体" w:hAnsi="宋体" w:eastAsia="宋体" w:cs="宋体"/>
                <w:strike w:val="0"/>
                <w:color w:val="auto"/>
                <w:kern w:val="0"/>
                <w:sz w:val="21"/>
                <w:szCs w:val="21"/>
                <w:lang w:bidi="ar"/>
              </w:rPr>
              <w:t xml:space="preserve">、3个实木沙具柜，沙具柜规格：≥1500mm×300mm×980mm，柜体采用5层8阶设计，既美观又便于分类摆放选取沙具。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4</w:t>
            </w:r>
            <w:r>
              <w:rPr>
                <w:rFonts w:hint="eastAsia" w:ascii="宋体" w:hAnsi="宋体" w:eastAsia="宋体" w:cs="宋体"/>
                <w:strike w:val="0"/>
                <w:color w:val="auto"/>
                <w:kern w:val="0"/>
                <w:sz w:val="21"/>
                <w:szCs w:val="21"/>
                <w:lang w:bidi="ar"/>
              </w:rPr>
              <w:t>、2000个沙具种类：18 大类（宗教类、风车、灯塔等标志类、公共标识类、交通工具类、公共建筑类、桥栅栏类、日月等自然物类、贝壳山石类、现实中人物类、空想人物类虚拟人物、恐龙怪兽类、家具、日用品类、水生动物、野生动物类、家禽家畜类、草坪类、植物类、军队类）。</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5</w:t>
            </w:r>
            <w:r>
              <w:rPr>
                <w:rFonts w:hint="eastAsia" w:ascii="宋体" w:hAnsi="宋体" w:eastAsia="宋体" w:cs="宋体"/>
                <w:strike w:val="0"/>
                <w:color w:val="auto"/>
                <w:kern w:val="0"/>
                <w:sz w:val="21"/>
                <w:szCs w:val="21"/>
                <w:lang w:bidi="ar"/>
              </w:rPr>
              <w:t>、沙盘游戏书籍1本。</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6</w:t>
            </w:r>
            <w:r>
              <w:rPr>
                <w:rFonts w:hint="eastAsia" w:ascii="宋体" w:hAnsi="宋体" w:eastAsia="宋体" w:cs="宋体"/>
                <w:strike w:val="0"/>
                <w:color w:val="auto"/>
                <w:kern w:val="0"/>
                <w:sz w:val="21"/>
                <w:szCs w:val="21"/>
                <w:lang w:bidi="ar"/>
              </w:rPr>
              <w:t xml:space="preserve">、精选原色水洗砂30公斤，颗粒光滑、大小均匀、高温消毒。          </w:t>
            </w:r>
            <w:r>
              <w:rPr>
                <w:rFonts w:hint="eastAsia" w:ascii="宋体" w:hAnsi="宋体" w:eastAsia="宋体" w:cs="宋体"/>
                <w:strike w:val="0"/>
                <w:color w:val="auto"/>
                <w:kern w:val="0"/>
                <w:sz w:val="21"/>
                <w:szCs w:val="21"/>
                <w:lang w:bidi="ar"/>
              </w:rPr>
              <w:br w:type="textWrapping"/>
            </w:r>
            <w:r>
              <w:rPr>
                <w:rFonts w:hint="eastAsia" w:ascii="宋体" w:hAnsi="宋体" w:cs="宋体"/>
                <w:strike w:val="0"/>
                <w:color w:val="auto"/>
                <w:kern w:val="0"/>
                <w:sz w:val="21"/>
                <w:szCs w:val="21"/>
                <w:lang w:val="en-US" w:eastAsia="zh-CN" w:bidi="ar"/>
              </w:rPr>
              <w:t>7</w:t>
            </w:r>
            <w:r>
              <w:rPr>
                <w:rFonts w:hint="eastAsia" w:ascii="宋体" w:hAnsi="宋体" w:eastAsia="宋体" w:cs="宋体"/>
                <w:strike w:val="0"/>
                <w:color w:val="auto"/>
                <w:kern w:val="0"/>
                <w:sz w:val="21"/>
                <w:szCs w:val="21"/>
                <w:lang w:bidi="ar"/>
              </w:rPr>
              <w:t>、沙具选取框1套 （沙具选取框3个，清理刷3个）。</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A77D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35316844">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1A4A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92A6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标准型音乐放松椅</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C6E7B">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1D2D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9E58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尺寸：≥780mm（长）*880mm（宽）*1000mm(高）(椅背收起)</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≥1580mm（长）*880mm（宽）*830mm(高）（椅背展开）</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产品净重：45KG  最大承载量：100KG；电源：220V（50Hz）</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产品系统组成：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1、独立电动控制系统：音乐椅靠背、腿部电动控制设计，靠背约100度-170度，腿部约90度-170度任意调节。</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2、使用终端(10)，外形尺寸：L240mm*W155mm*H8mm；设备自身集成摄录像、蓝牙、扩展口、互联网等功能。运行速度流畅，多点式触摸，使用方便，携带方便，视觉体验出众。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音乐放松管理系统简介：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音乐放松管理系统是一款集心理影音、心理训练和心理助手等功能于一身的综合性系统。它不仅提供了丰富多样的心理音乐、心理图片和心理电影资源，还能帮助你学习心理学知识、放松身心和提高专注力。使用这个系统，可以有效的改善用户的心理健康状况。</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4、系统主要分为心理影音、心理训练、放松助手、个人中心四大模块。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-1心理影音包括大量心理图片，其中包括：风景放松图、光学错觉图、几何错觉图，视觉动态图，心理错觉图；心理电影及讲座；心理百科内含心理放松图片，通过卡通漫画配以文字介绍，通俗易懂，简单直观地让用户了解日常释压食物及放松方法，从而达到快速排解心理压力，其中图片包括体育运动类、心理放松疗法、心理减压组合餐推荐，释压的水果、花草及茶点，多种肢体放松行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10大心理音乐，包括：</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（1）改善失眠、促进睡眠 ：脑波音乐、深度睡眠音乐，放松音乐等；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（2）消除寂寞、减少失落感 ：心灵音乐馆之-谣風、池清凉、唱遍山月、春芽等；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（3）消除悲伤、抚慰心灵：α脑波音乐；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（4）消除愤怒、消除心灵淤塞:纯音乐之-你的笑颜、夕阳箫鼓、小霓裳等；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（5）消除浮躁、促进内心平静：大自然背景声（小桥流水、鸟语花香、荷塘月色、寂静山林等）；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（6）消除紧张、焦虑：自信训练。（减压音乐等）；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（7）消除自卑、提升自信：（冥想合放松音乐）；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（8）缓解身心疲劳：（天韵五行音乐等）；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（9）接触忧郁、情绪：（嘎达梅林、假日海滩、云水禅心等）；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（10）陶冶心情、醒脑提神：（旺盛的自愈力、自律与决心、释放压力、内在调和等）。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-2心理训练包括三大真人放松训练、专注度训练、社交投射训练（共分为爱心、鼓励、问候、笑脸、谢谢5大类别，由不少于20个学生运用语言、行为传递积极向上的正能量，从而潜移默化达到提升用户社交能力、增强自我自信品质效果）；趣味测试内不少于10个趣味量表测试，通过趣味诙谐的语言和正面肯定的模式让用户增进用户自我自信心。</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-3放松助手包括呼吸助手与睡眠训练助手，呼吸助手按舒缓、稍快两种训练模式，通过动画将语音提示形象展现，用户根据语音提示的节奏进行模仿训练，可有效地缓解压力，预防心肺问题，适合所有人群，尤指运动极少，轻度焦虑者；睡眠训练助手内置36种场景音乐，8种不同播放时长选择，用户可根据需求选择相应的场景音乐及播放时长进行想象放松，缓解躯体紧张，帮助大脑放松。</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3-4个人中心：管理员可查看用户信息、用户记录可查看用户的报告时间及报告类型。</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配置组成：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1、音乐放松椅1台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2、音乐放松管理系统1套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3、支架1套</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4、遮光眼罩2个</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5、音乐导论1本</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8FEEF">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5346A17">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AE6E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10</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D1FCE">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标准版团体辅导箱</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20D1A">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CEEA7">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41C0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团体辅导箱1个，尺寸：≥长 500mm*宽 450mm*高 250mm；各类型的活动器材几百件，适合30－50个人同时使用，适用于公司、社区、企事业单位、学校、监狱、部队等所有进行团体活动的部门。活动主题：自我探索，亲情联接，人际互动，团体熔炼，学会学习，潜能开发，领导管理，开拓创新，价值选择，社会责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1、自我探索：成长五部曲、心灵之舞、我的“角落”、左右脚、20个“自我”、自画像、背上留言、生命线、盲人与“拐杖”求生抉择。</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2、亲情联接：家庭大事记、找变化、清扫亲情“垃圾”、给......的一封信、My Birthday party、父母亲的剪影、感恩父母、原生家庭、再选你的父母、我的家庭树。</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3、人际互动：身体认字、说句奉承话、快枪手、爱在指尖、你说我画、心有千千结、巧过地雷阵、朋友大拍卖、最少的脚、多元排队。</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4、团队熔炼：背背佳、七手八脚、食指神功、气球桥梁、啄木鸟行动、创意搭档、风中奇遇、横渡硫酸河、信任之旅、珍珠岛救援大行动。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5、学会学习：撕纸条、疯狂一分钟、我是钟、出谋划策、职业畅想发布会、没有你，我怎么办、神奇大变身、叫醒你的N种思维、fashion show、enjoy your feeling。</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6、潜能开发：突出重围、举手礼、穿绳游戏、优点坐椅、三只小猪“造房子”、随机应变、传球游戏、沧海一舟、创意剪纸、穿越A4纸。</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7、领导管理：勇于面对、今天我当家、老鹰抓小鸡、缺失的一角、真的还是假的、贩卖希望、你来说，我来做、合作方块、穿越障碍、勇闯夺命岛。</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8、开拓创新：九点连线、一笔变新字、如何卖木梳给和尚、敢想敢画、从A到B、万能的口香糖、一张让你叫绝的A4纸、分苹果、创意积木大比拼、玩具创意设计。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9、价值选择：找零钱、早操大表态、取绰号、超级一比一、艺术插花、我的“VIT”、海上求生、价值拍卖、红黑游戏、沉船游戏。</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10、社会责任：承担责任、歌唱祖国、家乡美、我说我知道、放飞我心、职业生涯探索、中国地图、共建未来城、家乡拼图、拯救阳光城。</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735F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267B857C">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C02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11</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6C549">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智能情绪调节释压系统</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97FA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套</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23F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D49DD">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highlight w:val="none"/>
                <w:lang w:bidi="ar"/>
              </w:rPr>
              <w:t>▲1、智能情绪调节释压系统材料组成部分包括底座、衣服、填充物、头套、内衬等组成部分，整体打造温馨舒适的体验效果；提供CMA标记的“智能情绪调节释压系统”材质相关（铅, 镉, 汞和六价铬，多溴联苯 ，多溴二苯醚 ）；</w:t>
            </w:r>
            <w:r>
              <w:rPr>
                <w:rFonts w:hint="eastAsia" w:ascii="宋体" w:hAnsi="宋体" w:eastAsia="宋体" w:cs="宋体"/>
                <w:strike w:val="0"/>
                <w:color w:val="auto"/>
                <w:kern w:val="0"/>
                <w:sz w:val="21"/>
                <w:szCs w:val="21"/>
                <w:highlight w:val="none"/>
                <w:lang w:bidi="ar"/>
              </w:rPr>
              <w:br w:type="textWrapping"/>
            </w:r>
            <w:r>
              <w:rPr>
                <w:rFonts w:hint="eastAsia" w:ascii="宋体" w:hAnsi="宋体" w:eastAsia="宋体" w:cs="宋体"/>
                <w:strike w:val="0"/>
                <w:color w:val="auto"/>
                <w:kern w:val="0"/>
                <w:sz w:val="21"/>
                <w:szCs w:val="21"/>
                <w:lang w:bidi="ar"/>
              </w:rPr>
              <w:t>2、系统采用高性能主控芯片，有效保证系统稳定及高速运算能力；高性能解码芯片，实现MP3音频格式快速解码，播放流畅，音质清晰；</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3、系统提供了丰富的积极阳光正能量的语音内容，可满足不同情绪问题的正向引导；</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4、系统自带传感器3轴振动检测，可对操作进行检测，防止使用者过度使用，实现系统自我保护作用。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5、智能语音提醒功能：当使用一定时间后语音提醒，防止过度使用；</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6、系统采用DC12V电压供电，电流输出稳定且简易安全；自带功放，直接接喇叭，功率可达30W，确保良好的音质输出。</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产品配置：</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1、智能情绪调节释压系统硬件设备1个，上部高1400mm，底座直径680mm，高400mm。卡通外形，材料无毒环保，高弹性海绵，产品人性化设计结构简单，安装容易，击打时，摆动小，持久耐用、手感好，可击打可拥抱。</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2、护手套2对，采用了轻型耐用材料，可有效的缓冲打击时的撞击。</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3、摔打释压球2个，橡胶材质，充气使用，回弹性好，可坐和摔打。</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4、立式释压球1个，立式不倒整体110-145CM可根据使用情况进行调节。上部实心球体，外层高级仿皮材料，经打耐用。底座高≥21cm,直径≥46cm。</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5、充气释压棒2根，长80cm，锥型，充气使用，内胆防水材质，外套蓝色保护套。</w:t>
            </w:r>
          </w:p>
        </w:tc>
        <w:tc>
          <w:tcPr>
            <w:tcW w:w="6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C041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67191290">
        <w:tblPrEx>
          <w:tblCellMar>
            <w:top w:w="0" w:type="dxa"/>
            <w:left w:w="108" w:type="dxa"/>
            <w:bottom w:w="0" w:type="dxa"/>
            <w:right w:w="108" w:type="dxa"/>
          </w:tblCellMar>
        </w:tblPrEx>
        <w:trPr>
          <w:trHeight w:val="500" w:hRule="atLeast"/>
        </w:trPr>
        <w:tc>
          <w:tcPr>
            <w:tcW w:w="5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FE588">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12</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4B794">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系统集成</w:t>
            </w:r>
          </w:p>
        </w:tc>
        <w:tc>
          <w:tcPr>
            <w:tcW w:w="4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00E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项</w:t>
            </w:r>
          </w:p>
        </w:tc>
        <w:tc>
          <w:tcPr>
            <w:tcW w:w="5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68B16">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center"/>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w:t>
            </w:r>
          </w:p>
        </w:tc>
        <w:tc>
          <w:tcPr>
            <w:tcW w:w="6360" w:type="dxa"/>
            <w:tcBorders>
              <w:top w:val="single" w:color="000000" w:sz="4" w:space="0"/>
              <w:left w:val="nil"/>
              <w:bottom w:val="single" w:color="000000" w:sz="4" w:space="0"/>
              <w:right w:val="single" w:color="000000" w:sz="4" w:space="0"/>
            </w:tcBorders>
            <w:shd w:val="clear" w:color="auto" w:fill="FFFFFF"/>
            <w:noWrap w:val="0"/>
            <w:vAlign w:val="center"/>
          </w:tcPr>
          <w:p w14:paraId="1DB50802">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sz w:val="21"/>
                <w:szCs w:val="21"/>
              </w:rPr>
            </w:pPr>
            <w:r>
              <w:rPr>
                <w:rFonts w:hint="eastAsia" w:ascii="宋体" w:hAnsi="宋体" w:eastAsia="宋体" w:cs="宋体"/>
                <w:strike w:val="0"/>
                <w:color w:val="auto"/>
                <w:kern w:val="0"/>
                <w:sz w:val="21"/>
                <w:szCs w:val="21"/>
                <w:lang w:bidi="ar"/>
              </w:rPr>
              <w:t>1.系统集成所需材料要求符合国标标准；</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2.包含项目组织专业技术场地勘察、专业技术测量及计算、方案设计的整体配合、修改；</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3.根据甲方要求提供专业的技术方案、专业的技术支持及各版块专业技术服务；</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4.项目所有货物的仓储、装卸、运输、搬运、上楼、安装、组装、配合甲方旧设备的拆除、搬运、安装以及实施过程中的各项成品、半成品保护；</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5.项目实施过程当中开孔、开槽、恢复以及所需要的五金、配件、工具、测试仪器、测量器械以及大小型机器机械等；</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6.含网络跳线、音视频线、线盒、线槽、钉子、胶布等满足本项目弱电需求的线材及辅材：</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7.实施安装过程要求所有布线均入线盒，大方、美观、整洁，不能裸露在外；</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8.布线符合国家规范要求，横平竖直；</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9.货物到达项目的二次运输、二次搬运、安装、调试；</w:t>
            </w:r>
            <w:r>
              <w:rPr>
                <w:rFonts w:hint="eastAsia" w:ascii="宋体" w:hAnsi="宋体" w:eastAsia="宋体" w:cs="宋体"/>
                <w:strike w:val="0"/>
                <w:color w:val="auto"/>
                <w:kern w:val="0"/>
                <w:sz w:val="21"/>
                <w:szCs w:val="21"/>
                <w:lang w:bidi="ar"/>
              </w:rPr>
              <w:br w:type="textWrapping"/>
            </w:r>
            <w:r>
              <w:rPr>
                <w:rFonts w:hint="eastAsia" w:ascii="宋体" w:hAnsi="宋体" w:eastAsia="宋体" w:cs="宋体"/>
                <w:strike w:val="0"/>
                <w:color w:val="auto"/>
                <w:kern w:val="0"/>
                <w:sz w:val="21"/>
                <w:szCs w:val="21"/>
                <w:lang w:bidi="ar"/>
              </w:rPr>
              <w:t>10.实施完成调试后组织专业人员的培训，包含差旅、课时、指导服务。</w:t>
            </w:r>
          </w:p>
        </w:tc>
        <w:tc>
          <w:tcPr>
            <w:tcW w:w="612" w:type="dxa"/>
            <w:tcBorders>
              <w:top w:val="single" w:color="000000" w:sz="4" w:space="0"/>
              <w:left w:val="nil"/>
              <w:bottom w:val="single" w:color="000000" w:sz="4" w:space="0"/>
              <w:right w:val="single" w:color="000000" w:sz="4" w:space="0"/>
            </w:tcBorders>
            <w:shd w:val="clear" w:color="auto" w:fill="FFFFFF"/>
            <w:noWrap w:val="0"/>
            <w:vAlign w:val="center"/>
          </w:tcPr>
          <w:p w14:paraId="6B42526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strike w:val="0"/>
                <w:color w:val="auto"/>
                <w:kern w:val="0"/>
                <w:sz w:val="21"/>
                <w:szCs w:val="21"/>
                <w:lang w:bidi="ar"/>
              </w:rPr>
            </w:pPr>
          </w:p>
        </w:tc>
      </w:tr>
      <w:tr w14:paraId="152AFA78">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E504C">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0" w:firstLineChars="0"/>
              <w:jc w:val="left"/>
              <w:textAlignment w:val="center"/>
              <w:rPr>
                <w:rFonts w:hint="eastAsia" w:ascii="宋体" w:hAnsi="宋体" w:eastAsia="宋体" w:cs="宋体"/>
                <w:b/>
                <w:strike w:val="0"/>
                <w:color w:val="auto"/>
                <w:kern w:val="0"/>
                <w:sz w:val="21"/>
                <w:szCs w:val="21"/>
              </w:rPr>
            </w:pPr>
            <w:r>
              <w:rPr>
                <w:rFonts w:hint="eastAsia" w:ascii="宋体" w:hAnsi="宋体" w:cs="宋体"/>
                <w:b/>
                <w:strike w:val="0"/>
                <w:color w:val="auto"/>
                <w:kern w:val="0"/>
                <w:sz w:val="21"/>
                <w:szCs w:val="21"/>
                <w:lang w:val="en-US" w:eastAsia="zh-CN"/>
              </w:rPr>
              <w:t>一、</w:t>
            </w:r>
            <w:r>
              <w:rPr>
                <w:rFonts w:hint="eastAsia" w:ascii="宋体" w:hAnsi="宋体" w:eastAsia="宋体" w:cs="宋体"/>
                <w:b/>
                <w:strike w:val="0"/>
                <w:color w:val="auto"/>
                <w:kern w:val="0"/>
                <w:sz w:val="21"/>
                <w:szCs w:val="21"/>
              </w:rPr>
              <w:t>商务要求</w:t>
            </w:r>
          </w:p>
        </w:tc>
      </w:tr>
      <w:tr w14:paraId="1A853FBB">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2019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strike w:val="0"/>
                <w:color w:val="auto"/>
                <w:sz w:val="21"/>
                <w:szCs w:val="21"/>
              </w:rPr>
            </w:pPr>
            <w:r>
              <w:rPr>
                <w:rFonts w:hint="eastAsia" w:ascii="宋体" w:hAnsi="宋体" w:eastAsia="宋体" w:cs="宋体"/>
                <w:b/>
                <w:strike w:val="0"/>
                <w:color w:val="auto"/>
                <w:sz w:val="21"/>
                <w:szCs w:val="21"/>
              </w:rPr>
              <w:t>一、投标报价：</w:t>
            </w:r>
          </w:p>
          <w:p w14:paraId="7EB904CB">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1.供应商提供的产品必须是全新、完整、未使用过的、符合国家有关质量安全标准的合格产品。</w:t>
            </w:r>
          </w:p>
          <w:p w14:paraId="2DEC9588">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2.供应商报价要求:报价为采购人指定地点的现场交货价，包括：</w:t>
            </w:r>
          </w:p>
          <w:p w14:paraId="171A3EA4">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(1)价格：包括货款和安装调试费、服务费、验收费、税费；</w:t>
            </w:r>
          </w:p>
          <w:p w14:paraId="5D665272">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(2)货物的标准附件、备品备件、专用工具的价格；</w:t>
            </w:r>
          </w:p>
          <w:p w14:paraId="029EC9C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(3)运输、装卸、调试、培训、技术支持、售后服务费；</w:t>
            </w:r>
          </w:p>
          <w:p w14:paraId="329681F1">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(4)保险费和其他各项成本费用。</w:t>
            </w:r>
          </w:p>
          <w:p w14:paraId="6D533E7F">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b/>
                <w:bCs/>
                <w:strike w:val="0"/>
                <w:color w:val="auto"/>
                <w:sz w:val="21"/>
                <w:szCs w:val="21"/>
              </w:rPr>
              <w:t>二、验收要求：</w:t>
            </w:r>
          </w:p>
          <w:p w14:paraId="62317F00">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1.采购人对中标供应商提交的货物依据采购文件上的技术规格要求和国家有关质量标准进行现场签收，符合采购文件技术要求的，给予签收，不合格的不予签收。 </w:t>
            </w:r>
          </w:p>
          <w:p w14:paraId="44446FFD">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2.中标供应商交货前应对产品作出全面检查和对验收文件进行整理，并列出清单，作为采购人收货验收和使用的技术条件依据，检验的结果应随货物交采购人。中标供应商不能完整交付货物及本款规定的相关证明材料的，必须负责补齐，否则视为未按合同约定交货。 </w:t>
            </w:r>
          </w:p>
          <w:p w14:paraId="41CBCB1A">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 xml:space="preserve">3.中标供应商需负责安装、调试，并培训采购人的使用操作人员，直到设备运行符合技术要求及采购人人员熟练操作后，采购人再进行组织验收。 </w:t>
            </w:r>
          </w:p>
          <w:p w14:paraId="1BA026BB">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4.采购人组织验收，中标供应商必须到场配合，验收合格后双方签署验收合格凭证。</w:t>
            </w:r>
          </w:p>
          <w:p w14:paraId="204475CE">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Cs/>
                <w:strike w:val="0"/>
                <w:color w:val="auto"/>
                <w:sz w:val="21"/>
                <w:szCs w:val="21"/>
              </w:rPr>
            </w:pPr>
            <w:r>
              <w:rPr>
                <w:rFonts w:hint="eastAsia" w:ascii="宋体" w:hAnsi="宋体" w:eastAsia="宋体" w:cs="宋体"/>
                <w:bCs/>
                <w:strike w:val="0"/>
                <w:color w:val="auto"/>
                <w:sz w:val="21"/>
                <w:szCs w:val="21"/>
              </w:rPr>
              <w:t>5.其他未尽事宜应严格参照《关于印发广西壮族自治区政府采购项目履约验收管理办法的通知》[桂财采〔2015〕22 号]以及《财政部关于进一步加强政府采购需求和履约验收管理的指导意见》[财库〔2016〕205 号]规定执行。</w:t>
            </w:r>
          </w:p>
          <w:p w14:paraId="7E4027CF">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三、售后服务：</w:t>
            </w:r>
          </w:p>
          <w:p w14:paraId="5753AFD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210" w:firstLineChars="1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0"/>
                <w:sz w:val="21"/>
                <w:szCs w:val="21"/>
                <w:lang w:val="en-US" w:eastAsia="zh-CN" w:bidi="ar"/>
              </w:rPr>
              <w:t>★</w:t>
            </w:r>
            <w:r>
              <w:rPr>
                <w:rFonts w:hint="eastAsia" w:ascii="宋体" w:hAnsi="宋体" w:eastAsia="宋体" w:cs="宋体"/>
                <w:strike w:val="0"/>
                <w:color w:val="auto"/>
                <w:kern w:val="2"/>
                <w:sz w:val="21"/>
                <w:szCs w:val="21"/>
                <w:lang w:val="en-US" w:eastAsia="zh-CN" w:bidi="ar-SA"/>
              </w:rPr>
              <w:t>1.项目需求中涉及智能交互一体机、计算机、主控计算机、教师计算机，需整机提供3年免费厂商质保及上门服务，供货时提供所投产品售后服务承诺函；要求提供所投产品厂商400免费技术支持电话。</w:t>
            </w:r>
          </w:p>
          <w:p w14:paraId="509B93E7">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2.质保：按国家有关产品“三包”规定执行“三包”，交付验收合格之日起至少</w:t>
            </w:r>
            <w:r>
              <w:rPr>
                <w:rFonts w:hint="eastAsia" w:ascii="宋体" w:hAnsi="宋体" w:eastAsia="宋体" w:cs="宋体"/>
                <w:b/>
                <w:bCs/>
                <w:strike w:val="0"/>
                <w:color w:val="auto"/>
                <w:sz w:val="21"/>
                <w:szCs w:val="21"/>
              </w:rPr>
              <w:t>一</w:t>
            </w:r>
            <w:r>
              <w:rPr>
                <w:rFonts w:hint="eastAsia" w:ascii="宋体" w:hAnsi="宋体" w:eastAsia="宋体" w:cs="宋体"/>
                <w:strike w:val="0"/>
                <w:color w:val="auto"/>
                <w:sz w:val="21"/>
                <w:szCs w:val="21"/>
              </w:rPr>
              <w:t xml:space="preserve">年质保（自交货并验收合格之日起计），采购内容有要求的按其要求。质保期所有由于质量问题导致的硬件产品故障以免费保修.免费人工及免费更换配件标准上门服务并提供终身维护。 </w:t>
            </w:r>
          </w:p>
          <w:p w14:paraId="74745B3B">
            <w:pPr>
              <w:keepNext w:val="0"/>
              <w:keepLines w:val="0"/>
              <w:pageBreakBefore w:val="0"/>
              <w:kinsoku/>
              <w:wordWrap/>
              <w:overflowPunct/>
              <w:topLinePunct w:val="0"/>
              <w:autoSpaceDE/>
              <w:autoSpaceDN/>
              <w:bidi w:val="0"/>
              <w:adjustRightInd/>
              <w:snapToGrid/>
              <w:spacing w:beforeAutospacing="0" w:afterAutospacing="0" w:line="440" w:lineRule="exact"/>
              <w:ind w:firstLine="210" w:firstLineChars="1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3.售后技术服务要求：(1)所有货物必须为符合国家行业有关质量标准的全新合格产品。</w:t>
            </w:r>
          </w:p>
          <w:p w14:paraId="2BB86BB9">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(2)免费送货上门免费安装调试，免费培训技术人员2名以上，所需工具、器材由中标人自理.提供全套说明书并包括中文操作说明和注意事项。</w:t>
            </w:r>
          </w:p>
          <w:p w14:paraId="7AC765A5">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(3)产品如出现故障并接到用户通知后在1小时内响应，12小时内上门服务，24小时内解决故障；未能在规定时间内排除故障的，必须在24小时内提供同档次的备用产品，直至解决故障。</w:t>
            </w:r>
          </w:p>
          <w:p w14:paraId="3772025E">
            <w:pPr>
              <w:keepNext w:val="0"/>
              <w:keepLines w:val="0"/>
              <w:pageBreakBefore w:val="0"/>
              <w:kinsoku/>
              <w:wordWrap/>
              <w:overflowPunct/>
              <w:topLinePunct w:val="0"/>
              <w:autoSpaceDE/>
              <w:autoSpaceDN/>
              <w:bidi w:val="0"/>
              <w:adjustRightInd/>
              <w:snapToGrid/>
              <w:spacing w:beforeAutospacing="0" w:afterAutospacing="0" w:line="440" w:lineRule="exact"/>
              <w:ind w:firstLine="420" w:firstLineChars="20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(4)中标人除承担运输、安装、调试、验收与培训等义务外，还将为采购人提供技术支持，包括保修期外的修理及技术指导、配件供应等。</w:t>
            </w:r>
          </w:p>
          <w:p w14:paraId="45449E13">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b/>
                <w:bCs/>
                <w:strike w:val="0"/>
                <w:color w:val="auto"/>
                <w:sz w:val="21"/>
                <w:szCs w:val="21"/>
              </w:rPr>
            </w:pPr>
            <w:r>
              <w:rPr>
                <w:rFonts w:hint="eastAsia" w:ascii="宋体" w:hAnsi="宋体" w:eastAsia="宋体" w:cs="宋体"/>
                <w:b/>
                <w:bCs/>
                <w:strike w:val="0"/>
                <w:color w:val="auto"/>
                <w:sz w:val="21"/>
                <w:szCs w:val="21"/>
              </w:rPr>
              <w:t>四、时间及地点要求：</w:t>
            </w:r>
          </w:p>
          <w:p w14:paraId="31088771">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1.合同签订期：自中标通知书发出之日起</w:t>
            </w:r>
            <w:r>
              <w:rPr>
                <w:rFonts w:hint="eastAsia" w:ascii="宋体" w:hAnsi="宋体" w:cs="宋体"/>
                <w:strike w:val="0"/>
                <w:color w:val="auto"/>
                <w:sz w:val="21"/>
                <w:szCs w:val="21"/>
                <w:lang w:val="en-US" w:eastAsia="zh-CN"/>
              </w:rPr>
              <w:t>5</w:t>
            </w:r>
            <w:r>
              <w:rPr>
                <w:rFonts w:hint="eastAsia" w:ascii="宋体" w:hAnsi="宋体" w:eastAsia="宋体" w:cs="宋体"/>
                <w:strike w:val="0"/>
                <w:color w:val="auto"/>
                <w:sz w:val="21"/>
                <w:szCs w:val="21"/>
              </w:rPr>
              <w:t>日内。</w:t>
            </w:r>
          </w:p>
          <w:p w14:paraId="1DBC8BA9">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2.交货期：自签订合同之日起</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u w:val="single"/>
                <w:lang w:val="en-US" w:eastAsia="zh-CN"/>
              </w:rPr>
              <w:t>45</w:t>
            </w:r>
            <w:r>
              <w:rPr>
                <w:rFonts w:hint="eastAsia" w:ascii="宋体" w:hAnsi="宋体" w:eastAsia="宋体" w:cs="宋体"/>
                <w:strike w:val="0"/>
                <w:color w:val="auto"/>
                <w:sz w:val="21"/>
                <w:szCs w:val="21"/>
                <w:u w:val="single"/>
              </w:rPr>
              <w:t xml:space="preserve">  </w:t>
            </w:r>
            <w:r>
              <w:rPr>
                <w:rFonts w:hint="eastAsia" w:ascii="宋体" w:hAnsi="宋体" w:eastAsia="宋体" w:cs="宋体"/>
                <w:strike w:val="0"/>
                <w:color w:val="auto"/>
                <w:sz w:val="21"/>
                <w:szCs w:val="21"/>
              </w:rPr>
              <w:t>日内交付使用。</w:t>
            </w:r>
          </w:p>
          <w:p w14:paraId="46EB415D">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jc w:val="lef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3.交货地点：钦州市浦北县采购人指定地点</w:t>
            </w:r>
            <w:r>
              <w:rPr>
                <w:rFonts w:hint="eastAsia" w:ascii="宋体" w:hAnsi="宋体" w:eastAsia="宋体" w:cs="宋体"/>
                <w:strike w:val="0"/>
                <w:color w:val="auto"/>
                <w:sz w:val="21"/>
                <w:szCs w:val="21"/>
                <w:lang w:eastAsia="zh-CN"/>
              </w:rPr>
              <w:t>（</w:t>
            </w:r>
            <w:r>
              <w:rPr>
                <w:rFonts w:hint="eastAsia" w:ascii="宋体" w:hAnsi="宋体"/>
                <w:strike w:val="0"/>
                <w:color w:val="auto"/>
                <w:szCs w:val="21"/>
                <w:highlight w:val="none"/>
                <w:lang w:eastAsia="zh-CN"/>
              </w:rPr>
              <w:t>浦北县第十小</w:t>
            </w:r>
            <w:r>
              <w:rPr>
                <w:rFonts w:hint="eastAsia" w:ascii="宋体" w:hAnsi="宋体" w:eastAsia="宋体" w:cs="Times New Roman"/>
                <w:strike w:val="0"/>
                <w:color w:val="auto"/>
                <w:szCs w:val="21"/>
                <w:highlight w:val="none"/>
                <w:lang w:eastAsia="zh-CN"/>
              </w:rPr>
              <w:t>学和浦北县六硍镇寄宿制学校）</w:t>
            </w:r>
            <w:r>
              <w:rPr>
                <w:rFonts w:hint="eastAsia" w:ascii="宋体" w:hAnsi="宋体" w:eastAsia="宋体" w:cs="宋体"/>
                <w:strike w:val="0"/>
                <w:color w:val="auto"/>
                <w:sz w:val="21"/>
                <w:szCs w:val="21"/>
              </w:rPr>
              <w:t>。</w:t>
            </w:r>
          </w:p>
          <w:p w14:paraId="688C09E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4.付款方式:项目按业主要求,安装调试验收合格后,乙方开具合同全额发票给甲方甲方收到发票</w:t>
            </w:r>
            <w:r>
              <w:rPr>
                <w:rFonts w:hint="eastAsia" w:ascii="宋体" w:hAnsi="宋体" w:cs="宋体"/>
                <w:strike w:val="0"/>
                <w:color w:val="auto"/>
                <w:kern w:val="2"/>
                <w:sz w:val="21"/>
                <w:szCs w:val="21"/>
                <w:lang w:val="en-US" w:eastAsia="zh-CN" w:bidi="ar-SA"/>
              </w:rPr>
              <w:t>10个工作日</w:t>
            </w:r>
            <w:r>
              <w:rPr>
                <w:rFonts w:hint="eastAsia" w:ascii="宋体" w:hAnsi="宋体" w:eastAsia="宋体" w:cs="宋体"/>
                <w:strike w:val="0"/>
                <w:color w:val="auto"/>
                <w:kern w:val="2"/>
                <w:sz w:val="21"/>
                <w:szCs w:val="21"/>
                <w:lang w:val="en-US" w:eastAsia="zh-CN" w:bidi="ar-SA"/>
              </w:rPr>
              <w:t>内付完合同总金额100%给乙方。</w:t>
            </w:r>
          </w:p>
        </w:tc>
      </w:tr>
      <w:tr w14:paraId="22738566">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ADF5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b/>
                <w:bCs/>
                <w:strike w:val="0"/>
                <w:color w:val="auto"/>
                <w:kern w:val="0"/>
                <w:sz w:val="21"/>
                <w:szCs w:val="21"/>
                <w:highlight w:val="none"/>
                <w:lang w:val="en-US" w:eastAsia="zh-CN" w:bidi="ar"/>
              </w:rPr>
              <w:t>二、</w:t>
            </w:r>
            <w:r>
              <w:rPr>
                <w:rFonts w:hint="eastAsia" w:ascii="宋体" w:hAnsi="宋体" w:eastAsia="宋体" w:cs="宋体"/>
                <w:b/>
                <w:bCs/>
                <w:strike w:val="0"/>
                <w:color w:val="auto"/>
                <w:kern w:val="0"/>
                <w:sz w:val="21"/>
                <w:szCs w:val="21"/>
                <w:highlight w:val="none"/>
                <w:lang w:val="en-US" w:eastAsia="zh-CN" w:bidi="ar"/>
              </w:rPr>
              <w:t>核心产品</w:t>
            </w:r>
          </w:p>
        </w:tc>
      </w:tr>
      <w:tr w14:paraId="5AE2E777">
        <w:tblPrEx>
          <w:tblCellMar>
            <w:top w:w="0" w:type="dxa"/>
            <w:left w:w="108" w:type="dxa"/>
            <w:bottom w:w="0" w:type="dxa"/>
            <w:right w:w="108" w:type="dxa"/>
          </w:tblCellMar>
        </w:tblPrEx>
        <w:trPr>
          <w:trHeight w:val="9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3285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b/>
                <w:bCs/>
                <w:strike w:val="0"/>
                <w:color w:val="auto"/>
                <w:kern w:val="0"/>
                <w:sz w:val="21"/>
                <w:szCs w:val="21"/>
                <w:highlight w:val="none"/>
                <w:lang w:val="en-US" w:eastAsia="zh-CN" w:bidi="ar"/>
              </w:rPr>
              <w:t>核心产品</w:t>
            </w:r>
            <w:r>
              <w:rPr>
                <w:rFonts w:hint="eastAsia" w:ascii="宋体" w:hAnsi="宋体" w:cs="宋体"/>
                <w:b/>
                <w:bCs/>
                <w:strike w:val="0"/>
                <w:color w:val="auto"/>
                <w:kern w:val="0"/>
                <w:sz w:val="21"/>
                <w:szCs w:val="21"/>
                <w:highlight w:val="none"/>
                <w:lang w:val="en-US" w:eastAsia="zh-CN" w:bidi="ar"/>
              </w:rPr>
              <w:t>：</w:t>
            </w:r>
            <w:r>
              <w:rPr>
                <w:rFonts w:hint="eastAsia" w:ascii="宋体" w:hAnsi="宋体" w:cs="宋体"/>
                <w:b/>
                <w:bCs/>
                <w:strike w:val="0"/>
                <w:color w:val="auto"/>
                <w:kern w:val="0"/>
                <w:sz w:val="21"/>
                <w:szCs w:val="21"/>
                <w:highlight w:val="none"/>
                <w:u w:val="single"/>
                <w:lang w:val="en-US" w:eastAsia="zh-CN" w:bidi="ar"/>
              </w:rPr>
              <w:t>第1项货物</w:t>
            </w:r>
            <w:r>
              <w:rPr>
                <w:rFonts w:hint="eastAsia" w:ascii="宋体" w:hAnsi="宋体" w:eastAsia="宋体" w:cs="宋体"/>
                <w:b/>
                <w:bCs/>
                <w:strike w:val="0"/>
                <w:color w:val="auto"/>
                <w:kern w:val="0"/>
                <w:sz w:val="21"/>
                <w:szCs w:val="21"/>
                <w:highlight w:val="none"/>
                <w:u w:val="single"/>
                <w:lang w:val="en-US" w:eastAsia="zh-CN" w:bidi="ar"/>
              </w:rPr>
              <w:t>“智能交互一体机”。</w:t>
            </w:r>
          </w:p>
        </w:tc>
      </w:tr>
      <w:tr w14:paraId="3D5C613C">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5B67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b/>
                <w:bCs/>
                <w:strike w:val="0"/>
                <w:color w:val="auto"/>
                <w:kern w:val="2"/>
                <w:sz w:val="21"/>
                <w:szCs w:val="21"/>
                <w:u w:val="none"/>
                <w:lang w:val="en-US" w:eastAsia="zh-CN" w:bidi="ar"/>
              </w:rPr>
              <w:t>三、现场踏勘</w:t>
            </w:r>
          </w:p>
        </w:tc>
      </w:tr>
      <w:tr w14:paraId="4ADE290E">
        <w:tblPrEx>
          <w:tblCellMar>
            <w:top w:w="0" w:type="dxa"/>
            <w:left w:w="108" w:type="dxa"/>
            <w:bottom w:w="0" w:type="dxa"/>
            <w:right w:w="108" w:type="dxa"/>
          </w:tblCellMar>
        </w:tblPrEx>
        <w:trPr>
          <w:trHeight w:val="500" w:hRule="atLeast"/>
        </w:trPr>
        <w:tc>
          <w:tcPr>
            <w:tcW w:w="9671"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F7E21">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为确保本项报价真实合理，供应商可在规定时间参加采购人组织的统一勘察，以确保供应商明确了解真实的现场情况和项目实际需求，保证项目按时按质按量完成。</w:t>
            </w:r>
          </w:p>
          <w:p w14:paraId="189F0A85">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现场勘查须携带的资料：委托代理人需持获取采购文件回执函和单位介绍信原件或授权委托书、个人有效身份证原件前往。</w:t>
            </w:r>
          </w:p>
          <w:p w14:paraId="54290206">
            <w:pPr>
              <w:keepNext w:val="0"/>
              <w:keepLines w:val="0"/>
              <w:suppressLineNumbers w:val="0"/>
              <w:spacing w:before="0" w:beforeAutospacing="0" w:after="0" w:afterAutospacing="0" w:line="440" w:lineRule="exact"/>
              <w:ind w:left="0" w:right="0" w:firstLine="420" w:firstLineChars="200"/>
              <w:rPr>
                <w:rFonts w:hint="default" w:ascii="宋体" w:hAnsi="宋体" w:cs="宋体"/>
                <w:strike w:val="0"/>
                <w:color w:val="auto"/>
                <w:szCs w:val="21"/>
              </w:rPr>
            </w:pPr>
            <w:r>
              <w:rPr>
                <w:rFonts w:hint="eastAsia" w:ascii="宋体" w:hAnsi="宋体" w:cs="宋体"/>
                <w:strike w:val="0"/>
                <w:color w:val="auto"/>
                <w:szCs w:val="21"/>
              </w:rPr>
              <w:t>现场踏勘集中时间：</w:t>
            </w:r>
            <w:r>
              <w:rPr>
                <w:rFonts w:hint="eastAsia" w:ascii="宋体" w:hAnsi="宋体"/>
                <w:strike w:val="0"/>
                <w:color w:val="auto"/>
                <w:szCs w:val="21"/>
              </w:rPr>
              <w:t>202</w:t>
            </w:r>
            <w:r>
              <w:rPr>
                <w:rFonts w:hint="eastAsia" w:ascii="宋体" w:hAnsi="宋体"/>
                <w:strike w:val="0"/>
                <w:color w:val="auto"/>
                <w:szCs w:val="21"/>
                <w:lang w:val="en-US" w:eastAsia="zh-CN"/>
              </w:rPr>
              <w:t>5</w:t>
            </w:r>
            <w:r>
              <w:rPr>
                <w:rFonts w:hint="eastAsia" w:ascii="宋体" w:hAnsi="宋体"/>
                <w:bCs/>
                <w:strike w:val="0"/>
                <w:color w:val="auto"/>
                <w:szCs w:val="21"/>
              </w:rPr>
              <w:t>年</w:t>
            </w:r>
            <w:r>
              <w:rPr>
                <w:rFonts w:hint="eastAsia" w:ascii="宋体" w:hAnsi="宋体"/>
                <w:bCs/>
                <w:strike w:val="0"/>
                <w:color w:val="auto"/>
                <w:szCs w:val="21"/>
                <w:lang w:val="en-US" w:eastAsia="zh-CN"/>
              </w:rPr>
              <w:t>12</w:t>
            </w:r>
            <w:r>
              <w:rPr>
                <w:rFonts w:hint="eastAsia" w:ascii="宋体" w:hAnsi="宋体"/>
                <w:bCs/>
                <w:strike w:val="0"/>
                <w:color w:val="auto"/>
                <w:szCs w:val="21"/>
              </w:rPr>
              <w:t>月</w:t>
            </w:r>
            <w:r>
              <w:rPr>
                <w:rFonts w:hint="eastAsia" w:ascii="宋体" w:hAnsi="宋体"/>
                <w:bCs/>
                <w:strike w:val="0"/>
                <w:color w:val="auto"/>
                <w:szCs w:val="21"/>
                <w:lang w:val="en-US" w:eastAsia="zh-CN"/>
              </w:rPr>
              <w:t>10</w:t>
            </w:r>
            <w:r>
              <w:rPr>
                <w:rFonts w:hint="eastAsia" w:ascii="宋体" w:hAnsi="宋体"/>
                <w:bCs/>
                <w:strike w:val="0"/>
                <w:color w:val="auto"/>
                <w:szCs w:val="21"/>
              </w:rPr>
              <w:t>日</w:t>
            </w:r>
            <w:r>
              <w:rPr>
                <w:rFonts w:hint="eastAsia" w:ascii="宋体" w:hAnsi="宋体" w:cs="宋体"/>
                <w:strike w:val="0"/>
                <w:color w:val="auto"/>
                <w:szCs w:val="21"/>
                <w:lang w:val="en-US" w:eastAsia="zh-CN"/>
              </w:rPr>
              <w:t>上</w:t>
            </w:r>
            <w:r>
              <w:rPr>
                <w:rFonts w:hint="eastAsia" w:ascii="宋体" w:hAnsi="宋体" w:cs="宋体"/>
                <w:strike w:val="0"/>
                <w:color w:val="auto"/>
                <w:szCs w:val="21"/>
              </w:rPr>
              <w:t>午</w:t>
            </w:r>
            <w:r>
              <w:rPr>
                <w:rFonts w:hint="eastAsia" w:ascii="宋体" w:hAnsi="宋体" w:cs="宋体"/>
                <w:strike w:val="0"/>
                <w:color w:val="auto"/>
                <w:szCs w:val="21"/>
                <w:lang w:val="en-US" w:eastAsia="zh-CN"/>
              </w:rPr>
              <w:t>10</w:t>
            </w:r>
            <w:r>
              <w:rPr>
                <w:rFonts w:hint="eastAsia" w:ascii="宋体" w:hAnsi="宋体" w:cs="宋体"/>
                <w:strike w:val="0"/>
                <w:color w:val="auto"/>
                <w:szCs w:val="21"/>
              </w:rPr>
              <w:t>时</w:t>
            </w:r>
            <w:r>
              <w:rPr>
                <w:rFonts w:hint="eastAsia" w:ascii="宋体" w:hAnsi="宋体" w:cs="宋体"/>
                <w:strike w:val="0"/>
                <w:color w:val="auto"/>
                <w:szCs w:val="21"/>
                <w:lang w:val="en-US" w:eastAsia="zh-CN"/>
              </w:rPr>
              <w:t>3</w:t>
            </w:r>
            <w:r>
              <w:rPr>
                <w:rFonts w:hint="eastAsia" w:ascii="宋体" w:hAnsi="宋体" w:cs="宋体"/>
                <w:strike w:val="0"/>
                <w:color w:val="auto"/>
                <w:szCs w:val="21"/>
              </w:rPr>
              <w:t>0分，过期不候。</w:t>
            </w:r>
          </w:p>
          <w:p w14:paraId="1B2DC308">
            <w:pPr>
              <w:keepNext w:val="0"/>
              <w:keepLines w:val="0"/>
              <w:suppressLineNumbers w:val="0"/>
              <w:spacing w:before="0" w:beforeAutospacing="0" w:after="0" w:afterAutospacing="0" w:line="440" w:lineRule="exact"/>
              <w:ind w:left="0" w:right="0" w:firstLine="420" w:firstLineChars="200"/>
              <w:rPr>
                <w:rFonts w:hint="default" w:ascii="宋体" w:hAnsi="宋体" w:eastAsia="宋体" w:cs="宋体"/>
                <w:strike w:val="0"/>
                <w:color w:val="auto"/>
                <w:szCs w:val="21"/>
                <w:lang w:val="en-US" w:eastAsia="zh-CN"/>
              </w:rPr>
            </w:pPr>
            <w:r>
              <w:rPr>
                <w:rFonts w:hint="eastAsia" w:ascii="宋体" w:hAnsi="宋体" w:cs="宋体"/>
                <w:strike w:val="0"/>
                <w:color w:val="auto"/>
                <w:szCs w:val="21"/>
              </w:rPr>
              <w:t>集中地点：</w:t>
            </w:r>
            <w:r>
              <w:rPr>
                <w:rFonts w:hint="eastAsia" w:ascii="宋体" w:hAnsi="宋体" w:cs="宋体"/>
                <w:strike w:val="0"/>
                <w:color w:val="auto"/>
                <w:szCs w:val="21"/>
                <w:lang w:val="en-US" w:eastAsia="zh-CN"/>
              </w:rPr>
              <w:t>浦北县第十小学</w:t>
            </w:r>
          </w:p>
          <w:p w14:paraId="61FF9C4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rPr>
                <w:rFonts w:hint="eastAsia" w:ascii="宋体" w:hAnsi="宋体" w:eastAsia="宋体" w:cs="宋体"/>
                <w:strike w:val="0"/>
                <w:color w:val="auto"/>
                <w:kern w:val="2"/>
                <w:sz w:val="21"/>
                <w:szCs w:val="21"/>
                <w:lang w:val="en-US" w:eastAsia="zh-CN" w:bidi="ar-SA"/>
              </w:rPr>
            </w:pPr>
            <w:r>
              <w:rPr>
                <w:rFonts w:hint="eastAsia" w:ascii="宋体" w:hAnsi="宋体" w:cs="宋体"/>
                <w:strike w:val="0"/>
                <w:color w:val="auto"/>
                <w:szCs w:val="21"/>
              </w:rPr>
              <w:t>联系人电话：</w:t>
            </w:r>
            <w:r>
              <w:rPr>
                <w:rFonts w:hint="eastAsia" w:cs="Times New Roman"/>
                <w:strike w:val="0"/>
                <w:color w:val="auto"/>
                <w:lang w:val="en-US" w:eastAsia="zh-CN"/>
              </w:rPr>
              <w:t xml:space="preserve">冯慧敏 </w:t>
            </w:r>
            <w:r>
              <w:rPr>
                <w:rFonts w:hint="eastAsia"/>
                <w:strike w:val="0"/>
                <w:color w:val="auto"/>
                <w:lang w:val="en-US" w:eastAsia="zh-CN"/>
              </w:rPr>
              <w:t>，0777-8212232</w:t>
            </w:r>
          </w:p>
        </w:tc>
      </w:tr>
    </w:tbl>
    <w:p w14:paraId="0C5D6820">
      <w:pPr>
        <w:keepNext w:val="0"/>
        <w:keepLines w:val="0"/>
        <w:pageBreakBefore w:val="0"/>
        <w:kinsoku/>
        <w:wordWrap/>
        <w:overflowPunct/>
        <w:topLinePunct w:val="0"/>
        <w:autoSpaceDE/>
        <w:autoSpaceDN/>
        <w:bidi w:val="0"/>
        <w:adjustRightInd/>
        <w:snapToGrid/>
        <w:spacing w:beforeAutospacing="0" w:afterAutospacing="0" w:line="440" w:lineRule="exact"/>
        <w:ind w:firstLine="0" w:firstLineChars="0"/>
        <w:rPr>
          <w:rFonts w:hint="eastAsia" w:ascii="宋体" w:hAnsi="宋体" w:eastAsia="宋体" w:cs="宋体"/>
          <w:strike w:val="0"/>
          <w:color w:val="auto"/>
          <w:sz w:val="21"/>
          <w:szCs w:val="21"/>
        </w:rPr>
      </w:pPr>
    </w:p>
    <w:p w14:paraId="69230EE2">
      <w:pPr>
        <w:keepNext w:val="0"/>
        <w:keepLines w:val="0"/>
        <w:pageBreakBefore w:val="0"/>
        <w:kinsoku/>
        <w:wordWrap/>
        <w:overflowPunct/>
        <w:topLinePunct w:val="0"/>
        <w:bidi w:val="0"/>
        <w:spacing w:line="440" w:lineRule="exact"/>
        <w:rPr>
          <w:rFonts w:hint="eastAsia"/>
          <w:strike w:val="0"/>
          <w:color w:val="auto"/>
        </w:rPr>
      </w:pPr>
    </w:p>
    <w:p w14:paraId="7E678BC9">
      <w:pPr>
        <w:pStyle w:val="48"/>
        <w:ind w:left="0" w:leftChars="0" w:right="0" w:rightChars="0" w:firstLine="0" w:firstLineChars="0"/>
        <w:jc w:val="both"/>
        <w:rPr>
          <w:rFonts w:hint="eastAsia"/>
          <w:strike w:val="0"/>
          <w:color w:val="auto"/>
        </w:rPr>
      </w:pPr>
    </w:p>
    <w:p w14:paraId="157D1824">
      <w:pPr>
        <w:pStyle w:val="48"/>
        <w:ind w:left="0" w:leftChars="0" w:right="0" w:rightChars="0" w:firstLine="0" w:firstLineChars="0"/>
        <w:jc w:val="center"/>
        <w:rPr>
          <w:rFonts w:hint="eastAsia"/>
          <w:strike w:val="0"/>
          <w:color w:val="auto"/>
        </w:rPr>
      </w:pPr>
    </w:p>
    <w:p w14:paraId="4FE8992F">
      <w:pPr>
        <w:rPr>
          <w:rFonts w:hint="eastAsia"/>
          <w:strike w:val="0"/>
          <w:color w:val="auto"/>
        </w:rPr>
      </w:pPr>
    </w:p>
    <w:p w14:paraId="4CF9862B">
      <w:pPr>
        <w:pStyle w:val="20"/>
        <w:rPr>
          <w:rFonts w:hint="eastAsia"/>
          <w:strike w:val="0"/>
          <w:color w:val="auto"/>
        </w:rPr>
      </w:pPr>
    </w:p>
    <w:p w14:paraId="3DC07377">
      <w:pPr>
        <w:pStyle w:val="21"/>
        <w:rPr>
          <w:rFonts w:hint="eastAsia"/>
          <w:strike w:val="0"/>
          <w:color w:val="auto"/>
        </w:rPr>
      </w:pPr>
    </w:p>
    <w:p w14:paraId="3AD0A96D">
      <w:pPr>
        <w:pStyle w:val="22"/>
        <w:rPr>
          <w:rFonts w:hint="eastAsia"/>
          <w:strike w:val="0"/>
          <w:color w:val="auto"/>
        </w:rPr>
      </w:pPr>
    </w:p>
    <w:p w14:paraId="298EE7BB">
      <w:pPr>
        <w:rPr>
          <w:rFonts w:hint="eastAsia"/>
          <w:strike w:val="0"/>
          <w:color w:val="auto"/>
        </w:rPr>
      </w:pPr>
    </w:p>
    <w:p w14:paraId="59FF3D44">
      <w:pPr>
        <w:pStyle w:val="20"/>
        <w:rPr>
          <w:rFonts w:hint="eastAsia"/>
          <w:strike w:val="0"/>
          <w:color w:val="auto"/>
        </w:rPr>
      </w:pPr>
    </w:p>
    <w:p w14:paraId="64E60D91">
      <w:pPr>
        <w:pStyle w:val="21"/>
        <w:rPr>
          <w:rFonts w:hint="eastAsia"/>
          <w:strike w:val="0"/>
          <w:color w:val="auto"/>
        </w:rPr>
      </w:pPr>
    </w:p>
    <w:p w14:paraId="5D30220B">
      <w:pPr>
        <w:pStyle w:val="22"/>
        <w:rPr>
          <w:rFonts w:hint="eastAsia"/>
          <w:strike w:val="0"/>
          <w:color w:val="auto"/>
        </w:rPr>
      </w:pPr>
    </w:p>
    <w:p w14:paraId="6D0CBB3F">
      <w:pPr>
        <w:rPr>
          <w:rFonts w:hint="eastAsia"/>
          <w:strike w:val="0"/>
          <w:color w:val="auto"/>
        </w:rPr>
      </w:pPr>
    </w:p>
    <w:p w14:paraId="60ECBCC2">
      <w:pPr>
        <w:pStyle w:val="20"/>
        <w:rPr>
          <w:rFonts w:hint="eastAsia"/>
          <w:strike w:val="0"/>
          <w:color w:val="auto"/>
        </w:rPr>
      </w:pPr>
    </w:p>
    <w:p w14:paraId="45224798">
      <w:pPr>
        <w:pStyle w:val="21"/>
        <w:rPr>
          <w:rFonts w:hint="eastAsia"/>
          <w:strike w:val="0"/>
          <w:color w:val="auto"/>
        </w:rPr>
      </w:pPr>
    </w:p>
    <w:p w14:paraId="66AAD743">
      <w:pPr>
        <w:pStyle w:val="48"/>
        <w:ind w:left="0" w:leftChars="0" w:right="0" w:rightChars="0" w:firstLine="0" w:firstLineChars="0"/>
        <w:jc w:val="center"/>
        <w:rPr>
          <w:rFonts w:hint="eastAsia"/>
          <w:strike w:val="0"/>
          <w:color w:val="auto"/>
        </w:rPr>
      </w:pPr>
    </w:p>
    <w:p w14:paraId="6EB80712">
      <w:pPr>
        <w:pStyle w:val="48"/>
        <w:ind w:left="0" w:leftChars="0" w:right="0" w:rightChars="0" w:firstLine="0" w:firstLineChars="0"/>
        <w:jc w:val="center"/>
        <w:rPr>
          <w:rFonts w:hint="eastAsia"/>
          <w:strike w:val="0"/>
          <w:color w:val="auto"/>
        </w:rPr>
      </w:pPr>
    </w:p>
    <w:p w14:paraId="67DF8659">
      <w:pPr>
        <w:pStyle w:val="48"/>
        <w:ind w:left="0" w:leftChars="0" w:right="0" w:rightChars="0" w:firstLine="0" w:firstLineChars="0"/>
        <w:jc w:val="center"/>
        <w:rPr>
          <w:strike w:val="0"/>
          <w:color w:val="auto"/>
        </w:rPr>
      </w:pPr>
      <w:r>
        <w:rPr>
          <w:rFonts w:hint="eastAsia"/>
          <w:strike w:val="0"/>
          <w:color w:val="auto"/>
        </w:rPr>
        <w:t>第三章  投标人须知及前附表</w:t>
      </w:r>
      <w:bookmarkEnd w:id="63"/>
      <w:bookmarkEnd w:id="64"/>
    </w:p>
    <w:p w14:paraId="3E4E12BD">
      <w:pPr>
        <w:pStyle w:val="3"/>
        <w:ind w:firstLine="0" w:firstLineChars="0"/>
        <w:jc w:val="center"/>
        <w:rPr>
          <w:rFonts w:ascii="宋体" w:hAnsi="宋体" w:eastAsia="宋体"/>
          <w:strike w:val="0"/>
          <w:color w:val="auto"/>
          <w:kern w:val="44"/>
          <w:sz w:val="44"/>
          <w:szCs w:val="44"/>
        </w:rPr>
      </w:pPr>
      <w:r>
        <w:rPr>
          <w:rFonts w:ascii="方正小标宋_GBK" w:hAnsi="方正小标宋_GBK" w:eastAsia="方正小标宋_GBK"/>
          <w:strike w:val="0"/>
          <w:color w:val="auto"/>
        </w:rPr>
        <w:br w:type="page"/>
      </w:r>
      <w:r>
        <w:rPr>
          <w:rFonts w:hint="eastAsia" w:ascii="宋体" w:hAnsi="宋体" w:eastAsia="宋体"/>
          <w:strike w:val="0"/>
          <w:color w:val="auto"/>
          <w:kern w:val="44"/>
          <w:sz w:val="44"/>
          <w:szCs w:val="44"/>
        </w:rPr>
        <w:t>投标人须知前附表</w:t>
      </w:r>
    </w:p>
    <w:tbl>
      <w:tblPr>
        <w:tblStyle w:val="51"/>
        <w:tblpPr w:leftFromText="180" w:rightFromText="180" w:vertAnchor="text" w:horzAnchor="margin" w:tblpX="108" w:tblpY="390"/>
        <w:tblW w:w="930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632"/>
      </w:tblGrid>
      <w:tr w14:paraId="26693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EC1DC89">
            <w:pPr>
              <w:snapToGrid w:val="0"/>
              <w:spacing w:line="360" w:lineRule="exact"/>
              <w:ind w:firstLine="0" w:firstLineChars="0"/>
              <w:jc w:val="center"/>
              <w:rPr>
                <w:rFonts w:ascii="宋体" w:hAnsi="宋体"/>
                <w:b/>
                <w:strike w:val="0"/>
                <w:color w:val="auto"/>
                <w:szCs w:val="21"/>
              </w:rPr>
            </w:pPr>
            <w:r>
              <w:rPr>
                <w:rFonts w:hint="eastAsia" w:ascii="宋体" w:hAnsi="宋体"/>
                <w:b/>
                <w:strike w:val="0"/>
                <w:color w:val="auto"/>
                <w:szCs w:val="21"/>
              </w:rPr>
              <w:t>序号</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16360BFD">
            <w:pPr>
              <w:snapToGrid w:val="0"/>
              <w:spacing w:line="360" w:lineRule="exact"/>
              <w:ind w:firstLine="0" w:firstLineChars="0"/>
              <w:jc w:val="center"/>
              <w:rPr>
                <w:rFonts w:ascii="宋体" w:hAnsi="宋体"/>
                <w:b/>
                <w:strike w:val="0"/>
                <w:color w:val="auto"/>
                <w:szCs w:val="21"/>
              </w:rPr>
            </w:pPr>
            <w:r>
              <w:rPr>
                <w:rFonts w:hint="eastAsia" w:ascii="宋体" w:hAnsi="宋体"/>
                <w:b/>
                <w:strike w:val="0"/>
                <w:color w:val="auto"/>
                <w:szCs w:val="21"/>
              </w:rPr>
              <w:t>内容、要求</w:t>
            </w:r>
          </w:p>
        </w:tc>
      </w:tr>
      <w:tr w14:paraId="11BD1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33A2D87">
            <w:pPr>
              <w:ind w:left="-424" w:leftChars="-202" w:firstLine="420"/>
              <w:jc w:val="center"/>
              <w:rPr>
                <w:strike w:val="0"/>
                <w:color w:val="auto"/>
              </w:rPr>
            </w:pPr>
            <w:r>
              <w:rPr>
                <w:strike w:val="0"/>
                <w:color w:val="auto"/>
              </w:rPr>
              <w:t>1</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708BF3E3">
            <w:pPr>
              <w:snapToGrid w:val="0"/>
              <w:spacing w:line="340" w:lineRule="exact"/>
              <w:ind w:firstLine="8" w:firstLineChars="4"/>
              <w:rPr>
                <w:rStyle w:val="60"/>
                <w:rFonts w:hint="eastAsia" w:ascii="宋体" w:hAnsi="宋体" w:eastAsia="宋体"/>
                <w:strike w:val="0"/>
                <w:color w:val="auto"/>
                <w:u w:val="none"/>
                <w:lang w:eastAsia="zh-CN"/>
              </w:rPr>
            </w:pPr>
            <w:r>
              <w:rPr>
                <w:rStyle w:val="60"/>
                <w:rFonts w:hint="eastAsia" w:ascii="宋体" w:hAnsi="宋体"/>
                <w:strike w:val="0"/>
                <w:color w:val="auto"/>
                <w:u w:val="none"/>
              </w:rPr>
              <w:fldChar w:fldCharType="begin"/>
            </w:r>
            <w:r>
              <w:rPr>
                <w:rStyle w:val="60"/>
                <w:rFonts w:hint="eastAsia" w:ascii="宋体" w:hAnsi="宋体"/>
                <w:strike w:val="0"/>
                <w:color w:val="auto"/>
                <w:u w:val="none"/>
              </w:rPr>
              <w:instrText xml:space="preserve"> HYPERLINK  \l "_一、总__则" </w:instrText>
            </w:r>
            <w:r>
              <w:rPr>
                <w:rStyle w:val="60"/>
                <w:rFonts w:hint="eastAsia" w:ascii="宋体" w:hAnsi="宋体"/>
                <w:strike w:val="0"/>
                <w:color w:val="auto"/>
                <w:u w:val="none"/>
              </w:rPr>
              <w:fldChar w:fldCharType="separate"/>
            </w:r>
            <w:r>
              <w:rPr>
                <w:rStyle w:val="60"/>
                <w:rFonts w:hint="eastAsia" w:ascii="宋体" w:hAnsi="宋体"/>
                <w:strike w:val="0"/>
                <w:color w:val="auto"/>
                <w:u w:val="none"/>
              </w:rPr>
              <w:t>项目名称：</w:t>
            </w:r>
            <w:r>
              <w:rPr>
                <w:rStyle w:val="60"/>
                <w:rFonts w:hint="eastAsia" w:ascii="宋体" w:hAnsi="宋体"/>
                <w:strike w:val="0"/>
                <w:color w:val="auto"/>
                <w:u w:val="none"/>
                <w:lang w:eastAsia="zh-CN"/>
              </w:rPr>
              <w:t>2025年浦北县教育局教学设备采购</w:t>
            </w:r>
          </w:p>
          <w:p w14:paraId="5B2AEFA6">
            <w:pPr>
              <w:snapToGrid w:val="0"/>
              <w:spacing w:line="340" w:lineRule="exact"/>
              <w:ind w:firstLine="8" w:firstLineChars="4"/>
              <w:rPr>
                <w:rFonts w:hint="eastAsia" w:hAnsi="宋体" w:eastAsia="宋体"/>
                <w:strike w:val="0"/>
                <w:color w:val="auto"/>
                <w:lang w:eastAsia="zh-CN"/>
              </w:rPr>
            </w:pPr>
            <w:r>
              <w:rPr>
                <w:rStyle w:val="60"/>
                <w:rFonts w:hint="eastAsia" w:ascii="宋体" w:hAnsi="宋体"/>
                <w:strike w:val="0"/>
                <w:color w:val="auto"/>
                <w:u w:val="none"/>
              </w:rPr>
              <w:t>项目编号：</w:t>
            </w:r>
            <w:r>
              <w:rPr>
                <w:rStyle w:val="60"/>
                <w:rFonts w:hint="eastAsia" w:ascii="宋体" w:hAnsi="宋体"/>
                <w:strike w:val="0"/>
                <w:color w:val="auto"/>
                <w:u w:val="none"/>
              </w:rPr>
              <w:fldChar w:fldCharType="end"/>
            </w:r>
            <w:r>
              <w:rPr>
                <w:rStyle w:val="60"/>
                <w:rFonts w:hint="eastAsia" w:ascii="宋体" w:hAnsi="宋体"/>
                <w:strike w:val="0"/>
                <w:color w:val="auto"/>
                <w:u w:val="none"/>
                <w:lang w:eastAsia="zh-CN"/>
              </w:rPr>
              <w:t>QZZC2025-G1-220231-QZSZ</w:t>
            </w:r>
          </w:p>
        </w:tc>
      </w:tr>
      <w:tr w14:paraId="76160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8BCC3C2">
            <w:pPr>
              <w:ind w:left="-424" w:leftChars="-202" w:firstLine="420"/>
              <w:jc w:val="center"/>
              <w:rPr>
                <w:rFonts w:hint="eastAsia"/>
                <w:strike w:val="0"/>
                <w:color w:val="auto"/>
              </w:rPr>
            </w:pPr>
            <w:r>
              <w:rPr>
                <w:strike w:val="0"/>
                <w:color w:val="auto"/>
              </w:rPr>
              <w:t>2</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78061CE2">
            <w:pPr>
              <w:spacing w:line="340" w:lineRule="exact"/>
              <w:ind w:firstLine="8" w:firstLineChars="4"/>
              <w:rPr>
                <w:rStyle w:val="60"/>
                <w:rFonts w:ascii="宋体" w:hAnsi="宋体"/>
                <w:strike w:val="0"/>
                <w:color w:val="auto"/>
                <w:u w:val="none"/>
              </w:rPr>
            </w:pPr>
            <w:r>
              <w:rPr>
                <w:rStyle w:val="60"/>
                <w:rFonts w:ascii="宋体" w:hAnsi="宋体"/>
                <w:strike w:val="0"/>
                <w:color w:val="auto"/>
                <w:u w:val="none"/>
              </w:rPr>
              <w:fldChar w:fldCharType="begin"/>
            </w:r>
            <w:r>
              <w:rPr>
                <w:rStyle w:val="60"/>
                <w:rFonts w:ascii="宋体" w:hAnsi="宋体"/>
                <w:strike w:val="0"/>
                <w:color w:val="auto"/>
                <w:u w:val="none"/>
              </w:rPr>
              <w:instrText xml:space="preserve"> </w:instrText>
            </w:r>
            <w:r>
              <w:rPr>
                <w:rStyle w:val="60"/>
                <w:rFonts w:hint="eastAsia" w:ascii="宋体" w:hAnsi="宋体"/>
                <w:strike w:val="0"/>
                <w:color w:val="auto"/>
                <w:u w:val="none"/>
              </w:rPr>
              <w:instrText xml:space="preserve">HYPERLINK </w:instrText>
            </w:r>
            <w:r>
              <w:rPr>
                <w:rStyle w:val="60"/>
                <w:rFonts w:ascii="宋体" w:hAnsi="宋体"/>
                <w:strike w:val="0"/>
                <w:color w:val="auto"/>
                <w:u w:val="none"/>
              </w:rPr>
              <w:instrText xml:space="preserve"> \l "_一、总__则" </w:instrText>
            </w:r>
            <w:r>
              <w:rPr>
                <w:rStyle w:val="60"/>
                <w:rFonts w:ascii="宋体" w:hAnsi="宋体"/>
                <w:strike w:val="0"/>
                <w:color w:val="auto"/>
                <w:u w:val="none"/>
              </w:rPr>
              <w:fldChar w:fldCharType="separate"/>
            </w:r>
            <w:r>
              <w:rPr>
                <w:rStyle w:val="60"/>
                <w:rFonts w:hint="eastAsia" w:ascii="宋体" w:hAnsi="宋体"/>
                <w:strike w:val="0"/>
                <w:color w:val="auto"/>
                <w:u w:val="none"/>
              </w:rPr>
              <w:t>投标人资格：</w:t>
            </w:r>
          </w:p>
          <w:p w14:paraId="6042328F">
            <w:pPr>
              <w:ind w:firstLine="420"/>
              <w:rPr>
                <w:b/>
                <w:strike w:val="0"/>
                <w:color w:val="auto"/>
              </w:rPr>
            </w:pPr>
            <w:r>
              <w:rPr>
                <w:rFonts w:hint="eastAsia"/>
                <w:strike w:val="0"/>
                <w:color w:val="auto"/>
              </w:rPr>
              <w:t>1.满足《中华人民共和国政府采购法》第二十二条规定；</w:t>
            </w:r>
          </w:p>
          <w:p w14:paraId="0D70B261">
            <w:pPr>
              <w:ind w:firstLine="420"/>
              <w:rPr>
                <w:rFonts w:hint="eastAsia"/>
                <w:strike w:val="0"/>
                <w:color w:val="auto"/>
              </w:rPr>
            </w:pPr>
            <w:r>
              <w:rPr>
                <w:rFonts w:hint="eastAsia"/>
                <w:strike w:val="0"/>
                <w:color w:val="auto"/>
              </w:rPr>
              <w:t>2.落实政府采购政策需满足的资格要求：</w:t>
            </w:r>
            <w:r>
              <w:rPr>
                <w:rFonts w:hint="eastAsia" w:ascii="Times New Roman" w:hAnsi="Times New Roman" w:eastAsia="宋体" w:cs="Times New Roman"/>
                <w:strike w:val="0"/>
                <w:color w:val="auto"/>
                <w:lang w:val="en-US" w:eastAsia="zh-CN"/>
              </w:rPr>
              <w:t>标项一、标项二：无。</w:t>
            </w:r>
          </w:p>
          <w:p w14:paraId="55835E72">
            <w:pPr>
              <w:ind w:firstLine="435" w:firstLineChars="0"/>
              <w:rPr>
                <w:strike w:val="0"/>
                <w:color w:val="auto"/>
              </w:rPr>
            </w:pPr>
            <w:r>
              <w:rPr>
                <w:rFonts w:hint="eastAsia"/>
                <w:strike w:val="0"/>
                <w:color w:val="auto"/>
              </w:rPr>
              <w:t>3.本项目的特定资格要求：无</w:t>
            </w:r>
          </w:p>
          <w:p w14:paraId="06BE2F57">
            <w:pPr>
              <w:spacing w:line="340" w:lineRule="exact"/>
              <w:ind w:firstLine="0" w:firstLineChars="0"/>
              <w:rPr>
                <w:rFonts w:ascii="宋体" w:hAnsi="宋体"/>
                <w:strike w:val="0"/>
                <w:color w:val="auto"/>
              </w:rPr>
            </w:pPr>
            <w:r>
              <w:rPr>
                <w:rStyle w:val="60"/>
                <w:rFonts w:ascii="宋体" w:hAnsi="宋体"/>
                <w:strike w:val="0"/>
                <w:color w:val="auto"/>
                <w:u w:val="none"/>
              </w:rPr>
              <w:fldChar w:fldCharType="end"/>
            </w:r>
          </w:p>
        </w:tc>
      </w:tr>
      <w:tr w14:paraId="5DC12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C4E2A61">
            <w:pPr>
              <w:ind w:left="-424" w:leftChars="-202" w:firstLine="420"/>
              <w:jc w:val="center"/>
              <w:rPr>
                <w:rFonts w:hint="eastAsia" w:eastAsia="宋体"/>
                <w:strike w:val="0"/>
                <w:color w:val="auto"/>
                <w:lang w:val="en-US" w:eastAsia="zh-CN"/>
              </w:rPr>
            </w:pPr>
            <w:r>
              <w:rPr>
                <w:rFonts w:hint="eastAsia"/>
                <w:strike w:val="0"/>
                <w:color w:val="auto"/>
                <w:lang w:val="en-US" w:eastAsia="zh-CN"/>
              </w:rPr>
              <w:t>3</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01E8DBFD">
            <w:pPr>
              <w:ind w:left="0" w:leftChars="0" w:firstLine="0" w:firstLineChars="0"/>
              <w:rPr>
                <w:rStyle w:val="60"/>
                <w:rFonts w:ascii="宋体" w:hAnsi="宋体"/>
                <w:strike w:val="0"/>
                <w:color w:val="auto"/>
                <w:u w:val="none"/>
              </w:rPr>
            </w:pPr>
            <w:r>
              <w:rPr>
                <w:rFonts w:hint="eastAsia"/>
                <w:b/>
                <w:bCs/>
                <w:strike w:val="0"/>
                <w:color w:val="auto"/>
              </w:rPr>
              <w:t>质疑部门联系方式：</w:t>
            </w:r>
            <w:r>
              <w:rPr>
                <w:rFonts w:hint="eastAsia" w:ascii="Times New Roman" w:hAnsi="Times New Roman" w:eastAsia="宋体" w:cs="Times New Roman"/>
                <w:b/>
                <w:bCs/>
                <w:strike w:val="0"/>
                <w:color w:val="auto"/>
                <w:highlight w:val="none"/>
                <w:lang w:val="en-US" w:eastAsia="zh-CN"/>
              </w:rPr>
              <w:t>浦北县教育局  联系电话：</w:t>
            </w:r>
            <w:r>
              <w:rPr>
                <w:rFonts w:hint="eastAsia" w:ascii="Times New Roman" w:hAnsi="Times New Roman" w:eastAsia="宋体" w:cs="Times New Roman"/>
                <w:b/>
                <w:bCs/>
                <w:strike w:val="0"/>
                <w:color w:val="auto"/>
                <w:highlight w:val="none"/>
              </w:rPr>
              <w:t>0777-8212033</w:t>
            </w:r>
            <w:r>
              <w:rPr>
                <w:rFonts w:hint="eastAsia" w:ascii="Times New Roman" w:hAnsi="Times New Roman" w:eastAsia="宋体" w:cs="Times New Roman"/>
                <w:b/>
                <w:bCs/>
                <w:strike w:val="0"/>
                <w:color w:val="auto"/>
                <w:highlight w:val="none"/>
                <w:lang w:eastAsia="zh-CN"/>
              </w:rPr>
              <w:t>，</w:t>
            </w:r>
            <w:r>
              <w:rPr>
                <w:rFonts w:hint="eastAsia" w:ascii="Times New Roman" w:hAnsi="Times New Roman" w:eastAsia="宋体" w:cs="Times New Roman"/>
                <w:b/>
                <w:bCs/>
                <w:strike w:val="0"/>
                <w:color w:val="auto"/>
                <w:highlight w:val="none"/>
                <w:lang w:val="en-US" w:eastAsia="zh-CN"/>
              </w:rPr>
              <w:t>通讯地址：</w:t>
            </w:r>
            <w:r>
              <w:rPr>
                <w:rFonts w:hint="eastAsia" w:ascii="Times New Roman" w:hAnsi="Times New Roman" w:eastAsia="宋体" w:cs="Times New Roman"/>
                <w:b/>
                <w:bCs/>
                <w:strike w:val="0"/>
                <w:color w:val="auto"/>
              </w:rPr>
              <w:t>浦北县小江镇民兴39号</w:t>
            </w:r>
          </w:p>
        </w:tc>
      </w:tr>
      <w:tr w14:paraId="00926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A0CC560">
            <w:pPr>
              <w:ind w:left="-424" w:leftChars="-202" w:firstLine="420"/>
              <w:jc w:val="center"/>
              <w:rPr>
                <w:rFonts w:hint="eastAsia" w:eastAsia="宋体"/>
                <w:strike w:val="0"/>
                <w:color w:val="auto"/>
                <w:lang w:eastAsia="zh-CN"/>
              </w:rPr>
            </w:pPr>
            <w:r>
              <w:rPr>
                <w:rFonts w:hint="eastAsia"/>
                <w:strike w:val="0"/>
                <w:color w:val="auto"/>
                <w:lang w:val="en-US" w:eastAsia="zh-CN"/>
              </w:rPr>
              <w:t>4</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42746343">
            <w:pPr>
              <w:snapToGrid w:val="0"/>
              <w:spacing w:line="340" w:lineRule="exact"/>
              <w:ind w:firstLine="8" w:firstLineChars="4"/>
              <w:rPr>
                <w:rFonts w:ascii="宋体" w:hAnsi="宋体"/>
                <w:strike w:val="0"/>
                <w:color w:val="auto"/>
                <w:szCs w:val="21"/>
              </w:rPr>
            </w:pPr>
            <w:r>
              <w:rPr>
                <w:rFonts w:ascii="宋体" w:hAnsi="宋体"/>
                <w:strike w:val="0"/>
                <w:color w:val="auto"/>
                <w:szCs w:val="21"/>
              </w:rPr>
              <w:fldChar w:fldCharType="begin"/>
            </w:r>
            <w:r>
              <w:rPr>
                <w:rFonts w:ascii="宋体" w:hAnsi="宋体"/>
                <w:strike w:val="0"/>
                <w:color w:val="auto"/>
                <w:szCs w:val="21"/>
              </w:rPr>
              <w:instrText xml:space="preserve"> </w:instrText>
            </w:r>
            <w:r>
              <w:rPr>
                <w:rFonts w:hint="eastAsia" w:ascii="宋体" w:hAnsi="宋体"/>
                <w:strike w:val="0"/>
                <w:color w:val="auto"/>
                <w:szCs w:val="21"/>
              </w:rPr>
              <w:instrText xml:space="preserve">HYPERLINK </w:instrText>
            </w:r>
            <w:r>
              <w:rPr>
                <w:rFonts w:ascii="宋体" w:hAnsi="宋体"/>
                <w:strike w:val="0"/>
                <w:color w:val="auto"/>
                <w:szCs w:val="21"/>
              </w:rPr>
              <w:instrText xml:space="preserve"> \l "_三、投标文件" </w:instrText>
            </w:r>
            <w:r>
              <w:rPr>
                <w:rFonts w:ascii="宋体" w:hAnsi="宋体"/>
                <w:strike w:val="0"/>
                <w:color w:val="auto"/>
                <w:szCs w:val="21"/>
              </w:rPr>
              <w:fldChar w:fldCharType="separate"/>
            </w:r>
            <w:r>
              <w:rPr>
                <w:rStyle w:val="60"/>
                <w:rFonts w:hint="eastAsia" w:ascii="宋体" w:hAnsi="宋体"/>
                <w:strike w:val="0"/>
                <w:color w:val="auto"/>
                <w:szCs w:val="21"/>
                <w:u w:val="none"/>
              </w:rPr>
              <w:t>投标文件组成</w:t>
            </w:r>
            <w:bookmarkStart w:id="65" w:name="_Hlt92979199"/>
            <w:r>
              <w:rPr>
                <w:rStyle w:val="60"/>
                <w:rFonts w:hint="eastAsia" w:ascii="宋体" w:hAnsi="宋体"/>
                <w:strike w:val="0"/>
                <w:color w:val="auto"/>
                <w:szCs w:val="21"/>
                <w:u w:val="none"/>
              </w:rPr>
              <w:t>：</w:t>
            </w:r>
            <w:bookmarkEnd w:id="65"/>
            <w:r>
              <w:rPr>
                <w:rStyle w:val="60"/>
                <w:rFonts w:hint="eastAsia" w:ascii="宋体" w:hAnsi="宋体" w:cs="Arial"/>
                <w:strike w:val="0"/>
                <w:color w:val="auto"/>
                <w:szCs w:val="21"/>
                <w:u w:val="none"/>
              </w:rPr>
              <w:t>资格</w:t>
            </w:r>
            <w:bookmarkStart w:id="66" w:name="_Hlt92979142"/>
            <w:r>
              <w:rPr>
                <w:rStyle w:val="60"/>
                <w:rFonts w:hint="eastAsia" w:ascii="宋体" w:hAnsi="宋体" w:cs="Arial"/>
                <w:strike w:val="0"/>
                <w:color w:val="auto"/>
                <w:szCs w:val="21"/>
                <w:u w:val="none"/>
              </w:rPr>
              <w:t>文</w:t>
            </w:r>
            <w:bookmarkEnd w:id="66"/>
            <w:r>
              <w:rPr>
                <w:rStyle w:val="60"/>
                <w:rFonts w:hint="eastAsia" w:ascii="宋体" w:hAnsi="宋体" w:cs="Arial"/>
                <w:strike w:val="0"/>
                <w:color w:val="auto"/>
                <w:szCs w:val="21"/>
                <w:u w:val="none"/>
              </w:rPr>
              <w:t>件、商务技术文件、</w:t>
            </w:r>
            <w:r>
              <w:rPr>
                <w:rStyle w:val="60"/>
                <w:rFonts w:hint="eastAsia" w:ascii="宋体" w:hAnsi="宋体"/>
                <w:strike w:val="0"/>
                <w:color w:val="auto"/>
                <w:szCs w:val="21"/>
                <w:u w:val="none"/>
              </w:rPr>
              <w:t>报价文件。</w:t>
            </w:r>
            <w:r>
              <w:rPr>
                <w:rFonts w:ascii="宋体" w:hAnsi="宋体"/>
                <w:strike w:val="0"/>
                <w:color w:val="auto"/>
                <w:szCs w:val="21"/>
              </w:rPr>
              <w:fldChar w:fldCharType="end"/>
            </w:r>
          </w:p>
        </w:tc>
      </w:tr>
      <w:tr w14:paraId="3423B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12BE16D">
            <w:pPr>
              <w:ind w:left="-424" w:leftChars="-202" w:firstLine="420"/>
              <w:jc w:val="center"/>
              <w:rPr>
                <w:rFonts w:hint="eastAsia" w:eastAsia="宋体"/>
                <w:strike w:val="0"/>
                <w:color w:val="auto"/>
                <w:lang w:eastAsia="zh-CN"/>
              </w:rPr>
            </w:pPr>
            <w:r>
              <w:rPr>
                <w:rFonts w:hint="eastAsia"/>
                <w:strike w:val="0"/>
                <w:color w:val="auto"/>
                <w:lang w:val="en-US" w:eastAsia="zh-CN"/>
              </w:rPr>
              <w:t>5</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4DABE9C6">
            <w:pPr>
              <w:snapToGrid w:val="0"/>
              <w:spacing w:line="340" w:lineRule="exact"/>
              <w:ind w:firstLine="8" w:firstLineChars="4"/>
              <w:rPr>
                <w:rFonts w:hAnsi="宋体"/>
                <w:strike w:val="0"/>
                <w:color w:val="auto"/>
              </w:rPr>
            </w:pPr>
            <w:r>
              <w:rPr>
                <w:rFonts w:hAnsi="宋体"/>
                <w:strike w:val="0"/>
                <w:color w:val="auto"/>
              </w:rPr>
              <w:fldChar w:fldCharType="begin"/>
            </w:r>
            <w:r>
              <w:rPr>
                <w:rFonts w:hAnsi="宋体"/>
                <w:strike w:val="0"/>
                <w:color w:val="auto"/>
              </w:rPr>
              <w:instrText xml:space="preserve"> </w:instrText>
            </w:r>
            <w:r>
              <w:rPr>
                <w:rFonts w:hint="eastAsia" w:hAnsi="宋体"/>
                <w:strike w:val="0"/>
                <w:color w:val="auto"/>
              </w:rPr>
              <w:instrText xml:space="preserve">HYPERLINK </w:instrText>
            </w:r>
            <w:r>
              <w:rPr>
                <w:rFonts w:hAnsi="宋体"/>
                <w:strike w:val="0"/>
                <w:color w:val="auto"/>
              </w:rPr>
              <w:instrText xml:space="preserve"> \l "_（五）投标报价" </w:instrText>
            </w:r>
            <w:r>
              <w:rPr>
                <w:rFonts w:hAnsi="宋体"/>
                <w:strike w:val="0"/>
                <w:color w:val="auto"/>
              </w:rPr>
              <w:fldChar w:fldCharType="separate"/>
            </w:r>
            <w:r>
              <w:rPr>
                <w:rStyle w:val="60"/>
                <w:rFonts w:hint="eastAsia" w:hAnsi="宋体"/>
                <w:strike w:val="0"/>
                <w:color w:val="auto"/>
                <w:u w:val="none"/>
              </w:rPr>
              <w:t>投标报价：投标人</w:t>
            </w:r>
            <w:r>
              <w:rPr>
                <w:rStyle w:val="60"/>
                <w:rFonts w:hint="eastAsia"/>
                <w:strike w:val="0"/>
                <w:color w:val="auto"/>
                <w:u w:val="none"/>
              </w:rPr>
              <w:t>必须就本项目/标项货物及服务内容作完整唯一报价，否则投标无效。</w:t>
            </w:r>
            <w:r>
              <w:rPr>
                <w:rFonts w:hAnsi="宋体"/>
                <w:strike w:val="0"/>
                <w:color w:val="auto"/>
              </w:rPr>
              <w:fldChar w:fldCharType="end"/>
            </w:r>
          </w:p>
        </w:tc>
      </w:tr>
      <w:tr w14:paraId="5117A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DD9841C">
            <w:pPr>
              <w:ind w:left="-424" w:leftChars="-202" w:firstLine="420"/>
              <w:jc w:val="center"/>
              <w:rPr>
                <w:rFonts w:hint="eastAsia" w:eastAsia="宋体"/>
                <w:strike w:val="0"/>
                <w:color w:val="auto"/>
                <w:lang w:eastAsia="zh-CN"/>
              </w:rPr>
            </w:pPr>
            <w:r>
              <w:rPr>
                <w:rFonts w:hint="eastAsia"/>
                <w:strike w:val="0"/>
                <w:color w:val="auto"/>
                <w:lang w:val="en-US" w:eastAsia="zh-CN"/>
              </w:rPr>
              <w:t>6</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A6A01C2">
            <w:pPr>
              <w:snapToGrid w:val="0"/>
              <w:spacing w:line="340" w:lineRule="exact"/>
              <w:ind w:firstLine="8" w:firstLineChars="4"/>
              <w:rPr>
                <w:rFonts w:hAnsi="宋体"/>
                <w:strike w:val="0"/>
                <w:color w:val="auto"/>
              </w:rPr>
            </w:pPr>
            <w:r>
              <w:rPr>
                <w:rFonts w:hAnsi="宋体"/>
                <w:strike w:val="0"/>
                <w:color w:val="auto"/>
              </w:rPr>
              <w:fldChar w:fldCharType="begin"/>
            </w:r>
            <w:r>
              <w:rPr>
                <w:rFonts w:hAnsi="宋体"/>
                <w:strike w:val="0"/>
                <w:color w:val="auto"/>
              </w:rPr>
              <w:instrText xml:space="preserve"> </w:instrText>
            </w:r>
            <w:r>
              <w:rPr>
                <w:rFonts w:hint="eastAsia" w:hAnsi="宋体"/>
                <w:strike w:val="0"/>
                <w:color w:val="auto"/>
              </w:rPr>
              <w:instrText xml:space="preserve">HYPERLINK </w:instrText>
            </w:r>
            <w:r>
              <w:rPr>
                <w:rFonts w:hAnsi="宋体"/>
                <w:strike w:val="0"/>
                <w:color w:val="auto"/>
              </w:rPr>
              <w:instrText xml:space="preserve"> \l "_（六）投标文件有效期" </w:instrText>
            </w:r>
            <w:r>
              <w:rPr>
                <w:rFonts w:hAnsi="宋体"/>
                <w:strike w:val="0"/>
                <w:color w:val="auto"/>
              </w:rPr>
              <w:fldChar w:fldCharType="separate"/>
            </w:r>
            <w:r>
              <w:rPr>
                <w:rStyle w:val="60"/>
                <w:rFonts w:hint="eastAsia" w:hAnsi="宋体"/>
                <w:strike w:val="0"/>
                <w:color w:val="auto"/>
                <w:u w:val="none"/>
              </w:rPr>
              <w:t>投标有效</w:t>
            </w:r>
            <w:bookmarkStart w:id="67" w:name="_Hlt113541150"/>
            <w:bookmarkStart w:id="68" w:name="_Hlt113541149"/>
            <w:r>
              <w:rPr>
                <w:rStyle w:val="60"/>
                <w:rFonts w:hint="eastAsia" w:hAnsi="宋体"/>
                <w:strike w:val="0"/>
                <w:color w:val="auto"/>
                <w:u w:val="none"/>
              </w:rPr>
              <w:t>期</w:t>
            </w:r>
            <w:bookmarkEnd w:id="67"/>
            <w:bookmarkEnd w:id="68"/>
            <w:r>
              <w:rPr>
                <w:rStyle w:val="60"/>
                <w:rFonts w:hint="eastAsia" w:hAnsi="宋体"/>
                <w:strike w:val="0"/>
                <w:color w:val="auto"/>
                <w:u w:val="none"/>
              </w:rPr>
              <w:t>：9</w:t>
            </w:r>
            <w:r>
              <w:rPr>
                <w:rStyle w:val="60"/>
                <w:rFonts w:hAnsi="宋体"/>
                <w:strike w:val="0"/>
                <w:color w:val="auto"/>
                <w:u w:val="none"/>
              </w:rPr>
              <w:t>0</w:t>
            </w:r>
            <w:bookmarkStart w:id="69" w:name="_Hlt113541412"/>
            <w:r>
              <w:rPr>
                <w:rStyle w:val="60"/>
                <w:rFonts w:hint="eastAsia" w:hAnsi="宋体"/>
                <w:strike w:val="0"/>
                <w:color w:val="auto"/>
                <w:u w:val="none"/>
              </w:rPr>
              <w:t>天</w:t>
            </w:r>
            <w:bookmarkEnd w:id="69"/>
            <w:r>
              <w:rPr>
                <w:rFonts w:hAnsi="宋体"/>
                <w:strike w:val="0"/>
                <w:color w:val="auto"/>
              </w:rPr>
              <w:fldChar w:fldCharType="end"/>
            </w:r>
          </w:p>
        </w:tc>
      </w:tr>
      <w:tr w14:paraId="0B316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F96CAF2">
            <w:pPr>
              <w:ind w:left="-424" w:leftChars="-202" w:firstLine="420"/>
              <w:jc w:val="center"/>
              <w:rPr>
                <w:rFonts w:hint="eastAsia" w:eastAsia="宋体"/>
                <w:strike w:val="0"/>
                <w:color w:val="auto"/>
                <w:lang w:eastAsia="zh-CN"/>
              </w:rPr>
            </w:pPr>
            <w:r>
              <w:rPr>
                <w:rFonts w:hint="eastAsia"/>
                <w:strike w:val="0"/>
                <w:color w:val="auto"/>
                <w:lang w:val="en-US" w:eastAsia="zh-CN"/>
              </w:rPr>
              <w:t>7</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9DFE291">
            <w:pPr>
              <w:widowControl/>
              <w:ind w:firstLine="0" w:firstLineChars="0"/>
              <w:rPr>
                <w:rStyle w:val="60"/>
                <w:rFonts w:hint="eastAsia" w:ascii="宋体" w:hAnsi="宋体" w:cs="宋体"/>
                <w:strike w:val="0"/>
                <w:color w:val="auto"/>
                <w:kern w:val="0"/>
                <w:szCs w:val="21"/>
                <w:u w:val="none"/>
              </w:rPr>
            </w:pPr>
            <w:r>
              <w:rPr>
                <w:rFonts w:ascii="宋体" w:hAnsi="宋体" w:cs="宋体"/>
                <w:strike w:val="0"/>
                <w:color w:val="auto"/>
                <w:kern w:val="0"/>
                <w:szCs w:val="21"/>
              </w:rPr>
              <w:fldChar w:fldCharType="begin"/>
            </w:r>
            <w:r>
              <w:rPr>
                <w:rFonts w:ascii="宋体" w:hAnsi="宋体" w:cs="宋体"/>
                <w:strike w:val="0"/>
                <w:color w:val="auto"/>
                <w:kern w:val="0"/>
                <w:szCs w:val="21"/>
              </w:rPr>
              <w:instrText xml:space="preserve"> </w:instrText>
            </w:r>
            <w:r>
              <w:rPr>
                <w:rFonts w:hint="eastAsia" w:ascii="宋体" w:hAnsi="宋体" w:cs="宋体"/>
                <w:strike w:val="0"/>
                <w:color w:val="auto"/>
                <w:kern w:val="0"/>
                <w:szCs w:val="21"/>
              </w:rPr>
              <w:instrText xml:space="preserve">HYPERLINK </w:instrText>
            </w:r>
            <w:r>
              <w:rPr>
                <w:rFonts w:ascii="宋体" w:hAnsi="宋体" w:cs="宋体"/>
                <w:strike w:val="0"/>
                <w:color w:val="auto"/>
                <w:kern w:val="0"/>
                <w:szCs w:val="21"/>
              </w:rPr>
              <w:instrText xml:space="preserve"> \l "_（七）投标保证金" </w:instrText>
            </w:r>
            <w:r>
              <w:rPr>
                <w:rFonts w:ascii="宋体" w:hAnsi="宋体" w:cs="宋体"/>
                <w:strike w:val="0"/>
                <w:color w:val="auto"/>
                <w:kern w:val="0"/>
                <w:szCs w:val="21"/>
              </w:rPr>
              <w:fldChar w:fldCharType="separate"/>
            </w:r>
            <w:r>
              <w:rPr>
                <w:rStyle w:val="60"/>
                <w:rFonts w:hint="eastAsia" w:ascii="宋体" w:hAnsi="宋体" w:cs="宋体"/>
                <w:strike w:val="0"/>
                <w:color w:val="auto"/>
                <w:kern w:val="0"/>
                <w:szCs w:val="21"/>
                <w:u w:val="none"/>
              </w:rPr>
              <w:t>投标保证金：</w:t>
            </w:r>
            <w:r>
              <w:rPr>
                <w:rFonts w:hint="eastAsia"/>
                <w:strike w:val="0"/>
                <w:color w:val="auto"/>
                <w:highlight w:val="none"/>
                <w:lang w:val="en-US" w:eastAsia="zh-CN"/>
              </w:rPr>
              <w:t>标项一：18</w:t>
            </w:r>
            <w:r>
              <w:rPr>
                <w:rFonts w:hint="eastAsia"/>
                <w:strike w:val="0"/>
                <w:color w:val="auto"/>
                <w:highlight w:val="none"/>
              </w:rPr>
              <w:t>000.00元</w:t>
            </w:r>
            <w:r>
              <w:rPr>
                <w:rFonts w:hint="eastAsia"/>
                <w:strike w:val="0"/>
                <w:color w:val="auto"/>
                <w:highlight w:val="none"/>
                <w:lang w:eastAsia="zh-CN"/>
              </w:rPr>
              <w:t>；</w:t>
            </w:r>
            <w:r>
              <w:rPr>
                <w:rFonts w:hint="eastAsia"/>
                <w:strike w:val="0"/>
                <w:color w:val="auto"/>
                <w:highlight w:val="none"/>
                <w:lang w:val="en-US" w:eastAsia="zh-CN"/>
              </w:rPr>
              <w:t>标项二：15</w:t>
            </w:r>
            <w:r>
              <w:rPr>
                <w:rFonts w:hint="eastAsia"/>
                <w:strike w:val="0"/>
                <w:color w:val="auto"/>
                <w:highlight w:val="none"/>
              </w:rPr>
              <w:t>000.00元</w:t>
            </w:r>
          </w:p>
          <w:p w14:paraId="3E5787ED">
            <w:pPr>
              <w:widowControl/>
              <w:ind w:firstLine="0" w:firstLineChars="0"/>
              <w:rPr>
                <w:rStyle w:val="60"/>
                <w:rFonts w:hint="eastAsia" w:ascii="宋体"/>
                <w:strike w:val="0"/>
                <w:color w:val="auto"/>
                <w:szCs w:val="21"/>
                <w:u w:val="none"/>
              </w:rPr>
            </w:pPr>
            <w:r>
              <w:rPr>
                <w:rStyle w:val="60"/>
                <w:rFonts w:hint="eastAsia" w:ascii="宋体"/>
                <w:strike w:val="0"/>
                <w:color w:val="auto"/>
                <w:szCs w:val="21"/>
                <w:u w:val="none"/>
              </w:rPr>
              <w:t>注：</w:t>
            </w:r>
            <w:r>
              <w:rPr>
                <w:rStyle w:val="60"/>
                <w:rFonts w:hint="eastAsia"/>
                <w:strike w:val="0"/>
                <w:color w:val="auto"/>
                <w:szCs w:val="21"/>
                <w:u w:val="none"/>
              </w:rPr>
              <w:t>1.</w:t>
            </w:r>
            <w:r>
              <w:rPr>
                <w:rStyle w:val="60"/>
                <w:rFonts w:hint="eastAsia"/>
                <w:strike w:val="0"/>
                <w:color w:val="auto"/>
                <w:u w:val="none"/>
              </w:rPr>
              <w:t>以支票、汇票、本票或者金融机构、担保机构出具的保函等形式提交保证金的，</w:t>
            </w:r>
            <w:r>
              <w:rPr>
                <w:rStyle w:val="60"/>
                <w:rFonts w:hint="eastAsia"/>
                <w:b/>
                <w:bCs/>
                <w:strike w:val="0"/>
                <w:color w:val="auto"/>
                <w:u w:val="none"/>
              </w:rPr>
              <w:t>投标人必须将</w:t>
            </w:r>
            <w:bookmarkStart w:id="70" w:name="_Hlk94188895"/>
            <w:r>
              <w:rPr>
                <w:rStyle w:val="60"/>
                <w:rFonts w:hint="eastAsia"/>
                <w:b/>
                <w:bCs/>
                <w:strike w:val="0"/>
                <w:color w:val="auto"/>
                <w:u w:val="none"/>
              </w:rPr>
              <w:t>票据、保函</w:t>
            </w:r>
            <w:bookmarkEnd w:id="70"/>
            <w:r>
              <w:rPr>
                <w:rStyle w:val="60"/>
                <w:rFonts w:hint="eastAsia"/>
                <w:b/>
                <w:bCs/>
                <w:strike w:val="0"/>
                <w:color w:val="auto"/>
                <w:u w:val="none"/>
              </w:rPr>
              <w:t>等原件于投标文件提交截止时间前递交至本中心财务室</w:t>
            </w:r>
            <w:r>
              <w:rPr>
                <w:rStyle w:val="60"/>
                <w:rFonts w:hint="eastAsia"/>
                <w:strike w:val="0"/>
                <w:color w:val="auto"/>
                <w:u w:val="none"/>
              </w:rPr>
              <w:t>。</w:t>
            </w:r>
          </w:p>
          <w:p w14:paraId="7287B3A1">
            <w:pPr>
              <w:autoSpaceDE w:val="0"/>
              <w:autoSpaceDN w:val="0"/>
              <w:snapToGrid w:val="0"/>
              <w:ind w:firstLine="8" w:firstLineChars="4"/>
              <w:textAlignment w:val="bottom"/>
              <w:rPr>
                <w:rFonts w:ascii="宋体" w:hAnsi="宋体"/>
                <w:strike w:val="0"/>
                <w:color w:val="auto"/>
                <w:szCs w:val="21"/>
              </w:rPr>
            </w:pPr>
            <w:r>
              <w:rPr>
                <w:rStyle w:val="60"/>
                <w:rFonts w:hint="eastAsia"/>
                <w:strike w:val="0"/>
                <w:color w:val="auto"/>
                <w:u w:val="none"/>
              </w:rPr>
              <w:t>2.</w:t>
            </w:r>
            <w:r>
              <w:rPr>
                <w:rStyle w:val="60"/>
                <w:rFonts w:hint="eastAsia"/>
                <w:strike w:val="0"/>
                <w:color w:val="auto"/>
                <w:szCs w:val="21"/>
                <w:u w:val="none"/>
              </w:rPr>
              <w:t>以网上银行</w:t>
            </w:r>
            <w:r>
              <w:rPr>
                <w:rStyle w:val="60"/>
                <w:rFonts w:hint="eastAsia" w:ascii="宋体" w:hAnsi="宋体"/>
                <w:strike w:val="0"/>
                <w:color w:val="auto"/>
                <w:szCs w:val="21"/>
                <w:u w:val="none"/>
              </w:rPr>
              <w:t>形</w:t>
            </w:r>
            <w:r>
              <w:rPr>
                <w:rStyle w:val="60"/>
                <w:rFonts w:hint="eastAsia"/>
                <w:strike w:val="0"/>
                <w:color w:val="auto"/>
                <w:szCs w:val="21"/>
                <w:u w:val="none"/>
              </w:rPr>
              <w:t>式提交保证金的，投标人必须于投标文件提交截止时间前从投标人账户缴存至本中心银行账户（以到账时间为准）。</w:t>
            </w:r>
            <w:r>
              <w:rPr>
                <w:rFonts w:ascii="宋体" w:hAnsi="宋体" w:cs="宋体"/>
                <w:strike w:val="0"/>
                <w:color w:val="auto"/>
                <w:kern w:val="0"/>
                <w:szCs w:val="21"/>
              </w:rPr>
              <w:fldChar w:fldCharType="end"/>
            </w:r>
          </w:p>
        </w:tc>
      </w:tr>
      <w:tr w14:paraId="66D71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199E40E1">
            <w:pPr>
              <w:ind w:left="-424" w:leftChars="-202" w:firstLine="420"/>
              <w:jc w:val="center"/>
              <w:rPr>
                <w:rFonts w:hint="eastAsia" w:eastAsia="宋体"/>
                <w:strike w:val="0"/>
                <w:color w:val="auto"/>
                <w:lang w:eastAsia="zh-CN"/>
              </w:rPr>
            </w:pPr>
            <w:r>
              <w:rPr>
                <w:rFonts w:hint="eastAsia"/>
                <w:strike w:val="0"/>
                <w:color w:val="auto"/>
                <w:lang w:val="en-US" w:eastAsia="zh-CN"/>
              </w:rPr>
              <w:t>8</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61E8CB48">
            <w:pPr>
              <w:pStyle w:val="28"/>
              <w:ind w:firstLine="8" w:firstLineChars="4"/>
              <w:rPr>
                <w:rStyle w:val="60"/>
                <w:strike w:val="0"/>
                <w:color w:val="auto"/>
                <w:u w:val="none"/>
              </w:rPr>
            </w:pPr>
            <w:r>
              <w:rPr>
                <w:b/>
                <w:strike w:val="0"/>
                <w:color w:val="auto"/>
              </w:rPr>
              <w:fldChar w:fldCharType="begin"/>
            </w:r>
            <w:r>
              <w:rPr>
                <w:b/>
                <w:strike w:val="0"/>
                <w:color w:val="auto"/>
              </w:rPr>
              <w:instrText xml:space="preserve"> </w:instrText>
            </w:r>
            <w:r>
              <w:rPr>
                <w:rFonts w:hint="eastAsia"/>
                <w:b/>
                <w:strike w:val="0"/>
                <w:color w:val="auto"/>
              </w:rPr>
              <w:instrText xml:space="preserve">HYPERLINK </w:instrText>
            </w:r>
            <w:r>
              <w:rPr>
                <w:b/>
                <w:strike w:val="0"/>
                <w:color w:val="auto"/>
              </w:rPr>
              <w:instrText xml:space="preserve"> \l "</w:instrText>
            </w:r>
            <w:r>
              <w:rPr>
                <w:rFonts w:hint="eastAsia"/>
                <w:b/>
                <w:strike w:val="0"/>
                <w:color w:val="auto"/>
              </w:rPr>
              <w:instrText xml:space="preserve">_四、开标</w:instrText>
            </w:r>
            <w:r>
              <w:rPr>
                <w:b/>
                <w:strike w:val="0"/>
                <w:color w:val="auto"/>
              </w:rPr>
              <w:instrText xml:space="preserve">" </w:instrText>
            </w:r>
            <w:r>
              <w:rPr>
                <w:b/>
                <w:strike w:val="0"/>
                <w:color w:val="auto"/>
              </w:rPr>
              <w:fldChar w:fldCharType="separate"/>
            </w:r>
            <w:r>
              <w:rPr>
                <w:rStyle w:val="60"/>
                <w:rFonts w:hint="eastAsia"/>
                <w:b/>
                <w:strike w:val="0"/>
                <w:color w:val="auto"/>
                <w:u w:val="none"/>
              </w:rPr>
              <w:t>投标文件提交截止时间及开标时间：</w:t>
            </w:r>
            <w:r>
              <w:rPr>
                <w:rFonts w:hint="eastAsia" w:ascii="宋体" w:hAnsi="宋体"/>
                <w:strike w:val="0"/>
                <w:color w:val="auto"/>
                <w:szCs w:val="21"/>
                <w:lang w:val="en-US" w:eastAsia="zh-CN"/>
              </w:rPr>
              <w:t>2025</w:t>
            </w:r>
            <w:r>
              <w:rPr>
                <w:rFonts w:hint="eastAsia" w:ascii="宋体" w:hAnsi="宋体"/>
                <w:strike w:val="0"/>
                <w:color w:val="auto"/>
                <w:szCs w:val="21"/>
              </w:rPr>
              <w:t>年</w:t>
            </w:r>
            <w:r>
              <w:rPr>
                <w:rFonts w:hint="eastAsia" w:ascii="宋体" w:hAnsi="宋体"/>
                <w:strike w:val="0"/>
                <w:color w:val="auto"/>
                <w:szCs w:val="21"/>
                <w:lang w:val="en-US" w:eastAsia="zh-CN"/>
              </w:rPr>
              <w:t>12</w:t>
            </w:r>
            <w:r>
              <w:rPr>
                <w:rFonts w:hint="eastAsia" w:ascii="宋体" w:hAnsi="宋体"/>
                <w:strike w:val="0"/>
                <w:color w:val="auto"/>
                <w:szCs w:val="21"/>
              </w:rPr>
              <w:t>月</w:t>
            </w:r>
            <w:r>
              <w:rPr>
                <w:rFonts w:hint="eastAsia" w:ascii="宋体" w:hAnsi="宋体"/>
                <w:strike w:val="0"/>
                <w:color w:val="auto"/>
                <w:szCs w:val="21"/>
                <w:lang w:val="en-US" w:eastAsia="zh-CN"/>
              </w:rPr>
              <w:t>22</w:t>
            </w:r>
            <w:r>
              <w:rPr>
                <w:rFonts w:hint="eastAsia" w:ascii="宋体" w:hAnsi="宋体"/>
                <w:strike w:val="0"/>
                <w:color w:val="auto"/>
                <w:szCs w:val="21"/>
              </w:rPr>
              <w:t>日</w:t>
            </w:r>
            <w:r>
              <w:rPr>
                <w:rFonts w:hint="eastAsia" w:ascii="宋体" w:hAnsi="宋体"/>
                <w:strike w:val="0"/>
                <w:color w:val="auto"/>
                <w:szCs w:val="21"/>
                <w:lang w:val="en-US" w:eastAsia="zh-CN"/>
              </w:rPr>
              <w:t>10</w:t>
            </w:r>
            <w:r>
              <w:rPr>
                <w:rFonts w:hint="eastAsia" w:ascii="宋体" w:hAnsi="宋体"/>
                <w:strike w:val="0"/>
                <w:color w:val="auto"/>
                <w:szCs w:val="21"/>
              </w:rPr>
              <w:t>:</w:t>
            </w:r>
            <w:r>
              <w:rPr>
                <w:rFonts w:hint="eastAsia" w:ascii="宋体" w:hAnsi="宋体"/>
                <w:strike w:val="0"/>
                <w:color w:val="auto"/>
                <w:szCs w:val="21"/>
                <w:lang w:val="en-US" w:eastAsia="zh-CN"/>
              </w:rPr>
              <w:t>00</w:t>
            </w:r>
          </w:p>
          <w:p w14:paraId="44C9336B">
            <w:pPr>
              <w:ind w:firstLine="8" w:firstLineChars="4"/>
              <w:rPr>
                <w:rStyle w:val="60"/>
                <w:rFonts w:hint="eastAsia"/>
                <w:strike w:val="0"/>
                <w:color w:val="auto"/>
                <w:szCs w:val="21"/>
                <w:u w:val="none"/>
              </w:rPr>
            </w:pPr>
            <w:r>
              <w:rPr>
                <w:rStyle w:val="60"/>
                <w:rFonts w:hint="eastAsia"/>
                <w:strike w:val="0"/>
                <w:color w:val="auto"/>
                <w:szCs w:val="21"/>
                <w:u w:val="none"/>
              </w:rPr>
              <w:t>投标地点(网址）：</w:t>
            </w:r>
            <w:r>
              <w:rPr>
                <w:rFonts w:hint="eastAsia" w:ascii="宋体" w:hAnsi="宋体"/>
                <w:strike w:val="0"/>
                <w:color w:val="auto"/>
                <w:szCs w:val="21"/>
              </w:rPr>
              <w:t>广西政府采购云平台（https://www.gcy.zfcg.gxzf.gov.cn/）</w:t>
            </w:r>
          </w:p>
          <w:p w14:paraId="59C9D419">
            <w:pPr>
              <w:ind w:firstLine="8" w:firstLineChars="4"/>
              <w:rPr>
                <w:rStyle w:val="60"/>
                <w:strike w:val="0"/>
                <w:color w:val="auto"/>
                <w:szCs w:val="21"/>
                <w:u w:val="none"/>
              </w:rPr>
            </w:pPr>
            <w:r>
              <w:rPr>
                <w:rStyle w:val="60"/>
                <w:rFonts w:hint="eastAsia"/>
                <w:strike w:val="0"/>
                <w:color w:val="auto"/>
                <w:szCs w:val="21"/>
                <w:u w:val="none"/>
              </w:rPr>
              <w:t>开标地点：</w:t>
            </w:r>
            <w:r>
              <w:rPr>
                <w:rFonts w:hint="eastAsia"/>
                <w:strike w:val="0"/>
                <w:color w:val="auto"/>
              </w:rPr>
              <w:t>广西钦州市金海湾东大街8号市政务服务中心三楼开标室</w:t>
            </w:r>
          </w:p>
          <w:p w14:paraId="26E631A4">
            <w:pPr>
              <w:ind w:firstLine="8" w:firstLineChars="4"/>
              <w:rPr>
                <w:rFonts w:hint="eastAsia"/>
                <w:b/>
                <w:bCs/>
                <w:strike w:val="0"/>
                <w:color w:val="auto"/>
              </w:rPr>
            </w:pPr>
            <w:r>
              <w:rPr>
                <w:rStyle w:val="60"/>
                <w:rFonts w:hint="eastAsia"/>
                <w:b/>
                <w:bCs/>
                <w:strike w:val="0"/>
                <w:color w:val="auto"/>
                <w:u w:val="none"/>
              </w:rPr>
              <w:t>注：</w:t>
            </w:r>
            <w:bookmarkStart w:id="71" w:name="_Hlk90299755"/>
            <w:r>
              <w:rPr>
                <w:rStyle w:val="60"/>
                <w:rFonts w:hint="eastAsia"/>
                <w:b/>
                <w:bCs/>
                <w:strike w:val="0"/>
                <w:color w:val="auto"/>
                <w:u w:val="none"/>
              </w:rPr>
              <w:t>投标人法定代表人或委托代理人须按时登录</w:t>
            </w:r>
            <w:r>
              <w:rPr>
                <w:rStyle w:val="60"/>
                <w:rFonts w:hint="eastAsia" w:ascii="宋体" w:hAnsi="宋体" w:cs="Courier New"/>
                <w:b/>
                <w:bCs/>
                <w:strike w:val="0"/>
                <w:color w:val="auto"/>
                <w:szCs w:val="21"/>
                <w:u w:val="none"/>
              </w:rPr>
              <w:t>政采云远程开标大厅</w:t>
            </w:r>
            <w:r>
              <w:rPr>
                <w:rStyle w:val="60"/>
                <w:rFonts w:hint="eastAsia"/>
                <w:b/>
                <w:bCs/>
                <w:strike w:val="0"/>
                <w:color w:val="auto"/>
                <w:u w:val="none"/>
              </w:rPr>
              <w:t>，保持全程在线并关注开标评标进度，评标期间评标委员会提出澄清等要求时，投标人须在规定时间内进行在线应答，否则按招标文件或政采云平台的相关规定执行。</w:t>
            </w:r>
            <w:bookmarkEnd w:id="71"/>
            <w:r>
              <w:rPr>
                <w:rFonts w:ascii="宋体" w:hAnsi="Courier New" w:cs="Courier New"/>
                <w:b/>
                <w:strike w:val="0"/>
                <w:color w:val="auto"/>
                <w:szCs w:val="21"/>
              </w:rPr>
              <w:fldChar w:fldCharType="end"/>
            </w:r>
          </w:p>
        </w:tc>
      </w:tr>
      <w:tr w14:paraId="3636E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629EE6E">
            <w:pPr>
              <w:ind w:left="-424" w:leftChars="-202" w:firstLine="420"/>
              <w:jc w:val="center"/>
              <w:rPr>
                <w:rFonts w:hint="default" w:eastAsia="宋体"/>
                <w:strike w:val="0"/>
                <w:color w:val="auto"/>
                <w:lang w:val="en-US" w:eastAsia="zh-CN"/>
              </w:rPr>
            </w:pPr>
            <w:r>
              <w:rPr>
                <w:rFonts w:hint="eastAsia"/>
                <w:strike w:val="0"/>
                <w:color w:val="auto"/>
                <w:lang w:val="en-US" w:eastAsia="zh-CN"/>
              </w:rPr>
              <w:t>9</w:t>
            </w:r>
          </w:p>
        </w:tc>
        <w:tc>
          <w:tcPr>
            <w:tcW w:w="8632" w:type="dxa"/>
            <w:tcBorders>
              <w:top w:val="single" w:color="auto" w:sz="4" w:space="0"/>
              <w:left w:val="single" w:color="auto" w:sz="4" w:space="0"/>
              <w:bottom w:val="single" w:color="auto" w:sz="4" w:space="0"/>
              <w:right w:val="single" w:color="auto" w:sz="4" w:space="0"/>
            </w:tcBorders>
            <w:noWrap w:val="0"/>
            <w:vAlign w:val="center"/>
          </w:tcPr>
          <w:p w14:paraId="15B3FBE6">
            <w:pPr>
              <w:autoSpaceDE w:val="0"/>
              <w:autoSpaceDN w:val="0"/>
              <w:snapToGrid w:val="0"/>
              <w:spacing w:line="340" w:lineRule="exact"/>
              <w:ind w:firstLine="0" w:firstLineChars="0"/>
              <w:textAlignment w:val="bottom"/>
              <w:rPr>
                <w:rFonts w:ascii="宋体" w:hAnsi="宋体"/>
                <w:strike w:val="0"/>
                <w:color w:val="auto"/>
                <w:szCs w:val="21"/>
              </w:rPr>
            </w:pPr>
            <w:r>
              <w:rPr>
                <w:rFonts w:ascii="宋体" w:hAnsi="宋体"/>
                <w:strike w:val="0"/>
                <w:color w:val="auto"/>
                <w:szCs w:val="21"/>
              </w:rPr>
              <w:fldChar w:fldCharType="begin"/>
            </w:r>
            <w:r>
              <w:rPr>
                <w:rFonts w:ascii="宋体" w:hAnsi="宋体"/>
                <w:strike w:val="0"/>
                <w:color w:val="auto"/>
                <w:szCs w:val="21"/>
              </w:rPr>
              <w:instrText xml:space="preserve"> </w:instrText>
            </w:r>
            <w:r>
              <w:rPr>
                <w:rFonts w:hint="eastAsia" w:ascii="宋体" w:hAnsi="宋体"/>
                <w:strike w:val="0"/>
                <w:color w:val="auto"/>
                <w:szCs w:val="21"/>
              </w:rPr>
              <w:instrText xml:space="preserve">HYPERLINK </w:instrText>
            </w:r>
            <w:r>
              <w:rPr>
                <w:rFonts w:ascii="宋体" w:hAnsi="宋体"/>
                <w:strike w:val="0"/>
                <w:color w:val="auto"/>
                <w:szCs w:val="21"/>
              </w:rPr>
              <w:instrText xml:space="preserve"> \l "_五、评标" </w:instrText>
            </w:r>
            <w:r>
              <w:rPr>
                <w:rFonts w:ascii="宋体" w:hAnsi="宋体"/>
                <w:strike w:val="0"/>
                <w:color w:val="auto"/>
                <w:szCs w:val="21"/>
              </w:rPr>
              <w:fldChar w:fldCharType="separate"/>
            </w:r>
            <w:r>
              <w:rPr>
                <w:rStyle w:val="60"/>
                <w:rFonts w:hint="eastAsia" w:ascii="宋体" w:hAnsi="宋体"/>
                <w:strike w:val="0"/>
                <w:color w:val="auto"/>
                <w:szCs w:val="21"/>
                <w:u w:val="none"/>
              </w:rPr>
              <w:t>评标</w:t>
            </w:r>
            <w:bookmarkStart w:id="72" w:name="_Hlt111715137"/>
            <w:bookmarkStart w:id="73" w:name="_Hlt111715136"/>
            <w:r>
              <w:rPr>
                <w:rStyle w:val="60"/>
                <w:rFonts w:hint="eastAsia" w:ascii="宋体" w:hAnsi="宋体"/>
                <w:strike w:val="0"/>
                <w:color w:val="auto"/>
                <w:szCs w:val="21"/>
                <w:u w:val="none"/>
              </w:rPr>
              <w:t>方</w:t>
            </w:r>
            <w:bookmarkEnd w:id="72"/>
            <w:bookmarkEnd w:id="73"/>
            <w:r>
              <w:rPr>
                <w:rStyle w:val="60"/>
                <w:rFonts w:hint="eastAsia" w:ascii="宋体" w:hAnsi="宋体"/>
                <w:strike w:val="0"/>
                <w:color w:val="auto"/>
                <w:szCs w:val="21"/>
                <w:u w:val="none"/>
              </w:rPr>
              <w:t>法：</w:t>
            </w:r>
            <w:r>
              <w:rPr>
                <w:rStyle w:val="60"/>
                <w:rFonts w:hint="eastAsia"/>
                <w:strike w:val="0"/>
                <w:color w:val="auto"/>
                <w:u w:val="none"/>
              </w:rPr>
              <w:t>综合评分法</w:t>
            </w:r>
            <w:r>
              <w:rPr>
                <w:rFonts w:ascii="宋体" w:hAnsi="宋体"/>
                <w:strike w:val="0"/>
                <w:color w:val="auto"/>
                <w:szCs w:val="21"/>
              </w:rPr>
              <w:fldChar w:fldCharType="end"/>
            </w:r>
          </w:p>
        </w:tc>
      </w:tr>
      <w:tr w14:paraId="086F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noWrap w:val="0"/>
            <w:vAlign w:val="center"/>
          </w:tcPr>
          <w:p w14:paraId="5A552519">
            <w:pPr>
              <w:ind w:left="-424" w:leftChars="-202" w:firstLine="420"/>
              <w:jc w:val="center"/>
              <w:rPr>
                <w:rFonts w:hint="default" w:eastAsia="宋体"/>
                <w:strike w:val="0"/>
                <w:color w:val="auto"/>
                <w:lang w:val="en-US" w:eastAsia="zh-CN"/>
              </w:rPr>
            </w:pPr>
            <w:r>
              <w:rPr>
                <w:rFonts w:hint="eastAsia"/>
                <w:strike w:val="0"/>
                <w:color w:val="auto"/>
                <w:lang w:val="en-US" w:eastAsia="zh-CN"/>
              </w:rPr>
              <w:t>10</w:t>
            </w:r>
          </w:p>
        </w:tc>
        <w:tc>
          <w:tcPr>
            <w:tcW w:w="8632" w:type="dxa"/>
            <w:noWrap w:val="0"/>
            <w:vAlign w:val="center"/>
          </w:tcPr>
          <w:p w14:paraId="7F63B36B">
            <w:pPr>
              <w:pStyle w:val="28"/>
              <w:spacing w:line="340" w:lineRule="exact"/>
              <w:ind w:firstLine="8" w:firstLineChars="4"/>
              <w:rPr>
                <w:strike w:val="0"/>
                <w:color w:val="auto"/>
              </w:rPr>
            </w:pPr>
            <w:r>
              <w:rPr>
                <w:rStyle w:val="60"/>
                <w:rFonts w:hint="eastAsia" w:ascii="Times New Roman" w:hAnsi="宋体" w:eastAsia="宋体" w:cs="Times New Roman"/>
                <w:strike w:val="0"/>
                <w:color w:val="auto"/>
                <w:u w:val="none"/>
              </w:rPr>
              <w:fldChar w:fldCharType="begin"/>
            </w:r>
            <w:r>
              <w:rPr>
                <w:rStyle w:val="60"/>
                <w:rFonts w:hint="eastAsia" w:ascii="Times New Roman" w:hAnsi="宋体" w:eastAsia="宋体" w:cs="Times New Roman"/>
                <w:strike w:val="0"/>
                <w:color w:val="auto"/>
                <w:u w:val="none"/>
              </w:rPr>
              <w:instrText xml:space="preserve"> HYPERLINK  \l "_九、其他事项" </w:instrText>
            </w:r>
            <w:r>
              <w:rPr>
                <w:rStyle w:val="60"/>
                <w:rFonts w:hint="eastAsia" w:ascii="Times New Roman" w:hAnsi="宋体" w:eastAsia="宋体" w:cs="Times New Roman"/>
                <w:strike w:val="0"/>
                <w:color w:val="auto"/>
                <w:u w:val="none"/>
              </w:rPr>
              <w:fldChar w:fldCharType="separate"/>
            </w:r>
            <w:r>
              <w:rPr>
                <w:rStyle w:val="60"/>
                <w:rFonts w:hint="eastAsia" w:ascii="Times New Roman" w:hAnsi="宋体" w:eastAsia="宋体" w:cs="Times New Roman"/>
                <w:strike w:val="0"/>
                <w:color w:val="auto"/>
                <w:u w:val="none"/>
              </w:rPr>
              <w:t>代理服务费：本中心按钦州市物价局“钦市价费﹝2013﹞4号”文件规定向中标人收取代理服务费。中标人应向本中心一次性付清代理服务费。</w:t>
            </w:r>
            <w:r>
              <w:rPr>
                <w:rStyle w:val="60"/>
                <w:rFonts w:hint="eastAsia" w:ascii="Times New Roman" w:hAnsi="宋体" w:eastAsia="宋体" w:cs="Times New Roman"/>
                <w:strike w:val="0"/>
                <w:color w:val="auto"/>
                <w:u w:val="none"/>
              </w:rPr>
              <w:fldChar w:fldCharType="end"/>
            </w:r>
          </w:p>
        </w:tc>
      </w:tr>
    </w:tbl>
    <w:p w14:paraId="2218181C">
      <w:pPr>
        <w:ind w:firstLine="0" w:firstLineChars="0"/>
        <w:jc w:val="left"/>
        <w:rPr>
          <w:strike w:val="0"/>
          <w:color w:val="auto"/>
        </w:rPr>
      </w:pPr>
      <w:r>
        <w:rPr>
          <w:strike w:val="0"/>
          <w:color w:val="auto"/>
        </w:rPr>
        <w:br w:type="page"/>
      </w:r>
      <w:bookmarkStart w:id="74" w:name="_Toc352578861"/>
      <w:bookmarkStart w:id="75" w:name="_Toc352578891"/>
      <w:bookmarkStart w:id="76" w:name="_Toc353785275"/>
      <w:bookmarkStart w:id="77" w:name="_Toc352700405"/>
      <w:bookmarkStart w:id="78" w:name="_Toc352578843"/>
    </w:p>
    <w:p w14:paraId="116C4806">
      <w:pPr>
        <w:spacing w:line="520" w:lineRule="exact"/>
        <w:ind w:firstLine="0" w:firstLineChars="0"/>
        <w:jc w:val="center"/>
        <w:rPr>
          <w:rFonts w:ascii="仿宋_GB2312" w:hAnsi="宋体" w:eastAsia="仿宋_GB2312"/>
          <w:b/>
          <w:strike w:val="0"/>
          <w:color w:val="auto"/>
          <w:sz w:val="44"/>
          <w:szCs w:val="44"/>
        </w:rPr>
      </w:pPr>
      <w:bookmarkStart w:id="79" w:name="_Hlk92374740"/>
      <w:r>
        <w:rPr>
          <w:rFonts w:hint="eastAsia"/>
          <w:b/>
          <w:strike w:val="0"/>
          <w:color w:val="auto"/>
          <w:sz w:val="44"/>
          <w:szCs w:val="44"/>
        </w:rPr>
        <w:t>投标人须知</w:t>
      </w:r>
      <w:bookmarkEnd w:id="74"/>
      <w:bookmarkEnd w:id="75"/>
      <w:bookmarkEnd w:id="76"/>
      <w:bookmarkEnd w:id="77"/>
      <w:bookmarkEnd w:id="78"/>
    </w:p>
    <w:p w14:paraId="060E35D6">
      <w:pPr>
        <w:pStyle w:val="3"/>
        <w:spacing w:before="0" w:after="0" w:line="400" w:lineRule="exact"/>
        <w:ind w:firstLine="0" w:firstLineChars="0"/>
        <w:rPr>
          <w:rFonts w:hint="eastAsia" w:ascii="方正小标宋_GBK" w:eastAsia="方正小标宋_GBK"/>
          <w:strike w:val="0"/>
          <w:color w:val="auto"/>
          <w:sz w:val="24"/>
          <w:szCs w:val="24"/>
        </w:rPr>
      </w:pPr>
      <w:bookmarkStart w:id="80" w:name="_一、总__则"/>
      <w:bookmarkEnd w:id="80"/>
      <w:bookmarkStart w:id="81" w:name="_Toc353785276"/>
      <w:bookmarkStart w:id="82" w:name="_Toc352700406"/>
      <w:r>
        <w:rPr>
          <w:rFonts w:hint="eastAsia" w:ascii="方正小标宋_GBK" w:eastAsia="方正小标宋_GBK"/>
          <w:strike w:val="0"/>
          <w:color w:val="auto"/>
          <w:sz w:val="24"/>
          <w:szCs w:val="24"/>
        </w:rPr>
        <w:t>一、总  则</w:t>
      </w:r>
      <w:bookmarkEnd w:id="81"/>
      <w:bookmarkEnd w:id="82"/>
    </w:p>
    <w:p w14:paraId="1D518BA3">
      <w:pPr>
        <w:ind w:firstLine="211" w:firstLineChars="100"/>
        <w:rPr>
          <w:b/>
          <w:bCs/>
          <w:strike w:val="0"/>
          <w:color w:val="auto"/>
        </w:rPr>
      </w:pPr>
      <w:r>
        <w:rPr>
          <w:rFonts w:hint="eastAsia"/>
          <w:b/>
          <w:bCs/>
          <w:strike w:val="0"/>
          <w:color w:val="auto"/>
        </w:rPr>
        <w:t>（一）适用范围</w:t>
      </w:r>
    </w:p>
    <w:p w14:paraId="49924E89">
      <w:pPr>
        <w:ind w:firstLine="420"/>
        <w:rPr>
          <w:rFonts w:hint="eastAsia"/>
          <w:strike w:val="0"/>
          <w:color w:val="auto"/>
        </w:rPr>
      </w:pPr>
      <w:bookmarkStart w:id="83" w:name="_Toc254970528"/>
      <w:bookmarkStart w:id="84" w:name="_Toc353785278"/>
      <w:bookmarkStart w:id="85" w:name="_Toc352700408"/>
      <w:bookmarkStart w:id="86" w:name="_Toc254970669"/>
      <w:r>
        <w:rPr>
          <w:rFonts w:hint="eastAsia"/>
          <w:strike w:val="0"/>
          <w:color w:val="auto"/>
        </w:rPr>
        <w:t>1</w:t>
      </w:r>
      <w:r>
        <w:rPr>
          <w:strike w:val="0"/>
          <w:color w:val="auto"/>
        </w:rPr>
        <w:t>.</w:t>
      </w:r>
      <w:r>
        <w:rPr>
          <w:rFonts w:hint="eastAsia"/>
          <w:strike w:val="0"/>
          <w:color w:val="auto"/>
        </w:rPr>
        <w:t>项目名称：</w:t>
      </w:r>
      <w:r>
        <w:rPr>
          <w:rFonts w:hint="eastAsia" w:ascii="宋体" w:hAnsi="宋体"/>
          <w:strike w:val="0"/>
          <w:color w:val="auto"/>
          <w:szCs w:val="21"/>
          <w:lang w:eastAsia="zh-CN"/>
        </w:rPr>
        <w:t>2025年浦北县教育局教学设备采购</w:t>
      </w:r>
    </w:p>
    <w:p w14:paraId="7A6AF7EF">
      <w:pPr>
        <w:ind w:firstLine="420"/>
        <w:rPr>
          <w:strike w:val="0"/>
          <w:color w:val="auto"/>
        </w:rPr>
      </w:pPr>
      <w:r>
        <w:rPr>
          <w:strike w:val="0"/>
          <w:color w:val="auto"/>
        </w:rPr>
        <w:t>2.</w:t>
      </w:r>
      <w:r>
        <w:rPr>
          <w:rFonts w:hint="eastAsia"/>
          <w:strike w:val="0"/>
          <w:color w:val="auto"/>
        </w:rPr>
        <w:t>项目编号：</w:t>
      </w:r>
      <w:r>
        <w:rPr>
          <w:rFonts w:hint="eastAsia" w:ascii="宋体" w:hAnsi="宋体"/>
          <w:bCs/>
          <w:strike w:val="0"/>
          <w:color w:val="auto"/>
          <w:lang w:eastAsia="zh-CN"/>
        </w:rPr>
        <w:t>QZZC2025-G1-220231-QZSZ</w:t>
      </w:r>
    </w:p>
    <w:p w14:paraId="61878B1D">
      <w:pPr>
        <w:ind w:firstLine="420"/>
        <w:rPr>
          <w:strike w:val="0"/>
          <w:color w:val="auto"/>
        </w:rPr>
      </w:pPr>
      <w:r>
        <w:rPr>
          <w:rFonts w:hint="eastAsia"/>
          <w:strike w:val="0"/>
          <w:color w:val="auto"/>
        </w:rPr>
        <w:t>本招标文件仅适用于上述项目的招标、投标、评标、定标、验收、合同履约、付款等行为（法律、法规另有规定的，从其规定）。</w:t>
      </w:r>
    </w:p>
    <w:p w14:paraId="753DEF3D">
      <w:pPr>
        <w:ind w:firstLine="211" w:firstLineChars="100"/>
        <w:rPr>
          <w:b/>
          <w:bCs/>
          <w:strike w:val="0"/>
          <w:color w:val="auto"/>
        </w:rPr>
      </w:pPr>
      <w:r>
        <w:rPr>
          <w:rFonts w:hint="eastAsia"/>
          <w:b/>
          <w:bCs/>
          <w:strike w:val="0"/>
          <w:color w:val="auto"/>
        </w:rPr>
        <w:t>（二）定义</w:t>
      </w:r>
      <w:bookmarkEnd w:id="83"/>
      <w:bookmarkEnd w:id="84"/>
      <w:bookmarkEnd w:id="85"/>
      <w:bookmarkEnd w:id="86"/>
    </w:p>
    <w:p w14:paraId="274583BA">
      <w:pPr>
        <w:pStyle w:val="28"/>
        <w:snapToGrid w:val="0"/>
        <w:ind w:firstLine="420"/>
        <w:rPr>
          <w:rFonts w:hAnsi="宋体"/>
          <w:strike w:val="0"/>
          <w:color w:val="auto"/>
        </w:rPr>
      </w:pPr>
      <w:bookmarkStart w:id="87" w:name="_Hlk92374304"/>
      <w:r>
        <w:rPr>
          <w:rFonts w:hAnsi="宋体"/>
          <w:bCs/>
          <w:strike w:val="0"/>
          <w:color w:val="auto"/>
        </w:rPr>
        <w:t>1.</w:t>
      </w:r>
      <w:r>
        <w:rPr>
          <w:rFonts w:hint="eastAsia" w:hAnsi="宋体"/>
          <w:bCs/>
          <w:strike w:val="0"/>
          <w:color w:val="auto"/>
        </w:rPr>
        <w:t>“采购人”系指</w:t>
      </w:r>
      <w:r>
        <w:rPr>
          <w:rFonts w:hAnsi="宋体"/>
          <w:strike w:val="0"/>
          <w:color w:val="auto"/>
        </w:rPr>
        <w:t>依法进行政府采购的国家机关、事业单位、团体组织</w:t>
      </w:r>
    </w:p>
    <w:p w14:paraId="24F122FD">
      <w:pPr>
        <w:pStyle w:val="28"/>
        <w:snapToGrid w:val="0"/>
        <w:ind w:firstLine="420"/>
        <w:rPr>
          <w:rFonts w:hAnsi="宋体"/>
          <w:bCs/>
          <w:strike w:val="0"/>
          <w:color w:val="auto"/>
        </w:rPr>
      </w:pPr>
      <w:r>
        <w:rPr>
          <w:rFonts w:hAnsi="宋体"/>
          <w:bCs/>
          <w:strike w:val="0"/>
          <w:color w:val="auto"/>
        </w:rPr>
        <w:t>2.</w:t>
      </w:r>
      <w:r>
        <w:rPr>
          <w:rFonts w:hint="eastAsia" w:hAnsi="宋体"/>
          <w:bCs/>
          <w:strike w:val="0"/>
          <w:color w:val="auto"/>
        </w:rPr>
        <w:t>“投标人”系指向招标方提交投标文件的单位或自然人。</w:t>
      </w:r>
    </w:p>
    <w:p w14:paraId="6F00166C">
      <w:pPr>
        <w:pStyle w:val="28"/>
        <w:snapToGrid w:val="0"/>
        <w:ind w:firstLine="420"/>
        <w:rPr>
          <w:rFonts w:hAnsi="宋体"/>
          <w:bCs/>
          <w:strike w:val="0"/>
          <w:color w:val="auto"/>
        </w:rPr>
      </w:pPr>
      <w:r>
        <w:rPr>
          <w:rFonts w:hAnsi="宋体"/>
          <w:bCs/>
          <w:strike w:val="0"/>
          <w:color w:val="auto"/>
        </w:rPr>
        <w:t>3.</w:t>
      </w:r>
      <w:r>
        <w:rPr>
          <w:rFonts w:hint="eastAsia" w:hAnsi="宋体"/>
          <w:bCs/>
          <w:strike w:val="0"/>
          <w:color w:val="auto"/>
        </w:rPr>
        <w:t>“采购代理机构”系指组织本次招标的钦州市政府采购中心（以下简称“本中心）。</w:t>
      </w:r>
    </w:p>
    <w:p w14:paraId="705311D1">
      <w:pPr>
        <w:pStyle w:val="28"/>
        <w:snapToGrid w:val="0"/>
        <w:ind w:firstLine="420"/>
        <w:rPr>
          <w:rFonts w:hAnsi="宋体"/>
          <w:bCs/>
          <w:strike w:val="0"/>
          <w:color w:val="auto"/>
        </w:rPr>
      </w:pPr>
      <w:r>
        <w:rPr>
          <w:rFonts w:hAnsi="宋体"/>
          <w:bCs/>
          <w:strike w:val="0"/>
          <w:color w:val="auto"/>
        </w:rPr>
        <w:t>4.</w:t>
      </w:r>
      <w:r>
        <w:rPr>
          <w:rFonts w:hint="eastAsia" w:hAnsi="宋体"/>
          <w:bCs/>
          <w:strike w:val="0"/>
          <w:color w:val="auto"/>
        </w:rPr>
        <w:t>“货物”系指各种形态和种类的物品，包括原材料、燃料、设备、产品等。</w:t>
      </w:r>
    </w:p>
    <w:p w14:paraId="40FF7FA3">
      <w:pPr>
        <w:pStyle w:val="28"/>
        <w:snapToGrid w:val="0"/>
        <w:ind w:firstLine="420"/>
        <w:rPr>
          <w:rFonts w:hAnsi="宋体"/>
          <w:bCs/>
          <w:strike w:val="0"/>
          <w:color w:val="auto"/>
        </w:rPr>
      </w:pPr>
      <w:r>
        <w:rPr>
          <w:rFonts w:hAnsi="宋体"/>
          <w:bCs/>
          <w:strike w:val="0"/>
          <w:color w:val="auto"/>
        </w:rPr>
        <w:t>5.</w:t>
      </w:r>
      <w:r>
        <w:rPr>
          <w:rFonts w:hint="eastAsia" w:hAnsi="宋体"/>
          <w:bCs/>
          <w:strike w:val="0"/>
          <w:color w:val="auto"/>
        </w:rPr>
        <w:t>“服务”系指除货物和工程以外的其他政府采购对象。</w:t>
      </w:r>
    </w:p>
    <w:p w14:paraId="37B8C742">
      <w:pPr>
        <w:pStyle w:val="28"/>
        <w:snapToGrid w:val="0"/>
        <w:ind w:firstLine="420"/>
        <w:rPr>
          <w:rFonts w:hAnsi="宋体"/>
          <w:bCs/>
          <w:strike w:val="0"/>
          <w:color w:val="auto"/>
        </w:rPr>
      </w:pPr>
      <w:r>
        <w:rPr>
          <w:rFonts w:hAnsi="宋体"/>
          <w:bCs/>
          <w:strike w:val="0"/>
          <w:color w:val="auto"/>
        </w:rPr>
        <w:t>6.</w:t>
      </w:r>
      <w:r>
        <w:rPr>
          <w:rFonts w:hint="eastAsia" w:hAnsi="宋体"/>
          <w:bCs/>
          <w:strike w:val="0"/>
          <w:color w:val="auto"/>
        </w:rPr>
        <w:t>“项目”系指投标人按招标文件规定向采购人提供的产品和服务。</w:t>
      </w:r>
    </w:p>
    <w:p w14:paraId="4A1EFAD9">
      <w:pPr>
        <w:pStyle w:val="28"/>
        <w:snapToGrid w:val="0"/>
        <w:ind w:firstLine="420"/>
        <w:rPr>
          <w:rFonts w:hAnsi="宋体"/>
          <w:bCs/>
          <w:strike w:val="0"/>
          <w:color w:val="auto"/>
        </w:rPr>
      </w:pPr>
      <w:r>
        <w:rPr>
          <w:rFonts w:hAnsi="宋体"/>
          <w:bCs/>
          <w:strike w:val="0"/>
          <w:color w:val="auto"/>
        </w:rPr>
        <w:t>7.</w:t>
      </w:r>
      <w:r>
        <w:rPr>
          <w:rFonts w:hint="eastAsia" w:hAnsi="宋体"/>
          <w:bCs/>
          <w:strike w:val="0"/>
          <w:color w:val="auto"/>
        </w:rPr>
        <w:t>“书面形式”</w:t>
      </w:r>
      <w:bookmarkEnd w:id="87"/>
      <w:r>
        <w:rPr>
          <w:rFonts w:hint="eastAsia" w:hAnsi="宋体"/>
          <w:bCs/>
          <w:strike w:val="0"/>
          <w:color w:val="auto"/>
        </w:rPr>
        <w:t>是合同书、信件、电报、电传、传真等可以有形地表现所载内容的形式。</w:t>
      </w:r>
    </w:p>
    <w:p w14:paraId="2B0A4E28">
      <w:pPr>
        <w:ind w:firstLine="211" w:firstLineChars="100"/>
        <w:rPr>
          <w:b/>
          <w:bCs/>
          <w:strike w:val="0"/>
          <w:color w:val="auto"/>
        </w:rPr>
      </w:pPr>
      <w:bookmarkStart w:id="88" w:name="_Toc353785279"/>
      <w:r>
        <w:rPr>
          <w:rFonts w:hint="eastAsia"/>
          <w:b/>
          <w:bCs/>
          <w:strike w:val="0"/>
          <w:color w:val="auto"/>
        </w:rPr>
        <w:t>（三）投标人资格</w:t>
      </w:r>
      <w:bookmarkEnd w:id="88"/>
    </w:p>
    <w:p w14:paraId="4222DD1F">
      <w:pPr>
        <w:ind w:firstLine="420"/>
        <w:rPr>
          <w:rFonts w:hint="eastAsia" w:ascii="宋体" w:hAnsi="宋体"/>
          <w:strike w:val="0"/>
          <w:color w:val="auto"/>
        </w:rPr>
      </w:pPr>
      <w:bookmarkStart w:id="89" w:name="_Toc254970529"/>
      <w:bookmarkStart w:id="90" w:name="_Toc352700409"/>
      <w:bookmarkStart w:id="91" w:name="_Toc254970670"/>
      <w:bookmarkStart w:id="92" w:name="_Toc353785280"/>
      <w:bookmarkStart w:id="93" w:name="_Hlk92444465"/>
      <w:r>
        <w:rPr>
          <w:rFonts w:hint="eastAsia" w:ascii="宋体" w:hAnsi="宋体" w:cs="Courier New"/>
          <w:bCs/>
          <w:strike w:val="0"/>
          <w:color w:val="auto"/>
          <w:szCs w:val="21"/>
        </w:rPr>
        <w:t>投标人的资格要求详见“投标人须知前附表”。</w:t>
      </w:r>
    </w:p>
    <w:p w14:paraId="77319520">
      <w:pPr>
        <w:ind w:firstLine="211" w:firstLineChars="100"/>
        <w:rPr>
          <w:b/>
          <w:bCs/>
          <w:strike w:val="0"/>
          <w:color w:val="auto"/>
        </w:rPr>
      </w:pPr>
      <w:r>
        <w:rPr>
          <w:rFonts w:hint="eastAsia"/>
          <w:b/>
          <w:bCs/>
          <w:strike w:val="0"/>
          <w:color w:val="auto"/>
        </w:rPr>
        <w:t>（四）采购方式</w:t>
      </w:r>
      <w:bookmarkEnd w:id="89"/>
      <w:bookmarkEnd w:id="90"/>
      <w:bookmarkEnd w:id="91"/>
      <w:bookmarkEnd w:id="92"/>
    </w:p>
    <w:p w14:paraId="39856FBA">
      <w:pPr>
        <w:snapToGrid w:val="0"/>
        <w:ind w:firstLine="420"/>
        <w:rPr>
          <w:rFonts w:ascii="宋体" w:hAnsi="宋体"/>
          <w:strike w:val="0"/>
          <w:color w:val="auto"/>
          <w:szCs w:val="21"/>
        </w:rPr>
      </w:pPr>
      <w:r>
        <w:rPr>
          <w:rFonts w:hint="eastAsia" w:ascii="宋体" w:hAnsi="宋体"/>
          <w:strike w:val="0"/>
          <w:color w:val="auto"/>
          <w:szCs w:val="21"/>
        </w:rPr>
        <w:t>公开招标方式。</w:t>
      </w:r>
    </w:p>
    <w:p w14:paraId="3121108D">
      <w:pPr>
        <w:ind w:firstLine="211" w:firstLineChars="100"/>
        <w:rPr>
          <w:b/>
          <w:bCs/>
          <w:strike w:val="0"/>
          <w:color w:val="auto"/>
        </w:rPr>
      </w:pPr>
      <w:bookmarkStart w:id="94" w:name="_Toc352700410"/>
      <w:bookmarkStart w:id="95" w:name="_Toc254970530"/>
      <w:bookmarkStart w:id="96" w:name="_Toc353785281"/>
      <w:bookmarkStart w:id="97" w:name="_Toc254970671"/>
      <w:r>
        <w:rPr>
          <w:rFonts w:hint="eastAsia"/>
          <w:b/>
          <w:bCs/>
          <w:strike w:val="0"/>
          <w:color w:val="auto"/>
        </w:rPr>
        <w:t>（五）投标委托</w:t>
      </w:r>
      <w:bookmarkEnd w:id="94"/>
      <w:bookmarkEnd w:id="95"/>
      <w:bookmarkEnd w:id="96"/>
      <w:bookmarkEnd w:id="97"/>
    </w:p>
    <w:p w14:paraId="04D83759">
      <w:pPr>
        <w:pStyle w:val="28"/>
        <w:snapToGrid w:val="0"/>
        <w:ind w:firstLine="420"/>
        <w:rPr>
          <w:rFonts w:hAnsi="宋体"/>
          <w:bCs/>
          <w:strike w:val="0"/>
          <w:color w:val="auto"/>
        </w:rPr>
      </w:pPr>
      <w:r>
        <w:rPr>
          <w:rFonts w:hint="eastAsia" w:hAnsi="宋体"/>
          <w:bCs/>
          <w:strike w:val="0"/>
          <w:color w:val="auto"/>
        </w:rPr>
        <w:t>委托投标的投标人须提供授权委托书（格式见第六章）。</w:t>
      </w:r>
    </w:p>
    <w:p w14:paraId="0D818FAC">
      <w:pPr>
        <w:ind w:firstLine="211" w:firstLineChars="100"/>
        <w:rPr>
          <w:b/>
          <w:bCs/>
          <w:strike w:val="0"/>
          <w:color w:val="auto"/>
        </w:rPr>
      </w:pPr>
      <w:bookmarkStart w:id="98" w:name="_Toc353785282"/>
      <w:bookmarkStart w:id="99" w:name="_Toc352700411"/>
      <w:bookmarkStart w:id="100" w:name="_Toc254970672"/>
      <w:bookmarkStart w:id="101" w:name="_Toc254970531"/>
      <w:r>
        <w:rPr>
          <w:rFonts w:hint="eastAsia"/>
          <w:b/>
          <w:bCs/>
          <w:strike w:val="0"/>
          <w:color w:val="auto"/>
        </w:rPr>
        <w:t>（六）投标费用</w:t>
      </w:r>
      <w:bookmarkEnd w:id="98"/>
      <w:bookmarkEnd w:id="99"/>
      <w:bookmarkEnd w:id="100"/>
      <w:bookmarkEnd w:id="101"/>
    </w:p>
    <w:p w14:paraId="07E42943">
      <w:pPr>
        <w:snapToGrid w:val="0"/>
        <w:ind w:firstLine="420"/>
        <w:rPr>
          <w:rFonts w:hint="eastAsia" w:ascii="宋体" w:hAnsi="宋体"/>
          <w:strike w:val="0"/>
          <w:color w:val="auto"/>
          <w:szCs w:val="21"/>
        </w:rPr>
      </w:pPr>
      <w:r>
        <w:rPr>
          <w:rFonts w:hint="eastAsia" w:ascii="宋体" w:hAnsi="宋体"/>
          <w:strike w:val="0"/>
          <w:color w:val="auto"/>
          <w:szCs w:val="21"/>
        </w:rPr>
        <w:t>投标人自行承担所有与投标有关的全部费用。</w:t>
      </w:r>
    </w:p>
    <w:p w14:paraId="1B703452">
      <w:pPr>
        <w:ind w:firstLine="211" w:firstLineChars="100"/>
        <w:rPr>
          <w:b/>
          <w:bCs/>
          <w:strike w:val="0"/>
          <w:color w:val="auto"/>
        </w:rPr>
      </w:pPr>
      <w:bookmarkStart w:id="102" w:name="_Toc352700413"/>
      <w:bookmarkStart w:id="103" w:name="_Toc353785283"/>
      <w:r>
        <w:rPr>
          <w:rFonts w:hint="eastAsia"/>
          <w:b/>
          <w:bCs/>
          <w:strike w:val="0"/>
          <w:color w:val="auto"/>
        </w:rPr>
        <w:t>（</w:t>
      </w:r>
      <w:r>
        <w:rPr>
          <w:rFonts w:hint="eastAsia"/>
          <w:b/>
          <w:bCs/>
          <w:strike w:val="0"/>
          <w:color w:val="auto"/>
          <w:lang w:val="en-US" w:eastAsia="zh-CN"/>
        </w:rPr>
        <w:t>八</w:t>
      </w:r>
      <w:r>
        <w:rPr>
          <w:rFonts w:hint="eastAsia"/>
          <w:b/>
          <w:bCs/>
          <w:strike w:val="0"/>
          <w:color w:val="auto"/>
        </w:rPr>
        <w:t>）转包与分包</w:t>
      </w:r>
      <w:bookmarkEnd w:id="102"/>
      <w:bookmarkEnd w:id="103"/>
    </w:p>
    <w:p w14:paraId="0B2CC1BA">
      <w:pPr>
        <w:snapToGrid w:val="0"/>
        <w:ind w:firstLine="420"/>
        <w:rPr>
          <w:rFonts w:ascii="宋体" w:hAnsi="宋体" w:cs="宋体"/>
          <w:strike w:val="0"/>
          <w:color w:val="auto"/>
          <w:kern w:val="0"/>
          <w:szCs w:val="21"/>
        </w:rPr>
      </w:pPr>
      <w:r>
        <w:rPr>
          <w:rFonts w:ascii="宋体" w:hAnsi="宋体" w:cs="宋体"/>
          <w:strike w:val="0"/>
          <w:color w:val="auto"/>
          <w:kern w:val="0"/>
          <w:szCs w:val="21"/>
        </w:rPr>
        <w:t>1.</w:t>
      </w:r>
      <w:r>
        <w:rPr>
          <w:rFonts w:hint="eastAsia" w:ascii="宋体" w:hAnsi="宋体" w:cs="宋体"/>
          <w:strike w:val="0"/>
          <w:color w:val="auto"/>
          <w:kern w:val="0"/>
          <w:szCs w:val="21"/>
        </w:rPr>
        <w:t>本项目不允许转包。</w:t>
      </w:r>
    </w:p>
    <w:p w14:paraId="1501A611">
      <w:pPr>
        <w:snapToGrid w:val="0"/>
        <w:ind w:firstLine="420"/>
        <w:rPr>
          <w:rFonts w:hint="eastAsia" w:ascii="宋体" w:hAnsi="宋体" w:eastAsia="宋体" w:cs="宋体"/>
          <w:strike w:val="0"/>
          <w:color w:val="auto"/>
          <w:kern w:val="0"/>
          <w:szCs w:val="21"/>
          <w:lang w:eastAsia="zh-CN"/>
        </w:rPr>
      </w:pPr>
      <w:r>
        <w:rPr>
          <w:rFonts w:ascii="宋体" w:hAnsi="宋体" w:cs="宋体"/>
          <w:strike w:val="0"/>
          <w:color w:val="auto"/>
          <w:kern w:val="0"/>
          <w:szCs w:val="21"/>
        </w:rPr>
        <w:t>2.</w:t>
      </w:r>
      <w:r>
        <w:rPr>
          <w:rFonts w:hint="eastAsia" w:ascii="宋体" w:hAnsi="宋体" w:cs="宋体"/>
          <w:strike w:val="0"/>
          <w:color w:val="auto"/>
          <w:kern w:val="0"/>
          <w:szCs w:val="21"/>
        </w:rPr>
        <w:t>本项目不允许</w:t>
      </w:r>
      <w:r>
        <w:rPr>
          <w:rFonts w:hint="eastAsia" w:ascii="宋体" w:hAnsi="宋体" w:cs="宋体"/>
          <w:strike w:val="0"/>
          <w:color w:val="auto"/>
          <w:kern w:val="0"/>
          <w:szCs w:val="21"/>
          <w:lang w:val="en-US" w:eastAsia="zh-CN"/>
        </w:rPr>
        <w:t>分包。</w:t>
      </w:r>
    </w:p>
    <w:p w14:paraId="09A00555">
      <w:pPr>
        <w:snapToGrid w:val="0"/>
        <w:ind w:firstLine="420"/>
        <w:rPr>
          <w:rFonts w:hint="eastAsia" w:ascii="宋体" w:hAnsi="宋体" w:cs="宋体"/>
          <w:strike w:val="0"/>
          <w:color w:val="auto"/>
          <w:kern w:val="0"/>
          <w:szCs w:val="21"/>
        </w:rPr>
      </w:pPr>
      <w:r>
        <w:rPr>
          <w:rFonts w:ascii="宋体" w:hAnsi="宋体" w:cs="宋体"/>
          <w:strike w:val="0"/>
          <w:color w:val="auto"/>
          <w:kern w:val="0"/>
          <w:szCs w:val="21"/>
        </w:rPr>
        <w:t>3.</w:t>
      </w:r>
      <w:r>
        <w:rPr>
          <w:rFonts w:hint="eastAsia" w:ascii="宋体" w:hAnsi="宋体" w:cs="宋体"/>
          <w:strike w:val="0"/>
          <w:color w:val="auto"/>
          <w:kern w:val="0"/>
          <w:szCs w:val="21"/>
        </w:rPr>
        <w:t>依据《政府采购促进中小企业发展管理办法》规定享受扶持政策获得政府采购合同的，小微企业不得将合同分包给大中型企业，中型企业不得将合同分包给大型企业。</w:t>
      </w:r>
    </w:p>
    <w:bookmarkEnd w:id="93"/>
    <w:p w14:paraId="24B7FD63">
      <w:pPr>
        <w:ind w:firstLine="211" w:firstLineChars="100"/>
        <w:rPr>
          <w:rFonts w:hint="eastAsia"/>
          <w:b/>
          <w:bCs/>
          <w:strike w:val="0"/>
          <w:color w:val="auto"/>
        </w:rPr>
      </w:pPr>
      <w:bookmarkStart w:id="104" w:name="_Toc254970532"/>
      <w:bookmarkStart w:id="105" w:name="_Toc254970673"/>
      <w:bookmarkStart w:id="106" w:name="_Toc353785284"/>
      <w:bookmarkStart w:id="107" w:name="_Toc352700414"/>
      <w:bookmarkStart w:id="108" w:name="_Hlk92444771"/>
      <w:r>
        <w:rPr>
          <w:rFonts w:hint="eastAsia"/>
          <w:b/>
          <w:bCs/>
          <w:strike w:val="0"/>
          <w:color w:val="auto"/>
        </w:rPr>
        <w:t>（</w:t>
      </w:r>
      <w:r>
        <w:rPr>
          <w:rFonts w:hint="eastAsia"/>
          <w:b/>
          <w:bCs/>
          <w:strike w:val="0"/>
          <w:color w:val="auto"/>
          <w:lang w:val="en-US" w:eastAsia="zh-CN"/>
        </w:rPr>
        <w:t>九</w:t>
      </w:r>
      <w:r>
        <w:rPr>
          <w:rFonts w:hint="eastAsia"/>
          <w:b/>
          <w:bCs/>
          <w:strike w:val="0"/>
          <w:color w:val="auto"/>
        </w:rPr>
        <w:t>）特别说明：</w:t>
      </w:r>
      <w:bookmarkEnd w:id="104"/>
      <w:bookmarkEnd w:id="105"/>
      <w:bookmarkEnd w:id="106"/>
      <w:bookmarkEnd w:id="107"/>
    </w:p>
    <w:p w14:paraId="2CC73846">
      <w:pPr>
        <w:ind w:firstLine="420"/>
        <w:rPr>
          <w:strike w:val="0"/>
          <w:color w:val="auto"/>
        </w:rPr>
      </w:pPr>
      <w:r>
        <w:rPr>
          <w:rFonts w:hint="eastAsia"/>
          <w:strike w:val="0"/>
          <w:color w:val="auto"/>
        </w:rPr>
        <w:t>关联供应商不得参加同一合同项下政府采购活动，否则投标文件将被视为无效：</w:t>
      </w:r>
    </w:p>
    <w:p w14:paraId="05655032">
      <w:pPr>
        <w:pStyle w:val="28"/>
        <w:snapToGrid w:val="0"/>
        <w:ind w:firstLine="420"/>
        <w:rPr>
          <w:rFonts w:hAnsi="宋体"/>
          <w:strike w:val="0"/>
          <w:color w:val="auto"/>
        </w:rPr>
      </w:pPr>
      <w:r>
        <w:rPr>
          <w:rFonts w:hAnsi="宋体"/>
          <w:strike w:val="0"/>
          <w:color w:val="auto"/>
        </w:rPr>
        <w:t>1.</w:t>
      </w:r>
      <w:r>
        <w:rPr>
          <w:rFonts w:hint="eastAsia" w:hAnsi="宋体"/>
          <w:strike w:val="0"/>
          <w:color w:val="auto"/>
        </w:rPr>
        <w:t>单位负责人为同一人或者存在直接控股、管理关系的不同的投标人，不得参加同一合同项下的政府采购活动。</w:t>
      </w:r>
    </w:p>
    <w:p w14:paraId="3F09A534">
      <w:pPr>
        <w:pStyle w:val="28"/>
        <w:snapToGrid w:val="0"/>
        <w:ind w:firstLine="420"/>
        <w:rPr>
          <w:rFonts w:hAnsi="宋体"/>
          <w:strike w:val="0"/>
          <w:color w:val="auto"/>
        </w:rPr>
      </w:pPr>
      <w:r>
        <w:rPr>
          <w:rFonts w:hAnsi="宋体"/>
          <w:strike w:val="0"/>
          <w:color w:val="auto"/>
        </w:rPr>
        <w:t>2.</w:t>
      </w:r>
      <w:r>
        <w:rPr>
          <w:rFonts w:hint="eastAsia" w:hAnsi="宋体"/>
          <w:strike w:val="0"/>
          <w:color w:val="auto"/>
        </w:rPr>
        <w:t>为采购项目提供整体设计、规范编制或者项目管理、监理、检测等服务的投标人，不得再参加该采购项目的其他采购活动。</w:t>
      </w:r>
    </w:p>
    <w:p w14:paraId="095429CB">
      <w:pPr>
        <w:ind w:firstLine="211" w:firstLineChars="100"/>
        <w:rPr>
          <w:b/>
          <w:bCs/>
          <w:strike w:val="0"/>
          <w:color w:val="auto"/>
        </w:rPr>
      </w:pPr>
      <w:bookmarkStart w:id="109" w:name="_Toc254970674"/>
      <w:bookmarkStart w:id="110" w:name="_Toc254970533"/>
      <w:bookmarkStart w:id="111" w:name="_Toc353785285"/>
      <w:bookmarkStart w:id="112" w:name="_Toc352700415"/>
      <w:r>
        <w:rPr>
          <w:rFonts w:hint="eastAsia"/>
          <w:b/>
          <w:bCs/>
          <w:strike w:val="0"/>
          <w:color w:val="auto"/>
        </w:rPr>
        <w:t>（</w:t>
      </w:r>
      <w:r>
        <w:rPr>
          <w:rFonts w:hint="eastAsia"/>
          <w:b/>
          <w:bCs/>
          <w:strike w:val="0"/>
          <w:color w:val="auto"/>
          <w:lang w:val="en-US" w:eastAsia="zh-CN"/>
        </w:rPr>
        <w:t>十</w:t>
      </w:r>
      <w:r>
        <w:rPr>
          <w:rFonts w:hint="eastAsia"/>
          <w:b/>
          <w:bCs/>
          <w:strike w:val="0"/>
          <w:color w:val="auto"/>
        </w:rPr>
        <w:t>）询问、质疑和投诉</w:t>
      </w:r>
      <w:bookmarkEnd w:id="109"/>
      <w:bookmarkEnd w:id="110"/>
      <w:bookmarkEnd w:id="111"/>
      <w:bookmarkEnd w:id="112"/>
    </w:p>
    <w:p w14:paraId="066AC1C2">
      <w:pPr>
        <w:pStyle w:val="28"/>
        <w:snapToGrid w:val="0"/>
        <w:ind w:firstLine="420"/>
        <w:rPr>
          <w:rFonts w:hAnsi="宋体"/>
          <w:bCs/>
          <w:strike w:val="0"/>
          <w:color w:val="auto"/>
        </w:rPr>
      </w:pPr>
      <w:r>
        <w:rPr>
          <w:rFonts w:hAnsi="宋体"/>
          <w:bCs/>
          <w:strike w:val="0"/>
          <w:color w:val="auto"/>
        </w:rPr>
        <w:t>1.</w:t>
      </w:r>
      <w:r>
        <w:rPr>
          <w:rFonts w:hint="eastAsia" w:ascii="Arial" w:hAnsi="Arial" w:cs="Arial"/>
          <w:strike w:val="0"/>
          <w:color w:val="auto"/>
          <w:kern w:val="0"/>
        </w:rPr>
        <w:t>投标人</w:t>
      </w:r>
      <w:r>
        <w:rPr>
          <w:rFonts w:ascii="Arial" w:hAnsi="Arial" w:cs="Arial"/>
          <w:strike w:val="0"/>
          <w:color w:val="auto"/>
          <w:kern w:val="0"/>
        </w:rPr>
        <w:t>对政府采购活动事项有疑问的，可以向采购人</w:t>
      </w:r>
      <w:r>
        <w:rPr>
          <w:rFonts w:hint="eastAsia" w:ascii="Arial" w:hAnsi="Arial" w:cs="Arial"/>
          <w:strike w:val="0"/>
          <w:color w:val="auto"/>
          <w:kern w:val="0"/>
        </w:rPr>
        <w:t>或本中心</w:t>
      </w:r>
      <w:r>
        <w:rPr>
          <w:rFonts w:ascii="Arial" w:hAnsi="Arial" w:cs="Arial"/>
          <w:strike w:val="0"/>
          <w:color w:val="auto"/>
          <w:kern w:val="0"/>
        </w:rPr>
        <w:t>提出询问，采购人</w:t>
      </w:r>
      <w:r>
        <w:rPr>
          <w:rFonts w:hint="eastAsia" w:ascii="Arial" w:hAnsi="Arial" w:cs="Arial"/>
          <w:strike w:val="0"/>
          <w:color w:val="auto"/>
          <w:kern w:val="0"/>
        </w:rPr>
        <w:t>或本中心当在3个工作日内对投标人依法提出的询问作出答复</w:t>
      </w:r>
      <w:r>
        <w:rPr>
          <w:rFonts w:ascii="Arial" w:hAnsi="Arial" w:cs="Arial"/>
          <w:strike w:val="0"/>
          <w:color w:val="auto"/>
          <w:kern w:val="0"/>
        </w:rPr>
        <w:t>，但答复的内容不得涉及商业秘密。</w:t>
      </w:r>
    </w:p>
    <w:p w14:paraId="72699B9D">
      <w:pPr>
        <w:pStyle w:val="28"/>
        <w:snapToGrid w:val="0"/>
        <w:ind w:firstLine="420"/>
        <w:rPr>
          <w:rFonts w:hAnsi="宋体"/>
          <w:bCs/>
          <w:strike w:val="0"/>
          <w:color w:val="auto"/>
        </w:rPr>
      </w:pPr>
      <w:r>
        <w:rPr>
          <w:rFonts w:hAnsi="宋体"/>
          <w:bCs/>
          <w:strike w:val="0"/>
          <w:color w:val="auto"/>
        </w:rPr>
        <w:t>2.</w:t>
      </w:r>
      <w:r>
        <w:rPr>
          <w:rFonts w:hint="eastAsia" w:hAnsi="宋体"/>
          <w:bCs/>
          <w:strike w:val="0"/>
          <w:color w:val="auto"/>
        </w:rPr>
        <w:t>投标人认为招标文件、招标过程或中标结果使自己的合法权益受到损害的，</w:t>
      </w:r>
      <w:r>
        <w:rPr>
          <w:rFonts w:hAnsi="宋体"/>
          <w:bCs/>
          <w:strike w:val="0"/>
          <w:color w:val="auto"/>
        </w:rPr>
        <w:t>可以在知道或者应知其权益受到损害之日起7个工作日内</w:t>
      </w:r>
      <w:r>
        <w:rPr>
          <w:rFonts w:hint="eastAsia" w:hAnsi="宋体"/>
          <w:bCs/>
          <w:strike w:val="0"/>
          <w:color w:val="auto"/>
        </w:rPr>
        <w:t>，</w:t>
      </w:r>
      <w:r>
        <w:rPr>
          <w:rFonts w:cs="Arial"/>
          <w:strike w:val="0"/>
          <w:color w:val="auto"/>
        </w:rPr>
        <w:t>以书面形式</w:t>
      </w:r>
      <w:r>
        <w:rPr>
          <w:rFonts w:hint="eastAsia" w:cs="Arial"/>
          <w:strike w:val="0"/>
          <w:color w:val="auto"/>
        </w:rPr>
        <w:t>（政采云平台）</w:t>
      </w:r>
      <w:r>
        <w:rPr>
          <w:rFonts w:cs="Arial"/>
          <w:strike w:val="0"/>
          <w:color w:val="auto"/>
        </w:rPr>
        <w:t>向采购人提出质疑。</w:t>
      </w:r>
      <w:r>
        <w:rPr>
          <w:rFonts w:hint="eastAsia" w:hAnsi="宋体"/>
          <w:bCs/>
          <w:strike w:val="0"/>
          <w:color w:val="auto"/>
        </w:rPr>
        <w:t>投标人必须在法定质疑期内一次性提出针对同一采购程序环节的质疑。</w:t>
      </w:r>
      <w:r>
        <w:rPr>
          <w:rFonts w:hint="eastAsia" w:hAnsi="宋体" w:cs="宋体"/>
          <w:strike w:val="0"/>
          <w:color w:val="auto"/>
        </w:rPr>
        <w:t>投标人应知其权益受到损害之日，是指：</w:t>
      </w:r>
    </w:p>
    <w:p w14:paraId="5768A553">
      <w:pPr>
        <w:pStyle w:val="28"/>
        <w:adjustRightInd w:val="0"/>
        <w:snapToGrid w:val="0"/>
        <w:ind w:firstLine="308" w:firstLineChars="147"/>
        <w:rPr>
          <w:rFonts w:hAnsi="宋体"/>
          <w:bCs/>
          <w:strike w:val="0"/>
          <w:color w:val="auto"/>
        </w:rPr>
      </w:pPr>
      <w:r>
        <w:rPr>
          <w:rFonts w:hint="eastAsia" w:hAnsi="宋体"/>
          <w:bCs/>
          <w:strike w:val="0"/>
          <w:color w:val="auto"/>
        </w:rPr>
        <w:t>(</w:t>
      </w:r>
      <w:r>
        <w:rPr>
          <w:rFonts w:hAnsi="宋体"/>
          <w:bCs/>
          <w:strike w:val="0"/>
          <w:color w:val="auto"/>
        </w:rPr>
        <w:t>1)</w:t>
      </w:r>
      <w:r>
        <w:rPr>
          <w:rFonts w:hint="eastAsia" w:hAnsi="宋体"/>
          <w:bCs/>
          <w:strike w:val="0"/>
          <w:color w:val="auto"/>
        </w:rPr>
        <w:t>对招标文件提出质疑的，为获取招标文件之日；</w:t>
      </w:r>
    </w:p>
    <w:p w14:paraId="0B9FCB0E">
      <w:pPr>
        <w:pStyle w:val="28"/>
        <w:adjustRightInd w:val="0"/>
        <w:snapToGrid w:val="0"/>
        <w:ind w:firstLine="308" w:firstLineChars="147"/>
        <w:rPr>
          <w:rFonts w:hint="eastAsia" w:hAnsi="宋体"/>
          <w:bCs/>
          <w:strike w:val="0"/>
          <w:color w:val="auto"/>
        </w:rPr>
      </w:pPr>
      <w:r>
        <w:rPr>
          <w:rFonts w:hint="eastAsia" w:hAnsi="宋体"/>
          <w:bCs/>
          <w:strike w:val="0"/>
          <w:color w:val="auto"/>
        </w:rPr>
        <w:t>(</w:t>
      </w:r>
      <w:r>
        <w:rPr>
          <w:rFonts w:hAnsi="宋体"/>
          <w:bCs/>
          <w:strike w:val="0"/>
          <w:color w:val="auto"/>
        </w:rPr>
        <w:t>2)</w:t>
      </w:r>
      <w:r>
        <w:rPr>
          <w:rFonts w:hint="eastAsia" w:hAnsi="宋体"/>
          <w:bCs/>
          <w:strike w:val="0"/>
          <w:color w:val="auto"/>
        </w:rPr>
        <w:t>对招标过程提出质疑的，为各采购程序环节结束之日；</w:t>
      </w:r>
    </w:p>
    <w:p w14:paraId="4EC72B87">
      <w:pPr>
        <w:widowControl/>
        <w:adjustRightInd w:val="0"/>
        <w:snapToGrid w:val="0"/>
        <w:ind w:firstLine="102" w:firstLineChars="49"/>
        <w:jc w:val="left"/>
        <w:rPr>
          <w:rFonts w:ascii="宋体" w:hAnsi="宋体" w:cs="Courier New"/>
          <w:bCs/>
          <w:strike w:val="0"/>
          <w:color w:val="auto"/>
          <w:szCs w:val="21"/>
        </w:rPr>
      </w:pPr>
      <w:r>
        <w:rPr>
          <w:rFonts w:hint="eastAsia" w:ascii="宋体" w:hAnsi="宋体" w:cs="Courier New"/>
          <w:bCs/>
          <w:strike w:val="0"/>
          <w:color w:val="auto"/>
          <w:szCs w:val="21"/>
        </w:rPr>
        <w:t xml:space="preserve">  (</w:t>
      </w:r>
      <w:r>
        <w:rPr>
          <w:rFonts w:ascii="宋体" w:hAnsi="宋体" w:cs="Courier New"/>
          <w:bCs/>
          <w:strike w:val="0"/>
          <w:color w:val="auto"/>
          <w:szCs w:val="21"/>
        </w:rPr>
        <w:t>3)</w:t>
      </w:r>
      <w:r>
        <w:rPr>
          <w:rFonts w:hint="eastAsia" w:ascii="宋体" w:hAnsi="宋体" w:cs="Courier New"/>
          <w:bCs/>
          <w:strike w:val="0"/>
          <w:color w:val="auto"/>
          <w:szCs w:val="21"/>
        </w:rPr>
        <w:t>对中标结果提出质疑的，为中标结果公告期限届满之日。</w:t>
      </w:r>
    </w:p>
    <w:p w14:paraId="47137D56">
      <w:pPr>
        <w:widowControl/>
        <w:adjustRightInd w:val="0"/>
        <w:snapToGrid w:val="0"/>
        <w:ind w:firstLine="420"/>
        <w:jc w:val="left"/>
        <w:rPr>
          <w:rFonts w:ascii="宋体" w:hAnsi="宋体" w:cs="Courier New"/>
          <w:bCs/>
          <w:strike w:val="0"/>
          <w:color w:val="auto"/>
          <w:szCs w:val="21"/>
        </w:rPr>
      </w:pPr>
      <w:r>
        <w:rPr>
          <w:rFonts w:ascii="宋体" w:hAnsi="宋体" w:cs="Courier New"/>
          <w:bCs/>
          <w:strike w:val="0"/>
          <w:color w:val="auto"/>
          <w:szCs w:val="21"/>
        </w:rPr>
        <w:t>3.</w:t>
      </w:r>
      <w:r>
        <w:rPr>
          <w:rFonts w:hint="eastAsia" w:hAnsi="宋体"/>
          <w:strike w:val="0"/>
          <w:color w:val="auto"/>
        </w:rPr>
        <w:t>投标人对采购人质疑答复不满意或者采购未在规定时间内作出答复的，可以在答复期满后十五个工作日内向同级采购监管部门投诉。</w:t>
      </w:r>
    </w:p>
    <w:p w14:paraId="1145A720">
      <w:pPr>
        <w:pStyle w:val="28"/>
        <w:snapToGrid w:val="0"/>
        <w:ind w:firstLine="420"/>
        <w:rPr>
          <w:rFonts w:hAnsi="宋体"/>
          <w:bCs/>
          <w:strike w:val="0"/>
          <w:color w:val="auto"/>
        </w:rPr>
      </w:pPr>
      <w:r>
        <w:rPr>
          <w:rFonts w:hAnsi="宋体"/>
          <w:bCs/>
          <w:strike w:val="0"/>
          <w:color w:val="auto"/>
        </w:rPr>
        <w:t>4.</w:t>
      </w:r>
      <w:r>
        <w:rPr>
          <w:rFonts w:hint="eastAsia" w:hAnsi="宋体"/>
          <w:bCs/>
          <w:strike w:val="0"/>
          <w:color w:val="auto"/>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2463F646">
      <w:pPr>
        <w:ind w:firstLine="420"/>
        <w:rPr>
          <w:rFonts w:hint="eastAsia" w:ascii="Times New Roman" w:hAnsi="Times New Roman" w:eastAsia="宋体" w:cs="Times New Roman"/>
          <w:strike w:val="0"/>
          <w:color w:val="auto"/>
          <w:highlight w:val="none"/>
        </w:rPr>
      </w:pPr>
      <w:r>
        <w:rPr>
          <w:rFonts w:hint="eastAsia"/>
          <w:strike w:val="0"/>
          <w:color w:val="auto"/>
        </w:rPr>
        <w:t>质疑部门联系方式：</w:t>
      </w:r>
      <w:r>
        <w:rPr>
          <w:rFonts w:hint="eastAsia" w:ascii="Times New Roman" w:hAnsi="Times New Roman" w:eastAsia="宋体" w:cs="Times New Roman"/>
          <w:strike w:val="0"/>
          <w:color w:val="auto"/>
          <w:highlight w:val="none"/>
          <w:lang w:val="en-US" w:eastAsia="zh-CN"/>
        </w:rPr>
        <w:t xml:space="preserve">浦北县教育局  </w:t>
      </w:r>
      <w:r>
        <w:rPr>
          <w:rFonts w:hint="eastAsia" w:ascii="Times New Roman" w:hAnsi="Times New Roman" w:eastAsia="宋体" w:cs="Times New Roman"/>
          <w:strike w:val="0"/>
          <w:color w:val="auto"/>
          <w:highlight w:val="none"/>
        </w:rPr>
        <w:t>0777-8212033</w:t>
      </w:r>
    </w:p>
    <w:p w14:paraId="48CD4C30">
      <w:pPr>
        <w:ind w:firstLine="420"/>
        <w:rPr>
          <w:strike w:val="0"/>
          <w:color w:val="auto"/>
          <w:highlight w:val="none"/>
        </w:rPr>
      </w:pPr>
      <w:r>
        <w:rPr>
          <w:rFonts w:hint="eastAsia" w:ascii="Times New Roman" w:hAnsi="Times New Roman" w:eastAsia="宋体" w:cs="Times New Roman"/>
          <w:strike w:val="0"/>
          <w:color w:val="auto"/>
          <w:highlight w:val="none"/>
          <w:lang w:val="en-US" w:eastAsia="zh-CN"/>
        </w:rPr>
        <w:t>通讯地址：</w:t>
      </w:r>
      <w:r>
        <w:rPr>
          <w:rFonts w:hint="eastAsia" w:ascii="Times New Roman" w:hAnsi="Times New Roman" w:eastAsia="宋体" w:cs="Times New Roman"/>
          <w:strike w:val="0"/>
          <w:color w:val="auto"/>
        </w:rPr>
        <w:t>浦北县小江镇民兴39号</w:t>
      </w:r>
    </w:p>
    <w:p w14:paraId="453546DE">
      <w:pPr>
        <w:ind w:firstLine="420"/>
        <w:rPr>
          <w:rFonts w:hint="default" w:eastAsia="宋体"/>
          <w:strike w:val="0"/>
          <w:color w:val="auto"/>
          <w:lang w:val="en-US" w:eastAsia="zh-CN"/>
        </w:rPr>
      </w:pPr>
      <w:r>
        <w:rPr>
          <w:rFonts w:hint="eastAsia"/>
          <w:strike w:val="0"/>
          <w:color w:val="auto"/>
        </w:rPr>
        <w:t>采购监管部门联系方式：</w:t>
      </w:r>
      <w:r>
        <w:rPr>
          <w:rFonts w:hint="eastAsia" w:ascii="Times New Roman" w:hAnsi="Times New Roman" w:eastAsia="宋体" w:cs="Times New Roman"/>
          <w:strike w:val="0"/>
          <w:color w:val="auto"/>
        </w:rPr>
        <w:t>浦北县财政局   0777-8314622</w:t>
      </w:r>
    </w:p>
    <w:p w14:paraId="576F5489">
      <w:pPr>
        <w:ind w:firstLine="211" w:firstLineChars="100"/>
        <w:rPr>
          <w:rFonts w:hAnsi="宋体"/>
          <w:strike w:val="0"/>
          <w:color w:val="auto"/>
        </w:rPr>
      </w:pPr>
      <w:bookmarkStart w:id="113" w:name="_Hlk92793564"/>
      <w:r>
        <w:rPr>
          <w:rFonts w:hint="eastAsia"/>
          <w:b/>
          <w:bCs/>
          <w:strike w:val="0"/>
          <w:color w:val="auto"/>
        </w:rPr>
        <w:t>（十</w:t>
      </w:r>
      <w:r>
        <w:rPr>
          <w:rFonts w:hint="eastAsia"/>
          <w:b/>
          <w:bCs/>
          <w:strike w:val="0"/>
          <w:color w:val="auto"/>
          <w:lang w:val="en-US" w:eastAsia="zh-CN"/>
        </w:rPr>
        <w:t>一</w:t>
      </w:r>
      <w:r>
        <w:rPr>
          <w:rFonts w:hint="eastAsia"/>
          <w:b/>
          <w:bCs/>
          <w:strike w:val="0"/>
          <w:color w:val="auto"/>
        </w:rPr>
        <w:t>）查询媒体</w:t>
      </w:r>
      <w:bookmarkEnd w:id="108"/>
      <w:bookmarkEnd w:id="113"/>
      <w:r>
        <w:rPr>
          <w:rFonts w:hint="eastAsia"/>
          <w:b/>
          <w:bCs/>
          <w:strike w:val="0"/>
          <w:color w:val="auto"/>
        </w:rPr>
        <w:t>:</w:t>
      </w:r>
      <w:r>
        <w:rPr>
          <w:rFonts w:hAnsi="宋体"/>
          <w:strike w:val="0"/>
          <w:color w:val="auto"/>
        </w:rPr>
        <w:fldChar w:fldCharType="begin"/>
      </w:r>
      <w:r>
        <w:rPr>
          <w:rFonts w:hAnsi="宋体"/>
          <w:strike w:val="0"/>
          <w:color w:val="auto"/>
        </w:rPr>
        <w:instrText xml:space="preserve">HYPERLINK "http://www.ccgp.gov.cn/"</w:instrText>
      </w:r>
      <w:r>
        <w:rPr>
          <w:rFonts w:hAnsi="宋体"/>
          <w:strike w:val="0"/>
          <w:color w:val="auto"/>
        </w:rPr>
        <w:fldChar w:fldCharType="separate"/>
      </w:r>
      <w:r>
        <w:rPr>
          <w:rStyle w:val="60"/>
          <w:rFonts w:hint="eastAsia" w:hAnsi="宋体"/>
          <w:strike w:val="0"/>
          <w:color w:val="auto"/>
          <w:u w:val="none"/>
        </w:rPr>
        <w:t>中国政府采购网</w:t>
      </w:r>
      <w:r>
        <w:rPr>
          <w:rFonts w:hAnsi="宋体"/>
          <w:strike w:val="0"/>
          <w:color w:val="auto"/>
        </w:rPr>
        <w:fldChar w:fldCharType="end"/>
      </w:r>
      <w:r>
        <w:rPr>
          <w:rFonts w:hint="eastAsia" w:hAnsi="宋体"/>
          <w:strike w:val="0"/>
          <w:color w:val="auto"/>
        </w:rPr>
        <w:t>、</w:t>
      </w:r>
      <w:r>
        <w:rPr>
          <w:strike w:val="0"/>
          <w:color w:val="auto"/>
        </w:rPr>
        <w:fldChar w:fldCharType="begin"/>
      </w:r>
      <w:r>
        <w:rPr>
          <w:strike w:val="0"/>
          <w:color w:val="auto"/>
        </w:rPr>
        <w:instrText xml:space="preserve"> HYPERLINK "http://zfcg.gxzf.gov.cn/" </w:instrText>
      </w:r>
      <w:r>
        <w:rPr>
          <w:strike w:val="0"/>
          <w:color w:val="auto"/>
        </w:rPr>
        <w:fldChar w:fldCharType="separate"/>
      </w:r>
      <w:r>
        <w:rPr>
          <w:rFonts w:hint="eastAsia" w:hAnsi="宋体"/>
          <w:strike w:val="0"/>
          <w:color w:val="auto"/>
        </w:rPr>
        <w:t>广西政府采购网</w:t>
      </w:r>
      <w:r>
        <w:rPr>
          <w:rFonts w:hAnsi="宋体"/>
          <w:strike w:val="0"/>
          <w:color w:val="auto"/>
        </w:rPr>
        <w:fldChar w:fldCharType="end"/>
      </w:r>
      <w:r>
        <w:rPr>
          <w:rFonts w:hint="eastAsia" w:hAnsi="宋体"/>
          <w:strike w:val="0"/>
          <w:color w:val="auto"/>
        </w:rPr>
        <w:t>。</w:t>
      </w:r>
    </w:p>
    <w:p w14:paraId="78FCF47E">
      <w:pPr>
        <w:ind w:firstLine="211" w:firstLineChars="100"/>
        <w:rPr>
          <w:rFonts w:hint="eastAsia"/>
          <w:b/>
          <w:bCs/>
          <w:strike w:val="0"/>
          <w:color w:val="auto"/>
        </w:rPr>
      </w:pPr>
    </w:p>
    <w:p w14:paraId="50620A3C">
      <w:pPr>
        <w:pStyle w:val="3"/>
        <w:spacing w:before="0" w:after="0" w:line="400" w:lineRule="exact"/>
        <w:ind w:firstLine="0" w:firstLineChars="0"/>
        <w:rPr>
          <w:rFonts w:ascii="方正小标宋_GBK" w:eastAsia="方正小标宋_GBK"/>
          <w:strike w:val="0"/>
          <w:color w:val="auto"/>
          <w:sz w:val="24"/>
          <w:szCs w:val="24"/>
        </w:rPr>
      </w:pPr>
      <w:bookmarkStart w:id="114" w:name="_Toc353785286"/>
      <w:bookmarkStart w:id="115" w:name="_Toc352700416"/>
      <w:r>
        <w:rPr>
          <w:rFonts w:hint="eastAsia" w:ascii="方正小标宋_GBK" w:eastAsia="方正小标宋_GBK"/>
          <w:strike w:val="0"/>
          <w:color w:val="auto"/>
          <w:sz w:val="24"/>
          <w:szCs w:val="24"/>
        </w:rPr>
        <w:t>二、招标文件</w:t>
      </w:r>
      <w:bookmarkEnd w:id="114"/>
      <w:bookmarkEnd w:id="115"/>
    </w:p>
    <w:p w14:paraId="48967217">
      <w:pPr>
        <w:ind w:firstLine="211" w:firstLineChars="100"/>
        <w:rPr>
          <w:b/>
          <w:bCs/>
          <w:strike w:val="0"/>
          <w:color w:val="auto"/>
        </w:rPr>
      </w:pPr>
      <w:bookmarkStart w:id="116" w:name="_Toc352700417"/>
      <w:bookmarkStart w:id="117" w:name="_Toc353785287"/>
      <w:r>
        <w:rPr>
          <w:rFonts w:hint="eastAsia"/>
          <w:b/>
          <w:bCs/>
          <w:strike w:val="0"/>
          <w:color w:val="auto"/>
        </w:rPr>
        <w:t>（一）招标文件的组成</w:t>
      </w:r>
      <w:bookmarkEnd w:id="116"/>
      <w:bookmarkEnd w:id="117"/>
    </w:p>
    <w:p w14:paraId="0E0D34C8">
      <w:pPr>
        <w:pStyle w:val="28"/>
        <w:snapToGrid w:val="0"/>
        <w:ind w:firstLine="420"/>
        <w:rPr>
          <w:rFonts w:hAnsi="宋体"/>
          <w:strike w:val="0"/>
          <w:color w:val="auto"/>
        </w:rPr>
      </w:pPr>
      <w:r>
        <w:rPr>
          <w:rFonts w:hint="eastAsia" w:hAnsi="宋体"/>
          <w:strike w:val="0"/>
          <w:color w:val="auto"/>
        </w:rPr>
        <w:t>第一章 招标公告</w:t>
      </w:r>
    </w:p>
    <w:p w14:paraId="18937CAE">
      <w:pPr>
        <w:pStyle w:val="28"/>
        <w:snapToGrid w:val="0"/>
        <w:ind w:firstLine="420"/>
        <w:rPr>
          <w:rFonts w:hAnsi="宋体"/>
          <w:strike w:val="0"/>
          <w:color w:val="auto"/>
        </w:rPr>
      </w:pPr>
      <w:r>
        <w:rPr>
          <w:rFonts w:hint="eastAsia" w:hAnsi="宋体"/>
          <w:strike w:val="0"/>
          <w:color w:val="auto"/>
        </w:rPr>
        <w:t>第二章 项目需求</w:t>
      </w:r>
    </w:p>
    <w:p w14:paraId="3D10D146">
      <w:pPr>
        <w:pStyle w:val="28"/>
        <w:snapToGrid w:val="0"/>
        <w:ind w:firstLine="420"/>
        <w:rPr>
          <w:rFonts w:hAnsi="宋体"/>
          <w:strike w:val="0"/>
          <w:color w:val="auto"/>
        </w:rPr>
      </w:pPr>
      <w:r>
        <w:rPr>
          <w:rFonts w:hint="eastAsia" w:hAnsi="宋体"/>
          <w:strike w:val="0"/>
          <w:color w:val="auto"/>
        </w:rPr>
        <w:t>第三章 投标人须知及前附表</w:t>
      </w:r>
    </w:p>
    <w:p w14:paraId="2D11C547">
      <w:pPr>
        <w:pStyle w:val="28"/>
        <w:snapToGrid w:val="0"/>
        <w:ind w:firstLine="420"/>
        <w:rPr>
          <w:rFonts w:hAnsi="宋体"/>
          <w:strike w:val="0"/>
          <w:color w:val="auto"/>
        </w:rPr>
      </w:pPr>
      <w:r>
        <w:rPr>
          <w:rFonts w:hint="eastAsia" w:hAnsi="宋体"/>
          <w:strike w:val="0"/>
          <w:color w:val="auto"/>
        </w:rPr>
        <w:t>第四章 评定标准及推荐原则</w:t>
      </w:r>
    </w:p>
    <w:p w14:paraId="1D10ADBC">
      <w:pPr>
        <w:pStyle w:val="28"/>
        <w:snapToGrid w:val="0"/>
        <w:ind w:firstLine="420"/>
        <w:rPr>
          <w:rFonts w:hAnsi="宋体"/>
          <w:strike w:val="0"/>
          <w:color w:val="auto"/>
        </w:rPr>
      </w:pPr>
      <w:r>
        <w:rPr>
          <w:rFonts w:hint="eastAsia" w:hAnsi="宋体"/>
          <w:strike w:val="0"/>
          <w:color w:val="auto"/>
        </w:rPr>
        <w:t>第五章 政府采购合同主要条款</w:t>
      </w:r>
    </w:p>
    <w:p w14:paraId="6CB2E97B">
      <w:pPr>
        <w:pStyle w:val="28"/>
        <w:snapToGrid w:val="0"/>
        <w:ind w:firstLine="420"/>
        <w:rPr>
          <w:rFonts w:hAnsi="宋体"/>
          <w:strike w:val="0"/>
          <w:color w:val="auto"/>
        </w:rPr>
      </w:pPr>
      <w:r>
        <w:rPr>
          <w:rFonts w:hint="eastAsia" w:hAnsi="宋体"/>
          <w:strike w:val="0"/>
          <w:color w:val="auto"/>
        </w:rPr>
        <w:t>第六章 投标文件格式</w:t>
      </w:r>
    </w:p>
    <w:p w14:paraId="77CB8024">
      <w:pPr>
        <w:ind w:firstLine="211" w:firstLineChars="100"/>
        <w:rPr>
          <w:b/>
          <w:bCs/>
          <w:strike w:val="0"/>
          <w:color w:val="auto"/>
        </w:rPr>
      </w:pPr>
      <w:bookmarkStart w:id="118" w:name="_Toc353785289"/>
      <w:bookmarkStart w:id="119" w:name="_Toc352700419"/>
      <w:r>
        <w:rPr>
          <w:rFonts w:hint="eastAsia"/>
          <w:b/>
          <w:bCs/>
          <w:strike w:val="0"/>
          <w:color w:val="auto"/>
        </w:rPr>
        <w:t>（二）招标文件的澄清与修改</w:t>
      </w:r>
      <w:bookmarkEnd w:id="118"/>
      <w:bookmarkEnd w:id="119"/>
    </w:p>
    <w:p w14:paraId="2054DF41">
      <w:pPr>
        <w:pStyle w:val="28"/>
        <w:snapToGrid w:val="0"/>
        <w:ind w:firstLine="420"/>
        <w:jc w:val="left"/>
        <w:rPr>
          <w:strike w:val="0"/>
          <w:color w:val="auto"/>
        </w:rPr>
      </w:pPr>
      <w:r>
        <w:rPr>
          <w:rFonts w:hAnsi="宋体"/>
          <w:strike w:val="0"/>
          <w:color w:val="auto"/>
        </w:rPr>
        <w:t>1.</w:t>
      </w:r>
      <w:r>
        <w:rPr>
          <w:strike w:val="0"/>
          <w:color w:val="auto"/>
        </w:rPr>
        <w:t>采购人</w:t>
      </w:r>
      <w:r>
        <w:rPr>
          <w:rFonts w:hint="eastAsia"/>
          <w:strike w:val="0"/>
          <w:color w:val="auto"/>
        </w:rPr>
        <w:t>或者本中心</w:t>
      </w:r>
      <w:r>
        <w:rPr>
          <w:strike w:val="0"/>
          <w:color w:val="auto"/>
        </w:rPr>
        <w:t>可以对已发出的招标文件进行必要的</w:t>
      </w:r>
      <w:bookmarkStart w:id="120" w:name="_Hlk92287343"/>
      <w:r>
        <w:rPr>
          <w:strike w:val="0"/>
          <w:color w:val="auto"/>
        </w:rPr>
        <w:t>澄清或者修改</w:t>
      </w:r>
      <w:bookmarkEnd w:id="120"/>
      <w:r>
        <w:rPr>
          <w:strike w:val="0"/>
          <w:color w:val="auto"/>
        </w:rPr>
        <w:t>，但不得改变采购标的和资格条件。澄清或者修改应当在原公告发布媒体上发布澄清公告。澄清或者修改的内容为招标文件的组成部分。</w:t>
      </w:r>
    </w:p>
    <w:p w14:paraId="779DC973">
      <w:pPr>
        <w:pStyle w:val="28"/>
        <w:snapToGrid w:val="0"/>
        <w:ind w:firstLine="420"/>
        <w:jc w:val="left"/>
        <w:rPr>
          <w:rFonts w:hAnsi="宋体"/>
          <w:strike w:val="0"/>
          <w:color w:val="auto"/>
        </w:rPr>
      </w:pPr>
      <w:r>
        <w:rPr>
          <w:rFonts w:hAnsi="宋体"/>
          <w:strike w:val="0"/>
          <w:color w:val="auto"/>
        </w:rPr>
        <w:t>2.澄清或者修改的内容可能影响投标文件编制的，采购人或者采购代理机构应当在投标截止时间至少15日前，以</w:t>
      </w:r>
      <w:r>
        <w:rPr>
          <w:rFonts w:hint="eastAsia" w:hAnsi="宋体"/>
          <w:strike w:val="0"/>
          <w:color w:val="auto"/>
        </w:rPr>
        <w:t>书面形式</w:t>
      </w:r>
      <w:r>
        <w:rPr>
          <w:rFonts w:hAnsi="宋体"/>
          <w:strike w:val="0"/>
          <w:color w:val="auto"/>
        </w:rPr>
        <w:t>通知所有</w:t>
      </w:r>
      <w:r>
        <w:rPr>
          <w:rFonts w:hint="eastAsia" w:hAnsi="宋体"/>
          <w:strike w:val="0"/>
          <w:color w:val="auto"/>
        </w:rPr>
        <w:t>依法</w:t>
      </w:r>
      <w:r>
        <w:rPr>
          <w:rFonts w:hAnsi="宋体"/>
          <w:strike w:val="0"/>
          <w:color w:val="auto"/>
        </w:rPr>
        <w:t>获取招标文件的潜在投标人；不足15日的，采购人或者采购代理机构应当顺延提交投标文件的截止时间。</w:t>
      </w:r>
    </w:p>
    <w:p w14:paraId="689C3FCC">
      <w:pPr>
        <w:pStyle w:val="28"/>
        <w:snapToGrid w:val="0"/>
        <w:ind w:firstLine="420"/>
        <w:jc w:val="left"/>
        <w:rPr>
          <w:rFonts w:hint="eastAsia" w:ascii="Arial" w:hAnsi="Arial" w:cs="Arial"/>
          <w:strike w:val="0"/>
          <w:color w:val="auto"/>
        </w:rPr>
      </w:pPr>
      <w:bookmarkStart w:id="121" w:name="_Hlk92446337"/>
      <w:r>
        <w:rPr>
          <w:rFonts w:hAnsi="宋体"/>
          <w:strike w:val="0"/>
          <w:color w:val="auto"/>
        </w:rPr>
        <w:t>3.</w:t>
      </w:r>
      <w:r>
        <w:rPr>
          <w:rFonts w:ascii="Arial" w:hAnsi="Arial" w:cs="Arial"/>
          <w:strike w:val="0"/>
          <w:color w:val="auto"/>
        </w:rPr>
        <w:t>提供期限届满后，获取招标文件的潜在投标人不足3家的，</w:t>
      </w:r>
      <w:r>
        <w:rPr>
          <w:rFonts w:hint="eastAsia" w:ascii="Arial" w:hAnsi="Arial" w:cs="Arial"/>
          <w:strike w:val="0"/>
          <w:color w:val="auto"/>
        </w:rPr>
        <w:t>本中心</w:t>
      </w:r>
      <w:r>
        <w:rPr>
          <w:rFonts w:ascii="Arial" w:hAnsi="Arial" w:cs="Arial"/>
          <w:strike w:val="0"/>
          <w:color w:val="auto"/>
        </w:rPr>
        <w:t>可以顺延提供期限，并予公告。</w:t>
      </w:r>
    </w:p>
    <w:bookmarkEnd w:id="121"/>
    <w:p w14:paraId="512C38B4">
      <w:pPr>
        <w:pStyle w:val="3"/>
        <w:spacing w:before="0" w:after="0" w:line="400" w:lineRule="exact"/>
        <w:ind w:firstLine="0" w:firstLineChars="0"/>
        <w:rPr>
          <w:rFonts w:ascii="方正小标宋_GBK" w:eastAsia="方正小标宋_GBK"/>
          <w:b w:val="0"/>
          <w:strike w:val="0"/>
          <w:color w:val="auto"/>
          <w:sz w:val="24"/>
          <w:szCs w:val="24"/>
        </w:rPr>
      </w:pPr>
      <w:bookmarkStart w:id="122" w:name="_三、投标文件"/>
      <w:bookmarkEnd w:id="122"/>
      <w:bookmarkStart w:id="123" w:name="_Toc353785290"/>
      <w:bookmarkStart w:id="124" w:name="_Toc254970676"/>
      <w:bookmarkStart w:id="125" w:name="_Toc254970535"/>
      <w:bookmarkStart w:id="126" w:name="_Toc352700420"/>
      <w:r>
        <w:rPr>
          <w:rFonts w:hint="eastAsia" w:ascii="方正小标宋_GBK" w:eastAsia="方正小标宋_GBK"/>
          <w:b w:val="0"/>
          <w:strike w:val="0"/>
          <w:color w:val="auto"/>
          <w:sz w:val="24"/>
          <w:szCs w:val="24"/>
        </w:rPr>
        <w:t>三、</w:t>
      </w:r>
      <w:bookmarkStart w:id="127" w:name="_Hlk92446512"/>
      <w:r>
        <w:rPr>
          <w:rFonts w:hint="eastAsia" w:ascii="方正小标宋_GBK" w:eastAsia="方正小标宋_GBK"/>
          <w:b w:val="0"/>
          <w:strike w:val="0"/>
          <w:color w:val="auto"/>
          <w:sz w:val="24"/>
          <w:szCs w:val="24"/>
        </w:rPr>
        <w:t>投标文件</w:t>
      </w:r>
      <w:bookmarkEnd w:id="123"/>
      <w:bookmarkEnd w:id="124"/>
      <w:bookmarkEnd w:id="125"/>
      <w:bookmarkEnd w:id="126"/>
    </w:p>
    <w:p w14:paraId="34B19E8C">
      <w:pPr>
        <w:ind w:firstLine="211" w:firstLineChars="100"/>
        <w:rPr>
          <w:rFonts w:hint="eastAsia" w:hAnsi="宋体"/>
          <w:b/>
          <w:bCs/>
          <w:strike w:val="0"/>
          <w:color w:val="auto"/>
        </w:rPr>
      </w:pPr>
      <w:bookmarkStart w:id="128" w:name="_Toc254970677"/>
      <w:bookmarkStart w:id="129" w:name="_Toc352700421"/>
      <w:bookmarkStart w:id="130" w:name="_Toc254970536"/>
      <w:bookmarkStart w:id="131" w:name="_Toc353785291"/>
      <w:r>
        <w:rPr>
          <w:rFonts w:hint="eastAsia" w:hAnsi="宋体"/>
          <w:b/>
          <w:bCs/>
          <w:strike w:val="0"/>
          <w:color w:val="auto"/>
        </w:rPr>
        <w:t>（一）投标人的风险</w:t>
      </w:r>
    </w:p>
    <w:p w14:paraId="0D49E824">
      <w:pPr>
        <w:ind w:firstLine="420"/>
        <w:rPr>
          <w:rFonts w:hAnsi="宋体"/>
          <w:strike w:val="0"/>
          <w:color w:val="auto"/>
        </w:rPr>
      </w:pPr>
      <w:r>
        <w:rPr>
          <w:rFonts w:hAnsi="宋体"/>
          <w:strike w:val="0"/>
          <w:color w:val="auto"/>
        </w:rPr>
        <w:t>1.</w:t>
      </w:r>
      <w:r>
        <w:rPr>
          <w:rFonts w:hint="eastAsia" w:hAnsi="宋体"/>
          <w:strike w:val="0"/>
          <w:color w:val="auto"/>
        </w:rPr>
        <w:t>投标人应仔细阅读招标文件的全部内容，按照招标文件的要求提交投标文件，并对所提供的全部资料的真实性承担法律责任。</w:t>
      </w:r>
    </w:p>
    <w:p w14:paraId="60A15616">
      <w:pPr>
        <w:ind w:firstLine="420"/>
        <w:rPr>
          <w:rFonts w:hint="eastAsia" w:hAnsi="宋体"/>
          <w:strike w:val="0"/>
          <w:color w:val="auto"/>
        </w:rPr>
      </w:pPr>
      <w:r>
        <w:rPr>
          <w:rFonts w:hAnsi="宋体"/>
          <w:strike w:val="0"/>
          <w:color w:val="auto"/>
        </w:rPr>
        <w:t>2.</w:t>
      </w:r>
      <w:r>
        <w:rPr>
          <w:rFonts w:hint="eastAsia" w:hAnsi="宋体"/>
          <w:strike w:val="0"/>
          <w:color w:val="auto"/>
        </w:rPr>
        <w:t>投标人在投标活动中提供任何虚假材料的，评标委员会将报财政部门查处。</w:t>
      </w:r>
    </w:p>
    <w:bookmarkEnd w:id="127"/>
    <w:p w14:paraId="368B0389">
      <w:pPr>
        <w:snapToGrid w:val="0"/>
        <w:ind w:firstLine="211" w:firstLineChars="100"/>
        <w:rPr>
          <w:rFonts w:ascii="宋体" w:hAnsi="宋体"/>
          <w:b/>
          <w:strike w:val="0"/>
          <w:color w:val="auto"/>
          <w:szCs w:val="21"/>
        </w:rPr>
      </w:pPr>
      <w:bookmarkStart w:id="132" w:name="_Hlk92446638"/>
      <w:r>
        <w:rPr>
          <w:rFonts w:hint="eastAsia" w:hAnsi="宋体"/>
          <w:b/>
          <w:bCs/>
          <w:strike w:val="0"/>
          <w:color w:val="auto"/>
        </w:rPr>
        <w:t>（二）</w:t>
      </w:r>
      <w:r>
        <w:rPr>
          <w:rFonts w:hint="eastAsia" w:ascii="宋体" w:hAnsi="宋体"/>
          <w:b/>
          <w:strike w:val="0"/>
          <w:color w:val="auto"/>
          <w:szCs w:val="21"/>
        </w:rPr>
        <w:t>投标文件的组成</w:t>
      </w:r>
    </w:p>
    <w:p w14:paraId="0944CFBC">
      <w:pPr>
        <w:snapToGrid w:val="0"/>
        <w:ind w:firstLine="422"/>
        <w:rPr>
          <w:rFonts w:hint="eastAsia" w:ascii="宋体" w:hAnsi="宋体"/>
          <w:b/>
          <w:strike w:val="0"/>
          <w:color w:val="auto"/>
          <w:szCs w:val="21"/>
        </w:rPr>
      </w:pPr>
      <w:bookmarkStart w:id="133" w:name="_Hlk92285760"/>
      <w:r>
        <w:rPr>
          <w:rFonts w:ascii="宋体" w:hAnsi="宋体"/>
          <w:b/>
          <w:strike w:val="0"/>
          <w:color w:val="auto"/>
          <w:szCs w:val="21"/>
        </w:rPr>
        <w:t>1.</w:t>
      </w:r>
      <w:r>
        <w:rPr>
          <w:rFonts w:hint="eastAsia" w:ascii="宋体" w:hAnsi="宋体"/>
          <w:b/>
          <w:strike w:val="0"/>
          <w:color w:val="auto"/>
          <w:szCs w:val="21"/>
        </w:rPr>
        <w:t>资格文件：</w:t>
      </w:r>
    </w:p>
    <w:p w14:paraId="10524343">
      <w:pPr>
        <w:tabs>
          <w:tab w:val="left" w:pos="3870"/>
          <w:tab w:val="left" w:pos="4085"/>
        </w:tabs>
        <w:snapToGrid w:val="0"/>
        <w:ind w:firstLine="420"/>
        <w:rPr>
          <w:rFonts w:hint="eastAsia" w:ascii="宋体" w:hAnsi="宋体"/>
          <w:strike w:val="0"/>
          <w:color w:val="auto"/>
          <w:szCs w:val="21"/>
        </w:rPr>
      </w:pPr>
      <w:r>
        <w:rPr>
          <w:rFonts w:hint="eastAsia" w:ascii="宋体" w:hAnsi="宋体" w:cs="宋体"/>
          <w:bCs/>
          <w:strike w:val="0"/>
          <w:color w:val="auto"/>
          <w:kern w:val="0"/>
          <w:szCs w:val="21"/>
        </w:rPr>
        <w:t>★</w:t>
      </w:r>
      <w:bookmarkStart w:id="134" w:name="_Hlk90369149"/>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法人或者其他组织的营业执照等证明文件</w:t>
      </w:r>
    </w:p>
    <w:bookmarkEnd w:id="134"/>
    <w:p w14:paraId="2527232A">
      <w:pPr>
        <w:tabs>
          <w:tab w:val="left" w:pos="3870"/>
          <w:tab w:val="left" w:pos="4085"/>
        </w:tabs>
        <w:snapToGrid w:val="0"/>
        <w:ind w:firstLine="420"/>
        <w:rPr>
          <w:rFonts w:hAnsi="宋体"/>
          <w:strike w:val="0"/>
          <w:color w:val="auto"/>
        </w:rPr>
      </w:pPr>
      <w:r>
        <w:rPr>
          <w:rFonts w:hint="eastAsia" w:ascii="宋体" w:hAnsi="宋体" w:cs="宋体"/>
          <w:bCs/>
          <w:strike w:val="0"/>
          <w:color w:val="auto"/>
          <w:kern w:val="0"/>
          <w:szCs w:val="21"/>
        </w:rPr>
        <w:t>★(</w:t>
      </w:r>
      <w:r>
        <w:rPr>
          <w:rFonts w:ascii="宋体" w:hAnsi="宋体" w:cs="宋体"/>
          <w:bCs/>
          <w:strike w:val="0"/>
          <w:color w:val="auto"/>
          <w:kern w:val="0"/>
          <w:szCs w:val="21"/>
        </w:rPr>
        <w:t>2)</w:t>
      </w:r>
      <w:bookmarkStart w:id="135" w:name="_Hlk154044758"/>
      <w:r>
        <w:rPr>
          <w:rFonts w:hint="eastAsia" w:ascii="宋体" w:hAnsi="宋体"/>
          <w:strike w:val="0"/>
          <w:color w:val="auto"/>
          <w:szCs w:val="21"/>
        </w:rPr>
        <w:t>投标人具备参加政府采购活动条件的承诺书</w:t>
      </w:r>
      <w:r>
        <w:rPr>
          <w:rFonts w:hint="eastAsia" w:ascii="宋体" w:hAnsi="宋体" w:cs="宋体"/>
          <w:strike w:val="0"/>
          <w:color w:val="auto"/>
          <w:szCs w:val="21"/>
        </w:rPr>
        <w:t>(格式见第六章</w:t>
      </w:r>
      <w:r>
        <w:rPr>
          <w:rFonts w:ascii="宋体" w:hAnsi="宋体" w:cs="宋体"/>
          <w:strike w:val="0"/>
          <w:color w:val="auto"/>
          <w:szCs w:val="21"/>
        </w:rPr>
        <w:t>）</w:t>
      </w:r>
      <w:bookmarkEnd w:id="135"/>
    </w:p>
    <w:p w14:paraId="45AE6260">
      <w:pPr>
        <w:tabs>
          <w:tab w:val="left" w:pos="3870"/>
          <w:tab w:val="left" w:pos="4085"/>
        </w:tabs>
        <w:snapToGrid w:val="0"/>
        <w:ind w:firstLine="420"/>
        <w:rPr>
          <w:rFonts w:hint="eastAsia" w:hAnsi="宋体"/>
          <w:strike w:val="0"/>
          <w:color w:val="auto"/>
        </w:rPr>
      </w:pPr>
      <w:r>
        <w:rPr>
          <w:rFonts w:hint="eastAsia" w:ascii="宋体" w:hAnsi="宋体" w:cs="宋体"/>
          <w:bCs/>
          <w:strike w:val="0"/>
          <w:color w:val="auto"/>
          <w:kern w:val="0"/>
          <w:szCs w:val="21"/>
        </w:rPr>
        <w:t>★(</w:t>
      </w:r>
      <w:r>
        <w:rPr>
          <w:rFonts w:ascii="宋体" w:hAnsi="宋体" w:cs="宋体"/>
          <w:bCs/>
          <w:strike w:val="0"/>
          <w:color w:val="auto"/>
          <w:kern w:val="0"/>
          <w:szCs w:val="21"/>
        </w:rPr>
        <w:t>3)</w:t>
      </w:r>
      <w:r>
        <w:rPr>
          <w:rFonts w:hint="eastAsia" w:hAnsi="宋体"/>
          <w:strike w:val="0"/>
          <w:color w:val="auto"/>
        </w:rPr>
        <w:t>参加政府采购活动前3年内在经营活动中没有重大违法记录的书面声明(格式见第六章)</w:t>
      </w:r>
    </w:p>
    <w:p w14:paraId="08BA4CFA">
      <w:pPr>
        <w:snapToGrid w:val="0"/>
        <w:ind w:firstLine="630" w:firstLineChars="300"/>
        <w:rPr>
          <w:rFonts w:hint="eastAsia" w:hAnsi="宋体"/>
          <w:strike w:val="0"/>
          <w:color w:val="auto"/>
          <w:szCs w:val="21"/>
        </w:rPr>
      </w:pPr>
      <w:r>
        <w:rPr>
          <w:rFonts w:hint="eastAsia" w:ascii="宋体" w:hAnsi="宋体" w:cs="宋体"/>
          <w:bCs/>
          <w:strike w:val="0"/>
          <w:color w:val="auto"/>
          <w:kern w:val="0"/>
          <w:szCs w:val="21"/>
        </w:rPr>
        <w:t>(</w:t>
      </w:r>
      <w:r>
        <w:rPr>
          <w:rFonts w:hint="eastAsia" w:ascii="宋体" w:hAnsi="宋体" w:cs="宋体"/>
          <w:bCs/>
          <w:strike w:val="0"/>
          <w:color w:val="auto"/>
          <w:kern w:val="0"/>
          <w:szCs w:val="21"/>
          <w:lang w:val="en-US" w:eastAsia="zh-CN"/>
        </w:rPr>
        <w:t>4</w:t>
      </w:r>
      <w:r>
        <w:rPr>
          <w:rFonts w:ascii="宋体" w:hAnsi="宋体" w:cs="宋体"/>
          <w:bCs/>
          <w:strike w:val="0"/>
          <w:color w:val="auto"/>
          <w:kern w:val="0"/>
          <w:szCs w:val="21"/>
        </w:rPr>
        <w:t>)</w:t>
      </w:r>
      <w:r>
        <w:rPr>
          <w:rFonts w:hint="eastAsia" w:hAnsi="宋体"/>
          <w:strike w:val="0"/>
          <w:color w:val="auto"/>
          <w:szCs w:val="21"/>
        </w:rPr>
        <w:t>除招标文件规定必须提供以外，投标人认为需要提供的其他证明材料。</w:t>
      </w:r>
    </w:p>
    <w:p w14:paraId="782362A8">
      <w:pPr>
        <w:snapToGrid w:val="0"/>
        <w:ind w:firstLine="422"/>
        <w:rPr>
          <w:rFonts w:hint="eastAsia" w:ascii="宋体" w:hAnsi="宋体"/>
          <w:b/>
          <w:strike w:val="0"/>
          <w:color w:val="auto"/>
          <w:szCs w:val="21"/>
        </w:rPr>
      </w:pPr>
      <w:r>
        <w:rPr>
          <w:rFonts w:ascii="宋体" w:hAnsi="宋体"/>
          <w:b/>
          <w:strike w:val="0"/>
          <w:color w:val="auto"/>
          <w:szCs w:val="21"/>
        </w:rPr>
        <w:t>2.</w:t>
      </w:r>
      <w:r>
        <w:rPr>
          <w:rFonts w:hint="eastAsia" w:ascii="宋体" w:hAnsi="宋体"/>
          <w:b/>
          <w:strike w:val="0"/>
          <w:color w:val="auto"/>
          <w:szCs w:val="21"/>
        </w:rPr>
        <w:t>商务技术文件：</w:t>
      </w:r>
    </w:p>
    <w:p w14:paraId="353164AA">
      <w:pPr>
        <w:snapToGrid w:val="0"/>
        <w:ind w:firstLine="422"/>
        <w:rPr>
          <w:rFonts w:hint="eastAsia" w:ascii="宋体" w:hAnsi="宋体"/>
          <w:strike w:val="0"/>
          <w:color w:val="auto"/>
          <w:szCs w:val="21"/>
        </w:rPr>
      </w:pPr>
      <w:r>
        <w:rPr>
          <w:rFonts w:ascii="宋体" w:hAnsi="宋体"/>
          <w:b/>
          <w:strike w:val="0"/>
          <w:color w:val="auto"/>
          <w:szCs w:val="21"/>
        </w:rPr>
        <w:t xml:space="preserve"> </w:t>
      </w:r>
      <w:r>
        <w:rPr>
          <w:rFonts w:ascii="宋体" w:hAnsi="宋体"/>
          <w:strike w:val="0"/>
          <w:color w:val="auto"/>
          <w:szCs w:val="21"/>
        </w:rPr>
        <w:t xml:space="preserve"> (1)</w:t>
      </w:r>
      <w:bookmarkStart w:id="136" w:name="_Hlk97803518"/>
      <w:r>
        <w:rPr>
          <w:rFonts w:hint="eastAsia" w:ascii="宋体" w:hAnsi="宋体"/>
          <w:strike w:val="0"/>
          <w:color w:val="auto"/>
          <w:szCs w:val="21"/>
        </w:rPr>
        <w:t>投标保证金票据或转账凭证(户名、账号及开户行等信息清晰可辨）</w:t>
      </w:r>
      <w:bookmarkEnd w:id="136"/>
    </w:p>
    <w:p w14:paraId="7EA24450">
      <w:pPr>
        <w:tabs>
          <w:tab w:val="left" w:pos="3870"/>
          <w:tab w:val="left" w:pos="4085"/>
        </w:tabs>
        <w:snapToGrid w:val="0"/>
        <w:ind w:firstLine="420"/>
        <w:rPr>
          <w:rFonts w:hint="eastAsia" w:ascii="宋体" w:hAnsi="宋体"/>
          <w:strike w:val="0"/>
          <w:color w:val="auto"/>
          <w:szCs w:val="21"/>
        </w:rPr>
      </w:pPr>
      <w:r>
        <w:rPr>
          <w:rFonts w:hint="eastAsia" w:ascii="宋体" w:hAnsi="宋体" w:cs="宋体"/>
          <w:bCs/>
          <w:strike w:val="0"/>
          <w:color w:val="auto"/>
          <w:kern w:val="0"/>
          <w:szCs w:val="21"/>
        </w:rPr>
        <w:t>★</w:t>
      </w:r>
      <w:r>
        <w:rPr>
          <w:rFonts w:hint="eastAsia" w:ascii="宋体" w:hAnsi="宋体"/>
          <w:strike w:val="0"/>
          <w:color w:val="auto"/>
          <w:szCs w:val="21"/>
        </w:rPr>
        <w:t>(</w:t>
      </w:r>
      <w:r>
        <w:rPr>
          <w:rFonts w:ascii="宋体" w:hAnsi="宋体"/>
          <w:strike w:val="0"/>
          <w:color w:val="auto"/>
          <w:szCs w:val="21"/>
        </w:rPr>
        <w:t>2)</w:t>
      </w:r>
      <w:r>
        <w:rPr>
          <w:rFonts w:hint="eastAsia" w:ascii="宋体" w:hAnsi="宋体"/>
          <w:strike w:val="0"/>
          <w:color w:val="auto"/>
          <w:szCs w:val="21"/>
        </w:rPr>
        <w:t>投标函（格式见第六章）</w:t>
      </w:r>
    </w:p>
    <w:p w14:paraId="1ACAB103">
      <w:pPr>
        <w:tabs>
          <w:tab w:val="left" w:pos="3870"/>
          <w:tab w:val="left" w:pos="4085"/>
        </w:tabs>
        <w:snapToGrid w:val="0"/>
        <w:ind w:firstLine="420"/>
        <w:rPr>
          <w:rFonts w:ascii="宋体" w:hAnsi="宋体"/>
          <w:strike w:val="0"/>
          <w:color w:val="auto"/>
          <w:szCs w:val="21"/>
        </w:rPr>
      </w:pPr>
      <w:r>
        <w:rPr>
          <w:rFonts w:hint="eastAsia" w:ascii="宋体" w:hAnsi="宋体" w:cs="宋体"/>
          <w:bCs/>
          <w:strike w:val="0"/>
          <w:color w:val="auto"/>
          <w:kern w:val="0"/>
          <w:szCs w:val="21"/>
        </w:rPr>
        <w:t>★</w:t>
      </w:r>
      <w:r>
        <w:rPr>
          <w:rFonts w:hint="eastAsia" w:ascii="宋体" w:hAnsi="宋体"/>
          <w:strike w:val="0"/>
          <w:color w:val="auto"/>
          <w:szCs w:val="21"/>
        </w:rPr>
        <w:t>(</w:t>
      </w:r>
      <w:r>
        <w:rPr>
          <w:rFonts w:ascii="宋体" w:hAnsi="宋体"/>
          <w:strike w:val="0"/>
          <w:color w:val="auto"/>
          <w:szCs w:val="21"/>
        </w:rPr>
        <w:t>3)</w:t>
      </w:r>
      <w:r>
        <w:rPr>
          <w:rFonts w:hint="eastAsia" w:ascii="宋体" w:hAnsi="宋体"/>
          <w:strike w:val="0"/>
          <w:color w:val="auto"/>
          <w:szCs w:val="21"/>
        </w:rPr>
        <w:t>法定代表人身份证</w:t>
      </w:r>
    </w:p>
    <w:p w14:paraId="51949ECB">
      <w:pPr>
        <w:snapToGrid w:val="0"/>
        <w:ind w:firstLine="417" w:firstLineChars="199"/>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4)</w:t>
      </w:r>
      <w:r>
        <w:rPr>
          <w:rFonts w:hint="eastAsia" w:ascii="宋体" w:hAnsi="宋体"/>
          <w:strike w:val="0"/>
          <w:color w:val="auto"/>
          <w:szCs w:val="21"/>
        </w:rPr>
        <w:t>法定代表人授权委托书和代理人身份证（委托代理时必须提供，格式见第六章）</w:t>
      </w:r>
    </w:p>
    <w:p w14:paraId="59B74184">
      <w:pPr>
        <w:snapToGrid w:val="0"/>
        <w:ind w:firstLine="420" w:firstLineChars="199"/>
        <w:rPr>
          <w:rFonts w:hint="eastAsia" w:ascii="宋体" w:hAnsi="宋体"/>
          <w:strike w:val="0"/>
          <w:color w:val="auto"/>
          <w:szCs w:val="21"/>
        </w:rPr>
      </w:pPr>
      <w:r>
        <w:rPr>
          <w:rFonts w:hint="eastAsia" w:ascii="宋体" w:hAnsi="宋体"/>
          <w:b/>
          <w:strike w:val="0"/>
          <w:color w:val="auto"/>
          <w:szCs w:val="21"/>
        </w:rPr>
        <w:t>★</w:t>
      </w:r>
      <w:r>
        <w:rPr>
          <w:rFonts w:hint="eastAsia" w:ascii="宋体" w:hAnsi="宋体"/>
          <w:strike w:val="0"/>
          <w:color w:val="auto"/>
          <w:szCs w:val="21"/>
        </w:rPr>
        <w:t>(</w:t>
      </w:r>
      <w:r>
        <w:rPr>
          <w:rFonts w:ascii="宋体" w:hAnsi="宋体"/>
          <w:strike w:val="0"/>
          <w:color w:val="auto"/>
          <w:szCs w:val="21"/>
        </w:rPr>
        <w:t>5)</w:t>
      </w:r>
      <w:r>
        <w:rPr>
          <w:rFonts w:ascii="宋体" w:hAnsi="宋体"/>
          <w:strike w:val="0"/>
          <w:color w:val="auto"/>
        </w:rPr>
        <w:t>商务响应表(格式见第六章)</w:t>
      </w:r>
    </w:p>
    <w:p w14:paraId="7C7BDA7C">
      <w:pPr>
        <w:snapToGrid w:val="0"/>
        <w:ind w:firstLine="420" w:firstLineChars="199"/>
        <w:rPr>
          <w:rFonts w:hint="eastAsia" w:ascii="宋体" w:hAnsi="宋体"/>
          <w:strike w:val="0"/>
          <w:color w:val="auto"/>
          <w:szCs w:val="21"/>
        </w:rPr>
      </w:pPr>
      <w:r>
        <w:rPr>
          <w:rFonts w:hint="eastAsia" w:ascii="宋体" w:hAnsi="宋体"/>
          <w:b/>
          <w:strike w:val="0"/>
          <w:color w:val="auto"/>
          <w:szCs w:val="21"/>
        </w:rPr>
        <w:t>★</w:t>
      </w:r>
      <w:r>
        <w:rPr>
          <w:rFonts w:hint="eastAsia" w:ascii="宋体" w:hAnsi="宋体"/>
          <w:strike w:val="0"/>
          <w:color w:val="auto"/>
        </w:rPr>
        <w:t>(</w:t>
      </w:r>
      <w:r>
        <w:rPr>
          <w:rFonts w:ascii="宋体" w:hAnsi="宋体"/>
          <w:strike w:val="0"/>
          <w:color w:val="auto"/>
        </w:rPr>
        <w:t>6)</w:t>
      </w:r>
      <w:r>
        <w:rPr>
          <w:rFonts w:hint="eastAsia" w:ascii="宋体" w:hAnsi="宋体"/>
          <w:strike w:val="0"/>
          <w:color w:val="auto"/>
          <w:szCs w:val="21"/>
        </w:rPr>
        <w:t>技术响应表</w:t>
      </w:r>
      <w:bookmarkStart w:id="137" w:name="_Hlk92285954"/>
      <w:r>
        <w:rPr>
          <w:rFonts w:ascii="宋体" w:hAnsi="宋体"/>
          <w:strike w:val="0"/>
          <w:color w:val="auto"/>
        </w:rPr>
        <w:t>(格式见第六章)</w:t>
      </w:r>
      <w:bookmarkEnd w:id="137"/>
    </w:p>
    <w:p w14:paraId="03E82D1D">
      <w:pPr>
        <w:snapToGrid w:val="0"/>
        <w:ind w:firstLine="627" w:firstLineChars="299"/>
        <w:rPr>
          <w:rFonts w:hint="eastAsia" w:ascii="宋体" w:cs="宋体"/>
          <w:strike w:val="0"/>
          <w:color w:val="auto"/>
          <w:kern w:val="0"/>
          <w:szCs w:val="21"/>
        </w:rPr>
      </w:pPr>
      <w:r>
        <w:rPr>
          <w:rFonts w:hint="eastAsia" w:ascii="宋体" w:hAnsi="宋体"/>
          <w:strike w:val="0"/>
          <w:color w:val="auto"/>
        </w:rPr>
        <w:t>(</w:t>
      </w:r>
      <w:r>
        <w:rPr>
          <w:rFonts w:hint="eastAsia" w:ascii="宋体" w:hAnsi="宋体"/>
          <w:strike w:val="0"/>
          <w:color w:val="auto"/>
          <w:lang w:val="en-US" w:eastAsia="zh-CN"/>
        </w:rPr>
        <w:t>7</w:t>
      </w:r>
      <w:r>
        <w:rPr>
          <w:rFonts w:ascii="宋体" w:hAnsi="宋体"/>
          <w:strike w:val="0"/>
          <w:color w:val="auto"/>
        </w:rPr>
        <w:t>)</w:t>
      </w:r>
      <w:r>
        <w:rPr>
          <w:rFonts w:hint="eastAsia" w:ascii="宋体" w:cs="宋体"/>
          <w:strike w:val="0"/>
          <w:color w:val="auto"/>
          <w:kern w:val="0"/>
          <w:szCs w:val="21"/>
        </w:rPr>
        <w:t>售后服务方案</w:t>
      </w:r>
      <w:r>
        <w:rPr>
          <w:rFonts w:hint="eastAsia" w:ascii="宋体" w:cs="宋体"/>
          <w:bCs/>
          <w:strike w:val="0"/>
          <w:color w:val="auto"/>
          <w:kern w:val="0"/>
          <w:szCs w:val="21"/>
        </w:rPr>
        <w:t>（根据项目需求及《评定标准及推荐原则》的要求提供，格式自拟）</w:t>
      </w:r>
    </w:p>
    <w:p w14:paraId="69DDF330">
      <w:pPr>
        <w:ind w:firstLine="420"/>
        <w:rPr>
          <w:rFonts w:hint="eastAsia" w:ascii="宋体" w:hAnsi="宋体"/>
          <w:strike w:val="0"/>
          <w:color w:val="auto"/>
        </w:rPr>
      </w:pPr>
      <w:r>
        <w:rPr>
          <w:rFonts w:hint="eastAsia" w:ascii="宋体" w:hAnsi="宋体"/>
          <w:strike w:val="0"/>
          <w:color w:val="auto"/>
        </w:rPr>
        <w:t xml:space="preserve"> </w:t>
      </w:r>
      <w:r>
        <w:rPr>
          <w:rFonts w:hint="eastAsia" w:ascii="宋体" w:hAnsi="宋体"/>
          <w:strike w:val="0"/>
          <w:color w:val="auto"/>
          <w:szCs w:val="21"/>
        </w:rPr>
        <w:t>（</w:t>
      </w:r>
      <w:r>
        <w:rPr>
          <w:rFonts w:hint="eastAsia" w:ascii="宋体" w:hAnsi="宋体"/>
          <w:strike w:val="0"/>
          <w:color w:val="auto"/>
          <w:szCs w:val="21"/>
          <w:lang w:val="en-US" w:eastAsia="zh-CN"/>
        </w:rPr>
        <w:t>8</w:t>
      </w:r>
      <w:r>
        <w:rPr>
          <w:rFonts w:hint="eastAsia" w:ascii="宋体" w:hAnsi="宋体"/>
          <w:strike w:val="0"/>
          <w:color w:val="auto"/>
          <w:szCs w:val="21"/>
        </w:rPr>
        <w:t>）</w:t>
      </w:r>
      <w:r>
        <w:rPr>
          <w:rFonts w:hint="eastAsia" w:ascii="宋体" w:hAnsi="宋体"/>
          <w:strike w:val="0"/>
          <w:color w:val="auto"/>
        </w:rPr>
        <w:t>除招标文件规定必须提供以外，投标人需要说明的其他文件和说明（格式自拟）。</w:t>
      </w:r>
    </w:p>
    <w:p w14:paraId="1BE7272B">
      <w:pPr>
        <w:snapToGrid w:val="0"/>
        <w:ind w:firstLine="422"/>
        <w:rPr>
          <w:rFonts w:hint="eastAsia" w:ascii="宋体" w:hAnsi="宋体"/>
          <w:b/>
          <w:strike w:val="0"/>
          <w:color w:val="auto"/>
          <w:szCs w:val="21"/>
        </w:rPr>
      </w:pPr>
      <w:r>
        <w:rPr>
          <w:rFonts w:ascii="宋体" w:hAnsi="宋体"/>
          <w:b/>
          <w:strike w:val="0"/>
          <w:color w:val="auto"/>
          <w:szCs w:val="21"/>
        </w:rPr>
        <w:t>3.</w:t>
      </w:r>
      <w:r>
        <w:rPr>
          <w:rFonts w:hint="eastAsia" w:ascii="宋体" w:hAnsi="宋体"/>
          <w:b/>
          <w:strike w:val="0"/>
          <w:color w:val="auto"/>
          <w:szCs w:val="21"/>
        </w:rPr>
        <w:t>报价文件</w:t>
      </w:r>
    </w:p>
    <w:p w14:paraId="1322DF9C">
      <w:pPr>
        <w:snapToGrid w:val="0"/>
        <w:ind w:firstLine="422"/>
        <w:rPr>
          <w:rFonts w:hint="eastAsia" w:ascii="宋体" w:hAnsi="宋体"/>
          <w:b/>
          <w:strike w:val="0"/>
          <w:color w:val="auto"/>
          <w:szCs w:val="21"/>
        </w:rPr>
      </w:pPr>
      <w:r>
        <w:rPr>
          <w:rFonts w:hint="eastAsia" w:ascii="宋体" w:hAnsi="宋体"/>
          <w:b/>
          <w:strike w:val="0"/>
          <w:color w:val="auto"/>
          <w:szCs w:val="21"/>
        </w:rPr>
        <w:t>★</w:t>
      </w:r>
      <w:r>
        <w:rPr>
          <w:rFonts w:hint="eastAsia" w:ascii="宋体" w:hAnsi="宋体"/>
          <w:bCs/>
          <w:strike w:val="0"/>
          <w:color w:val="auto"/>
          <w:szCs w:val="21"/>
        </w:rPr>
        <w:t>(</w:t>
      </w:r>
      <w:r>
        <w:rPr>
          <w:rFonts w:ascii="宋体" w:hAnsi="宋体"/>
          <w:bCs/>
          <w:strike w:val="0"/>
          <w:color w:val="auto"/>
          <w:szCs w:val="21"/>
        </w:rPr>
        <w:t>1)</w:t>
      </w:r>
      <w:r>
        <w:rPr>
          <w:rFonts w:hint="eastAsia" w:ascii="宋体" w:hAnsi="宋体"/>
          <w:strike w:val="0"/>
          <w:color w:val="auto"/>
          <w:szCs w:val="21"/>
        </w:rPr>
        <w:t>开标一览表(格式见第六章</w:t>
      </w:r>
    </w:p>
    <w:p w14:paraId="2749D7D4">
      <w:pPr>
        <w:snapToGrid w:val="0"/>
        <w:ind w:firstLine="422"/>
        <w:rPr>
          <w:rFonts w:ascii="宋体" w:hAnsi="宋体"/>
          <w:strike w:val="0"/>
          <w:color w:val="auto"/>
          <w:szCs w:val="21"/>
        </w:rPr>
      </w:pPr>
      <w:r>
        <w:rPr>
          <w:rFonts w:hint="eastAsia" w:ascii="宋体" w:hAnsi="宋体"/>
          <w:b/>
          <w:strike w:val="0"/>
          <w:color w:val="auto"/>
          <w:szCs w:val="21"/>
        </w:rPr>
        <w:t>★</w:t>
      </w:r>
      <w:r>
        <w:rPr>
          <w:rFonts w:hint="eastAsia" w:ascii="宋体" w:hAnsi="宋体"/>
          <w:bCs/>
          <w:strike w:val="0"/>
          <w:color w:val="auto"/>
          <w:szCs w:val="21"/>
        </w:rPr>
        <w:t>(</w:t>
      </w:r>
      <w:r>
        <w:rPr>
          <w:rFonts w:ascii="宋体" w:hAnsi="宋体"/>
          <w:bCs/>
          <w:strike w:val="0"/>
          <w:color w:val="auto"/>
          <w:szCs w:val="21"/>
        </w:rPr>
        <w:t>2)</w:t>
      </w:r>
      <w:bookmarkStart w:id="138" w:name="_Hlk92265738"/>
      <w:r>
        <w:rPr>
          <w:rFonts w:hint="eastAsia" w:ascii="宋体" w:hAnsi="宋体"/>
          <w:bCs/>
          <w:strike w:val="0"/>
          <w:color w:val="auto"/>
          <w:szCs w:val="21"/>
        </w:rPr>
        <w:t>报价明细表</w:t>
      </w:r>
      <w:bookmarkEnd w:id="138"/>
      <w:r>
        <w:rPr>
          <w:rFonts w:hint="eastAsia" w:ascii="宋体" w:hAnsi="宋体"/>
          <w:bCs/>
          <w:strike w:val="0"/>
          <w:color w:val="auto"/>
          <w:szCs w:val="21"/>
        </w:rPr>
        <w:t>(格式见第六章)</w:t>
      </w:r>
    </w:p>
    <w:p w14:paraId="5C5F218E">
      <w:pPr>
        <w:snapToGrid w:val="0"/>
        <w:ind w:firstLine="630" w:firstLineChars="300"/>
        <w:rPr>
          <w:rFonts w:hint="eastAsia" w:ascii="宋体" w:hAnsi="宋体"/>
          <w:bCs/>
          <w:strike w:val="0"/>
          <w:color w:val="auto"/>
          <w:szCs w:val="21"/>
        </w:rPr>
      </w:pPr>
      <w:r>
        <w:rPr>
          <w:rFonts w:hint="eastAsia" w:ascii="宋体" w:hAnsi="宋体"/>
          <w:strike w:val="0"/>
          <w:color w:val="auto"/>
          <w:szCs w:val="21"/>
        </w:rPr>
        <w:t>(3)投标人针对报价需要说明的其他文件和说明（格式自拟）。</w:t>
      </w:r>
    </w:p>
    <w:bookmarkEnd w:id="133"/>
    <w:p w14:paraId="3BA6915B">
      <w:pPr>
        <w:snapToGrid w:val="0"/>
        <w:ind w:firstLine="420"/>
        <w:rPr>
          <w:rFonts w:ascii="宋体" w:hAnsi="宋体"/>
          <w:strike w:val="0"/>
          <w:color w:val="auto"/>
          <w:szCs w:val="21"/>
        </w:rPr>
      </w:pPr>
      <w:r>
        <w:rPr>
          <w:rFonts w:hint="eastAsia" w:ascii="宋体" w:hAnsi="宋体"/>
          <w:strike w:val="0"/>
          <w:color w:val="auto"/>
          <w:szCs w:val="21"/>
        </w:rPr>
        <w:t>注：</w:t>
      </w:r>
      <w:bookmarkStart w:id="139" w:name="_Hlk154044832"/>
      <w:r>
        <w:rPr>
          <w:rFonts w:hint="eastAsia" w:ascii="宋体" w:hAnsi="宋体"/>
          <w:strike w:val="0"/>
          <w:color w:val="auto"/>
          <w:szCs w:val="21"/>
        </w:rPr>
        <w:t>标注★号的材料均为必须提供的材料须由投标人并加盖公章，授权委托书必须由法定代表人签名，开标一览表必须由法定代表人或授权代表签名，否则视为无效投标文件。</w:t>
      </w:r>
      <w:bookmarkEnd w:id="139"/>
    </w:p>
    <w:bookmarkEnd w:id="128"/>
    <w:bookmarkEnd w:id="129"/>
    <w:bookmarkEnd w:id="130"/>
    <w:bookmarkEnd w:id="131"/>
    <w:bookmarkEnd w:id="132"/>
    <w:p w14:paraId="01DD416B">
      <w:pPr>
        <w:ind w:firstLine="211" w:firstLineChars="100"/>
        <w:rPr>
          <w:rFonts w:ascii="宋体" w:hAnsi="宋体"/>
          <w:b/>
          <w:bCs/>
          <w:strike w:val="0"/>
          <w:color w:val="auto"/>
          <w:szCs w:val="21"/>
        </w:rPr>
      </w:pPr>
      <w:bookmarkStart w:id="140" w:name="_Hlk90906323"/>
      <w:bookmarkStart w:id="141" w:name="_Hlk92447223"/>
      <w:r>
        <w:rPr>
          <w:rFonts w:hint="eastAsia" w:ascii="宋体" w:hAnsi="宋体"/>
          <w:b/>
          <w:strike w:val="0"/>
          <w:color w:val="auto"/>
          <w:szCs w:val="21"/>
        </w:rPr>
        <w:t>（三）</w:t>
      </w:r>
      <w:bookmarkStart w:id="142" w:name="_Toc352700422"/>
      <w:bookmarkStart w:id="143" w:name="_Toc353785292"/>
      <w:bookmarkStart w:id="144" w:name="_Toc254970678"/>
      <w:bookmarkStart w:id="145" w:name="_Toc254970537"/>
      <w:r>
        <w:rPr>
          <w:rFonts w:hint="eastAsia" w:ascii="宋体" w:hAnsi="宋体"/>
          <w:b/>
          <w:bCs/>
          <w:strike w:val="0"/>
          <w:color w:val="auto"/>
          <w:szCs w:val="21"/>
        </w:rPr>
        <w:t>投标文件的编制、签署及加密</w:t>
      </w:r>
    </w:p>
    <w:p w14:paraId="2451634C">
      <w:pPr>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投标人应认真阅读、并充分理解招标文件的全部内容(包括所有的补充、修改内容)，承诺履行其各项条款的规定并按要求编制，</w:t>
      </w:r>
      <w:bookmarkStart w:id="146" w:name="_Hlk154044894"/>
      <w:r>
        <w:rPr>
          <w:rFonts w:hint="eastAsia" w:ascii="宋体" w:hAnsi="宋体"/>
          <w:strike w:val="0"/>
          <w:color w:val="auto"/>
          <w:szCs w:val="21"/>
        </w:rPr>
        <w:t>投标文件应为电子文件或扫描件(样品除外)。</w:t>
      </w:r>
      <w:bookmarkEnd w:id="146"/>
    </w:p>
    <w:p w14:paraId="03F47DF4">
      <w:pPr>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投标人应通过</w:t>
      </w:r>
      <w:r>
        <w:rPr>
          <w:rFonts w:hint="eastAsia"/>
          <w:strike w:val="0"/>
          <w:color w:val="auto"/>
        </w:rPr>
        <w:t>广西政府采购云平台客户端</w:t>
      </w:r>
      <w:r>
        <w:rPr>
          <w:rFonts w:hint="eastAsia" w:ascii="宋体" w:hAnsi="宋体"/>
          <w:strike w:val="0"/>
          <w:color w:val="auto"/>
          <w:szCs w:val="21"/>
        </w:rPr>
        <w:t>编制加密投标文件。</w:t>
      </w:r>
    </w:p>
    <w:p w14:paraId="36A3419A">
      <w:pPr>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287997E5">
      <w:pPr>
        <w:ind w:firstLine="0" w:firstLineChars="0"/>
        <w:rPr>
          <w:rFonts w:ascii="宋体" w:hAnsi="宋体"/>
          <w:b/>
          <w:bCs/>
          <w:strike w:val="0"/>
          <w:color w:val="auto"/>
          <w:szCs w:val="21"/>
        </w:rPr>
      </w:pPr>
      <w:r>
        <w:rPr>
          <w:rFonts w:ascii="宋体" w:hAnsi="宋体"/>
          <w:strike w:val="0"/>
          <w:color w:val="auto"/>
          <w:szCs w:val="21"/>
        </w:rPr>
        <w:tab/>
      </w:r>
      <w:r>
        <w:rPr>
          <w:rFonts w:ascii="宋体" w:hAnsi="宋体"/>
          <w:b/>
          <w:bCs/>
          <w:strike w:val="0"/>
          <w:color w:val="auto"/>
          <w:szCs w:val="21"/>
        </w:rPr>
        <w:t>4.</w:t>
      </w:r>
      <w:r>
        <w:rPr>
          <w:rFonts w:hint="eastAsia" w:ascii="宋体" w:hAnsi="宋体"/>
          <w:b/>
          <w:bCs/>
          <w:strike w:val="0"/>
          <w:color w:val="auto"/>
          <w:szCs w:val="21"/>
        </w:rPr>
        <w:t>投标文件由投标人在规定位置由法定代表人或授权委托人签名（可为电子签名）、填写投标人名称，并加盖公章(简称“盖章”，可为电子公章)，投标人名称应写全称。</w:t>
      </w:r>
    </w:p>
    <w:p w14:paraId="2A9ABB5D">
      <w:pPr>
        <w:snapToGrid w:val="0"/>
        <w:ind w:firstLine="210" w:firstLineChars="100"/>
        <w:rPr>
          <w:rFonts w:ascii="宋体" w:hAnsi="宋体"/>
          <w:b/>
          <w:bCs/>
          <w:strike w:val="0"/>
          <w:color w:val="auto"/>
          <w:szCs w:val="21"/>
        </w:rPr>
      </w:pPr>
      <w:r>
        <w:rPr>
          <w:rFonts w:ascii="宋体" w:hAnsi="宋体"/>
          <w:strike w:val="0"/>
          <w:color w:val="auto"/>
          <w:szCs w:val="21"/>
        </w:rPr>
        <w:tab/>
      </w:r>
      <w:r>
        <w:rPr>
          <w:rFonts w:ascii="宋体" w:hAnsi="宋体"/>
          <w:strike w:val="0"/>
          <w:color w:val="auto"/>
          <w:szCs w:val="21"/>
        </w:rPr>
        <w:t>5.</w:t>
      </w:r>
      <w:r>
        <w:rPr>
          <w:rFonts w:hint="eastAsia" w:ascii="宋体" w:hAnsi="宋体"/>
          <w:strike w:val="0"/>
          <w:color w:val="auto"/>
          <w:szCs w:val="21"/>
        </w:rPr>
        <w:t>投标文件内容不完整、编排混乱、不清晰等原因导致被误读或漏读的责任和后果由投标人承担。</w:t>
      </w:r>
    </w:p>
    <w:bookmarkEnd w:id="140"/>
    <w:p w14:paraId="342A7249">
      <w:pPr>
        <w:ind w:firstLine="211" w:firstLineChars="100"/>
        <w:rPr>
          <w:strike w:val="0"/>
          <w:color w:val="auto"/>
        </w:rPr>
      </w:pPr>
      <w:r>
        <w:rPr>
          <w:rFonts w:hint="eastAsia"/>
          <w:b/>
          <w:bCs/>
          <w:strike w:val="0"/>
          <w:color w:val="auto"/>
        </w:rPr>
        <w:t>（四）投标文件的语言及计量</w:t>
      </w:r>
      <w:bookmarkEnd w:id="142"/>
      <w:bookmarkEnd w:id="143"/>
      <w:bookmarkEnd w:id="144"/>
      <w:bookmarkEnd w:id="145"/>
    </w:p>
    <w:p w14:paraId="7B7F715E">
      <w:pPr>
        <w:snapToGrid w:val="0"/>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投标文件以及投标人与采购人、本中心就有关投标事宜的所有来往函电，均应以中文汉语书写。除签名、盖章、专用名称等特殊情形外，以中文汉语以外的文字表述的视为无效文件。</w:t>
      </w:r>
    </w:p>
    <w:p w14:paraId="033F9D94">
      <w:pPr>
        <w:snapToGrid w:val="0"/>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投标计量单位，招标文件已有明确规定的，使用招标文件规定的计量单位；招标文件没有规定的，应采用中华人民共和国法定计量单位（货币单位：人民币元），否则视为无效投标文件。</w:t>
      </w:r>
    </w:p>
    <w:bookmarkEnd w:id="141"/>
    <w:p w14:paraId="47243A3E">
      <w:pPr>
        <w:pStyle w:val="3"/>
        <w:spacing w:before="0" w:after="0" w:line="400" w:lineRule="exact"/>
        <w:ind w:firstLine="211" w:firstLineChars="100"/>
        <w:rPr>
          <w:rFonts w:ascii="宋体" w:hAnsi="宋体" w:eastAsia="宋体"/>
          <w:strike w:val="0"/>
          <w:color w:val="auto"/>
          <w:sz w:val="21"/>
          <w:szCs w:val="21"/>
        </w:rPr>
      </w:pPr>
      <w:bookmarkStart w:id="147" w:name="_（五）投标报价"/>
      <w:bookmarkEnd w:id="147"/>
      <w:bookmarkStart w:id="148" w:name="_Toc353785293"/>
      <w:bookmarkStart w:id="149" w:name="_Toc254970679"/>
      <w:bookmarkStart w:id="150" w:name="_Toc254970538"/>
      <w:bookmarkStart w:id="151" w:name="_Toc352700423"/>
      <w:bookmarkStart w:id="152" w:name="_Hlk92447977"/>
      <w:r>
        <w:rPr>
          <w:rFonts w:hint="eastAsia" w:ascii="宋体" w:hAnsi="宋体" w:eastAsia="宋体"/>
          <w:strike w:val="0"/>
          <w:color w:val="auto"/>
          <w:sz w:val="21"/>
          <w:szCs w:val="21"/>
        </w:rPr>
        <w:t>（五）投标报价</w:t>
      </w:r>
      <w:bookmarkEnd w:id="148"/>
      <w:bookmarkEnd w:id="149"/>
      <w:bookmarkEnd w:id="150"/>
      <w:bookmarkEnd w:id="151"/>
    </w:p>
    <w:p w14:paraId="09753436">
      <w:pPr>
        <w:pStyle w:val="28"/>
        <w:snapToGrid w:val="0"/>
        <w:ind w:firstLine="420"/>
        <w:rPr>
          <w:rFonts w:hAnsi="宋体"/>
          <w:strike w:val="0"/>
          <w:color w:val="auto"/>
        </w:rPr>
      </w:pPr>
      <w:r>
        <w:rPr>
          <w:rFonts w:hAnsi="宋体"/>
          <w:strike w:val="0"/>
          <w:color w:val="auto"/>
        </w:rPr>
        <w:t>1.</w:t>
      </w:r>
      <w:r>
        <w:rPr>
          <w:rFonts w:hint="eastAsia" w:hAnsi="宋体"/>
          <w:strike w:val="0"/>
          <w:color w:val="auto"/>
        </w:rPr>
        <w:t>招标文件中未列明，而供应商认为必需的费用也须列入总报价。在合同实施时，采购人将不予支付中标人没有列入总报价的费用，并认为此项费用已包含在总报价中。</w:t>
      </w:r>
    </w:p>
    <w:p w14:paraId="5A3F9DA2">
      <w:pPr>
        <w:pStyle w:val="28"/>
        <w:snapToGrid w:val="0"/>
        <w:ind w:firstLine="420"/>
        <w:rPr>
          <w:strike w:val="0"/>
          <w:color w:val="auto"/>
        </w:rPr>
      </w:pPr>
      <w:r>
        <w:rPr>
          <w:rFonts w:hAnsi="宋体"/>
          <w:strike w:val="0"/>
          <w:color w:val="auto"/>
        </w:rPr>
        <w:t>2.</w:t>
      </w:r>
      <w:r>
        <w:rPr>
          <w:rFonts w:hint="eastAsia" w:hAnsi="宋体"/>
          <w:strike w:val="0"/>
          <w:color w:val="auto"/>
        </w:rPr>
        <w:t>投标报价应按招标文件中相关附表格式填写。投标人</w:t>
      </w:r>
      <w:r>
        <w:rPr>
          <w:rFonts w:hint="eastAsia"/>
          <w:strike w:val="0"/>
          <w:color w:val="auto"/>
        </w:rPr>
        <w:t>必须就《项目需求》的内容作完整唯一报价。</w:t>
      </w:r>
    </w:p>
    <w:p w14:paraId="64E8339C">
      <w:pPr>
        <w:tabs>
          <w:tab w:val="left" w:pos="525"/>
        </w:tabs>
        <w:snapToGrid w:val="0"/>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投标文件每标项只允许有一个总报价，有选择的或有条件的报价视为无效投标文件。</w:t>
      </w:r>
    </w:p>
    <w:p w14:paraId="11EBE47F">
      <w:pPr>
        <w:pStyle w:val="3"/>
        <w:spacing w:before="0" w:after="0" w:line="400" w:lineRule="exact"/>
        <w:ind w:firstLine="211" w:firstLineChars="100"/>
        <w:rPr>
          <w:rFonts w:ascii="宋体" w:hAnsi="宋体" w:eastAsia="宋体"/>
          <w:strike w:val="0"/>
          <w:color w:val="auto"/>
          <w:sz w:val="21"/>
          <w:szCs w:val="21"/>
        </w:rPr>
      </w:pPr>
      <w:bookmarkStart w:id="153" w:name="_（六）投标文件有效期"/>
      <w:bookmarkEnd w:id="153"/>
      <w:bookmarkStart w:id="154" w:name="_Toc352700424"/>
      <w:bookmarkStart w:id="155" w:name="_Toc353785294"/>
      <w:r>
        <w:rPr>
          <w:rFonts w:hint="eastAsia" w:ascii="宋体" w:hAnsi="宋体" w:eastAsia="宋体"/>
          <w:strike w:val="0"/>
          <w:color w:val="auto"/>
          <w:sz w:val="21"/>
          <w:szCs w:val="21"/>
        </w:rPr>
        <w:t>（六）投标有效期</w:t>
      </w:r>
      <w:bookmarkEnd w:id="152"/>
      <w:bookmarkEnd w:id="154"/>
      <w:bookmarkEnd w:id="155"/>
      <w:bookmarkStart w:id="156" w:name="_（七）投标保证金"/>
      <w:bookmarkEnd w:id="156"/>
      <w:bookmarkStart w:id="157" w:name="_Toc254970541"/>
      <w:bookmarkStart w:id="158" w:name="_Toc254970682"/>
      <w:bookmarkStart w:id="159" w:name="_Toc353785295"/>
      <w:bookmarkStart w:id="160" w:name="_Toc352700425"/>
      <w:bookmarkStart w:id="161" w:name="_Hlk92448848"/>
    </w:p>
    <w:p w14:paraId="5F350D68">
      <w:pPr>
        <w:ind w:firstLine="420"/>
        <w:rPr>
          <w:strike w:val="0"/>
          <w:color w:val="auto"/>
        </w:rPr>
      </w:pPr>
      <w:r>
        <w:rPr>
          <w:rFonts w:hint="eastAsia"/>
          <w:strike w:val="0"/>
          <w:color w:val="auto"/>
        </w:rPr>
        <w:t>投标有效期从提交投标文件的截止之日起算。投标文件中承诺的投标有效期应当不少于9</w:t>
      </w:r>
      <w:r>
        <w:rPr>
          <w:strike w:val="0"/>
          <w:color w:val="auto"/>
        </w:rPr>
        <w:t>0</w:t>
      </w:r>
      <w:r>
        <w:rPr>
          <w:rFonts w:hint="eastAsia"/>
          <w:strike w:val="0"/>
          <w:color w:val="auto"/>
        </w:rPr>
        <w:t>天。</w:t>
      </w:r>
    </w:p>
    <w:p w14:paraId="1185C41F">
      <w:pPr>
        <w:pStyle w:val="3"/>
        <w:spacing w:before="0" w:after="0" w:line="400" w:lineRule="exact"/>
        <w:ind w:firstLine="211" w:firstLineChars="100"/>
        <w:rPr>
          <w:rFonts w:ascii="宋体" w:hAnsi="宋体" w:eastAsia="宋体"/>
          <w:strike w:val="0"/>
          <w:color w:val="auto"/>
          <w:sz w:val="21"/>
          <w:szCs w:val="21"/>
        </w:rPr>
      </w:pPr>
      <w:r>
        <w:rPr>
          <w:rFonts w:hint="eastAsia" w:ascii="宋体" w:hAnsi="宋体" w:eastAsia="宋体"/>
          <w:strike w:val="0"/>
          <w:color w:val="auto"/>
          <w:sz w:val="21"/>
          <w:szCs w:val="21"/>
        </w:rPr>
        <w:t>（七）投标保证金</w:t>
      </w:r>
      <w:bookmarkEnd w:id="157"/>
      <w:bookmarkEnd w:id="158"/>
      <w:bookmarkEnd w:id="159"/>
      <w:bookmarkEnd w:id="160"/>
    </w:p>
    <w:p w14:paraId="13CD5A74">
      <w:pPr>
        <w:snapToGrid w:val="0"/>
        <w:ind w:firstLine="420"/>
        <w:rPr>
          <w:rFonts w:hint="eastAsia" w:ascii="宋体" w:hAnsi="宋体"/>
          <w:strike w:val="0"/>
          <w:color w:val="auto"/>
          <w:szCs w:val="21"/>
        </w:rPr>
      </w:pPr>
      <w:bookmarkStart w:id="162" w:name="_Toc353785296"/>
      <w:bookmarkStart w:id="163" w:name="_Toc254970542"/>
      <w:bookmarkStart w:id="164" w:name="_Toc352700426"/>
      <w:bookmarkStart w:id="165" w:name="_Toc254970683"/>
      <w:r>
        <w:rPr>
          <w:rFonts w:hint="eastAsia" w:ascii="宋体" w:hAnsi="宋体"/>
          <w:strike w:val="0"/>
          <w:color w:val="auto"/>
          <w:szCs w:val="21"/>
        </w:rPr>
        <w:t>1</w:t>
      </w:r>
      <w:r>
        <w:rPr>
          <w:rFonts w:ascii="宋体" w:hAnsi="宋体"/>
          <w:strike w:val="0"/>
          <w:color w:val="auto"/>
          <w:szCs w:val="21"/>
        </w:rPr>
        <w:t>.</w:t>
      </w:r>
      <w:r>
        <w:rPr>
          <w:rFonts w:hint="eastAsia" w:ascii="宋体" w:hAnsi="宋体"/>
          <w:strike w:val="0"/>
          <w:color w:val="auto"/>
          <w:szCs w:val="21"/>
        </w:rPr>
        <w:t>投标保证金金额：投标人须按“投标人须知前附表”的规定提交投标保证金。</w:t>
      </w:r>
    </w:p>
    <w:p w14:paraId="00326C9B">
      <w:pPr>
        <w:snapToGrid w:val="0"/>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提交形式：以支票、汇票、本票、网上银行支付</w:t>
      </w:r>
      <w:bookmarkStart w:id="166" w:name="_Hlk91771269"/>
      <w:r>
        <w:rPr>
          <w:rFonts w:hint="eastAsia" w:ascii="宋体" w:hAnsi="宋体"/>
          <w:strike w:val="0"/>
          <w:color w:val="auto"/>
          <w:szCs w:val="21"/>
        </w:rPr>
        <w:t>或者金融机构、担保机构出具的保函</w:t>
      </w:r>
      <w:bookmarkEnd w:id="166"/>
      <w:r>
        <w:rPr>
          <w:rFonts w:hint="eastAsia" w:ascii="宋体" w:hAnsi="宋体"/>
          <w:strike w:val="0"/>
          <w:color w:val="auto"/>
          <w:szCs w:val="21"/>
        </w:rPr>
        <w:t>等非现金形式提交。</w:t>
      </w:r>
    </w:p>
    <w:p w14:paraId="688634E1">
      <w:pPr>
        <w:snapToGrid w:val="0"/>
        <w:ind w:firstLine="420"/>
        <w:jc w:val="left"/>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14:paraId="320CB800">
      <w:pPr>
        <w:snapToGrid w:val="0"/>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以网上银行形式提交保证金的，投标人必须于投标文件提交截止时间前从投标人账户缴存至本中心银行账户并确保到账，否则视为无效保证金。</w:t>
      </w:r>
    </w:p>
    <w:p w14:paraId="5B91BB39">
      <w:pPr>
        <w:snapToGrid w:val="0"/>
        <w:ind w:firstLine="0" w:firstLineChars="0"/>
        <w:rPr>
          <w:rFonts w:hint="eastAsia" w:ascii="宋体" w:hAnsi="宋体"/>
          <w:bCs/>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本中心银行账户：</w:t>
      </w:r>
    </w:p>
    <w:p w14:paraId="45370599">
      <w:pPr>
        <w:snapToGrid w:val="0"/>
        <w:ind w:firstLine="0" w:firstLineChars="0"/>
        <w:rPr>
          <w:rFonts w:ascii="宋体" w:hAnsi="宋体"/>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开户名称：钦州市政府采购中心</w:t>
      </w:r>
    </w:p>
    <w:p w14:paraId="7B055162">
      <w:pPr>
        <w:snapToGrid w:val="0"/>
        <w:ind w:firstLine="0" w:firstLineChars="0"/>
        <w:rPr>
          <w:rFonts w:hint="eastAsia" w:ascii="宋体" w:hAnsi="宋体"/>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开户银行：中国工商银行股份有限公司钦州市永福东支行</w:t>
      </w:r>
    </w:p>
    <w:p w14:paraId="66F2DD59">
      <w:pPr>
        <w:snapToGrid w:val="0"/>
        <w:ind w:firstLine="0" w:firstLineChars="0"/>
        <w:rPr>
          <w:rFonts w:ascii="宋体" w:hAnsi="宋体"/>
          <w:bCs/>
          <w:strike w:val="0"/>
          <w:color w:val="auto"/>
          <w:szCs w:val="21"/>
        </w:rPr>
      </w:pPr>
      <w:r>
        <w:rPr>
          <w:rFonts w:hint="eastAsia" w:ascii="宋体" w:hAnsi="宋体"/>
          <w:bCs/>
          <w:strike w:val="0"/>
          <w:color w:val="auto"/>
          <w:szCs w:val="21"/>
        </w:rPr>
        <w:tab/>
      </w:r>
      <w:r>
        <w:rPr>
          <w:rFonts w:hint="eastAsia" w:ascii="宋体" w:hAnsi="宋体"/>
          <w:bCs/>
          <w:strike w:val="0"/>
          <w:color w:val="auto"/>
          <w:szCs w:val="21"/>
        </w:rPr>
        <w:t>银行账号：2115591229100078724</w:t>
      </w:r>
    </w:p>
    <w:p w14:paraId="340B1F6E">
      <w:pPr>
        <w:snapToGrid w:val="0"/>
        <w:ind w:firstLine="420" w:firstLineChars="0"/>
        <w:rPr>
          <w:rFonts w:hint="eastAsia" w:ascii="宋体" w:hAnsi="宋体"/>
          <w:bCs/>
          <w:strike w:val="0"/>
          <w:color w:val="auto"/>
          <w:szCs w:val="21"/>
        </w:rPr>
      </w:pPr>
      <w:r>
        <w:rPr>
          <w:rFonts w:hint="eastAsia" w:ascii="宋体" w:hAnsi="宋体"/>
          <w:strike w:val="0"/>
          <w:color w:val="auto"/>
          <w:szCs w:val="21"/>
        </w:rPr>
        <w:t>注：投标人无法选择以上开户银行的，请选择“中国工商银行股份有限公司钦州分行”进行缴存。</w:t>
      </w:r>
    </w:p>
    <w:p w14:paraId="1466E120">
      <w:pPr>
        <w:snapToGrid w:val="0"/>
        <w:ind w:firstLine="0" w:firstLineChars="0"/>
        <w:rPr>
          <w:rFonts w:hint="eastAsia" w:ascii="宋体" w:hAnsi="宋体"/>
          <w:strike w:val="0"/>
          <w:color w:val="auto"/>
          <w:szCs w:val="21"/>
        </w:rPr>
      </w:pPr>
      <w:r>
        <w:rPr>
          <w:rFonts w:hint="eastAsia" w:ascii="宋体" w:hAnsi="宋体"/>
          <w:strike w:val="0"/>
          <w:color w:val="auto"/>
          <w:szCs w:val="21"/>
        </w:rPr>
        <w:tab/>
      </w:r>
      <w:r>
        <w:rPr>
          <w:rFonts w:ascii="宋体" w:hAnsi="宋体"/>
          <w:strike w:val="0"/>
          <w:color w:val="auto"/>
          <w:szCs w:val="21"/>
        </w:rPr>
        <w:t>3.</w:t>
      </w:r>
      <w:r>
        <w:rPr>
          <w:rFonts w:hint="eastAsia" w:ascii="宋体" w:hAnsi="宋体"/>
          <w:strike w:val="0"/>
          <w:color w:val="auto"/>
          <w:szCs w:val="21"/>
        </w:rPr>
        <w:t>评标委员会将以投标人递交的支票、汇票、本票、保函原件以及本中心财务室出具的《保证金收缴情况表》作为评审依据，对未按规定提交投标保证金的投标文件作无效处理。</w:t>
      </w:r>
    </w:p>
    <w:p w14:paraId="73E94ABD">
      <w:pPr>
        <w:snapToGrid w:val="0"/>
        <w:ind w:firstLine="420"/>
        <w:rPr>
          <w:rFonts w:hint="eastAsia"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保证金的退付：</w:t>
      </w:r>
    </w:p>
    <w:p w14:paraId="75FC236C">
      <w:pPr>
        <w:pStyle w:val="3"/>
        <w:rPr>
          <w:rFonts w:hint="eastAsia"/>
          <w:strike w:val="0"/>
          <w:color w:val="auto"/>
        </w:rPr>
      </w:pPr>
    </w:p>
    <w:p w14:paraId="7891A72C">
      <w:pPr>
        <w:snapToGrid w:val="0"/>
        <w:ind w:firstLine="420"/>
        <w:rPr>
          <w:rFonts w:hint="eastAsia" w:ascii="宋体" w:hAnsi="宋体"/>
          <w:strike w:val="0"/>
          <w:color w:val="auto"/>
          <w:szCs w:val="21"/>
        </w:rPr>
      </w:pPr>
    </w:p>
    <w:tbl>
      <w:tblPr>
        <w:tblStyle w:val="51"/>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14:paraId="03CDE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428AE3C0">
            <w:pPr>
              <w:snapToGrid w:val="0"/>
              <w:spacing w:line="370" w:lineRule="exact"/>
              <w:ind w:firstLine="33" w:firstLineChars="16"/>
              <w:rPr>
                <w:rFonts w:hint="eastAsia" w:ascii="宋体" w:hAnsi="宋体"/>
                <w:strike w:val="0"/>
                <w:color w:val="auto"/>
                <w:szCs w:val="21"/>
              </w:rPr>
            </w:pPr>
            <w:r>
              <w:rPr>
                <w:rFonts w:hint="eastAsia" w:ascii="宋体" w:hAnsi="宋体"/>
                <w:strike w:val="0"/>
                <w:color w:val="auto"/>
                <w:szCs w:val="21"/>
              </w:rPr>
              <w:t xml:space="preserve">     提交形式</w:t>
            </w:r>
          </w:p>
          <w:p w14:paraId="1BB5B1F3">
            <w:pPr>
              <w:snapToGrid w:val="0"/>
              <w:spacing w:line="370" w:lineRule="exact"/>
              <w:ind w:firstLine="0" w:firstLineChars="0"/>
              <w:rPr>
                <w:rFonts w:ascii="宋体" w:hAnsi="宋体"/>
                <w:strike w:val="0"/>
                <w:color w:val="auto"/>
                <w:szCs w:val="21"/>
              </w:rPr>
            </w:pPr>
            <w:r>
              <w:rPr>
                <w:rFonts w:hint="eastAsia" w:ascii="宋体" w:hAnsi="宋体"/>
                <w:strike w:val="0"/>
                <w:color w:val="auto"/>
                <w:szCs w:val="21"/>
              </w:rPr>
              <w:t>投标人</w:t>
            </w:r>
          </w:p>
        </w:tc>
        <w:tc>
          <w:tcPr>
            <w:tcW w:w="4394" w:type="dxa"/>
            <w:noWrap w:val="0"/>
            <w:vAlign w:val="center"/>
          </w:tcPr>
          <w:p w14:paraId="0285BE01">
            <w:pPr>
              <w:snapToGrid w:val="0"/>
              <w:spacing w:line="370" w:lineRule="exact"/>
              <w:ind w:firstLine="0" w:firstLineChars="0"/>
              <w:jc w:val="center"/>
              <w:rPr>
                <w:rFonts w:ascii="宋体" w:hAnsi="宋体"/>
                <w:strike w:val="0"/>
                <w:color w:val="auto"/>
                <w:szCs w:val="21"/>
              </w:rPr>
            </w:pPr>
            <w:r>
              <w:rPr>
                <w:rFonts w:hint="eastAsia" w:ascii="宋体" w:hAnsi="宋体"/>
                <w:strike w:val="0"/>
                <w:color w:val="auto"/>
                <w:szCs w:val="21"/>
              </w:rPr>
              <w:t>网上银行形式</w:t>
            </w:r>
          </w:p>
        </w:tc>
        <w:tc>
          <w:tcPr>
            <w:tcW w:w="3260" w:type="dxa"/>
            <w:noWrap w:val="0"/>
            <w:vAlign w:val="center"/>
          </w:tcPr>
          <w:p w14:paraId="21A010C5">
            <w:pPr>
              <w:snapToGrid w:val="0"/>
              <w:spacing w:line="370" w:lineRule="exact"/>
              <w:ind w:firstLine="0" w:firstLineChars="0"/>
              <w:jc w:val="center"/>
              <w:rPr>
                <w:rFonts w:ascii="宋体" w:hAnsi="宋体"/>
                <w:strike w:val="0"/>
                <w:color w:val="auto"/>
                <w:szCs w:val="21"/>
              </w:rPr>
            </w:pPr>
            <w:r>
              <w:rPr>
                <w:rFonts w:hint="eastAsia" w:ascii="宋体" w:hAnsi="宋体"/>
                <w:strike w:val="0"/>
                <w:color w:val="auto"/>
                <w:szCs w:val="21"/>
              </w:rPr>
              <w:t>支票、汇票、本票、保函等形式</w:t>
            </w:r>
          </w:p>
        </w:tc>
      </w:tr>
      <w:tr w14:paraId="5FEA1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noWrap w:val="0"/>
            <w:vAlign w:val="center"/>
          </w:tcPr>
          <w:p w14:paraId="407911FC">
            <w:pPr>
              <w:snapToGrid w:val="0"/>
              <w:spacing w:line="440" w:lineRule="exact"/>
              <w:ind w:firstLine="0" w:firstLineChars="0"/>
              <w:jc w:val="center"/>
              <w:rPr>
                <w:rFonts w:ascii="宋体" w:hAnsi="宋体"/>
                <w:strike w:val="0"/>
                <w:color w:val="auto"/>
                <w:szCs w:val="21"/>
              </w:rPr>
            </w:pPr>
            <w:r>
              <w:rPr>
                <w:rFonts w:hint="eastAsia" w:ascii="宋体" w:hAnsi="宋体"/>
                <w:strike w:val="0"/>
                <w:color w:val="auto"/>
                <w:szCs w:val="21"/>
              </w:rPr>
              <w:t>未中标人</w:t>
            </w:r>
          </w:p>
        </w:tc>
        <w:tc>
          <w:tcPr>
            <w:tcW w:w="4394" w:type="dxa"/>
            <w:noWrap w:val="0"/>
            <w:vAlign w:val="center"/>
          </w:tcPr>
          <w:p w14:paraId="49F621E3">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中标通知书(结果公告)发出之日起四个工作日内以网上银行形式退回到投标人银行账户。</w:t>
            </w:r>
          </w:p>
        </w:tc>
        <w:tc>
          <w:tcPr>
            <w:tcW w:w="3260" w:type="dxa"/>
            <w:noWrap w:val="0"/>
            <w:vAlign w:val="center"/>
          </w:tcPr>
          <w:p w14:paraId="1C0B80F3">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中标通知书(结果公告)发出之日起四个工作日内退还。</w:t>
            </w:r>
          </w:p>
        </w:tc>
      </w:tr>
      <w:tr w14:paraId="2E62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noWrap w:val="0"/>
            <w:vAlign w:val="center"/>
          </w:tcPr>
          <w:p w14:paraId="5C77EAA3">
            <w:pPr>
              <w:snapToGrid w:val="0"/>
              <w:spacing w:line="440" w:lineRule="exact"/>
              <w:ind w:firstLine="33" w:firstLineChars="16"/>
              <w:jc w:val="center"/>
              <w:rPr>
                <w:rFonts w:ascii="宋体" w:hAnsi="宋体"/>
                <w:strike w:val="0"/>
                <w:color w:val="auto"/>
                <w:szCs w:val="21"/>
              </w:rPr>
            </w:pPr>
            <w:r>
              <w:rPr>
                <w:rFonts w:hint="eastAsia" w:ascii="宋体" w:hAnsi="宋体"/>
                <w:strike w:val="0"/>
                <w:color w:val="auto"/>
                <w:szCs w:val="21"/>
              </w:rPr>
              <w:t>中标人</w:t>
            </w:r>
          </w:p>
        </w:tc>
        <w:tc>
          <w:tcPr>
            <w:tcW w:w="4394" w:type="dxa"/>
            <w:noWrap w:val="0"/>
            <w:vAlign w:val="center"/>
          </w:tcPr>
          <w:p w14:paraId="6EC9F804">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在政府采购合同签订之日起四个工作日内以网上银行形式退回到投标人银行账户。</w:t>
            </w:r>
          </w:p>
        </w:tc>
        <w:tc>
          <w:tcPr>
            <w:tcW w:w="3260" w:type="dxa"/>
            <w:noWrap w:val="0"/>
            <w:vAlign w:val="center"/>
          </w:tcPr>
          <w:p w14:paraId="3F2E0C56">
            <w:pPr>
              <w:snapToGrid w:val="0"/>
              <w:spacing w:line="440" w:lineRule="exact"/>
              <w:ind w:firstLine="0" w:firstLineChars="0"/>
              <w:rPr>
                <w:rFonts w:ascii="宋体" w:hAnsi="宋体"/>
                <w:strike w:val="0"/>
                <w:color w:val="auto"/>
                <w:szCs w:val="21"/>
              </w:rPr>
            </w:pPr>
            <w:r>
              <w:rPr>
                <w:rFonts w:hint="eastAsia" w:ascii="宋体" w:hAnsi="宋体"/>
                <w:strike w:val="0"/>
                <w:color w:val="auto"/>
                <w:szCs w:val="21"/>
              </w:rPr>
              <w:t>在政府采购合同签订之日起四个工作日内退还。</w:t>
            </w:r>
          </w:p>
        </w:tc>
      </w:tr>
    </w:tbl>
    <w:p w14:paraId="545F55DC">
      <w:pPr>
        <w:widowControl/>
        <w:spacing w:line="420" w:lineRule="exact"/>
        <w:ind w:firstLine="424" w:firstLineChars="202"/>
        <w:jc w:val="left"/>
        <w:rPr>
          <w:rFonts w:hint="eastAsia" w:ascii="宋体" w:hAnsi="宋体"/>
          <w:strike w:val="0"/>
          <w:color w:val="auto"/>
          <w:szCs w:val="21"/>
        </w:rPr>
      </w:pPr>
      <w:r>
        <w:rPr>
          <w:rFonts w:hint="eastAsia" w:ascii="宋体" w:hAnsi="宋体"/>
          <w:strike w:val="0"/>
          <w:color w:val="auto"/>
          <w:szCs w:val="21"/>
        </w:rPr>
        <w:t>注：因投标人自身原因导致无法及时退还的除外</w:t>
      </w:r>
    </w:p>
    <w:p w14:paraId="445D23A9">
      <w:pPr>
        <w:snapToGrid w:val="0"/>
        <w:spacing w:line="410" w:lineRule="exact"/>
        <w:ind w:firstLine="420"/>
        <w:rPr>
          <w:rFonts w:hint="eastAsia" w:ascii="宋体" w:hAnsi="宋体"/>
          <w:strike w:val="0"/>
          <w:color w:val="auto"/>
          <w:szCs w:val="21"/>
        </w:rPr>
      </w:pPr>
      <w:r>
        <w:rPr>
          <w:rFonts w:ascii="宋体" w:hAnsi="宋体"/>
          <w:strike w:val="0"/>
          <w:color w:val="auto"/>
          <w:szCs w:val="21"/>
        </w:rPr>
        <w:t>5.</w:t>
      </w:r>
      <w:r>
        <w:rPr>
          <w:rFonts w:hint="eastAsia" w:ascii="宋体" w:hAnsi="宋体"/>
          <w:strike w:val="0"/>
          <w:color w:val="auto"/>
          <w:szCs w:val="21"/>
        </w:rPr>
        <w:t>投标人有下列情形之一的，投标保证金将不予退还：</w:t>
      </w:r>
    </w:p>
    <w:p w14:paraId="64FF05A7">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1)</w:t>
      </w:r>
      <w:r>
        <w:rPr>
          <w:rFonts w:hint="eastAsia" w:ascii="宋体" w:hAnsi="宋体"/>
          <w:strike w:val="0"/>
          <w:color w:val="auto"/>
          <w:szCs w:val="21"/>
        </w:rPr>
        <w:t>投标人在投标有效期内撤回投标文件的；</w:t>
      </w:r>
    </w:p>
    <w:p w14:paraId="0364CF94">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2)</w:t>
      </w:r>
      <w:r>
        <w:rPr>
          <w:rFonts w:hint="eastAsia" w:ascii="宋体" w:hAnsi="宋体"/>
          <w:strike w:val="0"/>
          <w:color w:val="auto"/>
          <w:szCs w:val="21"/>
        </w:rPr>
        <w:t>投标人在投标文件中提供虚假材料的；</w:t>
      </w:r>
    </w:p>
    <w:p w14:paraId="33CEFE73">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3)</w:t>
      </w:r>
      <w:r>
        <w:rPr>
          <w:rFonts w:hint="eastAsia" w:ascii="宋体" w:hAnsi="宋体"/>
          <w:strike w:val="0"/>
          <w:color w:val="auto"/>
          <w:szCs w:val="21"/>
        </w:rPr>
        <w:t>投标人与其他投标人或采购代理机构恶意串通的；</w:t>
      </w:r>
    </w:p>
    <w:p w14:paraId="1AB6A20C">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4)</w:t>
      </w:r>
      <w:r>
        <w:rPr>
          <w:rFonts w:hint="eastAsia" w:ascii="宋体" w:hAnsi="宋体"/>
          <w:strike w:val="0"/>
          <w:color w:val="auto"/>
          <w:szCs w:val="21"/>
        </w:rPr>
        <w:t>中标人无正当理由不与采购人签订采购合同的；</w:t>
      </w:r>
    </w:p>
    <w:p w14:paraId="1C54FE88">
      <w:pPr>
        <w:snapToGrid w:val="0"/>
        <w:spacing w:line="410" w:lineRule="exact"/>
        <w:ind w:firstLine="42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rPr>
        <w:t>5)</w:t>
      </w:r>
      <w:r>
        <w:rPr>
          <w:rFonts w:hint="eastAsia" w:ascii="宋体" w:hAnsi="宋体"/>
          <w:strike w:val="0"/>
          <w:color w:val="auto"/>
          <w:szCs w:val="21"/>
        </w:rPr>
        <w:t>招标文件规定的其他情形。</w:t>
      </w:r>
    </w:p>
    <w:bookmarkEnd w:id="161"/>
    <w:bookmarkEnd w:id="162"/>
    <w:bookmarkEnd w:id="163"/>
    <w:bookmarkEnd w:id="164"/>
    <w:bookmarkEnd w:id="165"/>
    <w:p w14:paraId="34CFBC97">
      <w:pPr>
        <w:spacing w:line="410" w:lineRule="exact"/>
        <w:ind w:firstLine="211" w:firstLineChars="100"/>
        <w:rPr>
          <w:b/>
          <w:bCs/>
          <w:strike w:val="0"/>
          <w:color w:val="auto"/>
        </w:rPr>
      </w:pPr>
      <w:r>
        <w:rPr>
          <w:rFonts w:hint="eastAsia"/>
          <w:b/>
          <w:bCs/>
          <w:strike w:val="0"/>
          <w:color w:val="auto"/>
        </w:rPr>
        <w:t>（八）投标文件的上传、提交、修改、撤回</w:t>
      </w:r>
    </w:p>
    <w:p w14:paraId="11F0E4C2">
      <w:pPr>
        <w:snapToGrid w:val="0"/>
        <w:spacing w:line="410" w:lineRule="exact"/>
        <w:ind w:firstLine="420"/>
        <w:rPr>
          <w:rFonts w:hint="eastAsia" w:ascii="宋体" w:hAnsi="宋体"/>
          <w:strike w:val="0"/>
          <w:color w:val="auto"/>
          <w:szCs w:val="21"/>
        </w:rPr>
      </w:pPr>
      <w:bookmarkStart w:id="167" w:name="_Toc352700427"/>
      <w:bookmarkStart w:id="168" w:name="_Toc353785297"/>
      <w:r>
        <w:rPr>
          <w:rFonts w:ascii="宋体" w:hAnsi="宋体"/>
          <w:strike w:val="0"/>
          <w:color w:val="auto"/>
          <w:szCs w:val="21"/>
        </w:rPr>
        <w:t>1.</w:t>
      </w:r>
      <w:r>
        <w:rPr>
          <w:rFonts w:hint="eastAsia" w:ascii="宋体" w:hAnsi="宋体"/>
          <w:strike w:val="0"/>
          <w:color w:val="auto"/>
          <w:szCs w:val="21"/>
        </w:rPr>
        <w:t>投标文件的上传和提交:投标人须将编制好的加密投标文件上传至政府采购云平台，并在投标文件提交截止时间前提交，否则</w:t>
      </w:r>
      <w:bookmarkStart w:id="169" w:name="_Hlk91772691"/>
      <w:r>
        <w:rPr>
          <w:rFonts w:hint="eastAsia" w:ascii="宋体" w:hAnsi="宋体"/>
          <w:strike w:val="0"/>
          <w:color w:val="auto"/>
          <w:szCs w:val="21"/>
        </w:rPr>
        <w:t>政府采购云平台</w:t>
      </w:r>
      <w:bookmarkEnd w:id="169"/>
      <w:r>
        <w:rPr>
          <w:rFonts w:hint="eastAsia" w:ascii="宋体" w:hAnsi="宋体"/>
          <w:strike w:val="0"/>
          <w:color w:val="auto"/>
          <w:szCs w:val="21"/>
        </w:rPr>
        <w:t>将予以拒收。投标文件提交成功后，投标人可自行打印投标文件接收回执。</w:t>
      </w:r>
    </w:p>
    <w:p w14:paraId="6A4B0253">
      <w:pPr>
        <w:snapToGrid w:val="0"/>
        <w:spacing w:line="410" w:lineRule="exact"/>
        <w:ind w:firstLine="420"/>
        <w:rPr>
          <w:rFonts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71C4E912">
      <w:pPr>
        <w:snapToGrid w:val="0"/>
        <w:spacing w:line="410" w:lineRule="exact"/>
        <w:ind w:firstLine="420"/>
        <w:rPr>
          <w:rFonts w:hint="eastAsia" w:ascii="宋体" w:hAnsi="宋体"/>
          <w:strike w:val="0"/>
          <w:color w:val="auto"/>
          <w:szCs w:val="21"/>
        </w:rPr>
      </w:pPr>
    </w:p>
    <w:p w14:paraId="7550E5E0">
      <w:pPr>
        <w:pStyle w:val="3"/>
        <w:spacing w:before="0" w:after="0" w:line="410" w:lineRule="exact"/>
        <w:ind w:firstLine="0" w:firstLineChars="0"/>
        <w:rPr>
          <w:rFonts w:hint="eastAsia" w:ascii="方正小标宋_GBK" w:eastAsia="方正小标宋_GBK"/>
          <w:b w:val="0"/>
          <w:bCs w:val="0"/>
          <w:strike w:val="0"/>
          <w:color w:val="auto"/>
          <w:sz w:val="24"/>
          <w:szCs w:val="24"/>
        </w:rPr>
      </w:pPr>
      <w:bookmarkStart w:id="170" w:name="_四、开标"/>
      <w:bookmarkEnd w:id="170"/>
      <w:r>
        <w:rPr>
          <w:rFonts w:hint="eastAsia" w:ascii="方正小标宋_GBK" w:eastAsia="方正小标宋_GBK"/>
          <w:b w:val="0"/>
          <w:bCs w:val="0"/>
          <w:strike w:val="0"/>
          <w:color w:val="auto"/>
          <w:sz w:val="24"/>
          <w:szCs w:val="24"/>
        </w:rPr>
        <w:t>四、开标</w:t>
      </w:r>
      <w:bookmarkStart w:id="171" w:name="_Toc352700430"/>
      <w:bookmarkStart w:id="172" w:name="_Toc353785300"/>
    </w:p>
    <w:bookmarkEnd w:id="171"/>
    <w:bookmarkEnd w:id="172"/>
    <w:p w14:paraId="6DC3BAF4">
      <w:pPr>
        <w:spacing w:line="410" w:lineRule="exact"/>
        <w:ind w:firstLine="210" w:firstLineChars="100"/>
        <w:rPr>
          <w:rFonts w:ascii="方正小标宋_GBK" w:hAnsi="Arial" w:eastAsia="方正小标宋_GBK"/>
          <w:bCs/>
          <w:strike w:val="0"/>
          <w:color w:val="auto"/>
          <w:sz w:val="24"/>
        </w:rPr>
      </w:pPr>
      <w:r>
        <w:rPr>
          <w:rFonts w:hint="eastAsia"/>
          <w:strike w:val="0"/>
          <w:color w:val="auto"/>
        </w:rPr>
        <w:t>（一）本中心将在投标文件提交截止时间后在</w:t>
      </w:r>
      <w:bookmarkStart w:id="173" w:name="_Hlk90300735"/>
      <w:r>
        <w:rPr>
          <w:rFonts w:hint="eastAsia"/>
          <w:strike w:val="0"/>
          <w:color w:val="auto"/>
        </w:rPr>
        <w:t>政采云远程开标大厅</w:t>
      </w:r>
      <w:bookmarkEnd w:id="173"/>
      <w:r>
        <w:rPr>
          <w:rFonts w:hint="eastAsia"/>
          <w:strike w:val="0"/>
          <w:color w:val="auto"/>
        </w:rPr>
        <w:t>进行开标，投标人法定代表人或委托代理人须按时登录</w:t>
      </w:r>
      <w:bookmarkStart w:id="174" w:name="_Hlk90300780"/>
      <w:r>
        <w:rPr>
          <w:rFonts w:hint="eastAsia"/>
          <w:strike w:val="0"/>
          <w:color w:val="auto"/>
        </w:rPr>
        <w:t>政采云远程开标大厅</w:t>
      </w:r>
      <w:bookmarkEnd w:id="174"/>
      <w:r>
        <w:rPr>
          <w:rFonts w:hint="eastAsia"/>
          <w:strike w:val="0"/>
          <w:color w:val="auto"/>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75" w:name="_Toc352700431"/>
      <w:bookmarkStart w:id="176" w:name="_Toc353785301"/>
    </w:p>
    <w:p w14:paraId="5CE34731">
      <w:pPr>
        <w:spacing w:line="410" w:lineRule="exact"/>
        <w:ind w:firstLine="210" w:firstLineChars="100"/>
        <w:rPr>
          <w:rFonts w:ascii="方正小标宋_GBK" w:hAnsi="Arial" w:eastAsia="方正小标宋_GBK"/>
          <w:bCs/>
          <w:strike w:val="0"/>
          <w:color w:val="auto"/>
          <w:sz w:val="24"/>
        </w:rPr>
      </w:pPr>
      <w:r>
        <w:rPr>
          <w:rFonts w:hint="eastAsia"/>
          <w:strike w:val="0"/>
          <w:color w:val="auto"/>
        </w:rPr>
        <w:t>（二）开标程序</w:t>
      </w:r>
      <w:bookmarkEnd w:id="175"/>
      <w:bookmarkEnd w:id="176"/>
    </w:p>
    <w:p w14:paraId="67D07BB4">
      <w:pPr>
        <w:spacing w:line="410" w:lineRule="exact"/>
        <w:ind w:left="420" w:firstLine="0" w:firstLineChars="0"/>
        <w:rPr>
          <w:strike w:val="0"/>
          <w:color w:val="auto"/>
        </w:rPr>
      </w:pPr>
      <w:r>
        <w:rPr>
          <w:strike w:val="0"/>
          <w:color w:val="auto"/>
        </w:rPr>
        <w:t>1.</w:t>
      </w:r>
      <w:r>
        <w:rPr>
          <w:rFonts w:hint="eastAsia"/>
          <w:strike w:val="0"/>
          <w:color w:val="auto"/>
        </w:rPr>
        <w:t>开标会由本中心主持；</w:t>
      </w:r>
    </w:p>
    <w:p w14:paraId="005062E0">
      <w:pPr>
        <w:spacing w:line="410" w:lineRule="exact"/>
        <w:ind w:firstLine="420"/>
        <w:rPr>
          <w:strike w:val="0"/>
          <w:color w:val="auto"/>
        </w:rPr>
      </w:pPr>
      <w:r>
        <w:rPr>
          <w:strike w:val="0"/>
          <w:color w:val="auto"/>
        </w:rPr>
        <w:t>2.</w:t>
      </w:r>
      <w:r>
        <w:rPr>
          <w:rFonts w:hint="eastAsia"/>
          <w:b/>
          <w:bCs/>
          <w:strike w:val="0"/>
          <w:color w:val="auto"/>
        </w:rPr>
        <w:t>解密：</w:t>
      </w:r>
      <w:r>
        <w:rPr>
          <w:rFonts w:hint="eastAsia"/>
          <w:strike w:val="0"/>
          <w:color w:val="auto"/>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4044B42E">
      <w:pPr>
        <w:spacing w:line="410" w:lineRule="exact"/>
        <w:ind w:firstLine="420"/>
        <w:rPr>
          <w:strike w:val="0"/>
          <w:color w:val="auto"/>
        </w:rPr>
      </w:pPr>
      <w:r>
        <w:rPr>
          <w:rFonts w:hint="eastAsia"/>
          <w:strike w:val="0"/>
          <w:color w:val="auto"/>
        </w:rPr>
        <w:t>注：当招标项目(或分标</w:t>
      </w:r>
      <w:r>
        <w:rPr>
          <w:strike w:val="0"/>
          <w:color w:val="auto"/>
        </w:rPr>
        <w:t>)</w:t>
      </w:r>
      <w:r>
        <w:rPr>
          <w:rFonts w:hint="eastAsia"/>
          <w:strike w:val="0"/>
          <w:color w:val="auto"/>
        </w:rPr>
        <w:t>的投标人不足3家的，不开标。</w:t>
      </w:r>
    </w:p>
    <w:p w14:paraId="5C371C3C">
      <w:pPr>
        <w:spacing w:line="410" w:lineRule="exact"/>
        <w:ind w:firstLine="211" w:firstLineChars="100"/>
        <w:rPr>
          <w:b/>
          <w:bCs/>
          <w:strike w:val="0"/>
          <w:color w:val="auto"/>
        </w:rPr>
      </w:pPr>
      <w:r>
        <w:rPr>
          <w:rFonts w:hint="eastAsia"/>
          <w:b/>
          <w:bCs/>
          <w:strike w:val="0"/>
          <w:color w:val="auto"/>
        </w:rPr>
        <w:t>（三）资格审查</w:t>
      </w:r>
    </w:p>
    <w:p w14:paraId="24375B17">
      <w:pPr>
        <w:spacing w:line="410" w:lineRule="exact"/>
        <w:ind w:firstLine="420"/>
        <w:rPr>
          <w:rFonts w:hint="eastAsia" w:ascii="宋体" w:hAnsi="宋体"/>
          <w:strike w:val="0"/>
          <w:color w:val="auto"/>
          <w:szCs w:val="21"/>
        </w:rPr>
      </w:pPr>
      <w:r>
        <w:rPr>
          <w:rFonts w:hint="eastAsia" w:ascii="宋体" w:hAnsi="宋体"/>
          <w:strike w:val="0"/>
          <w:color w:val="auto"/>
          <w:szCs w:val="21"/>
        </w:rPr>
        <w:t>1</w:t>
      </w:r>
      <w:r>
        <w:rPr>
          <w:rFonts w:ascii="宋体" w:hAnsi="宋体"/>
          <w:strike w:val="0"/>
          <w:color w:val="auto"/>
          <w:szCs w:val="21"/>
        </w:rPr>
        <w:t>.</w:t>
      </w:r>
      <w:r>
        <w:rPr>
          <w:rFonts w:hint="eastAsia" w:ascii="宋体" w:hAnsi="宋体"/>
          <w:strike w:val="0"/>
          <w:color w:val="auto"/>
          <w:szCs w:val="21"/>
        </w:rPr>
        <w:t>采购人依法对投标人的资格进行审查，招标项目(或分标)</w:t>
      </w:r>
      <w:r>
        <w:rPr>
          <w:rFonts w:ascii="Arial" w:hAnsi="Arial" w:cs="Arial"/>
          <w:strike w:val="0"/>
          <w:color w:val="auto"/>
        </w:rPr>
        <w:t>合格投标人不足3家的，不评标</w:t>
      </w:r>
      <w:r>
        <w:rPr>
          <w:rFonts w:hint="eastAsia" w:ascii="宋体" w:hAnsi="宋体"/>
          <w:strike w:val="0"/>
          <w:color w:val="auto"/>
          <w:szCs w:val="21"/>
        </w:rPr>
        <w:t>。</w:t>
      </w:r>
    </w:p>
    <w:p w14:paraId="58745422">
      <w:pPr>
        <w:spacing w:line="410" w:lineRule="exact"/>
        <w:ind w:firstLine="420"/>
        <w:rPr>
          <w:rFonts w:hint="eastAsia" w:ascii="宋体" w:hAnsi="宋体"/>
          <w:strike w:val="0"/>
          <w:color w:val="auto"/>
          <w:szCs w:val="21"/>
        </w:rPr>
      </w:pPr>
      <w:r>
        <w:rPr>
          <w:rFonts w:ascii="宋体" w:hAnsi="宋体"/>
          <w:strike w:val="0"/>
          <w:color w:val="auto"/>
          <w:szCs w:val="21"/>
        </w:rPr>
        <w:t>2.</w:t>
      </w:r>
      <w:r>
        <w:rPr>
          <w:rFonts w:hint="eastAsia" w:ascii="宋体" w:hAnsi="宋体"/>
          <w:strike w:val="0"/>
          <w:color w:val="auto"/>
          <w:szCs w:val="21"/>
        </w:rPr>
        <w:t>资格性审查时，如发现下列情形之一的，投标文件将被视为无效：</w:t>
      </w:r>
    </w:p>
    <w:p w14:paraId="15B0836C">
      <w:pPr>
        <w:spacing w:line="410" w:lineRule="exact"/>
        <w:ind w:firstLine="420"/>
        <w:rPr>
          <w:rFonts w:hint="eastAsia" w:ascii="宋体" w:hAnsi="宋体"/>
          <w:strike w:val="0"/>
          <w:color w:val="auto"/>
          <w:szCs w:val="21"/>
        </w:rPr>
      </w:pPr>
      <w:r>
        <w:rPr>
          <w:rFonts w:hint="eastAsia" w:ascii="宋体" w:hAnsi="宋体"/>
          <w:strike w:val="0"/>
          <w:color w:val="auto"/>
          <w:szCs w:val="21"/>
        </w:rPr>
        <w:t>(1)超越了按照法律法规规定必须获得行政许可或者行政审批的经营范围的；</w:t>
      </w:r>
    </w:p>
    <w:p w14:paraId="6147A50C">
      <w:pPr>
        <w:spacing w:line="410" w:lineRule="exact"/>
        <w:ind w:firstLine="420"/>
        <w:rPr>
          <w:rFonts w:hint="eastAsia" w:ascii="宋体" w:hAnsi="宋体"/>
          <w:strike w:val="0"/>
          <w:color w:val="auto"/>
          <w:szCs w:val="21"/>
        </w:rPr>
      </w:pPr>
      <w:r>
        <w:rPr>
          <w:rFonts w:hint="eastAsia" w:ascii="宋体" w:hAnsi="宋体"/>
          <w:strike w:val="0"/>
          <w:color w:val="auto"/>
          <w:szCs w:val="21"/>
        </w:rPr>
        <w:t>(2)资格证明文件不全的，或者不符合招标文件标明的资格要求的；</w:t>
      </w:r>
    </w:p>
    <w:p w14:paraId="5378E4B5">
      <w:pPr>
        <w:keepNext w:val="0"/>
        <w:keepLines w:val="0"/>
        <w:widowControl/>
        <w:suppressLineNumbers w:val="0"/>
        <w:jc w:val="left"/>
        <w:rPr>
          <w:rFonts w:hint="eastAsia"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w:t>
      </w:r>
      <w:r>
        <w:rPr>
          <w:rFonts w:hint="eastAsia" w:ascii="宋体" w:hAnsi="宋体" w:eastAsia="宋体" w:cs="Times New Roman"/>
          <w:strike w:val="0"/>
          <w:color w:val="auto"/>
          <w:szCs w:val="21"/>
        </w:rPr>
        <w:t>项目政府采购活动。</w:t>
      </w:r>
    </w:p>
    <w:p w14:paraId="1220CE53">
      <w:pPr>
        <w:snapToGrid w:val="0"/>
        <w:spacing w:line="410" w:lineRule="exact"/>
        <w:ind w:firstLine="420"/>
        <w:jc w:val="left"/>
        <w:rPr>
          <w:rFonts w:hint="eastAsia" w:ascii="宋体" w:hAnsi="宋体"/>
          <w:strike w:val="0"/>
          <w:color w:val="auto"/>
          <w:szCs w:val="21"/>
        </w:rPr>
      </w:pPr>
    </w:p>
    <w:p w14:paraId="3A7E1896">
      <w:pPr>
        <w:pStyle w:val="3"/>
        <w:spacing w:before="0" w:after="0" w:line="410" w:lineRule="exact"/>
        <w:ind w:firstLine="0" w:firstLineChars="0"/>
        <w:rPr>
          <w:rFonts w:hint="eastAsia" w:ascii="方正小标宋_GBK" w:eastAsia="方正小标宋_GBK"/>
          <w:b w:val="0"/>
          <w:bCs w:val="0"/>
          <w:strike w:val="0"/>
          <w:color w:val="auto"/>
          <w:sz w:val="24"/>
          <w:szCs w:val="24"/>
        </w:rPr>
      </w:pPr>
      <w:bookmarkStart w:id="177" w:name="_五、评标"/>
      <w:bookmarkEnd w:id="177"/>
      <w:bookmarkStart w:id="178" w:name="_Toc353785302"/>
      <w:bookmarkStart w:id="179" w:name="_Toc254970686"/>
      <w:bookmarkStart w:id="180" w:name="_Toc254970545"/>
      <w:bookmarkStart w:id="181" w:name="_Toc352700432"/>
      <w:r>
        <w:rPr>
          <w:rFonts w:hint="eastAsia" w:ascii="方正小标宋_GBK" w:eastAsia="方正小标宋_GBK"/>
          <w:b w:val="0"/>
          <w:bCs w:val="0"/>
          <w:strike w:val="0"/>
          <w:color w:val="auto"/>
          <w:sz w:val="24"/>
          <w:szCs w:val="24"/>
        </w:rPr>
        <w:t>五、评标</w:t>
      </w:r>
      <w:bookmarkEnd w:id="178"/>
      <w:bookmarkEnd w:id="179"/>
      <w:bookmarkEnd w:id="180"/>
      <w:bookmarkEnd w:id="181"/>
    </w:p>
    <w:p w14:paraId="056CBF3F">
      <w:pPr>
        <w:snapToGrid w:val="0"/>
        <w:spacing w:line="410" w:lineRule="exact"/>
        <w:ind w:firstLine="211" w:firstLineChars="100"/>
        <w:rPr>
          <w:rFonts w:ascii="宋体" w:hAnsi="宋体"/>
          <w:b/>
          <w:bCs/>
          <w:strike w:val="0"/>
          <w:color w:val="auto"/>
          <w:szCs w:val="21"/>
        </w:rPr>
      </w:pPr>
      <w:bookmarkStart w:id="182" w:name="_Toc353785303"/>
      <w:bookmarkStart w:id="183" w:name="_Toc352700433"/>
      <w:r>
        <w:rPr>
          <w:rFonts w:hint="eastAsia" w:ascii="宋体" w:hAnsi="宋体"/>
          <w:b/>
          <w:bCs/>
          <w:strike w:val="0"/>
          <w:color w:val="auto"/>
          <w:szCs w:val="21"/>
        </w:rPr>
        <w:t>（一）评标原则：</w:t>
      </w:r>
    </w:p>
    <w:p w14:paraId="4BBD74C0">
      <w:pPr>
        <w:snapToGrid w:val="0"/>
        <w:spacing w:line="410" w:lineRule="exact"/>
        <w:ind w:firstLine="420"/>
        <w:rPr>
          <w:rFonts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评标委员会必须公平、公正、客观，不带任何倾向性和启发性；不得向外界透露任何与评标有关的内容；任何单位和个人不得干扰、影响评标的正常进行；评标委员会及有关工作人员不得私下接触投标人。</w:t>
      </w:r>
    </w:p>
    <w:p w14:paraId="5AB41567">
      <w:pPr>
        <w:snapToGrid w:val="0"/>
        <w:spacing w:line="410" w:lineRule="exact"/>
        <w:ind w:firstLine="420"/>
        <w:rPr>
          <w:rFonts w:ascii="宋体" w:hAnsi="宋体" w:cs="Courier New"/>
          <w:strike w:val="0"/>
          <w:color w:val="auto"/>
          <w:szCs w:val="21"/>
        </w:rPr>
      </w:pPr>
      <w:r>
        <w:rPr>
          <w:rFonts w:ascii="宋体" w:hAnsi="宋体"/>
          <w:strike w:val="0"/>
          <w:color w:val="auto"/>
          <w:szCs w:val="21"/>
        </w:rPr>
        <w:t>2.</w:t>
      </w:r>
      <w:r>
        <w:rPr>
          <w:rFonts w:hint="eastAsia" w:ascii="宋体" w:hAnsi="宋体" w:cs="Courier New"/>
          <w:strike w:val="0"/>
          <w:color w:val="auto"/>
          <w:szCs w:val="21"/>
        </w:rPr>
        <w:t>本项目采用不公开方式评标，评标的依据为招标文件和投标文件。</w:t>
      </w:r>
    </w:p>
    <w:p w14:paraId="7851E206">
      <w:pPr>
        <w:snapToGrid w:val="0"/>
        <w:spacing w:line="410" w:lineRule="exact"/>
        <w:ind w:firstLine="420"/>
        <w:rPr>
          <w:rFonts w:hint="eastAsia" w:ascii="宋体" w:hAnsi="宋体"/>
          <w:strike w:val="0"/>
          <w:color w:val="auto"/>
          <w:szCs w:val="21"/>
        </w:rPr>
      </w:pPr>
      <w:r>
        <w:rPr>
          <w:rFonts w:hint="eastAsia" w:ascii="宋体" w:hAnsi="宋体" w:cs="Courier New"/>
          <w:strike w:val="0"/>
          <w:color w:val="auto"/>
          <w:szCs w:val="21"/>
        </w:rPr>
        <w:t>3</w:t>
      </w:r>
      <w:r>
        <w:rPr>
          <w:rFonts w:ascii="宋体" w:hAnsi="宋体" w:cs="Courier New"/>
          <w:strike w:val="0"/>
          <w:color w:val="auto"/>
          <w:szCs w:val="21"/>
        </w:rPr>
        <w:t>.</w:t>
      </w:r>
      <w:r>
        <w:rPr>
          <w:rFonts w:hint="eastAsia" w:ascii="宋体" w:hAnsi="宋体" w:cs="宋体"/>
          <w:strike w:val="0"/>
          <w:color w:val="auto"/>
          <w:szCs w:val="21"/>
        </w:rPr>
        <w:t>评标方法：综合评分法，即满足招标文件全部实质性要求且按照评审因素的量化指标评审得分最高的供应商为中标候选人。</w:t>
      </w:r>
    </w:p>
    <w:p w14:paraId="1FED76E0">
      <w:pPr>
        <w:snapToGrid w:val="0"/>
        <w:spacing w:line="410" w:lineRule="exact"/>
        <w:ind w:firstLine="211" w:firstLineChars="100"/>
        <w:rPr>
          <w:rFonts w:ascii="宋体" w:hAnsi="宋体"/>
          <w:b/>
          <w:bCs/>
          <w:strike w:val="0"/>
          <w:color w:val="auto"/>
          <w:szCs w:val="21"/>
        </w:rPr>
      </w:pPr>
      <w:r>
        <w:rPr>
          <w:rFonts w:hint="eastAsia"/>
          <w:b/>
          <w:bCs/>
          <w:strike w:val="0"/>
          <w:color w:val="auto"/>
        </w:rPr>
        <w:t>（二）组建评标委员会</w:t>
      </w:r>
    </w:p>
    <w:p w14:paraId="7BA37F04">
      <w:pPr>
        <w:snapToGrid w:val="0"/>
        <w:spacing w:line="410" w:lineRule="exact"/>
        <w:ind w:firstLine="420"/>
        <w:rPr>
          <w:rFonts w:hint="eastAsia" w:ascii="宋体" w:hAnsi="宋体"/>
          <w:strike w:val="0"/>
          <w:color w:val="auto"/>
          <w:szCs w:val="21"/>
        </w:rPr>
      </w:pPr>
      <w:r>
        <w:rPr>
          <w:rFonts w:ascii="宋体" w:hAnsi="宋体" w:cs="Courier New"/>
          <w:bCs/>
          <w:strike w:val="0"/>
          <w:color w:val="auto"/>
          <w:szCs w:val="21"/>
        </w:rPr>
        <w:t>评标委员会由采购人代表和评审专家组成，成员人数应当为5人以上单数，其中评审专家不得少于成员总数的三分之二。</w:t>
      </w:r>
      <w:bookmarkEnd w:id="182"/>
      <w:bookmarkEnd w:id="183"/>
    </w:p>
    <w:p w14:paraId="1202878B">
      <w:pPr>
        <w:spacing w:line="410" w:lineRule="exact"/>
        <w:ind w:firstLine="211" w:firstLineChars="100"/>
        <w:rPr>
          <w:rFonts w:hint="eastAsia" w:ascii="宋体" w:hAnsi="宋体" w:cs="Courier New"/>
          <w:strike w:val="0"/>
          <w:color w:val="auto"/>
          <w:szCs w:val="21"/>
        </w:rPr>
      </w:pPr>
      <w:r>
        <w:rPr>
          <w:rFonts w:hint="eastAsia" w:ascii="宋体" w:hAnsi="宋体"/>
          <w:b/>
          <w:bCs/>
          <w:strike w:val="0"/>
          <w:color w:val="auto"/>
          <w:szCs w:val="21"/>
        </w:rPr>
        <w:t>（三）符合性审查</w:t>
      </w:r>
    </w:p>
    <w:p w14:paraId="4B226001">
      <w:pPr>
        <w:snapToGrid w:val="0"/>
        <w:spacing w:line="410" w:lineRule="exact"/>
        <w:ind w:firstLine="420"/>
        <w:rPr>
          <w:rFonts w:ascii="宋体" w:hAnsi="宋体"/>
          <w:strike w:val="0"/>
          <w:color w:val="auto"/>
          <w:szCs w:val="21"/>
        </w:rPr>
      </w:pPr>
      <w:r>
        <w:rPr>
          <w:rFonts w:hint="eastAsia" w:ascii="宋体" w:hAnsi="宋体"/>
          <w:strike w:val="0"/>
          <w:color w:val="auto"/>
          <w:szCs w:val="21"/>
        </w:rPr>
        <w:t>评标委员会对符合资格的投标人投标文件进行符合性审查，以确定其是否满足招标文件的实质性要求。</w:t>
      </w:r>
    </w:p>
    <w:p w14:paraId="7053C97A">
      <w:pPr>
        <w:snapToGrid w:val="0"/>
        <w:spacing w:line="410" w:lineRule="exact"/>
        <w:ind w:firstLine="422"/>
        <w:rPr>
          <w:rFonts w:hint="eastAsia" w:ascii="宋体" w:hAnsi="宋体"/>
          <w:b/>
          <w:bCs/>
          <w:strike w:val="0"/>
          <w:color w:val="auto"/>
          <w:szCs w:val="21"/>
        </w:rPr>
      </w:pPr>
      <w:r>
        <w:rPr>
          <w:rFonts w:ascii="宋体" w:hAnsi="宋体"/>
          <w:b/>
          <w:bCs/>
          <w:strike w:val="0"/>
          <w:color w:val="auto"/>
          <w:szCs w:val="21"/>
        </w:rPr>
        <w:t>1.</w:t>
      </w:r>
      <w:r>
        <w:rPr>
          <w:rFonts w:hint="eastAsia" w:ascii="宋体" w:hAnsi="宋体"/>
          <w:b/>
          <w:bCs/>
          <w:strike w:val="0"/>
          <w:color w:val="auto"/>
          <w:szCs w:val="21"/>
        </w:rPr>
        <w:t>符合性审查时，如发现下列情形之一的，投标文件将被视为无效：</w:t>
      </w:r>
    </w:p>
    <w:p w14:paraId="205A52DA">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1)</w:t>
      </w:r>
      <w:r>
        <w:rPr>
          <w:rFonts w:hint="eastAsia" w:ascii="宋体" w:hAnsi="宋体"/>
          <w:b/>
          <w:bCs/>
          <w:strike w:val="0"/>
          <w:color w:val="auto"/>
          <w:szCs w:val="21"/>
        </w:rPr>
        <w:t>商务评审:</w:t>
      </w:r>
    </w:p>
    <w:p w14:paraId="28A68FB1">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①应交未交投标保证金的；</w:t>
      </w:r>
    </w:p>
    <w:p w14:paraId="429F59BB">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②投标文件未按投标文件编制要求提供或内容虚假的</w:t>
      </w:r>
    </w:p>
    <w:p w14:paraId="6F34A1C3">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③投标文件无法定代表人或其委托代理人签署、未提供授权委托书，或未按规定盖章的；</w:t>
      </w:r>
    </w:p>
    <w:p w14:paraId="59E42693">
      <w:pPr>
        <w:snapToGrid w:val="0"/>
        <w:spacing w:line="410" w:lineRule="exact"/>
        <w:ind w:firstLine="525" w:firstLineChars="250"/>
        <w:rPr>
          <w:rFonts w:ascii="宋体" w:hAnsi="宋体"/>
          <w:strike w:val="0"/>
          <w:color w:val="auto"/>
          <w:szCs w:val="21"/>
        </w:rPr>
      </w:pPr>
      <w:r>
        <w:rPr>
          <w:rFonts w:hint="eastAsia" w:ascii="宋体" w:hAnsi="宋体"/>
          <w:strike w:val="0"/>
          <w:color w:val="auto"/>
          <w:szCs w:val="21"/>
        </w:rPr>
        <w:t>④投标人代表未能出具身份证明或与法定代表人委托代理人身份不符的；</w:t>
      </w:r>
    </w:p>
    <w:p w14:paraId="20B579FD">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⑤投</w:t>
      </w:r>
      <w:bookmarkStart w:id="184" w:name="_Hlk112423038"/>
      <w:r>
        <w:rPr>
          <w:rFonts w:hint="eastAsia" w:ascii="宋体" w:hAnsi="宋体"/>
          <w:strike w:val="0"/>
          <w:color w:val="auto"/>
          <w:szCs w:val="21"/>
        </w:rPr>
        <w:t>标有效期、交货时间、质保期等不允许偏离的实质性要求和条件不能满足招标文件要求的；</w:t>
      </w:r>
      <w:bookmarkEnd w:id="184"/>
    </w:p>
    <w:p w14:paraId="1F964CF2">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⑥投标文件的实质性内容未使用中文表述、意思表述不明确、前后矛盾或者使用计量单位不符合招标文件要求的；</w:t>
      </w:r>
    </w:p>
    <w:p w14:paraId="2EAADA8C">
      <w:pPr>
        <w:snapToGrid w:val="0"/>
        <w:spacing w:line="410" w:lineRule="exact"/>
        <w:ind w:firstLine="525" w:firstLineChars="250"/>
        <w:rPr>
          <w:rFonts w:hint="eastAsia" w:ascii="宋体" w:hAnsi="宋体"/>
          <w:strike w:val="0"/>
          <w:color w:val="auto"/>
          <w:szCs w:val="21"/>
        </w:rPr>
      </w:pPr>
      <w:r>
        <w:rPr>
          <w:rFonts w:hint="eastAsia" w:ascii="宋体" w:hAnsi="宋体"/>
          <w:strike w:val="0"/>
          <w:color w:val="auto"/>
          <w:szCs w:val="21"/>
        </w:rPr>
        <w:t>⑦未实质性响应招标文件要求或者投标文件有采购人不能接受的附加条件的；</w:t>
      </w:r>
    </w:p>
    <w:p w14:paraId="0CEE7B3C">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2)</w:t>
      </w:r>
      <w:r>
        <w:rPr>
          <w:rFonts w:hint="eastAsia" w:ascii="宋体" w:hAnsi="宋体"/>
          <w:b/>
          <w:bCs/>
          <w:strike w:val="0"/>
          <w:color w:val="auto"/>
          <w:szCs w:val="21"/>
        </w:rPr>
        <w:t>技术评审：</w:t>
      </w:r>
    </w:p>
    <w:p w14:paraId="4BF010A6">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①</w:t>
      </w:r>
      <w:r>
        <w:rPr>
          <w:rFonts w:hint="eastAsia" w:ascii="宋体" w:hAnsi="宋体"/>
          <w:strike w:val="0"/>
          <w:color w:val="auto"/>
          <w:szCs w:val="21"/>
        </w:rPr>
        <w:t>未提供或未如实提供货物技术参数或服务响应，或投标文件标明的响应或偏离与事实不符的；</w:t>
      </w:r>
    </w:p>
    <w:p w14:paraId="3B8573D3">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②明显不符合招标文件要求的质量标准，或者与招标文件中的技术指标、功能、服务事项发生实质性较大偏离，已不符合采购人需求的；</w:t>
      </w:r>
    </w:p>
    <w:p w14:paraId="251676E4">
      <w:pPr>
        <w:snapToGrid w:val="0"/>
        <w:spacing w:line="410" w:lineRule="exact"/>
        <w:ind w:firstLine="505" w:firstLineChars="250"/>
        <w:rPr>
          <w:rFonts w:hint="eastAsia" w:ascii="宋体" w:hAnsi="宋体"/>
          <w:strike w:val="0"/>
          <w:color w:val="auto"/>
          <w:spacing w:val="-4"/>
          <w:szCs w:val="21"/>
        </w:rPr>
      </w:pPr>
      <w:r>
        <w:rPr>
          <w:rFonts w:hint="eastAsia" w:ascii="宋体" w:hAnsi="宋体"/>
          <w:strike w:val="0"/>
          <w:color w:val="auto"/>
          <w:spacing w:val="-4"/>
          <w:szCs w:val="21"/>
        </w:rPr>
        <w:t>③投标文件技术方案不明确，存在一个或一个以上备选（替代）投标方案的。</w:t>
      </w:r>
    </w:p>
    <w:p w14:paraId="31FEB191">
      <w:pPr>
        <w:snapToGrid w:val="0"/>
        <w:spacing w:line="410" w:lineRule="exact"/>
        <w:ind w:firstLine="422"/>
        <w:rPr>
          <w:rFonts w:ascii="宋体" w:hAnsi="宋体"/>
          <w:b/>
          <w:bCs/>
          <w:strike w:val="0"/>
          <w:color w:val="auto"/>
          <w:szCs w:val="21"/>
        </w:rPr>
      </w:pPr>
      <w:r>
        <w:rPr>
          <w:rFonts w:hint="eastAsia" w:ascii="宋体" w:hAnsi="宋体"/>
          <w:b/>
          <w:bCs/>
          <w:strike w:val="0"/>
          <w:color w:val="auto"/>
          <w:szCs w:val="21"/>
        </w:rPr>
        <w:t>(</w:t>
      </w:r>
      <w:r>
        <w:rPr>
          <w:rFonts w:ascii="宋体" w:hAnsi="宋体"/>
          <w:b/>
          <w:bCs/>
          <w:strike w:val="0"/>
          <w:color w:val="auto"/>
          <w:szCs w:val="21"/>
        </w:rPr>
        <w:t>3)</w:t>
      </w:r>
      <w:r>
        <w:rPr>
          <w:rFonts w:hint="eastAsia" w:ascii="宋体" w:hAnsi="宋体"/>
          <w:b/>
          <w:bCs/>
          <w:strike w:val="0"/>
          <w:color w:val="auto"/>
          <w:szCs w:val="21"/>
        </w:rPr>
        <w:t>报价评审：</w:t>
      </w:r>
    </w:p>
    <w:p w14:paraId="376AA831">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①</w:t>
      </w:r>
      <w:r>
        <w:rPr>
          <w:rFonts w:ascii="宋体" w:hAnsi="宋体"/>
          <w:strike w:val="0"/>
          <w:color w:val="auto"/>
          <w:spacing w:val="-4"/>
          <w:szCs w:val="21"/>
        </w:rPr>
        <w:t>报价超过招标文件中规定的预算金额或者最高限价的</w:t>
      </w:r>
      <w:r>
        <w:rPr>
          <w:rFonts w:hint="eastAsia" w:ascii="宋体" w:hAnsi="宋体"/>
          <w:strike w:val="0"/>
          <w:color w:val="auto"/>
          <w:spacing w:val="-4"/>
          <w:szCs w:val="21"/>
        </w:rPr>
        <w:t>；</w:t>
      </w:r>
    </w:p>
    <w:p w14:paraId="6C343EE0">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②未采用人民币报价或者未按照招标文件标明的币种报价的；</w:t>
      </w:r>
    </w:p>
    <w:p w14:paraId="75A600FA">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③投标报价具有选择性；</w:t>
      </w:r>
    </w:p>
    <w:p w14:paraId="1277FCA8">
      <w:pPr>
        <w:snapToGrid w:val="0"/>
        <w:spacing w:line="410" w:lineRule="exact"/>
        <w:ind w:firstLine="505" w:firstLineChars="250"/>
        <w:rPr>
          <w:rFonts w:ascii="宋体" w:hAnsi="宋体"/>
          <w:strike w:val="0"/>
          <w:color w:val="auto"/>
          <w:spacing w:val="-4"/>
          <w:szCs w:val="21"/>
        </w:rPr>
      </w:pPr>
      <w:r>
        <w:rPr>
          <w:rFonts w:hint="eastAsia" w:ascii="宋体" w:hAnsi="宋体"/>
          <w:strike w:val="0"/>
          <w:color w:val="auto"/>
          <w:spacing w:val="-4"/>
          <w:szCs w:val="21"/>
        </w:rPr>
        <w:t>④</w:t>
      </w:r>
      <w:r>
        <w:rPr>
          <w:rFonts w:hint="eastAsia" w:ascii="宋体" w:hAnsi="宋体" w:cs="Courier New"/>
          <w:strike w:val="0"/>
          <w:color w:val="auto"/>
          <w:szCs w:val="21"/>
        </w:rPr>
        <w:t>评标委员会认为投标人的报价明显低于其他通过符合性审查投标人的报价，有可能影响产品质量或者不能诚信履约的，投标人不能证明其报价合理性的</w:t>
      </w:r>
      <w:r>
        <w:rPr>
          <w:rFonts w:hint="eastAsia" w:ascii="宋体" w:hAnsi="宋体"/>
          <w:strike w:val="0"/>
          <w:color w:val="auto"/>
          <w:spacing w:val="-4"/>
          <w:szCs w:val="21"/>
        </w:rPr>
        <w:t>；</w:t>
      </w:r>
    </w:p>
    <w:p w14:paraId="13D8ED92">
      <w:pPr>
        <w:snapToGrid w:val="0"/>
        <w:spacing w:line="410" w:lineRule="exact"/>
        <w:ind w:firstLine="505" w:firstLineChars="250"/>
        <w:rPr>
          <w:rFonts w:hint="eastAsia" w:ascii="宋体" w:hAnsi="宋体"/>
          <w:strike w:val="0"/>
          <w:color w:val="auto"/>
          <w:spacing w:val="-4"/>
          <w:szCs w:val="21"/>
        </w:rPr>
      </w:pPr>
      <w:r>
        <w:rPr>
          <w:rFonts w:hint="eastAsia" w:ascii="宋体" w:hAnsi="宋体"/>
          <w:strike w:val="0"/>
          <w:color w:val="auto"/>
          <w:spacing w:val="-4"/>
          <w:szCs w:val="21"/>
        </w:rPr>
        <w:t>⑤</w:t>
      </w:r>
      <w:r>
        <w:rPr>
          <w:rFonts w:hint="eastAsia" w:ascii="宋体" w:hAnsi="宋体"/>
          <w:strike w:val="0"/>
          <w:color w:val="auto"/>
          <w:szCs w:val="21"/>
        </w:rPr>
        <w:t>投标人在政采云平台制作投标文件时填写的报价金额与解密后“电子加密投标文件”中报价金额不一致的，以解密后“电子加密投标文件”中报价金额为准，投标人拒绝接受此调整的，视为无效投标文件。</w:t>
      </w:r>
    </w:p>
    <w:p w14:paraId="522D336F">
      <w:pPr>
        <w:snapToGrid w:val="0"/>
        <w:spacing w:line="410" w:lineRule="exact"/>
        <w:ind w:firstLine="211" w:firstLineChars="100"/>
        <w:rPr>
          <w:rFonts w:ascii="宋体" w:hAnsi="宋体"/>
          <w:b/>
          <w:bCs/>
          <w:strike w:val="0"/>
          <w:color w:val="auto"/>
          <w:szCs w:val="21"/>
        </w:rPr>
      </w:pPr>
      <w:r>
        <w:rPr>
          <w:rFonts w:hint="eastAsia" w:ascii="宋体" w:hAnsi="宋体"/>
          <w:b/>
          <w:bCs/>
          <w:strike w:val="0"/>
          <w:color w:val="auto"/>
          <w:szCs w:val="21"/>
        </w:rPr>
        <w:t>（四）比较与评价</w:t>
      </w:r>
    </w:p>
    <w:p w14:paraId="1DE1308C">
      <w:pPr>
        <w:snapToGrid w:val="0"/>
        <w:spacing w:line="410" w:lineRule="exact"/>
        <w:ind w:firstLine="420"/>
        <w:rPr>
          <w:rFonts w:ascii="宋体" w:hAnsi="宋体"/>
          <w:strike w:val="0"/>
          <w:color w:val="auto"/>
          <w:szCs w:val="21"/>
        </w:rPr>
      </w:pPr>
      <w:r>
        <w:rPr>
          <w:rFonts w:ascii="宋体" w:hAnsi="宋体"/>
          <w:strike w:val="0"/>
          <w:color w:val="auto"/>
          <w:szCs w:val="21"/>
        </w:rPr>
        <w:t>1.</w:t>
      </w:r>
      <w:r>
        <w:rPr>
          <w:rFonts w:hint="eastAsia" w:ascii="宋体" w:hAnsi="Courier New" w:cs="Courier New"/>
          <w:strike w:val="0"/>
          <w:color w:val="auto"/>
          <w:szCs w:val="21"/>
        </w:rPr>
        <w:t>评分细则：</w:t>
      </w:r>
      <w:bookmarkStart w:id="185" w:name="_Hlk92463857"/>
      <w:r>
        <w:rPr>
          <w:rFonts w:hint="eastAsia" w:ascii="宋体" w:hAnsi="Courier New" w:cs="Courier New"/>
          <w:strike w:val="0"/>
          <w:color w:val="auto"/>
          <w:szCs w:val="21"/>
        </w:rPr>
        <w:t>详见第四章《评定标准及推荐原则》</w:t>
      </w:r>
      <w:bookmarkEnd w:id="185"/>
      <w:r>
        <w:rPr>
          <w:rFonts w:hint="eastAsia" w:ascii="宋体" w:hAnsi="Courier New" w:cs="Courier New"/>
          <w:strike w:val="0"/>
          <w:color w:val="auto"/>
          <w:szCs w:val="21"/>
        </w:rPr>
        <w:t>。</w:t>
      </w:r>
    </w:p>
    <w:p w14:paraId="4CE13A1F">
      <w:pPr>
        <w:snapToGrid w:val="0"/>
        <w:spacing w:line="410" w:lineRule="exact"/>
        <w:ind w:firstLine="420"/>
        <w:rPr>
          <w:rFonts w:ascii="宋体" w:hAnsi="宋体"/>
          <w:strike w:val="0"/>
          <w:color w:val="auto"/>
          <w:szCs w:val="21"/>
        </w:rPr>
      </w:pPr>
      <w:r>
        <w:rPr>
          <w:rFonts w:hint="eastAsia" w:ascii="宋体" w:hAnsi="宋体"/>
          <w:strike w:val="0"/>
          <w:color w:val="auto"/>
          <w:szCs w:val="21"/>
        </w:rPr>
        <w:t>2</w:t>
      </w:r>
      <w:r>
        <w:rPr>
          <w:rFonts w:ascii="宋体" w:hAnsi="宋体"/>
          <w:strike w:val="0"/>
          <w:color w:val="auto"/>
          <w:szCs w:val="21"/>
        </w:rPr>
        <w:t>.</w:t>
      </w:r>
      <w:r>
        <w:rPr>
          <w:rFonts w:hint="eastAsia" w:ascii="宋体" w:hAnsi="宋体"/>
          <w:strike w:val="0"/>
          <w:color w:val="auto"/>
          <w:szCs w:val="21"/>
        </w:rPr>
        <w:t>评标委员会按评分细则对各投标人的投标文件进行评价打分，由政府采购云平台进行计算。</w:t>
      </w:r>
    </w:p>
    <w:p w14:paraId="3827A760">
      <w:pPr>
        <w:snapToGrid w:val="0"/>
        <w:spacing w:line="410" w:lineRule="exact"/>
        <w:ind w:firstLine="420"/>
        <w:rPr>
          <w:rFonts w:hint="eastAsia" w:ascii="宋体" w:hAnsi="宋体"/>
          <w:strike w:val="0"/>
          <w:color w:val="auto"/>
          <w:szCs w:val="21"/>
        </w:rPr>
      </w:pPr>
      <w:bookmarkStart w:id="186" w:name="_Hlk90303998"/>
      <w:r>
        <w:rPr>
          <w:rFonts w:ascii="宋体" w:hAnsi="宋体"/>
          <w:strike w:val="0"/>
          <w:color w:val="auto"/>
          <w:szCs w:val="21"/>
        </w:rPr>
        <w:t>2.</w:t>
      </w:r>
      <w:r>
        <w:rPr>
          <w:rFonts w:hint="eastAsia" w:ascii="宋体" w:hAnsi="宋体"/>
          <w:strike w:val="0"/>
          <w:color w:val="auto"/>
          <w:szCs w:val="21"/>
        </w:rPr>
        <w:t>评标委员会</w:t>
      </w:r>
      <w:bookmarkEnd w:id="186"/>
      <w:r>
        <w:rPr>
          <w:rFonts w:hint="eastAsia" w:ascii="宋体" w:hAnsi="宋体"/>
          <w:strike w:val="0"/>
          <w:color w:val="auto"/>
          <w:szCs w:val="21"/>
        </w:rPr>
        <w:t>完成评标后,由政府采购云平台对各投标人各项得分进行汇总，计算各投标人最终得分。评标委员会按推荐原则推荐中标候选人同时形成评标报告。</w:t>
      </w:r>
      <w:bookmarkStart w:id="187" w:name="_Toc352700436"/>
      <w:bookmarkStart w:id="188" w:name="_Toc353785306"/>
    </w:p>
    <w:p w14:paraId="4ED2D29B">
      <w:pPr>
        <w:snapToGrid w:val="0"/>
        <w:spacing w:line="410" w:lineRule="exact"/>
        <w:ind w:firstLine="211" w:firstLineChars="100"/>
        <w:rPr>
          <w:rFonts w:ascii="宋体" w:hAnsi="宋体"/>
          <w:b/>
          <w:bCs/>
          <w:strike w:val="0"/>
          <w:color w:val="auto"/>
          <w:szCs w:val="32"/>
        </w:rPr>
      </w:pPr>
      <w:r>
        <w:rPr>
          <w:rFonts w:hint="eastAsia" w:ascii="宋体" w:hAnsi="宋体"/>
          <w:b/>
          <w:bCs/>
          <w:strike w:val="0"/>
          <w:color w:val="auto"/>
          <w:szCs w:val="32"/>
        </w:rPr>
        <w:t>（五）澄清问题的形式</w:t>
      </w:r>
      <w:bookmarkEnd w:id="187"/>
      <w:bookmarkEnd w:id="188"/>
    </w:p>
    <w:p w14:paraId="6098AB5C">
      <w:pPr>
        <w:spacing w:line="410" w:lineRule="exact"/>
        <w:ind w:firstLine="420"/>
        <w:rPr>
          <w:strike w:val="0"/>
          <w:color w:val="auto"/>
        </w:rPr>
      </w:pPr>
      <w:bookmarkStart w:id="189" w:name="_Toc353785307"/>
      <w:bookmarkStart w:id="190" w:name="_Toc352700437"/>
      <w:r>
        <w:rPr>
          <w:rFonts w:hint="eastAsia"/>
          <w:strike w:val="0"/>
          <w:color w:val="auto"/>
        </w:rPr>
        <w:t>对于投标文件中含义不明确、同类问题表述不一致或者有明显文字和计算错误的内容，评标委员会应当以书面形式要求投标人作出必要的</w:t>
      </w:r>
      <w:bookmarkStart w:id="191" w:name="_Hlk92457660"/>
      <w:r>
        <w:rPr>
          <w:rFonts w:hint="eastAsia"/>
          <w:strike w:val="0"/>
          <w:color w:val="auto"/>
        </w:rPr>
        <w:t>澄清、说明或者补正</w:t>
      </w:r>
      <w:bookmarkEnd w:id="191"/>
      <w:r>
        <w:rPr>
          <w:rFonts w:hint="eastAsia"/>
          <w:strike w:val="0"/>
          <w:color w:val="auto"/>
        </w:rPr>
        <w:t>。投标人的澄清、说明或者补正应当采用书面形式，并加盖公章，或者由法定代表人或其授权的代表签名。投标人的澄清、说明或者补正不得超出投标文件的范围或者改变投标文件的实质性内容。</w:t>
      </w:r>
    </w:p>
    <w:p w14:paraId="627AEE71">
      <w:pPr>
        <w:spacing w:line="410" w:lineRule="exact"/>
        <w:ind w:firstLine="211" w:firstLineChars="100"/>
        <w:rPr>
          <w:b/>
          <w:bCs/>
          <w:strike w:val="0"/>
          <w:color w:val="auto"/>
        </w:rPr>
      </w:pPr>
      <w:r>
        <w:rPr>
          <w:rFonts w:hint="eastAsia"/>
          <w:b/>
          <w:bCs/>
          <w:strike w:val="0"/>
          <w:color w:val="auto"/>
        </w:rPr>
        <w:t>（六）错误修正</w:t>
      </w:r>
      <w:bookmarkEnd w:id="189"/>
      <w:bookmarkEnd w:id="190"/>
    </w:p>
    <w:p w14:paraId="08360DBC">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投标文件报价出现前后不一致的，除招标文件另有规定外，按照下列规定修正：</w:t>
      </w:r>
    </w:p>
    <w:p w14:paraId="38299884">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1</w:t>
      </w:r>
      <w:r>
        <w:rPr>
          <w:rFonts w:ascii="宋体" w:hAnsi="宋体" w:cs="Courier New"/>
          <w:strike w:val="0"/>
          <w:color w:val="auto"/>
          <w:szCs w:val="21"/>
        </w:rPr>
        <w:t>.</w:t>
      </w:r>
      <w:r>
        <w:rPr>
          <w:rFonts w:hint="eastAsia" w:ascii="宋体" w:hAnsi="宋体" w:cs="Courier New"/>
          <w:strike w:val="0"/>
          <w:color w:val="auto"/>
          <w:szCs w:val="21"/>
        </w:rPr>
        <w:t>投标文件中开标一览表内容</w:t>
      </w:r>
      <w:bookmarkStart w:id="192" w:name="_Hlk92464203"/>
      <w:r>
        <w:rPr>
          <w:rFonts w:hint="eastAsia" w:ascii="宋体" w:hAnsi="宋体" w:cs="Courier New"/>
          <w:strike w:val="0"/>
          <w:color w:val="auto"/>
          <w:szCs w:val="21"/>
        </w:rPr>
        <w:t>与投标文件中相应内容不一致的</w:t>
      </w:r>
      <w:bookmarkEnd w:id="192"/>
      <w:r>
        <w:rPr>
          <w:rFonts w:hint="eastAsia" w:ascii="宋体" w:hAnsi="宋体" w:cs="Courier New"/>
          <w:strike w:val="0"/>
          <w:color w:val="auto"/>
          <w:szCs w:val="21"/>
        </w:rPr>
        <w:t>，以开标一览表为准；</w:t>
      </w:r>
    </w:p>
    <w:p w14:paraId="62F8BC35">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2</w:t>
      </w:r>
      <w:r>
        <w:rPr>
          <w:rFonts w:ascii="宋体" w:hAnsi="宋体" w:cs="Courier New"/>
          <w:strike w:val="0"/>
          <w:color w:val="auto"/>
          <w:szCs w:val="21"/>
        </w:rPr>
        <w:t>.</w:t>
      </w:r>
      <w:r>
        <w:rPr>
          <w:rFonts w:hint="eastAsia" w:ascii="宋体" w:hAnsi="宋体" w:cs="Courier New"/>
          <w:strike w:val="0"/>
          <w:color w:val="auto"/>
          <w:szCs w:val="21"/>
        </w:rPr>
        <w:t>大写金额和小写金额不一致的，以大写金额为准；</w:t>
      </w:r>
    </w:p>
    <w:p w14:paraId="06CF06F4">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3</w:t>
      </w:r>
      <w:r>
        <w:rPr>
          <w:rFonts w:ascii="宋体" w:hAnsi="宋体" w:cs="Courier New"/>
          <w:strike w:val="0"/>
          <w:color w:val="auto"/>
          <w:szCs w:val="21"/>
        </w:rPr>
        <w:t>.</w:t>
      </w:r>
      <w:r>
        <w:rPr>
          <w:rFonts w:hint="eastAsia" w:ascii="宋体" w:hAnsi="宋体" w:cs="Courier New"/>
          <w:strike w:val="0"/>
          <w:color w:val="auto"/>
          <w:szCs w:val="21"/>
        </w:rPr>
        <w:t>单价金额小数点或者百分比有明显错位的，以开标一览表的总价为准，并修改单价；</w:t>
      </w:r>
    </w:p>
    <w:p w14:paraId="4414AABA">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4</w:t>
      </w:r>
      <w:r>
        <w:rPr>
          <w:rFonts w:ascii="宋体" w:hAnsi="宋体" w:cs="Courier New"/>
          <w:strike w:val="0"/>
          <w:color w:val="auto"/>
          <w:szCs w:val="21"/>
        </w:rPr>
        <w:t>.</w:t>
      </w:r>
      <w:r>
        <w:rPr>
          <w:rFonts w:hint="eastAsia" w:ascii="宋体" w:hAnsi="宋体" w:cs="Courier New"/>
          <w:strike w:val="0"/>
          <w:color w:val="auto"/>
          <w:szCs w:val="21"/>
        </w:rPr>
        <w:t>总价金额与按单价汇总金额不一致的，以单价金额计算结果为准。</w:t>
      </w:r>
    </w:p>
    <w:p w14:paraId="062541EB">
      <w:pPr>
        <w:snapToGrid w:val="0"/>
        <w:spacing w:line="410" w:lineRule="exact"/>
        <w:ind w:firstLine="420"/>
        <w:rPr>
          <w:rFonts w:hint="eastAsia" w:ascii="宋体" w:hAnsi="宋体" w:cs="Courier New"/>
          <w:strike w:val="0"/>
          <w:color w:val="auto"/>
          <w:szCs w:val="21"/>
        </w:rPr>
      </w:pPr>
      <w:r>
        <w:rPr>
          <w:rFonts w:hint="eastAsia" w:ascii="宋体" w:hAnsi="宋体" w:cs="Courier New"/>
          <w:strike w:val="0"/>
          <w:color w:val="auto"/>
          <w:szCs w:val="21"/>
        </w:rPr>
        <w:t>同时出现两种以上不一致的，按照前款规定的顺序修正。修正后的报价按照澄清、说明或者补正的规定经投标人确认后产生约束力，投标人不确认的，其投标无效。</w:t>
      </w:r>
    </w:p>
    <w:bookmarkEnd w:id="167"/>
    <w:bookmarkEnd w:id="168"/>
    <w:p w14:paraId="076D6623">
      <w:pPr>
        <w:pStyle w:val="28"/>
        <w:spacing w:line="410" w:lineRule="exact"/>
        <w:ind w:firstLine="211" w:firstLineChars="100"/>
        <w:rPr>
          <w:rFonts w:hint="eastAsia" w:hAnsi="宋体"/>
          <w:b/>
          <w:strike w:val="0"/>
          <w:color w:val="auto"/>
        </w:rPr>
      </w:pPr>
      <w:bookmarkStart w:id="193" w:name="_Toc254970544"/>
      <w:bookmarkStart w:id="194" w:name="_Toc353785299"/>
      <w:bookmarkStart w:id="195" w:name="_Toc254970685"/>
      <w:bookmarkStart w:id="196" w:name="_Toc352700429"/>
      <w:r>
        <w:rPr>
          <w:rFonts w:hint="eastAsia" w:hAnsi="宋体"/>
          <w:b/>
          <w:strike w:val="0"/>
          <w:color w:val="auto"/>
        </w:rPr>
        <w:t>（七）核心产品相同品牌产品投标、串通投标、恶意串通行为的说明：</w:t>
      </w:r>
    </w:p>
    <w:p w14:paraId="1B1306D4">
      <w:pPr>
        <w:spacing w:line="410" w:lineRule="exact"/>
        <w:ind w:firstLine="420"/>
        <w:rPr>
          <w:rFonts w:hint="eastAsia" w:ascii="宋体" w:hAnsi="宋体"/>
          <w:strike w:val="0"/>
          <w:color w:val="auto"/>
        </w:rPr>
      </w:pPr>
      <w:r>
        <w:rPr>
          <w:rFonts w:ascii="宋体" w:hAnsi="宋体"/>
          <w:strike w:val="0"/>
          <w:color w:val="auto"/>
        </w:rPr>
        <w:t>1.</w:t>
      </w:r>
      <w:r>
        <w:rPr>
          <w:rFonts w:hint="eastAsia" w:ascii="宋体" w:hAnsi="宋体"/>
          <w:strike w:val="0"/>
          <w:color w:val="auto"/>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F6E01A">
      <w:pPr>
        <w:spacing w:line="410" w:lineRule="exact"/>
        <w:ind w:firstLine="420"/>
        <w:rPr>
          <w:rFonts w:hint="eastAsia" w:ascii="宋体" w:hAnsi="宋体"/>
          <w:strike w:val="0"/>
          <w:color w:val="auto"/>
        </w:rPr>
      </w:pPr>
      <w:r>
        <w:rPr>
          <w:rFonts w:ascii="宋体" w:hAnsi="宋体"/>
          <w:strike w:val="0"/>
          <w:color w:val="auto"/>
        </w:rPr>
        <w:t>2.</w:t>
      </w:r>
      <w:r>
        <w:rPr>
          <w:rFonts w:hint="eastAsia" w:ascii="宋体" w:hAnsi="宋体"/>
          <w:strike w:val="0"/>
          <w:color w:val="auto"/>
        </w:rPr>
        <w:t>有下列情形之一的视为供应商相互串通投标，投标文件将被视为无效：</w:t>
      </w:r>
    </w:p>
    <w:p w14:paraId="65560E4B">
      <w:pPr>
        <w:spacing w:line="410" w:lineRule="exact"/>
        <w:ind w:firstLine="420"/>
        <w:rPr>
          <w:rFonts w:hint="eastAsia" w:ascii="宋体" w:hAnsi="宋体" w:eastAsia="宋体"/>
          <w:strike w:val="0"/>
          <w:color w:val="auto"/>
          <w:lang w:eastAsia="zh-CN"/>
        </w:rPr>
      </w:pPr>
      <w:r>
        <w:rPr>
          <w:rFonts w:hint="eastAsia" w:ascii="宋体" w:hAnsi="宋体"/>
          <w:strike w:val="0"/>
          <w:color w:val="auto"/>
        </w:rPr>
        <w:t>(</w:t>
      </w:r>
      <w:r>
        <w:rPr>
          <w:rFonts w:ascii="宋体" w:hAnsi="宋体"/>
          <w:strike w:val="0"/>
          <w:color w:val="auto"/>
        </w:rPr>
        <w:t>1)不同投标人的投标文件由同一单位或者个人编制；</w:t>
      </w:r>
      <w:r>
        <w:rPr>
          <w:rFonts w:hint="eastAsia" w:ascii="宋体" w:hAnsi="宋体"/>
          <w:strike w:val="0"/>
          <w:color w:val="auto"/>
        </w:rPr>
        <w:t>或不同投标人报名的IP地址一致的</w:t>
      </w:r>
      <w:r>
        <w:rPr>
          <w:rFonts w:hint="eastAsia" w:ascii="宋体" w:hAnsi="宋体"/>
          <w:strike w:val="0"/>
          <w:color w:val="auto"/>
          <w:lang w:eastAsia="zh-CN"/>
        </w:rPr>
        <w:t>；</w:t>
      </w:r>
    </w:p>
    <w:p w14:paraId="1ED68772">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2)不同投标人委托同一单位或者个人办理投标事宜；</w:t>
      </w:r>
    </w:p>
    <w:p w14:paraId="09EA7172">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3)不同投标人的投标文件载明的项目管理成员或者联系人员为同一人；</w:t>
      </w:r>
    </w:p>
    <w:p w14:paraId="6ACC37B9">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4)不同投标人的投标文件异常一致或者投标报价呈规律性差异；</w:t>
      </w:r>
    </w:p>
    <w:p w14:paraId="0525CF4E">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5)不同投标人的投标文件相互混装；</w:t>
      </w:r>
    </w:p>
    <w:p w14:paraId="09F3257F">
      <w:pPr>
        <w:spacing w:line="410" w:lineRule="exact"/>
        <w:ind w:firstLine="420"/>
        <w:rPr>
          <w:rFonts w:ascii="宋体" w:hAnsi="宋体"/>
          <w:strike w:val="0"/>
          <w:color w:val="auto"/>
        </w:rPr>
      </w:pPr>
      <w:r>
        <w:rPr>
          <w:rFonts w:hint="eastAsia" w:ascii="宋体" w:hAnsi="宋体"/>
          <w:strike w:val="0"/>
          <w:color w:val="auto"/>
        </w:rPr>
        <w:t>(</w:t>
      </w:r>
      <w:r>
        <w:rPr>
          <w:rFonts w:ascii="宋体" w:hAnsi="宋体"/>
          <w:strike w:val="0"/>
          <w:color w:val="auto"/>
        </w:rPr>
        <w:t>6)不同投标人的投标保证金从同一单位或者个人的账户转出。</w:t>
      </w:r>
    </w:p>
    <w:p w14:paraId="078FE200">
      <w:pPr>
        <w:spacing w:line="410" w:lineRule="exact"/>
        <w:ind w:firstLine="420"/>
        <w:rPr>
          <w:rFonts w:hint="eastAsia" w:ascii="宋体" w:hAnsi="宋体"/>
          <w:strike w:val="0"/>
          <w:color w:val="auto"/>
        </w:rPr>
      </w:pPr>
      <w:r>
        <w:rPr>
          <w:rFonts w:ascii="宋体" w:hAnsi="宋体"/>
          <w:strike w:val="0"/>
          <w:color w:val="auto"/>
        </w:rPr>
        <w:t>3.</w:t>
      </w:r>
      <w:r>
        <w:rPr>
          <w:rFonts w:hint="eastAsia" w:ascii="宋体" w:hAnsi="宋体"/>
          <w:strike w:val="0"/>
          <w:color w:val="auto"/>
        </w:rPr>
        <w:t>供应商有下列情形之一的，属于</w:t>
      </w:r>
      <w:bookmarkStart w:id="197" w:name="_Hlk90304995"/>
      <w:r>
        <w:rPr>
          <w:rFonts w:hint="eastAsia" w:ascii="宋体" w:hAnsi="宋体"/>
          <w:strike w:val="0"/>
          <w:color w:val="auto"/>
        </w:rPr>
        <w:t>恶意串通</w:t>
      </w:r>
      <w:bookmarkEnd w:id="197"/>
      <w:r>
        <w:rPr>
          <w:rFonts w:hint="eastAsia" w:ascii="宋体" w:hAnsi="宋体"/>
          <w:strike w:val="0"/>
          <w:color w:val="auto"/>
        </w:rPr>
        <w:t>：</w:t>
      </w:r>
    </w:p>
    <w:p w14:paraId="469F70D0">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1)</w:t>
      </w:r>
      <w:r>
        <w:rPr>
          <w:rFonts w:hint="eastAsia" w:ascii="宋体" w:hAnsi="宋体"/>
          <w:strike w:val="0"/>
          <w:color w:val="auto"/>
        </w:rPr>
        <w:t>供应商直接或者间接从采购人或者采购代理机构处获得其他供应商的相关信息并修改其投标文件：</w:t>
      </w:r>
    </w:p>
    <w:p w14:paraId="5680417D">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2)</w:t>
      </w:r>
      <w:r>
        <w:rPr>
          <w:rFonts w:hint="eastAsia" w:ascii="宋体" w:hAnsi="宋体"/>
          <w:strike w:val="0"/>
          <w:color w:val="auto"/>
        </w:rPr>
        <w:t>供应商按照采购人或者采购代理机构的授意撤换、修改投标文件；</w:t>
      </w:r>
    </w:p>
    <w:p w14:paraId="2AD7DA77">
      <w:pPr>
        <w:spacing w:line="410" w:lineRule="exact"/>
        <w:ind w:firstLine="0" w:firstLineChars="0"/>
        <w:rPr>
          <w:rFonts w:hint="eastAsia" w:ascii="宋体" w:hAnsi="宋体"/>
          <w:strike w:val="0"/>
          <w:color w:val="auto"/>
        </w:rPr>
      </w:pPr>
      <w:r>
        <w:rPr>
          <w:rFonts w:ascii="宋体" w:hAnsi="宋体"/>
          <w:strike w:val="0"/>
          <w:color w:val="auto"/>
        </w:rPr>
        <w:tab/>
      </w:r>
      <w:r>
        <w:rPr>
          <w:rFonts w:hint="eastAsia" w:ascii="宋体" w:hAnsi="宋体"/>
          <w:strike w:val="0"/>
          <w:color w:val="auto"/>
        </w:rPr>
        <w:t>(</w:t>
      </w:r>
      <w:r>
        <w:rPr>
          <w:rFonts w:ascii="宋体" w:hAnsi="宋体"/>
          <w:strike w:val="0"/>
          <w:color w:val="auto"/>
        </w:rPr>
        <w:t>3)</w:t>
      </w:r>
      <w:r>
        <w:rPr>
          <w:rFonts w:hint="eastAsia" w:ascii="宋体" w:hAnsi="宋体"/>
          <w:strike w:val="0"/>
          <w:color w:val="auto"/>
        </w:rPr>
        <w:t>供应商之间协商报价、技术方案等投标文件的实质性内容；</w:t>
      </w:r>
    </w:p>
    <w:p w14:paraId="1EF2093F">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4)</w:t>
      </w:r>
      <w:r>
        <w:rPr>
          <w:rFonts w:hint="eastAsia" w:ascii="宋体" w:hAnsi="宋体"/>
          <w:strike w:val="0"/>
          <w:color w:val="auto"/>
        </w:rPr>
        <w:t>属于同一集团、协会、商会等组织成员的供应商按照该组织要求协同参加政府采购活动；</w:t>
      </w:r>
    </w:p>
    <w:p w14:paraId="507281B7">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5)</w:t>
      </w:r>
      <w:r>
        <w:rPr>
          <w:rFonts w:hint="eastAsia" w:ascii="宋体" w:hAnsi="宋体"/>
          <w:strike w:val="0"/>
          <w:color w:val="auto"/>
        </w:rPr>
        <w:t>供应商之间事先约定一致抬高或者压低报价，或者在采购项目中事先约定轮流以高价位或者低价位成交，或者事先约定由某一特定供应商成交，然后再参加投标；</w:t>
      </w:r>
    </w:p>
    <w:p w14:paraId="44C39E40">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6)</w:t>
      </w:r>
      <w:r>
        <w:rPr>
          <w:rFonts w:hint="eastAsia" w:ascii="宋体" w:hAnsi="宋体"/>
          <w:strike w:val="0"/>
          <w:color w:val="auto"/>
        </w:rPr>
        <w:t>供应商之间商定部分供应商放弃参加政府采购活动或者放弃成交；</w:t>
      </w:r>
    </w:p>
    <w:p w14:paraId="63CECC6C">
      <w:pPr>
        <w:spacing w:line="410" w:lineRule="exact"/>
        <w:ind w:firstLine="420"/>
        <w:rPr>
          <w:rFonts w:hint="eastAsia" w:ascii="宋体" w:hAnsi="宋体"/>
          <w:strike w:val="0"/>
          <w:color w:val="auto"/>
        </w:rPr>
      </w:pPr>
      <w:r>
        <w:rPr>
          <w:rFonts w:hint="eastAsia" w:ascii="宋体" w:hAnsi="宋体"/>
          <w:strike w:val="0"/>
          <w:color w:val="auto"/>
        </w:rPr>
        <w:t>(</w:t>
      </w:r>
      <w:r>
        <w:rPr>
          <w:rFonts w:ascii="宋体" w:hAnsi="宋体"/>
          <w:strike w:val="0"/>
          <w:color w:val="auto"/>
        </w:rPr>
        <w:t>7)</w:t>
      </w:r>
      <w:r>
        <w:rPr>
          <w:rFonts w:hint="eastAsia" w:ascii="宋体" w:hAnsi="宋体"/>
          <w:strike w:val="0"/>
          <w:color w:val="auto"/>
        </w:rPr>
        <w:t>供应商与采购人或者采购代理机构之间、供应商相互之间，为谋求特定供应商成交或者排斥其他供应商的其他串通行为。</w:t>
      </w:r>
    </w:p>
    <w:p w14:paraId="0DDA76B2">
      <w:pPr>
        <w:pStyle w:val="28"/>
        <w:spacing w:line="410" w:lineRule="exact"/>
        <w:ind w:firstLine="211" w:firstLineChars="100"/>
        <w:rPr>
          <w:rFonts w:hAnsi="宋体"/>
          <w:b/>
          <w:strike w:val="0"/>
          <w:color w:val="auto"/>
        </w:rPr>
      </w:pPr>
      <w:r>
        <w:rPr>
          <w:rFonts w:hint="eastAsia" w:hAnsi="宋体"/>
          <w:b/>
          <w:strike w:val="0"/>
          <w:color w:val="auto"/>
        </w:rPr>
        <w:t>（八）废标</w:t>
      </w:r>
    </w:p>
    <w:p w14:paraId="09D45811">
      <w:pPr>
        <w:pStyle w:val="28"/>
        <w:spacing w:line="410" w:lineRule="exact"/>
        <w:ind w:firstLine="420"/>
        <w:rPr>
          <w:rFonts w:hAnsi="宋体"/>
          <w:strike w:val="0"/>
          <w:color w:val="auto"/>
        </w:rPr>
      </w:pPr>
      <w:r>
        <w:rPr>
          <w:rFonts w:hAnsi="宋体"/>
          <w:strike w:val="0"/>
          <w:color w:val="auto"/>
        </w:rPr>
        <w:t>出现下列情形之一的，应予废标：</w:t>
      </w:r>
    </w:p>
    <w:p w14:paraId="19832426">
      <w:pPr>
        <w:pStyle w:val="28"/>
        <w:spacing w:line="410" w:lineRule="exact"/>
        <w:ind w:firstLine="420"/>
        <w:rPr>
          <w:rFonts w:hAnsi="宋体"/>
          <w:strike w:val="0"/>
          <w:color w:val="auto"/>
        </w:rPr>
      </w:pPr>
      <w:r>
        <w:rPr>
          <w:rFonts w:hint="eastAsia" w:hAnsi="宋体"/>
          <w:strike w:val="0"/>
          <w:color w:val="auto"/>
        </w:rPr>
        <w:t>1</w:t>
      </w:r>
      <w:r>
        <w:rPr>
          <w:rFonts w:hAnsi="宋体"/>
          <w:strike w:val="0"/>
          <w:color w:val="auto"/>
        </w:rPr>
        <w:t>.符合专业条件的供应商或者对招标文件作实质响应的供应商不足三家的；</w:t>
      </w:r>
    </w:p>
    <w:p w14:paraId="3460A6F7">
      <w:pPr>
        <w:pStyle w:val="28"/>
        <w:spacing w:line="410" w:lineRule="exact"/>
        <w:ind w:firstLine="420"/>
        <w:rPr>
          <w:rFonts w:hAnsi="宋体"/>
          <w:strike w:val="0"/>
          <w:color w:val="auto"/>
        </w:rPr>
      </w:pPr>
      <w:r>
        <w:rPr>
          <w:rFonts w:hint="eastAsia" w:hAnsi="宋体"/>
          <w:strike w:val="0"/>
          <w:color w:val="auto"/>
        </w:rPr>
        <w:t>2</w:t>
      </w:r>
      <w:r>
        <w:rPr>
          <w:rFonts w:hAnsi="宋体"/>
          <w:strike w:val="0"/>
          <w:color w:val="auto"/>
        </w:rPr>
        <w:t>.出现影响采购公正的违法、违规行为的；</w:t>
      </w:r>
    </w:p>
    <w:p w14:paraId="2F7C78D0">
      <w:pPr>
        <w:pStyle w:val="28"/>
        <w:spacing w:line="410" w:lineRule="exact"/>
        <w:ind w:firstLine="420"/>
        <w:rPr>
          <w:rFonts w:hAnsi="宋体"/>
          <w:strike w:val="0"/>
          <w:color w:val="auto"/>
        </w:rPr>
      </w:pPr>
      <w:r>
        <w:rPr>
          <w:rFonts w:hint="eastAsia" w:hAnsi="宋体"/>
          <w:strike w:val="0"/>
          <w:color w:val="auto"/>
        </w:rPr>
        <w:t>3</w:t>
      </w:r>
      <w:r>
        <w:rPr>
          <w:rFonts w:hAnsi="宋体"/>
          <w:strike w:val="0"/>
          <w:color w:val="auto"/>
        </w:rPr>
        <w:t>.投标人的报价均超过了采购预算，采购人不能支付的；</w:t>
      </w:r>
    </w:p>
    <w:p w14:paraId="4B01A09A">
      <w:pPr>
        <w:pStyle w:val="28"/>
        <w:spacing w:line="410" w:lineRule="exact"/>
        <w:ind w:firstLine="420"/>
        <w:rPr>
          <w:rFonts w:hAnsi="宋体"/>
          <w:strike w:val="0"/>
          <w:color w:val="auto"/>
        </w:rPr>
      </w:pPr>
      <w:r>
        <w:rPr>
          <w:rFonts w:hint="eastAsia" w:hAnsi="宋体"/>
          <w:strike w:val="0"/>
          <w:color w:val="auto"/>
        </w:rPr>
        <w:t>4</w:t>
      </w:r>
      <w:r>
        <w:rPr>
          <w:rFonts w:hAnsi="宋体"/>
          <w:strike w:val="0"/>
          <w:color w:val="auto"/>
        </w:rPr>
        <w:t>.因重大变故，采购任务取消的。</w:t>
      </w:r>
      <w:bookmarkEnd w:id="193"/>
      <w:bookmarkEnd w:id="194"/>
      <w:bookmarkEnd w:id="195"/>
      <w:bookmarkEnd w:id="196"/>
    </w:p>
    <w:p w14:paraId="1FD1C78A">
      <w:pPr>
        <w:spacing w:line="410" w:lineRule="exact"/>
        <w:ind w:firstLine="211" w:firstLineChars="100"/>
        <w:rPr>
          <w:b/>
          <w:bCs/>
          <w:strike w:val="0"/>
          <w:color w:val="auto"/>
        </w:rPr>
      </w:pPr>
      <w:bookmarkStart w:id="198" w:name="_Toc352700439"/>
      <w:bookmarkStart w:id="199" w:name="_Toc353785309"/>
      <w:r>
        <w:rPr>
          <w:rFonts w:hint="eastAsia"/>
          <w:b/>
          <w:bCs/>
          <w:strike w:val="0"/>
          <w:color w:val="auto"/>
        </w:rPr>
        <w:t>（</w:t>
      </w:r>
      <w:r>
        <w:rPr>
          <w:rFonts w:hint="eastAsia" w:hAnsi="宋体"/>
          <w:b/>
          <w:strike w:val="0"/>
          <w:color w:val="auto"/>
        </w:rPr>
        <w:t>九</w:t>
      </w:r>
      <w:r>
        <w:rPr>
          <w:rFonts w:hint="eastAsia"/>
          <w:b/>
          <w:bCs/>
          <w:strike w:val="0"/>
          <w:color w:val="auto"/>
        </w:rPr>
        <w:t>）评标过程的监控</w:t>
      </w:r>
      <w:bookmarkEnd w:id="198"/>
      <w:bookmarkEnd w:id="199"/>
    </w:p>
    <w:p w14:paraId="0F79A17B">
      <w:pPr>
        <w:snapToGrid w:val="0"/>
        <w:spacing w:line="410" w:lineRule="exact"/>
        <w:ind w:firstLine="420"/>
        <w:rPr>
          <w:rFonts w:hAnsi="宋体"/>
          <w:strike w:val="0"/>
          <w:color w:val="auto"/>
        </w:rPr>
      </w:pPr>
      <w:r>
        <w:rPr>
          <w:rFonts w:hint="eastAsia" w:hAnsi="宋体"/>
          <w:strike w:val="0"/>
          <w:color w:val="auto"/>
        </w:rPr>
        <w:t>本项目评标过程实行全程录音、录像监控，投标人在评标过程中所进行的试图影响评标结果的不公正活动，可能导致其投标无效。</w:t>
      </w:r>
    </w:p>
    <w:p w14:paraId="246B49EA">
      <w:pPr>
        <w:snapToGrid w:val="0"/>
        <w:spacing w:line="410" w:lineRule="exact"/>
        <w:ind w:firstLine="420"/>
        <w:rPr>
          <w:rFonts w:hint="eastAsia" w:ascii="宋体" w:hAnsi="宋体"/>
          <w:strike w:val="0"/>
          <w:color w:val="auto"/>
          <w:szCs w:val="21"/>
        </w:rPr>
      </w:pPr>
    </w:p>
    <w:p w14:paraId="17C92A4B">
      <w:pPr>
        <w:pStyle w:val="3"/>
        <w:spacing w:before="0" w:after="0" w:line="410" w:lineRule="exact"/>
        <w:ind w:firstLine="0" w:firstLineChars="0"/>
        <w:rPr>
          <w:rFonts w:ascii="方正小标宋_GBK" w:eastAsia="方正小标宋_GBK"/>
          <w:b w:val="0"/>
          <w:strike w:val="0"/>
          <w:color w:val="auto"/>
          <w:sz w:val="24"/>
          <w:szCs w:val="24"/>
        </w:rPr>
      </w:pPr>
      <w:bookmarkStart w:id="200" w:name="_Toc352700440"/>
      <w:bookmarkStart w:id="201" w:name="_Toc254970687"/>
      <w:bookmarkStart w:id="202" w:name="_Toc254970546"/>
      <w:bookmarkStart w:id="203" w:name="_Toc353785310"/>
      <w:r>
        <w:rPr>
          <w:rFonts w:hint="eastAsia" w:ascii="方正小标宋_GBK" w:eastAsia="方正小标宋_GBK"/>
          <w:b w:val="0"/>
          <w:strike w:val="0"/>
          <w:color w:val="auto"/>
          <w:sz w:val="24"/>
          <w:szCs w:val="24"/>
        </w:rPr>
        <w:t>六、评标结果</w:t>
      </w:r>
      <w:bookmarkEnd w:id="200"/>
      <w:bookmarkEnd w:id="201"/>
      <w:bookmarkEnd w:id="202"/>
      <w:bookmarkEnd w:id="203"/>
    </w:p>
    <w:p w14:paraId="3A768367">
      <w:pPr>
        <w:pStyle w:val="28"/>
        <w:spacing w:line="410" w:lineRule="exact"/>
        <w:ind w:firstLine="210" w:firstLineChars="100"/>
        <w:rPr>
          <w:rFonts w:hAnsi="宋体"/>
          <w:strike w:val="0"/>
          <w:color w:val="auto"/>
        </w:rPr>
      </w:pPr>
      <w:r>
        <w:rPr>
          <w:rFonts w:hint="eastAsia" w:hAnsi="宋体"/>
          <w:bCs/>
          <w:strike w:val="0"/>
          <w:color w:val="auto"/>
        </w:rPr>
        <w:t>（一）</w:t>
      </w:r>
      <w:r>
        <w:rPr>
          <w:rFonts w:hint="eastAsia" w:hAnsi="宋体"/>
          <w:strike w:val="0"/>
          <w:color w:val="auto"/>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09F8A015">
      <w:pPr>
        <w:snapToGrid w:val="0"/>
        <w:spacing w:line="410" w:lineRule="exact"/>
        <w:ind w:firstLine="210" w:firstLineChars="100"/>
        <w:rPr>
          <w:rFonts w:ascii="宋体" w:hAnsi="宋体"/>
          <w:strike w:val="0"/>
          <w:color w:val="auto"/>
        </w:rPr>
      </w:pPr>
      <w:r>
        <w:rPr>
          <w:rFonts w:hint="eastAsia"/>
          <w:strike w:val="0"/>
          <w:color w:val="auto"/>
        </w:rPr>
        <w:t>（二）中标人确定后，本中心</w:t>
      </w:r>
      <w:r>
        <w:rPr>
          <w:rFonts w:hint="eastAsia" w:ascii="宋体" w:hAnsi="宋体"/>
          <w:strike w:val="0"/>
          <w:color w:val="auto"/>
        </w:rPr>
        <w:t>在省级以上财政部门指定的媒体上公告中标结果，</w:t>
      </w:r>
      <w:r>
        <w:rPr>
          <w:rFonts w:hint="eastAsia" w:hAnsi="宋体"/>
          <w:strike w:val="0"/>
          <w:color w:val="auto"/>
        </w:rPr>
        <w:t>同时向中标人发出中标通知书</w:t>
      </w:r>
      <w:r>
        <w:rPr>
          <w:rFonts w:hint="eastAsia" w:ascii="宋体" w:hAnsi="宋体"/>
          <w:strike w:val="0"/>
          <w:color w:val="auto"/>
        </w:rPr>
        <w:t>。</w:t>
      </w:r>
    </w:p>
    <w:p w14:paraId="7763B8A7">
      <w:pPr>
        <w:pStyle w:val="28"/>
        <w:spacing w:line="410" w:lineRule="exact"/>
        <w:ind w:firstLine="210" w:firstLineChars="100"/>
        <w:rPr>
          <w:rFonts w:hint="eastAsia" w:hAnsi="宋体"/>
          <w:strike w:val="0"/>
          <w:color w:val="auto"/>
        </w:rPr>
      </w:pPr>
      <w:r>
        <w:rPr>
          <w:rFonts w:hint="eastAsia" w:hAnsi="宋体"/>
          <w:strike w:val="0"/>
          <w:color w:val="auto"/>
        </w:rPr>
        <w:t>（三）</w:t>
      </w:r>
      <w:bookmarkStart w:id="204" w:name="_Toc352700441"/>
      <w:bookmarkStart w:id="205" w:name="_Toc353785311"/>
      <w:r>
        <w:rPr>
          <w:rFonts w:hint="eastAsia" w:hAnsi="宋体"/>
          <w:strike w:val="0"/>
          <w:color w:val="auto"/>
        </w:rPr>
        <w:t>中标通知书发出后，采购人不得违法改变中标结果，中标人无正当理由不得放弃中标。</w:t>
      </w:r>
    </w:p>
    <w:p w14:paraId="04F83F38">
      <w:pPr>
        <w:pStyle w:val="3"/>
        <w:spacing w:before="0" w:after="0" w:line="410" w:lineRule="exact"/>
        <w:ind w:firstLine="0" w:firstLineChars="0"/>
        <w:rPr>
          <w:rFonts w:ascii="方正小标宋_GBK" w:eastAsia="方正小标宋_GBK"/>
          <w:b w:val="0"/>
          <w:strike w:val="0"/>
          <w:color w:val="auto"/>
          <w:sz w:val="24"/>
          <w:szCs w:val="24"/>
        </w:rPr>
      </w:pPr>
      <w:r>
        <w:rPr>
          <w:rFonts w:hint="eastAsia" w:ascii="方正小标宋_GBK" w:eastAsia="方正小标宋_GBK"/>
          <w:b w:val="0"/>
          <w:strike w:val="0"/>
          <w:color w:val="auto"/>
          <w:sz w:val="24"/>
          <w:szCs w:val="24"/>
        </w:rPr>
        <w:t>七、签订合同</w:t>
      </w:r>
      <w:bookmarkEnd w:id="204"/>
      <w:bookmarkEnd w:id="205"/>
    </w:p>
    <w:p w14:paraId="1F1331B6">
      <w:pPr>
        <w:keepNext w:val="0"/>
        <w:keepLines w:val="0"/>
        <w:widowControl/>
        <w:suppressLineNumbers w:val="0"/>
        <w:ind w:left="0" w:leftChars="0" w:firstLine="420" w:firstLineChars="200"/>
        <w:jc w:val="left"/>
        <w:rPr>
          <w:rFonts w:hint="eastAsia" w:ascii="宋体" w:hAnsi="宋体" w:eastAsia="宋体" w:cs="宋体"/>
          <w:b w:val="0"/>
          <w:bCs w:val="0"/>
          <w:strike w:val="0"/>
          <w:color w:val="auto"/>
          <w:kern w:val="0"/>
          <w:sz w:val="21"/>
          <w:szCs w:val="21"/>
          <w:lang w:val="en-US" w:eastAsia="zh-CN" w:bidi="ar"/>
        </w:rPr>
      </w:pPr>
      <w:r>
        <w:rPr>
          <w:rFonts w:hint="eastAsia" w:ascii="宋体" w:hAnsi="宋体" w:eastAsia="宋体" w:cs="宋体"/>
          <w:b w:val="0"/>
          <w:bCs w:val="0"/>
          <w:strike w:val="0"/>
          <w:color w:val="auto"/>
          <w:kern w:val="0"/>
          <w:sz w:val="21"/>
          <w:szCs w:val="21"/>
          <w:lang w:val="en-US" w:eastAsia="zh-CN" w:bidi="ar"/>
        </w:rPr>
        <w:t>(一)采购人应当自中标通知书发出之日起5日内，按照招标文件和中标人投标文件的规定，与中标人签订书面合同。所签订的合同不得对招标文件确定的事项和中标人投标文件作实质性修改。</w:t>
      </w:r>
    </w:p>
    <w:p w14:paraId="78C99B70">
      <w:pPr>
        <w:pStyle w:val="28"/>
        <w:spacing w:line="410" w:lineRule="exact"/>
        <w:ind w:firstLine="210" w:firstLineChars="100"/>
        <w:rPr>
          <w:rFonts w:hint="eastAsia" w:hAnsi="宋体"/>
          <w:strike w:val="0"/>
          <w:color w:val="auto"/>
        </w:rPr>
      </w:pPr>
      <w:r>
        <w:rPr>
          <w:rFonts w:hint="eastAsia" w:hAnsi="宋体"/>
          <w:strike w:val="0"/>
          <w:color w:val="auto"/>
        </w:rPr>
        <w:t>（二）中标通知书对采购人和中标人均具有法律效力。中标通知书发出后，采购人改变中标结果的，或者中标人放弃中标项目的，应当依法承担法律责任。</w:t>
      </w:r>
    </w:p>
    <w:p w14:paraId="4ADA20E1">
      <w:pPr>
        <w:pStyle w:val="28"/>
        <w:spacing w:line="410" w:lineRule="exact"/>
        <w:ind w:firstLine="210" w:firstLineChars="100"/>
        <w:rPr>
          <w:rFonts w:hAnsi="宋体"/>
          <w:strike w:val="0"/>
          <w:color w:val="auto"/>
        </w:rPr>
      </w:pPr>
      <w:r>
        <w:rPr>
          <w:rFonts w:hint="eastAsia" w:hAnsi="宋体"/>
          <w:strike w:val="0"/>
          <w:color w:val="auto"/>
        </w:rPr>
        <w:t>（三）</w:t>
      </w:r>
      <w:r>
        <w:rPr>
          <w:rFonts w:hint="eastAsia" w:hAnsi="宋体" w:cs="宋体"/>
          <w:strike w:val="0"/>
          <w:color w:val="auto"/>
          <w:kern w:val="0"/>
        </w:rPr>
        <w:t>中标人可凭成交通知书或政府采购合同等在内的相关材料、信息，通过中征应收账款融资服务平台向银行业金融机构在线申请</w:t>
      </w:r>
      <w:r>
        <w:rPr>
          <w:rFonts w:hAnsi="宋体" w:cs="宋体"/>
          <w:strike w:val="0"/>
          <w:color w:val="auto"/>
          <w:kern w:val="0"/>
        </w:rPr>
        <w:t>“</w:t>
      </w:r>
      <w:r>
        <w:rPr>
          <w:rFonts w:hint="eastAsia" w:hAnsi="宋体" w:cs="宋体"/>
          <w:strike w:val="0"/>
          <w:color w:val="auto"/>
          <w:kern w:val="0"/>
        </w:rPr>
        <w:t>政采贷”融资。</w:t>
      </w:r>
    </w:p>
    <w:p w14:paraId="0ECA5A28">
      <w:pPr>
        <w:pStyle w:val="28"/>
        <w:spacing w:line="410" w:lineRule="exact"/>
        <w:ind w:firstLine="210" w:firstLineChars="100"/>
        <w:rPr>
          <w:rFonts w:hAnsi="宋体"/>
          <w:strike w:val="0"/>
          <w:color w:val="auto"/>
        </w:rPr>
      </w:pPr>
      <w:r>
        <w:rPr>
          <w:rFonts w:hint="eastAsia" w:hAnsi="宋体"/>
          <w:strike w:val="0"/>
          <w:color w:val="auto"/>
        </w:rPr>
        <w:t>（四）中标人拒绝与采购人签订合同的，采购人可以按照评标报告推荐的中标候选人名单排序，确定下一候选人为中标人，也可以重新开展政府采购活动。</w:t>
      </w:r>
    </w:p>
    <w:p w14:paraId="6A8B6AAC">
      <w:pPr>
        <w:pStyle w:val="28"/>
        <w:spacing w:line="410" w:lineRule="exact"/>
        <w:ind w:firstLine="210" w:firstLineChars="100"/>
        <w:rPr>
          <w:rFonts w:hint="eastAsia" w:hAnsi="宋体"/>
          <w:strike w:val="0"/>
          <w:color w:val="auto"/>
        </w:rPr>
      </w:pPr>
      <w:r>
        <w:rPr>
          <w:rFonts w:hint="eastAsia" w:hAnsi="宋体"/>
          <w:strike w:val="0"/>
          <w:color w:val="auto"/>
        </w:rPr>
        <w:t>（五）采购人与中标人应当根据合同的约定依法履行合同义务。政府采购合同的履行、违约责任和解决争议的方法等适用《中华人民共和国民法典》。</w:t>
      </w:r>
    </w:p>
    <w:p w14:paraId="535435DA">
      <w:pPr>
        <w:pStyle w:val="28"/>
        <w:spacing w:line="410" w:lineRule="exact"/>
        <w:ind w:firstLine="0" w:firstLineChars="0"/>
        <w:rPr>
          <w:rFonts w:hint="eastAsia" w:hAnsi="宋体"/>
          <w:strike w:val="0"/>
          <w:color w:val="auto"/>
        </w:rPr>
      </w:pPr>
    </w:p>
    <w:p w14:paraId="6812E916">
      <w:pPr>
        <w:spacing w:line="410" w:lineRule="exact"/>
        <w:ind w:firstLine="0" w:firstLineChars="0"/>
        <w:rPr>
          <w:rFonts w:ascii="方正小标宋_GBK" w:eastAsia="方正小标宋_GBK"/>
          <w:b/>
          <w:strike w:val="0"/>
          <w:color w:val="auto"/>
          <w:sz w:val="24"/>
        </w:rPr>
      </w:pPr>
      <w:bookmarkStart w:id="206" w:name="_Toc352700445"/>
      <w:bookmarkStart w:id="207" w:name="_Toc352315998"/>
      <w:bookmarkStart w:id="208" w:name="_Toc353785315"/>
      <w:r>
        <w:rPr>
          <w:rFonts w:hint="eastAsia" w:ascii="方正小标宋_GBK" w:eastAsia="方正小标宋_GBK"/>
          <w:b/>
          <w:strike w:val="0"/>
          <w:color w:val="auto"/>
          <w:sz w:val="24"/>
        </w:rPr>
        <w:t>八、适用法律</w:t>
      </w:r>
    </w:p>
    <w:p w14:paraId="6E709D3F">
      <w:pPr>
        <w:spacing w:line="410" w:lineRule="exact"/>
        <w:ind w:firstLine="210" w:firstLineChars="100"/>
        <w:rPr>
          <w:rFonts w:ascii="宋体" w:hAnsi="宋体"/>
          <w:strike w:val="0"/>
          <w:color w:val="auto"/>
          <w:szCs w:val="21"/>
        </w:rPr>
      </w:pPr>
      <w:r>
        <w:rPr>
          <w:rFonts w:hint="eastAsia" w:ascii="宋体" w:hAnsi="宋体"/>
          <w:strike w:val="0"/>
          <w:color w:val="auto"/>
          <w:szCs w:val="21"/>
        </w:rPr>
        <w:t>本项目采购活动适用于《中华人民共和国政府采购法》及其实施条例、《政府采购货物和服务招标投标管理办法》等规定。</w:t>
      </w:r>
    </w:p>
    <w:p w14:paraId="6E05BC87">
      <w:pPr>
        <w:spacing w:line="410" w:lineRule="exact"/>
        <w:ind w:firstLine="0" w:firstLineChars="0"/>
        <w:rPr>
          <w:rFonts w:hint="eastAsia" w:ascii="宋体" w:hAnsi="宋体"/>
          <w:strike w:val="0"/>
          <w:color w:val="auto"/>
          <w:szCs w:val="21"/>
        </w:rPr>
      </w:pPr>
    </w:p>
    <w:p w14:paraId="5ACD4B1D">
      <w:pPr>
        <w:pStyle w:val="3"/>
        <w:spacing w:before="0" w:after="0" w:line="410" w:lineRule="exact"/>
        <w:ind w:firstLine="0" w:firstLineChars="0"/>
        <w:rPr>
          <w:rFonts w:ascii="方正小标宋_GBK" w:eastAsia="方正小标宋_GBK"/>
          <w:b w:val="0"/>
          <w:strike w:val="0"/>
          <w:color w:val="auto"/>
          <w:sz w:val="24"/>
          <w:szCs w:val="24"/>
        </w:rPr>
      </w:pPr>
      <w:bookmarkStart w:id="209" w:name="_九、其他事项"/>
      <w:bookmarkEnd w:id="209"/>
      <w:r>
        <w:rPr>
          <w:rFonts w:hint="eastAsia" w:ascii="方正小标宋_GBK" w:eastAsia="方正小标宋_GBK"/>
          <w:b w:val="0"/>
          <w:strike w:val="0"/>
          <w:color w:val="auto"/>
          <w:sz w:val="24"/>
          <w:szCs w:val="24"/>
        </w:rPr>
        <w:t>九、其他事项</w:t>
      </w:r>
      <w:bookmarkEnd w:id="206"/>
      <w:bookmarkEnd w:id="207"/>
      <w:bookmarkEnd w:id="208"/>
    </w:p>
    <w:p w14:paraId="72C22747">
      <w:pPr>
        <w:pStyle w:val="28"/>
        <w:spacing w:line="410" w:lineRule="exact"/>
        <w:ind w:firstLine="210" w:firstLineChars="100"/>
        <w:rPr>
          <w:rFonts w:hAnsi="宋体"/>
          <w:bCs/>
          <w:strike w:val="0"/>
          <w:color w:val="auto"/>
        </w:rPr>
      </w:pPr>
      <w:r>
        <w:rPr>
          <w:rFonts w:hint="eastAsia" w:hAnsi="宋体"/>
          <w:bCs/>
          <w:strike w:val="0"/>
          <w:color w:val="auto"/>
        </w:rPr>
        <w:t>（一）代理服务费</w:t>
      </w:r>
    </w:p>
    <w:p w14:paraId="42A152A9">
      <w:pPr>
        <w:pStyle w:val="28"/>
        <w:spacing w:line="410" w:lineRule="exact"/>
        <w:ind w:firstLine="420"/>
        <w:rPr>
          <w:rFonts w:hAnsi="宋体"/>
          <w:strike w:val="0"/>
          <w:color w:val="auto"/>
        </w:rPr>
      </w:pPr>
      <w:r>
        <w:rPr>
          <w:rFonts w:hAnsi="宋体"/>
          <w:strike w:val="0"/>
          <w:color w:val="auto"/>
        </w:rPr>
        <w:t>1.</w:t>
      </w:r>
      <w:bookmarkStart w:id="210" w:name="_Hlk92466646"/>
      <w:r>
        <w:rPr>
          <w:rFonts w:hint="eastAsia" w:hAnsi="宋体"/>
          <w:strike w:val="0"/>
          <w:color w:val="auto"/>
        </w:rPr>
        <w:t>本中心按钦州市物价局“钦市价费</w:t>
      </w:r>
      <w:r>
        <w:rPr>
          <w:rFonts w:hint="eastAsia"/>
          <w:strike w:val="0"/>
          <w:color w:val="auto"/>
        </w:rPr>
        <w:t>﹝</w:t>
      </w:r>
      <w:r>
        <w:rPr>
          <w:rFonts w:hint="eastAsia" w:hAnsi="宋体"/>
          <w:strike w:val="0"/>
          <w:color w:val="auto"/>
        </w:rPr>
        <w:t>2013</w:t>
      </w:r>
      <w:r>
        <w:rPr>
          <w:rFonts w:hint="eastAsia"/>
          <w:strike w:val="0"/>
          <w:color w:val="auto"/>
        </w:rPr>
        <w:t>﹞</w:t>
      </w:r>
      <w:r>
        <w:rPr>
          <w:rFonts w:hint="eastAsia" w:hAnsi="宋体"/>
          <w:strike w:val="0"/>
          <w:color w:val="auto"/>
        </w:rPr>
        <w:t>4号”文件规定向中标人收取代理服务费，中标人须向本中心一次付清代理服务费。</w:t>
      </w:r>
      <w:bookmarkEnd w:id="210"/>
    </w:p>
    <w:p w14:paraId="33972061">
      <w:pPr>
        <w:pStyle w:val="28"/>
        <w:spacing w:line="410" w:lineRule="exact"/>
        <w:ind w:firstLine="420"/>
        <w:rPr>
          <w:rFonts w:hAnsi="宋体"/>
          <w:bCs/>
          <w:strike w:val="0"/>
          <w:color w:val="auto"/>
        </w:rPr>
      </w:pPr>
      <w:r>
        <w:rPr>
          <w:rFonts w:hAnsi="宋体"/>
          <w:bCs/>
          <w:strike w:val="0"/>
          <w:color w:val="auto"/>
        </w:rPr>
        <w:t>2.</w:t>
      </w:r>
      <w:bookmarkStart w:id="211" w:name="_Hlk92466736"/>
      <w:r>
        <w:rPr>
          <w:rFonts w:hint="eastAsia" w:hAnsi="宋体"/>
          <w:bCs/>
          <w:strike w:val="0"/>
          <w:color w:val="auto"/>
        </w:rPr>
        <w:t>代理服务收费标准：</w:t>
      </w:r>
      <w:bookmarkEnd w:id="211"/>
    </w:p>
    <w:tbl>
      <w:tblPr>
        <w:tblStyle w:val="51"/>
        <w:tblW w:w="0" w:type="auto"/>
        <w:tblInd w:w="534" w:type="dxa"/>
        <w:tblLayout w:type="fixed"/>
        <w:tblCellMar>
          <w:top w:w="0" w:type="dxa"/>
          <w:left w:w="108" w:type="dxa"/>
          <w:bottom w:w="0" w:type="dxa"/>
          <w:right w:w="108" w:type="dxa"/>
        </w:tblCellMar>
      </w:tblPr>
      <w:tblGrid>
        <w:gridCol w:w="3255"/>
        <w:gridCol w:w="1899"/>
        <w:gridCol w:w="1980"/>
        <w:gridCol w:w="1980"/>
      </w:tblGrid>
      <w:tr w14:paraId="7BEFA58E">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6D44E548">
            <w:pPr>
              <w:widowControl/>
              <w:ind w:firstLine="420"/>
              <w:rPr>
                <w:rFonts w:hint="eastAsia" w:ascii="宋体" w:hAnsi="宋体"/>
                <w:strike w:val="0"/>
                <w:color w:val="auto"/>
                <w:kern w:val="0"/>
                <w:szCs w:val="21"/>
              </w:rPr>
            </w:pPr>
            <w:r>
              <w:rPr>
                <w:rFonts w:ascii="宋体" w:hAnsi="宋体"/>
                <w:strike w:val="0"/>
                <w:color w:val="auto"/>
                <w:kern w:val="0"/>
                <w:szCs w:val="21"/>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ExngzWAAAACQEAAA8A&#10;AAAAAAAAAQAgAAAAIgAAAGRycy9kb3ducmV2LnhtbFBLAQIUABQAAAAIAIdO4kAdHVfq4AEAAN4D&#10;AAAOAAAAAAAAAAEAIAAAACUBAABkcnMvZTJvRG9jLnhtbFBLBQYAAAAABgAGAFkBAAB3BQAAAAA=&#10;">
                      <v:fill on="f" focussize="0,0"/>
                      <v:stroke color="#000000" joinstyle="round"/>
                      <v:imagedata o:title=""/>
                      <o:lock v:ext="edit" aspectratio="f"/>
                    </v:line>
                  </w:pict>
                </mc:Fallback>
              </mc:AlternateContent>
            </w:r>
            <w:r>
              <w:rPr>
                <w:rFonts w:hint="eastAsia" w:ascii="宋体" w:hAnsi="宋体"/>
                <w:strike w:val="0"/>
                <w:color w:val="auto"/>
                <w:kern w:val="0"/>
                <w:szCs w:val="21"/>
              </w:rPr>
              <w:t xml:space="preserve"> </w:t>
            </w:r>
            <w:r>
              <w:rPr>
                <w:rFonts w:ascii="宋体" w:hAnsi="宋体"/>
                <w:strike w:val="0"/>
                <w:color w:val="auto"/>
                <w:kern w:val="0"/>
                <w:szCs w:val="21"/>
              </w:rPr>
              <w:t xml:space="preserve">              </w:t>
            </w:r>
            <w:r>
              <w:rPr>
                <w:rFonts w:hint="eastAsia" w:ascii="宋体" w:hAnsi="宋体"/>
                <w:strike w:val="0"/>
                <w:color w:val="auto"/>
                <w:kern w:val="0"/>
                <w:szCs w:val="21"/>
              </w:rPr>
              <w:t>服务类型</w:t>
            </w:r>
          </w:p>
          <w:p w14:paraId="1BC1BFF7">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费率</w:t>
            </w:r>
          </w:p>
          <w:p w14:paraId="35F1D2EE">
            <w:pPr>
              <w:widowControl/>
              <w:ind w:left="2" w:firstLine="420"/>
              <w:jc w:val="left"/>
              <w:rPr>
                <w:rFonts w:ascii="宋体" w:hAnsi="宋体"/>
                <w:strike w:val="0"/>
                <w:color w:val="auto"/>
                <w:kern w:val="0"/>
                <w:szCs w:val="21"/>
              </w:rPr>
            </w:pPr>
          </w:p>
          <w:p w14:paraId="4993C2F8">
            <w:pPr>
              <w:widowControl/>
              <w:ind w:firstLine="0" w:firstLineChars="0"/>
              <w:jc w:val="left"/>
              <w:rPr>
                <w:rFonts w:ascii="宋体" w:hAnsi="宋体"/>
                <w:strike w:val="0"/>
                <w:color w:val="auto"/>
                <w:kern w:val="0"/>
                <w:szCs w:val="21"/>
              </w:rPr>
            </w:pPr>
          </w:p>
          <w:p w14:paraId="3DCF5358">
            <w:pPr>
              <w:widowControl/>
              <w:ind w:firstLine="0" w:firstLineChars="0"/>
              <w:jc w:val="left"/>
              <w:rPr>
                <w:rFonts w:ascii="宋体" w:hAnsi="宋体"/>
                <w:strike w:val="0"/>
                <w:color w:val="auto"/>
                <w:kern w:val="0"/>
                <w:szCs w:val="21"/>
              </w:rPr>
            </w:pPr>
            <w:r>
              <w:rPr>
                <w:rFonts w:hint="eastAsia" w:ascii="宋体" w:hAnsi="宋体"/>
                <w:strike w:val="0"/>
                <w:color w:val="auto"/>
                <w:kern w:val="0"/>
                <w:szCs w:val="21"/>
              </w:rPr>
              <w:t>中标金额（万元）</w:t>
            </w:r>
          </w:p>
        </w:tc>
        <w:tc>
          <w:tcPr>
            <w:tcW w:w="1899" w:type="dxa"/>
            <w:tcBorders>
              <w:top w:val="single" w:color="000000" w:sz="4" w:space="0"/>
              <w:left w:val="nil"/>
              <w:right w:val="single" w:color="auto" w:sz="4" w:space="0"/>
            </w:tcBorders>
            <w:noWrap w:val="0"/>
            <w:vAlign w:val="center"/>
          </w:tcPr>
          <w:p w14:paraId="1E91041F">
            <w:pPr>
              <w:ind w:firstLine="0" w:firstLineChars="0"/>
              <w:jc w:val="center"/>
              <w:rPr>
                <w:rFonts w:ascii="宋体" w:hAnsi="宋体"/>
                <w:strike w:val="0"/>
                <w:color w:val="auto"/>
                <w:kern w:val="0"/>
                <w:szCs w:val="21"/>
              </w:rPr>
            </w:pPr>
            <w:r>
              <w:rPr>
                <w:rFonts w:hint="eastAsia" w:ascii="宋体" w:hAnsi="宋体"/>
                <w:strike w:val="0"/>
                <w:color w:val="auto"/>
                <w:kern w:val="0"/>
                <w:szCs w:val="21"/>
              </w:rPr>
              <w:t>货物招标</w:t>
            </w:r>
          </w:p>
        </w:tc>
        <w:tc>
          <w:tcPr>
            <w:tcW w:w="1980" w:type="dxa"/>
            <w:tcBorders>
              <w:top w:val="single" w:color="000000" w:sz="4" w:space="0"/>
              <w:left w:val="single" w:color="auto" w:sz="4" w:space="0"/>
              <w:right w:val="single" w:color="auto" w:sz="4" w:space="0"/>
            </w:tcBorders>
            <w:noWrap w:val="0"/>
            <w:vAlign w:val="center"/>
          </w:tcPr>
          <w:p w14:paraId="7053826B">
            <w:pPr>
              <w:ind w:firstLine="0" w:firstLineChars="0"/>
              <w:jc w:val="center"/>
              <w:rPr>
                <w:rFonts w:ascii="宋体" w:hAnsi="宋体"/>
                <w:strike w:val="0"/>
                <w:color w:val="auto"/>
                <w:kern w:val="0"/>
                <w:szCs w:val="21"/>
              </w:rPr>
            </w:pPr>
            <w:r>
              <w:rPr>
                <w:rFonts w:hint="eastAsia" w:ascii="宋体" w:hAnsi="宋体"/>
                <w:strike w:val="0"/>
                <w:color w:val="auto"/>
                <w:kern w:val="0"/>
                <w:szCs w:val="21"/>
              </w:rPr>
              <w:t>服务招标</w:t>
            </w:r>
          </w:p>
        </w:tc>
        <w:tc>
          <w:tcPr>
            <w:tcW w:w="1980" w:type="dxa"/>
            <w:tcBorders>
              <w:top w:val="single" w:color="000000" w:sz="4" w:space="0"/>
              <w:left w:val="single" w:color="auto" w:sz="4" w:space="0"/>
              <w:right w:val="single" w:color="000000" w:sz="4" w:space="0"/>
            </w:tcBorders>
            <w:noWrap w:val="0"/>
            <w:vAlign w:val="center"/>
          </w:tcPr>
          <w:p w14:paraId="6352D4ED">
            <w:pPr>
              <w:ind w:firstLine="0" w:firstLineChars="0"/>
              <w:jc w:val="center"/>
              <w:rPr>
                <w:rFonts w:ascii="宋体" w:hAnsi="宋体"/>
                <w:strike w:val="0"/>
                <w:color w:val="auto"/>
                <w:kern w:val="0"/>
                <w:szCs w:val="21"/>
              </w:rPr>
            </w:pPr>
            <w:r>
              <w:rPr>
                <w:rFonts w:hint="eastAsia" w:ascii="宋体" w:hAnsi="宋体"/>
                <w:strike w:val="0"/>
                <w:color w:val="auto"/>
                <w:kern w:val="0"/>
                <w:szCs w:val="21"/>
              </w:rPr>
              <w:t>工程招标</w:t>
            </w:r>
          </w:p>
        </w:tc>
      </w:tr>
      <w:tr w14:paraId="7BE232DD">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1066314">
            <w:pPr>
              <w:widowControl/>
              <w:ind w:firstLine="420"/>
              <w:jc w:val="center"/>
              <w:rPr>
                <w:rFonts w:ascii="宋体" w:hAnsi="宋体"/>
                <w:strike w:val="0"/>
                <w:color w:val="auto"/>
                <w:kern w:val="0"/>
                <w:szCs w:val="21"/>
              </w:rPr>
            </w:pPr>
            <w:r>
              <w:rPr>
                <w:rFonts w:hint="eastAsia" w:ascii="宋体" w:hAnsi="宋体"/>
                <w:strike w:val="0"/>
                <w:color w:val="auto"/>
                <w:kern w:val="0"/>
                <w:szCs w:val="21"/>
              </w:rPr>
              <w:t>100以下</w:t>
            </w:r>
          </w:p>
        </w:tc>
        <w:tc>
          <w:tcPr>
            <w:tcW w:w="1899" w:type="dxa"/>
            <w:tcBorders>
              <w:top w:val="single" w:color="000000" w:sz="4" w:space="0"/>
              <w:left w:val="nil"/>
              <w:bottom w:val="single" w:color="000000" w:sz="4" w:space="0"/>
              <w:right w:val="single" w:color="000000" w:sz="4" w:space="0"/>
            </w:tcBorders>
            <w:noWrap w:val="0"/>
            <w:vAlign w:val="center"/>
          </w:tcPr>
          <w:p w14:paraId="4D69BBA1">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1.2%</w:t>
            </w:r>
          </w:p>
        </w:tc>
        <w:tc>
          <w:tcPr>
            <w:tcW w:w="1980" w:type="dxa"/>
            <w:tcBorders>
              <w:top w:val="single" w:color="000000" w:sz="4" w:space="0"/>
              <w:left w:val="nil"/>
              <w:bottom w:val="single" w:color="000000" w:sz="4" w:space="0"/>
              <w:right w:val="single" w:color="000000" w:sz="4" w:space="0"/>
            </w:tcBorders>
            <w:noWrap w:val="0"/>
            <w:vAlign w:val="center"/>
          </w:tcPr>
          <w:p w14:paraId="301B6014">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1.2%</w:t>
            </w:r>
          </w:p>
        </w:tc>
        <w:tc>
          <w:tcPr>
            <w:tcW w:w="1980" w:type="dxa"/>
            <w:tcBorders>
              <w:top w:val="single" w:color="000000" w:sz="4" w:space="0"/>
              <w:left w:val="nil"/>
              <w:bottom w:val="single" w:color="000000" w:sz="4" w:space="0"/>
              <w:right w:val="single" w:color="000000" w:sz="4" w:space="0"/>
            </w:tcBorders>
            <w:noWrap w:val="0"/>
            <w:vAlign w:val="center"/>
          </w:tcPr>
          <w:p w14:paraId="7C8D2E38">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0.8%</w:t>
            </w:r>
          </w:p>
        </w:tc>
      </w:tr>
      <w:tr w14:paraId="65F5372A">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9C084B4">
            <w:pPr>
              <w:widowControl/>
              <w:ind w:firstLine="420"/>
              <w:jc w:val="center"/>
              <w:rPr>
                <w:rFonts w:ascii="宋体" w:hAnsi="宋体"/>
                <w:strike w:val="0"/>
                <w:color w:val="auto"/>
                <w:kern w:val="0"/>
                <w:szCs w:val="21"/>
              </w:rPr>
            </w:pPr>
            <w:r>
              <w:rPr>
                <w:rFonts w:hint="eastAsia" w:ascii="宋体" w:hAnsi="宋体"/>
                <w:strike w:val="0"/>
                <w:color w:val="auto"/>
                <w:kern w:val="0"/>
                <w:szCs w:val="21"/>
              </w:rPr>
              <w:t>100-500</w:t>
            </w:r>
          </w:p>
        </w:tc>
        <w:tc>
          <w:tcPr>
            <w:tcW w:w="1899" w:type="dxa"/>
            <w:tcBorders>
              <w:top w:val="single" w:color="000000" w:sz="4" w:space="0"/>
              <w:left w:val="nil"/>
              <w:bottom w:val="single" w:color="000000" w:sz="4" w:space="0"/>
              <w:right w:val="single" w:color="000000" w:sz="4" w:space="0"/>
            </w:tcBorders>
            <w:noWrap w:val="0"/>
            <w:vAlign w:val="center"/>
          </w:tcPr>
          <w:p w14:paraId="69F69049">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0.88%</w:t>
            </w:r>
          </w:p>
        </w:tc>
        <w:tc>
          <w:tcPr>
            <w:tcW w:w="1980" w:type="dxa"/>
            <w:tcBorders>
              <w:top w:val="single" w:color="000000" w:sz="4" w:space="0"/>
              <w:left w:val="nil"/>
              <w:bottom w:val="single" w:color="000000" w:sz="4" w:space="0"/>
              <w:right w:val="single" w:color="000000" w:sz="4" w:space="0"/>
            </w:tcBorders>
            <w:noWrap w:val="0"/>
            <w:vAlign w:val="center"/>
          </w:tcPr>
          <w:p w14:paraId="7F756C04">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0.64%</w:t>
            </w:r>
          </w:p>
        </w:tc>
        <w:tc>
          <w:tcPr>
            <w:tcW w:w="1980" w:type="dxa"/>
            <w:tcBorders>
              <w:top w:val="single" w:color="000000" w:sz="4" w:space="0"/>
              <w:left w:val="nil"/>
              <w:bottom w:val="single" w:color="000000" w:sz="4" w:space="0"/>
              <w:right w:val="single" w:color="000000" w:sz="4" w:space="0"/>
            </w:tcBorders>
            <w:noWrap w:val="0"/>
            <w:vAlign w:val="center"/>
          </w:tcPr>
          <w:p w14:paraId="030D5AD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0.56%</w:t>
            </w:r>
          </w:p>
        </w:tc>
      </w:tr>
      <w:tr w14:paraId="0A61FD2F">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0767FD0">
            <w:pPr>
              <w:widowControl/>
              <w:ind w:firstLine="451" w:firstLineChars="215"/>
              <w:jc w:val="center"/>
              <w:rPr>
                <w:rFonts w:ascii="宋体" w:hAnsi="宋体"/>
                <w:strike w:val="0"/>
                <w:color w:val="auto"/>
                <w:kern w:val="0"/>
                <w:szCs w:val="21"/>
              </w:rPr>
            </w:pPr>
            <w:r>
              <w:rPr>
                <w:rFonts w:hint="eastAsia" w:ascii="宋体" w:hAnsi="宋体"/>
                <w:strike w:val="0"/>
                <w:color w:val="auto"/>
                <w:kern w:val="0"/>
                <w:szCs w:val="21"/>
              </w:rPr>
              <w:t>500-1000</w:t>
            </w:r>
          </w:p>
        </w:tc>
        <w:tc>
          <w:tcPr>
            <w:tcW w:w="1899" w:type="dxa"/>
            <w:tcBorders>
              <w:top w:val="single" w:color="000000" w:sz="4" w:space="0"/>
              <w:left w:val="nil"/>
              <w:bottom w:val="single" w:color="000000" w:sz="4" w:space="0"/>
              <w:right w:val="single" w:color="000000" w:sz="4" w:space="0"/>
            </w:tcBorders>
            <w:noWrap w:val="0"/>
            <w:vAlign w:val="center"/>
          </w:tcPr>
          <w:p w14:paraId="0C5EBBFA">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0.64%</w:t>
            </w:r>
          </w:p>
        </w:tc>
        <w:tc>
          <w:tcPr>
            <w:tcW w:w="1980" w:type="dxa"/>
            <w:tcBorders>
              <w:top w:val="single" w:color="000000" w:sz="4" w:space="0"/>
              <w:left w:val="nil"/>
              <w:bottom w:val="single" w:color="000000" w:sz="4" w:space="0"/>
              <w:right w:val="single" w:color="000000" w:sz="4" w:space="0"/>
            </w:tcBorders>
            <w:noWrap w:val="0"/>
            <w:vAlign w:val="center"/>
          </w:tcPr>
          <w:p w14:paraId="797E2C97">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0.36%</w:t>
            </w:r>
          </w:p>
        </w:tc>
        <w:tc>
          <w:tcPr>
            <w:tcW w:w="1980" w:type="dxa"/>
            <w:tcBorders>
              <w:top w:val="single" w:color="000000" w:sz="4" w:space="0"/>
              <w:left w:val="nil"/>
              <w:bottom w:val="single" w:color="000000" w:sz="4" w:space="0"/>
              <w:right w:val="single" w:color="000000" w:sz="4" w:space="0"/>
            </w:tcBorders>
            <w:noWrap w:val="0"/>
            <w:vAlign w:val="center"/>
          </w:tcPr>
          <w:p w14:paraId="22C2151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0.44%</w:t>
            </w:r>
          </w:p>
        </w:tc>
      </w:tr>
      <w:tr w14:paraId="383FE1F0">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E24C4C7">
            <w:pPr>
              <w:widowControl/>
              <w:ind w:firstLine="420"/>
              <w:jc w:val="center"/>
              <w:rPr>
                <w:rFonts w:ascii="宋体" w:hAnsi="宋体"/>
                <w:strike w:val="0"/>
                <w:color w:val="auto"/>
                <w:kern w:val="0"/>
                <w:szCs w:val="21"/>
              </w:rPr>
            </w:pPr>
            <w:r>
              <w:rPr>
                <w:rFonts w:hint="eastAsia" w:ascii="宋体" w:hAnsi="宋体"/>
                <w:strike w:val="0"/>
                <w:color w:val="auto"/>
                <w:kern w:val="0"/>
                <w:szCs w:val="21"/>
              </w:rPr>
              <w:t>1000-5000</w:t>
            </w:r>
          </w:p>
        </w:tc>
        <w:tc>
          <w:tcPr>
            <w:tcW w:w="1899" w:type="dxa"/>
            <w:tcBorders>
              <w:top w:val="single" w:color="000000" w:sz="4" w:space="0"/>
              <w:left w:val="nil"/>
              <w:bottom w:val="single" w:color="000000" w:sz="4" w:space="0"/>
              <w:right w:val="single" w:color="000000" w:sz="4" w:space="0"/>
            </w:tcBorders>
            <w:noWrap w:val="0"/>
            <w:vAlign w:val="center"/>
          </w:tcPr>
          <w:p w14:paraId="5AE2DAC6">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0.4%</w:t>
            </w:r>
          </w:p>
        </w:tc>
        <w:tc>
          <w:tcPr>
            <w:tcW w:w="1980" w:type="dxa"/>
            <w:tcBorders>
              <w:top w:val="single" w:color="000000" w:sz="4" w:space="0"/>
              <w:left w:val="nil"/>
              <w:bottom w:val="single" w:color="000000" w:sz="4" w:space="0"/>
              <w:right w:val="single" w:color="000000" w:sz="4" w:space="0"/>
            </w:tcBorders>
            <w:noWrap w:val="0"/>
            <w:vAlign w:val="center"/>
          </w:tcPr>
          <w:p w14:paraId="5295FBDD">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w:t>
            </w:r>
          </w:p>
        </w:tc>
        <w:tc>
          <w:tcPr>
            <w:tcW w:w="1980" w:type="dxa"/>
            <w:tcBorders>
              <w:top w:val="single" w:color="000000" w:sz="4" w:space="0"/>
              <w:left w:val="nil"/>
              <w:bottom w:val="single" w:color="000000" w:sz="4" w:space="0"/>
              <w:right w:val="single" w:color="000000" w:sz="4" w:space="0"/>
            </w:tcBorders>
            <w:noWrap w:val="0"/>
            <w:vAlign w:val="center"/>
          </w:tcPr>
          <w:p w14:paraId="31A2136A">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0.28%</w:t>
            </w:r>
          </w:p>
        </w:tc>
      </w:tr>
      <w:tr w14:paraId="5BD05A6E">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7DD46B33">
            <w:pPr>
              <w:widowControl/>
              <w:ind w:firstLine="420"/>
              <w:jc w:val="center"/>
              <w:rPr>
                <w:rFonts w:ascii="宋体" w:hAnsi="宋体"/>
                <w:strike w:val="0"/>
                <w:color w:val="auto"/>
                <w:kern w:val="0"/>
                <w:szCs w:val="21"/>
              </w:rPr>
            </w:pPr>
            <w:r>
              <w:rPr>
                <w:rFonts w:hint="eastAsia" w:ascii="宋体" w:hAnsi="宋体"/>
                <w:strike w:val="0"/>
                <w:color w:val="auto"/>
                <w:kern w:val="0"/>
                <w:szCs w:val="21"/>
              </w:rPr>
              <w:t>5000-10000</w:t>
            </w:r>
          </w:p>
        </w:tc>
        <w:tc>
          <w:tcPr>
            <w:tcW w:w="1899" w:type="dxa"/>
            <w:tcBorders>
              <w:top w:val="single" w:color="000000" w:sz="4" w:space="0"/>
              <w:left w:val="nil"/>
              <w:bottom w:val="single" w:color="auto" w:sz="4" w:space="0"/>
              <w:right w:val="single" w:color="000000" w:sz="4" w:space="0"/>
            </w:tcBorders>
            <w:noWrap w:val="0"/>
            <w:vAlign w:val="center"/>
          </w:tcPr>
          <w:p w14:paraId="73A37F95">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0.2%</w:t>
            </w:r>
          </w:p>
        </w:tc>
        <w:tc>
          <w:tcPr>
            <w:tcW w:w="1980" w:type="dxa"/>
            <w:tcBorders>
              <w:top w:val="single" w:color="000000" w:sz="4" w:space="0"/>
              <w:left w:val="nil"/>
              <w:bottom w:val="single" w:color="auto" w:sz="4" w:space="0"/>
              <w:right w:val="single" w:color="000000" w:sz="4" w:space="0"/>
            </w:tcBorders>
            <w:noWrap w:val="0"/>
            <w:vAlign w:val="center"/>
          </w:tcPr>
          <w:p w14:paraId="4545837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0.08%</w:t>
            </w:r>
          </w:p>
        </w:tc>
        <w:tc>
          <w:tcPr>
            <w:tcW w:w="1980" w:type="dxa"/>
            <w:tcBorders>
              <w:top w:val="single" w:color="000000" w:sz="4" w:space="0"/>
              <w:left w:val="nil"/>
              <w:bottom w:val="single" w:color="auto" w:sz="4" w:space="0"/>
              <w:right w:val="single" w:color="000000" w:sz="4" w:space="0"/>
            </w:tcBorders>
            <w:noWrap w:val="0"/>
            <w:vAlign w:val="center"/>
          </w:tcPr>
          <w:p w14:paraId="5EECD01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0.16%</w:t>
            </w:r>
          </w:p>
        </w:tc>
      </w:tr>
      <w:tr w14:paraId="732DADDE">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28D68615">
            <w:pPr>
              <w:ind w:firstLine="420"/>
              <w:jc w:val="center"/>
              <w:rPr>
                <w:rFonts w:ascii="宋体" w:hAnsi="宋体"/>
                <w:strike w:val="0"/>
                <w:color w:val="auto"/>
                <w:kern w:val="0"/>
                <w:szCs w:val="21"/>
              </w:rPr>
            </w:pPr>
            <w:r>
              <w:rPr>
                <w:rFonts w:hint="eastAsia" w:ascii="宋体" w:hAnsi="宋体"/>
                <w:strike w:val="0"/>
                <w:color w:val="auto"/>
                <w:kern w:val="0"/>
                <w:szCs w:val="21"/>
              </w:rPr>
              <w:t>10000-50000</w:t>
            </w:r>
          </w:p>
        </w:tc>
        <w:tc>
          <w:tcPr>
            <w:tcW w:w="1899" w:type="dxa"/>
            <w:tcBorders>
              <w:top w:val="single" w:color="auto" w:sz="4" w:space="0"/>
              <w:left w:val="nil"/>
              <w:bottom w:val="single" w:color="000000" w:sz="4" w:space="0"/>
              <w:right w:val="single" w:color="000000" w:sz="4" w:space="0"/>
            </w:tcBorders>
            <w:noWrap w:val="0"/>
            <w:vAlign w:val="center"/>
          </w:tcPr>
          <w:p w14:paraId="7645B90A">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c>
          <w:tcPr>
            <w:tcW w:w="1980" w:type="dxa"/>
            <w:tcBorders>
              <w:top w:val="single" w:color="auto" w:sz="4" w:space="0"/>
              <w:left w:val="nil"/>
              <w:bottom w:val="single" w:color="000000" w:sz="4" w:space="0"/>
              <w:right w:val="single" w:color="000000" w:sz="4" w:space="0"/>
            </w:tcBorders>
            <w:noWrap w:val="0"/>
            <w:vAlign w:val="center"/>
          </w:tcPr>
          <w:p w14:paraId="6FD2947D">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c>
          <w:tcPr>
            <w:tcW w:w="1980" w:type="dxa"/>
            <w:tcBorders>
              <w:top w:val="single" w:color="auto" w:sz="4" w:space="0"/>
              <w:left w:val="nil"/>
              <w:bottom w:val="single" w:color="000000" w:sz="4" w:space="0"/>
              <w:right w:val="single" w:color="000000" w:sz="4" w:space="0"/>
            </w:tcBorders>
            <w:noWrap w:val="0"/>
            <w:vAlign w:val="center"/>
          </w:tcPr>
          <w:p w14:paraId="31666F88">
            <w:pPr>
              <w:ind w:firstLine="0" w:firstLineChars="0"/>
              <w:jc w:val="center"/>
              <w:rPr>
                <w:rFonts w:ascii="宋体" w:hAnsi="宋体"/>
                <w:strike w:val="0"/>
                <w:color w:val="auto"/>
                <w:kern w:val="0"/>
                <w:szCs w:val="21"/>
              </w:rPr>
            </w:pPr>
            <w:r>
              <w:rPr>
                <w:rFonts w:hint="eastAsia" w:ascii="宋体" w:hAnsi="宋体"/>
                <w:strike w:val="0"/>
                <w:color w:val="auto"/>
                <w:kern w:val="0"/>
                <w:szCs w:val="21"/>
              </w:rPr>
              <w:t>0.04%</w:t>
            </w:r>
          </w:p>
        </w:tc>
      </w:tr>
      <w:tr w14:paraId="73EEDD82">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691E3A78">
            <w:pPr>
              <w:widowControl/>
              <w:ind w:firstLine="420"/>
              <w:jc w:val="center"/>
              <w:rPr>
                <w:rFonts w:ascii="宋体" w:hAnsi="宋体"/>
                <w:strike w:val="0"/>
                <w:color w:val="auto"/>
                <w:kern w:val="0"/>
                <w:szCs w:val="21"/>
              </w:rPr>
            </w:pPr>
            <w:r>
              <w:rPr>
                <w:rFonts w:hint="eastAsia" w:ascii="宋体" w:hAnsi="宋体"/>
                <w:strike w:val="0"/>
                <w:color w:val="auto"/>
                <w:kern w:val="0"/>
                <w:szCs w:val="21"/>
              </w:rPr>
              <w:t>50000-100000</w:t>
            </w:r>
          </w:p>
        </w:tc>
        <w:tc>
          <w:tcPr>
            <w:tcW w:w="1899" w:type="dxa"/>
            <w:tcBorders>
              <w:top w:val="single" w:color="000000" w:sz="4" w:space="0"/>
              <w:left w:val="nil"/>
              <w:bottom w:val="single" w:color="auto" w:sz="4" w:space="0"/>
              <w:right w:val="single" w:color="000000" w:sz="4" w:space="0"/>
            </w:tcBorders>
            <w:noWrap w:val="0"/>
            <w:vAlign w:val="center"/>
          </w:tcPr>
          <w:p w14:paraId="6DA85AAF">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c>
          <w:tcPr>
            <w:tcW w:w="1980" w:type="dxa"/>
            <w:tcBorders>
              <w:top w:val="single" w:color="000000" w:sz="4" w:space="0"/>
              <w:left w:val="nil"/>
              <w:bottom w:val="single" w:color="auto" w:sz="4" w:space="0"/>
              <w:right w:val="single" w:color="000000" w:sz="4" w:space="0"/>
            </w:tcBorders>
            <w:noWrap w:val="0"/>
            <w:vAlign w:val="center"/>
          </w:tcPr>
          <w:p w14:paraId="2084B6A0">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c>
          <w:tcPr>
            <w:tcW w:w="1980" w:type="dxa"/>
            <w:tcBorders>
              <w:top w:val="single" w:color="000000" w:sz="4" w:space="0"/>
              <w:left w:val="nil"/>
              <w:bottom w:val="single" w:color="auto" w:sz="4" w:space="0"/>
              <w:right w:val="single" w:color="000000" w:sz="4" w:space="0"/>
            </w:tcBorders>
            <w:noWrap w:val="0"/>
            <w:vAlign w:val="center"/>
          </w:tcPr>
          <w:p w14:paraId="4A74E0CC">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0.028%</w:t>
            </w:r>
          </w:p>
        </w:tc>
      </w:tr>
      <w:tr w14:paraId="735EB3BF">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511712E3">
            <w:pPr>
              <w:ind w:firstLine="420"/>
              <w:jc w:val="center"/>
              <w:rPr>
                <w:rFonts w:ascii="宋体" w:hAnsi="宋体"/>
                <w:strike w:val="0"/>
                <w:color w:val="auto"/>
                <w:kern w:val="0"/>
                <w:szCs w:val="21"/>
              </w:rPr>
            </w:pPr>
            <w:r>
              <w:rPr>
                <w:rFonts w:hint="eastAsia" w:ascii="宋体" w:hAnsi="宋体"/>
                <w:strike w:val="0"/>
                <w:color w:val="auto"/>
                <w:kern w:val="0"/>
                <w:szCs w:val="21"/>
              </w:rPr>
              <w:t>100000-500000</w:t>
            </w:r>
          </w:p>
        </w:tc>
        <w:tc>
          <w:tcPr>
            <w:tcW w:w="1899" w:type="dxa"/>
            <w:tcBorders>
              <w:top w:val="single" w:color="auto" w:sz="4" w:space="0"/>
              <w:left w:val="nil"/>
              <w:bottom w:val="single" w:color="auto" w:sz="4" w:space="0"/>
              <w:right w:val="single" w:color="000000" w:sz="4" w:space="0"/>
            </w:tcBorders>
            <w:noWrap w:val="0"/>
            <w:vAlign w:val="center"/>
          </w:tcPr>
          <w:p w14:paraId="7DFFA33B">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c>
          <w:tcPr>
            <w:tcW w:w="1980" w:type="dxa"/>
            <w:tcBorders>
              <w:top w:val="single" w:color="auto" w:sz="4" w:space="0"/>
              <w:left w:val="nil"/>
              <w:bottom w:val="single" w:color="auto" w:sz="4" w:space="0"/>
              <w:right w:val="single" w:color="000000" w:sz="4" w:space="0"/>
            </w:tcBorders>
            <w:noWrap w:val="0"/>
            <w:vAlign w:val="center"/>
          </w:tcPr>
          <w:p w14:paraId="7A3EC061">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c>
          <w:tcPr>
            <w:tcW w:w="1980" w:type="dxa"/>
            <w:tcBorders>
              <w:top w:val="single" w:color="auto" w:sz="4" w:space="0"/>
              <w:left w:val="nil"/>
              <w:bottom w:val="single" w:color="auto" w:sz="4" w:space="0"/>
              <w:right w:val="single" w:color="000000" w:sz="4" w:space="0"/>
            </w:tcBorders>
            <w:noWrap w:val="0"/>
            <w:vAlign w:val="center"/>
          </w:tcPr>
          <w:p w14:paraId="499705BB">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0.0064%</w:t>
            </w:r>
          </w:p>
        </w:tc>
      </w:tr>
      <w:tr w14:paraId="4FBFBC3A">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73AF364C">
            <w:pPr>
              <w:ind w:firstLine="420"/>
              <w:jc w:val="center"/>
              <w:rPr>
                <w:rFonts w:ascii="宋体" w:hAnsi="宋体"/>
                <w:strike w:val="0"/>
                <w:color w:val="auto"/>
                <w:kern w:val="0"/>
                <w:szCs w:val="21"/>
              </w:rPr>
            </w:pPr>
            <w:r>
              <w:rPr>
                <w:rFonts w:hint="eastAsia" w:ascii="宋体" w:hAnsi="宋体"/>
                <w:strike w:val="0"/>
                <w:color w:val="auto"/>
                <w:kern w:val="0"/>
                <w:szCs w:val="21"/>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0A3056B0">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c>
          <w:tcPr>
            <w:tcW w:w="1980" w:type="dxa"/>
            <w:tcBorders>
              <w:top w:val="single" w:color="auto" w:sz="4" w:space="0"/>
              <w:left w:val="nil"/>
              <w:bottom w:val="single" w:color="000000" w:sz="4" w:space="0"/>
              <w:right w:val="single" w:color="000000" w:sz="4" w:space="0"/>
            </w:tcBorders>
            <w:noWrap w:val="0"/>
            <w:vAlign w:val="center"/>
          </w:tcPr>
          <w:p w14:paraId="087BCE98">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c>
          <w:tcPr>
            <w:tcW w:w="1980" w:type="dxa"/>
            <w:tcBorders>
              <w:top w:val="single" w:color="auto" w:sz="4" w:space="0"/>
              <w:left w:val="nil"/>
              <w:bottom w:val="single" w:color="000000" w:sz="4" w:space="0"/>
              <w:right w:val="single" w:color="000000" w:sz="4" w:space="0"/>
            </w:tcBorders>
            <w:noWrap w:val="0"/>
            <w:vAlign w:val="center"/>
          </w:tcPr>
          <w:p w14:paraId="18AC3046">
            <w:pPr>
              <w:ind w:firstLine="0" w:firstLineChars="0"/>
              <w:jc w:val="center"/>
              <w:rPr>
                <w:rFonts w:ascii="宋体" w:hAnsi="宋体"/>
                <w:strike w:val="0"/>
                <w:color w:val="auto"/>
                <w:kern w:val="0"/>
                <w:szCs w:val="21"/>
              </w:rPr>
            </w:pPr>
            <w:r>
              <w:rPr>
                <w:rFonts w:hint="eastAsia" w:ascii="宋体" w:hAnsi="宋体"/>
                <w:strike w:val="0"/>
                <w:color w:val="auto"/>
                <w:kern w:val="0"/>
                <w:szCs w:val="21"/>
              </w:rPr>
              <w:t>0.0048%</w:t>
            </w:r>
          </w:p>
        </w:tc>
      </w:tr>
      <w:tr w14:paraId="6E0D32DD">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BB9FF3D">
            <w:pPr>
              <w:widowControl/>
              <w:ind w:firstLine="420"/>
              <w:jc w:val="center"/>
              <w:rPr>
                <w:rFonts w:ascii="宋体" w:hAnsi="宋体"/>
                <w:strike w:val="0"/>
                <w:color w:val="auto"/>
                <w:kern w:val="0"/>
                <w:szCs w:val="21"/>
              </w:rPr>
            </w:pPr>
            <w:r>
              <w:rPr>
                <w:rFonts w:hint="eastAsia" w:ascii="宋体" w:hAnsi="宋体"/>
                <w:strike w:val="0"/>
                <w:color w:val="auto"/>
                <w:kern w:val="0"/>
                <w:szCs w:val="21"/>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3E114559">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c>
          <w:tcPr>
            <w:tcW w:w="1980" w:type="dxa"/>
            <w:tcBorders>
              <w:top w:val="single" w:color="000000" w:sz="4" w:space="0"/>
              <w:left w:val="nil"/>
              <w:bottom w:val="single" w:color="000000" w:sz="4" w:space="0"/>
              <w:right w:val="single" w:color="000000" w:sz="4" w:space="0"/>
            </w:tcBorders>
            <w:noWrap w:val="0"/>
            <w:vAlign w:val="center"/>
          </w:tcPr>
          <w:p w14:paraId="5C87891F">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c>
          <w:tcPr>
            <w:tcW w:w="1980" w:type="dxa"/>
            <w:tcBorders>
              <w:top w:val="single" w:color="000000" w:sz="4" w:space="0"/>
              <w:left w:val="nil"/>
              <w:bottom w:val="single" w:color="000000" w:sz="4" w:space="0"/>
              <w:right w:val="single" w:color="000000" w:sz="4" w:space="0"/>
            </w:tcBorders>
            <w:noWrap w:val="0"/>
            <w:vAlign w:val="center"/>
          </w:tcPr>
          <w:p w14:paraId="001BAF9E">
            <w:pPr>
              <w:widowControl/>
              <w:ind w:firstLine="0" w:firstLineChars="0"/>
              <w:jc w:val="center"/>
              <w:rPr>
                <w:rFonts w:ascii="宋体" w:hAnsi="宋体"/>
                <w:strike w:val="0"/>
                <w:color w:val="auto"/>
                <w:kern w:val="0"/>
                <w:szCs w:val="21"/>
              </w:rPr>
            </w:pPr>
            <w:r>
              <w:rPr>
                <w:rFonts w:hint="eastAsia" w:ascii="宋体" w:hAnsi="宋体"/>
                <w:strike w:val="0"/>
                <w:color w:val="auto"/>
                <w:kern w:val="0"/>
                <w:szCs w:val="21"/>
              </w:rPr>
              <w:t>0.0032%</w:t>
            </w:r>
          </w:p>
        </w:tc>
      </w:tr>
    </w:tbl>
    <w:p w14:paraId="43116D29">
      <w:pPr>
        <w:pStyle w:val="28"/>
        <w:spacing w:line="410" w:lineRule="exact"/>
        <w:ind w:firstLine="315" w:firstLineChars="150"/>
        <w:rPr>
          <w:rFonts w:hint="eastAsia" w:hAnsi="宋体"/>
          <w:strike w:val="0"/>
          <w:color w:val="auto"/>
        </w:rPr>
      </w:pPr>
      <w:r>
        <w:rPr>
          <w:rFonts w:hAnsi="宋体"/>
          <w:strike w:val="0"/>
          <w:color w:val="auto"/>
        </w:rPr>
        <w:tab/>
      </w:r>
      <w:bookmarkStart w:id="212" w:name="_Hlk92466755"/>
      <w:r>
        <w:rPr>
          <w:rFonts w:hint="eastAsia" w:hAnsi="宋体"/>
          <w:strike w:val="0"/>
          <w:color w:val="auto"/>
        </w:rPr>
        <w:t>注：代理服务收费按差额定率累进法计算</w:t>
      </w:r>
      <w:bookmarkEnd w:id="212"/>
    </w:p>
    <w:p w14:paraId="2DA1D25F">
      <w:pPr>
        <w:pStyle w:val="28"/>
        <w:spacing w:line="400" w:lineRule="exact"/>
        <w:ind w:firstLine="420" w:firstLineChars="200"/>
        <w:rPr>
          <w:rFonts w:hAnsi="宋体"/>
          <w:bCs/>
          <w:strike w:val="0"/>
          <w:color w:val="auto"/>
        </w:rPr>
      </w:pPr>
      <w:r>
        <w:rPr>
          <w:rFonts w:hint="eastAsia" w:hAnsi="宋体"/>
          <w:bCs/>
          <w:strike w:val="0"/>
          <w:color w:val="auto"/>
        </w:rPr>
        <w:t>3.缴纳代理服务费银行账户信息：</w:t>
      </w:r>
    </w:p>
    <w:p w14:paraId="4B21B938">
      <w:pPr>
        <w:pStyle w:val="28"/>
        <w:spacing w:line="400" w:lineRule="exact"/>
        <w:ind w:firstLine="420" w:firstLineChars="200"/>
        <w:rPr>
          <w:rFonts w:hAnsi="宋体"/>
          <w:bCs/>
          <w:strike w:val="0"/>
          <w:color w:val="auto"/>
        </w:rPr>
      </w:pPr>
      <w:r>
        <w:rPr>
          <w:rFonts w:hint="eastAsia" w:hAnsi="宋体"/>
          <w:bCs/>
          <w:strike w:val="0"/>
          <w:color w:val="auto"/>
        </w:rPr>
        <w:t>开户名称:钦州市政府采购中心</w:t>
      </w:r>
    </w:p>
    <w:p w14:paraId="17B9F85F">
      <w:pPr>
        <w:pStyle w:val="28"/>
        <w:spacing w:line="400" w:lineRule="exact"/>
        <w:ind w:firstLine="420" w:firstLineChars="200"/>
        <w:rPr>
          <w:rFonts w:hAnsi="宋体"/>
          <w:bCs/>
          <w:strike w:val="0"/>
          <w:color w:val="auto"/>
        </w:rPr>
      </w:pPr>
      <w:r>
        <w:rPr>
          <w:rFonts w:hint="eastAsia" w:hAnsi="宋体"/>
          <w:bCs/>
          <w:strike w:val="0"/>
          <w:color w:val="auto"/>
        </w:rPr>
        <w:t>开户银行:兴业银行钦州支行</w:t>
      </w:r>
    </w:p>
    <w:p w14:paraId="25717C36">
      <w:pPr>
        <w:pStyle w:val="28"/>
        <w:spacing w:line="400" w:lineRule="exact"/>
        <w:ind w:firstLine="420" w:firstLineChars="200"/>
        <w:rPr>
          <w:strike w:val="0"/>
          <w:color w:val="auto"/>
        </w:rPr>
      </w:pPr>
      <w:r>
        <w:rPr>
          <w:rFonts w:hint="eastAsia" w:hAnsi="宋体"/>
          <w:bCs/>
          <w:strike w:val="0"/>
          <w:color w:val="auto"/>
        </w:rPr>
        <w:t>银行账号:554010100100129709</w:t>
      </w:r>
    </w:p>
    <w:p w14:paraId="74787DC2">
      <w:pPr>
        <w:pStyle w:val="28"/>
        <w:spacing w:line="410" w:lineRule="exact"/>
        <w:ind w:firstLine="210" w:firstLineChars="100"/>
        <w:rPr>
          <w:rFonts w:hAnsi="宋体"/>
          <w:bCs/>
          <w:strike w:val="0"/>
          <w:color w:val="auto"/>
        </w:rPr>
      </w:pPr>
      <w:r>
        <w:rPr>
          <w:rFonts w:hint="eastAsia" w:hAnsi="宋体"/>
          <w:bCs/>
          <w:strike w:val="0"/>
          <w:color w:val="auto"/>
        </w:rPr>
        <w:t>（二）解释权：</w:t>
      </w:r>
      <w:bookmarkStart w:id="213" w:name="_Hlk92466777"/>
      <w:r>
        <w:rPr>
          <w:rFonts w:hint="eastAsia" w:hAnsi="宋体"/>
          <w:bCs/>
          <w:strike w:val="0"/>
          <w:color w:val="auto"/>
          <w:spacing w:val="-4"/>
        </w:rPr>
        <w:t>本招标文件解释权属本中心</w:t>
      </w:r>
      <w:bookmarkEnd w:id="213"/>
      <w:r>
        <w:rPr>
          <w:rFonts w:hint="eastAsia" w:hAnsi="宋体"/>
          <w:bCs/>
          <w:strike w:val="0"/>
          <w:color w:val="auto"/>
          <w:spacing w:val="-4"/>
        </w:rPr>
        <w:t>。</w:t>
      </w:r>
    </w:p>
    <w:p w14:paraId="45C2B3F9">
      <w:pPr>
        <w:pStyle w:val="28"/>
        <w:spacing w:line="410" w:lineRule="exact"/>
        <w:ind w:firstLine="210" w:firstLineChars="100"/>
        <w:rPr>
          <w:rFonts w:hAnsi="宋体"/>
          <w:bCs/>
          <w:strike w:val="0"/>
          <w:color w:val="auto"/>
        </w:rPr>
      </w:pPr>
      <w:r>
        <w:rPr>
          <w:rFonts w:hint="eastAsia" w:hAnsi="宋体"/>
          <w:bCs/>
          <w:strike w:val="0"/>
          <w:color w:val="auto"/>
        </w:rPr>
        <w:t>（三）有关事宜</w:t>
      </w:r>
    </w:p>
    <w:p w14:paraId="46EF4B82">
      <w:pPr>
        <w:pStyle w:val="28"/>
        <w:spacing w:line="410" w:lineRule="exact"/>
        <w:ind w:firstLine="0" w:firstLineChars="0"/>
        <w:rPr>
          <w:rFonts w:hAnsi="宋体"/>
          <w:strike w:val="0"/>
          <w:color w:val="auto"/>
        </w:rPr>
      </w:pPr>
      <w:r>
        <w:rPr>
          <w:rFonts w:hAnsi="宋体"/>
          <w:strike w:val="0"/>
          <w:color w:val="auto"/>
        </w:rPr>
        <w:tab/>
      </w:r>
      <w:r>
        <w:rPr>
          <w:rFonts w:hint="eastAsia" w:hAnsi="宋体"/>
          <w:strike w:val="0"/>
          <w:color w:val="auto"/>
        </w:rPr>
        <w:t>所有与本招标文件有关的函件请按下列通讯地址联系：</w:t>
      </w:r>
    </w:p>
    <w:p w14:paraId="020A8E79">
      <w:pPr>
        <w:pStyle w:val="28"/>
        <w:spacing w:line="410" w:lineRule="exact"/>
        <w:ind w:firstLine="420"/>
        <w:rPr>
          <w:rFonts w:hAnsi="宋体"/>
          <w:strike w:val="0"/>
          <w:color w:val="auto"/>
        </w:rPr>
      </w:pPr>
      <w:bookmarkStart w:id="214" w:name="_Hlk92466867"/>
      <w:r>
        <w:rPr>
          <w:rFonts w:hint="eastAsia" w:hAnsi="宋体"/>
          <w:strike w:val="0"/>
          <w:color w:val="auto"/>
        </w:rPr>
        <w:t>钦州市政府采购中心</w:t>
      </w:r>
    </w:p>
    <w:p w14:paraId="1B27904D">
      <w:pPr>
        <w:pStyle w:val="28"/>
        <w:tabs>
          <w:tab w:val="left" w:pos="1990"/>
        </w:tabs>
        <w:spacing w:line="410" w:lineRule="exact"/>
        <w:ind w:firstLine="420"/>
        <w:rPr>
          <w:rFonts w:hAnsi="宋体"/>
          <w:strike w:val="0"/>
          <w:color w:val="auto"/>
          <w:u w:val="single"/>
        </w:rPr>
      </w:pPr>
      <w:r>
        <w:rPr>
          <w:rFonts w:hint="eastAsia" w:hAnsi="宋体"/>
          <w:strike w:val="0"/>
          <w:color w:val="auto"/>
        </w:rPr>
        <w:t>邮政编码：535000</w:t>
      </w:r>
    </w:p>
    <w:p w14:paraId="0FFA4E8C">
      <w:pPr>
        <w:pStyle w:val="28"/>
        <w:tabs>
          <w:tab w:val="left" w:pos="1990"/>
        </w:tabs>
        <w:spacing w:line="410" w:lineRule="exact"/>
        <w:ind w:firstLine="420"/>
        <w:rPr>
          <w:rFonts w:hAnsi="宋体"/>
          <w:strike w:val="0"/>
          <w:color w:val="auto"/>
          <w:spacing w:val="-4"/>
        </w:rPr>
      </w:pPr>
      <w:r>
        <w:rPr>
          <w:rFonts w:hint="eastAsia" w:hAnsi="宋体"/>
          <w:strike w:val="0"/>
          <w:color w:val="auto"/>
        </w:rPr>
        <w:t>通讯地址：</w:t>
      </w:r>
      <w:r>
        <w:rPr>
          <w:rFonts w:hint="eastAsia" w:ascii="Times New Roman" w:hAnsi="Times New Roman" w:cs="Times New Roman"/>
          <w:strike w:val="0"/>
          <w:color w:val="auto"/>
          <w:szCs w:val="24"/>
        </w:rPr>
        <w:t>钦州市金海湾东大街8号</w:t>
      </w:r>
    </w:p>
    <w:bookmarkEnd w:id="79"/>
    <w:bookmarkEnd w:id="214"/>
    <w:p w14:paraId="498C40B7">
      <w:pPr>
        <w:widowControl/>
        <w:spacing w:line="430" w:lineRule="exact"/>
        <w:ind w:firstLine="420"/>
        <w:jc w:val="left"/>
        <w:rPr>
          <w:strike w:val="0"/>
          <w:color w:val="auto"/>
        </w:rPr>
      </w:pPr>
      <w:bookmarkStart w:id="215" w:name="_Hlk108515537"/>
      <w:r>
        <w:rPr>
          <w:rFonts w:hint="eastAsia" w:hAnsi="宋体"/>
          <w:strike w:val="0"/>
          <w:color w:val="auto"/>
        </w:rPr>
        <w:t>钦州市政府采购中心联系方式</w:t>
      </w:r>
      <w:r>
        <w:rPr>
          <w:rFonts w:hint="eastAsia"/>
          <w:strike w:val="0"/>
          <w:color w:val="auto"/>
        </w:rPr>
        <w:t>：</w:t>
      </w:r>
    </w:p>
    <w:p w14:paraId="0F962B11">
      <w:pPr>
        <w:widowControl/>
        <w:spacing w:line="430" w:lineRule="exact"/>
        <w:ind w:firstLine="420"/>
        <w:jc w:val="left"/>
        <w:rPr>
          <w:strike w:val="0"/>
          <w:color w:val="auto"/>
        </w:rPr>
      </w:pPr>
      <w:r>
        <w:rPr>
          <w:rFonts w:hint="eastAsia"/>
          <w:strike w:val="0"/>
          <w:color w:val="auto"/>
        </w:rPr>
        <w:t>(1)采购部(采购文件)</w:t>
      </w:r>
    </w:p>
    <w:p w14:paraId="7249F576">
      <w:pPr>
        <w:widowControl/>
        <w:spacing w:line="430" w:lineRule="exact"/>
        <w:ind w:firstLine="420"/>
        <w:jc w:val="left"/>
        <w:rPr>
          <w:strike w:val="0"/>
          <w:color w:val="auto"/>
        </w:rPr>
      </w:pPr>
      <w:r>
        <w:rPr>
          <w:rFonts w:hint="eastAsia"/>
          <w:strike w:val="0"/>
          <w:color w:val="auto"/>
        </w:rPr>
        <w:t xml:space="preserve">联系人：苏晓婷 </w:t>
      </w:r>
      <w:r>
        <w:rPr>
          <w:strike w:val="0"/>
          <w:color w:val="auto"/>
        </w:rPr>
        <w:t xml:space="preserve"> </w:t>
      </w:r>
      <w:r>
        <w:rPr>
          <w:rFonts w:hint="eastAsia"/>
          <w:strike w:val="0"/>
          <w:color w:val="auto"/>
        </w:rPr>
        <w:t xml:space="preserve"> 联系方式：0777-2886022</w:t>
      </w:r>
    </w:p>
    <w:p w14:paraId="1978216B">
      <w:pPr>
        <w:widowControl/>
        <w:spacing w:line="430" w:lineRule="exact"/>
        <w:ind w:firstLine="420"/>
        <w:jc w:val="left"/>
        <w:rPr>
          <w:strike w:val="0"/>
          <w:color w:val="auto"/>
        </w:rPr>
      </w:pPr>
      <w:r>
        <w:rPr>
          <w:rFonts w:hint="eastAsia"/>
          <w:strike w:val="0"/>
          <w:color w:val="auto"/>
        </w:rPr>
        <w:t>(2)综合二部(保证金、开标、评标、中标及合同管理)</w:t>
      </w:r>
    </w:p>
    <w:p w14:paraId="4ECA0929">
      <w:pPr>
        <w:widowControl/>
        <w:spacing w:line="430" w:lineRule="exact"/>
        <w:ind w:firstLine="420"/>
        <w:jc w:val="left"/>
        <w:rPr>
          <w:strike w:val="0"/>
          <w:color w:val="auto"/>
        </w:rPr>
      </w:pPr>
      <w:r>
        <w:rPr>
          <w:rFonts w:hint="eastAsia"/>
          <w:strike w:val="0"/>
          <w:color w:val="auto"/>
        </w:rPr>
        <w:t>联系人：陈侃</w:t>
      </w:r>
      <w:r>
        <w:rPr>
          <w:rFonts w:hint="eastAsia"/>
          <w:strike w:val="0"/>
          <w:color w:val="auto"/>
          <w:lang w:eastAsia="zh-CN"/>
        </w:rPr>
        <w:t>、</w:t>
      </w:r>
      <w:r>
        <w:rPr>
          <w:rFonts w:hint="eastAsia"/>
          <w:strike w:val="0"/>
          <w:color w:val="auto"/>
        </w:rPr>
        <w:t xml:space="preserve">陈启梅 </w:t>
      </w:r>
      <w:r>
        <w:rPr>
          <w:strike w:val="0"/>
          <w:color w:val="auto"/>
        </w:rPr>
        <w:t xml:space="preserve">  </w:t>
      </w:r>
      <w:r>
        <w:rPr>
          <w:rFonts w:hint="eastAsia"/>
          <w:strike w:val="0"/>
          <w:color w:val="auto"/>
        </w:rPr>
        <w:t>联系方式：0777-2886006</w:t>
      </w:r>
    </w:p>
    <w:p w14:paraId="636C9492">
      <w:pPr>
        <w:widowControl/>
        <w:spacing w:line="430" w:lineRule="exact"/>
        <w:ind w:firstLine="420"/>
        <w:jc w:val="left"/>
        <w:rPr>
          <w:strike w:val="0"/>
          <w:color w:val="auto"/>
        </w:rPr>
      </w:pPr>
      <w:r>
        <w:rPr>
          <w:strike w:val="0"/>
          <w:color w:val="auto"/>
        </w:rPr>
        <w:t>(</w:t>
      </w:r>
      <w:r>
        <w:rPr>
          <w:rFonts w:hint="eastAsia"/>
          <w:strike w:val="0"/>
          <w:color w:val="auto"/>
          <w:lang w:val="en-US" w:eastAsia="zh-CN"/>
        </w:rPr>
        <w:t>3</w:t>
      </w:r>
      <w:r>
        <w:rPr>
          <w:strike w:val="0"/>
          <w:color w:val="auto"/>
        </w:rPr>
        <w:t>)</w:t>
      </w:r>
      <w:r>
        <w:rPr>
          <w:rFonts w:hint="eastAsia"/>
          <w:strike w:val="0"/>
          <w:color w:val="auto"/>
        </w:rPr>
        <w:t>政采云技术支持热线：</w:t>
      </w:r>
      <w:r>
        <w:rPr>
          <w:rFonts w:hAnsi="宋体"/>
          <w:strike w:val="0"/>
          <w:color w:val="auto"/>
        </w:rPr>
        <w:t>95763</w:t>
      </w:r>
    </w:p>
    <w:bookmarkEnd w:id="215"/>
    <w:p w14:paraId="06C8D85D">
      <w:pPr>
        <w:ind w:firstLine="420"/>
        <w:rPr>
          <w:strike w:val="0"/>
          <w:color w:val="auto"/>
        </w:rPr>
      </w:pPr>
    </w:p>
    <w:p w14:paraId="458CC86A">
      <w:pPr>
        <w:ind w:firstLine="420"/>
        <w:rPr>
          <w:strike w:val="0"/>
          <w:color w:val="auto"/>
        </w:rPr>
      </w:pPr>
    </w:p>
    <w:p w14:paraId="49E282D8">
      <w:pPr>
        <w:ind w:firstLine="420"/>
        <w:rPr>
          <w:strike w:val="0"/>
          <w:color w:val="auto"/>
        </w:rPr>
      </w:pPr>
      <w:r>
        <w:rPr>
          <w:strike w:val="0"/>
          <w:color w:val="auto"/>
        </w:rPr>
        <w:br w:type="page"/>
      </w:r>
    </w:p>
    <w:p w14:paraId="59C7D98C">
      <w:pPr>
        <w:ind w:firstLine="420"/>
        <w:rPr>
          <w:strike w:val="0"/>
          <w:color w:val="auto"/>
        </w:rPr>
      </w:pPr>
    </w:p>
    <w:p w14:paraId="40C6B3FF">
      <w:pPr>
        <w:ind w:firstLine="420"/>
        <w:rPr>
          <w:strike w:val="0"/>
          <w:color w:val="auto"/>
        </w:rPr>
      </w:pPr>
    </w:p>
    <w:p w14:paraId="46839E7F">
      <w:pPr>
        <w:ind w:firstLine="420"/>
        <w:rPr>
          <w:rFonts w:hint="eastAsia"/>
          <w:strike w:val="0"/>
          <w:color w:val="auto"/>
        </w:rPr>
      </w:pPr>
    </w:p>
    <w:p w14:paraId="0EE8CE21">
      <w:pPr>
        <w:ind w:firstLine="420"/>
        <w:rPr>
          <w:strike w:val="0"/>
          <w:color w:val="auto"/>
        </w:rPr>
      </w:pPr>
    </w:p>
    <w:p w14:paraId="7478C3F8">
      <w:pPr>
        <w:ind w:firstLine="420"/>
        <w:rPr>
          <w:strike w:val="0"/>
          <w:color w:val="auto"/>
        </w:rPr>
      </w:pPr>
    </w:p>
    <w:p w14:paraId="02319478">
      <w:pPr>
        <w:ind w:firstLine="420"/>
        <w:rPr>
          <w:strike w:val="0"/>
          <w:color w:val="auto"/>
        </w:rPr>
      </w:pPr>
    </w:p>
    <w:p w14:paraId="032089EB">
      <w:pPr>
        <w:ind w:firstLine="420"/>
        <w:rPr>
          <w:strike w:val="0"/>
          <w:color w:val="auto"/>
        </w:rPr>
      </w:pPr>
    </w:p>
    <w:p w14:paraId="7E31E0C2">
      <w:pPr>
        <w:ind w:firstLine="420"/>
        <w:rPr>
          <w:strike w:val="0"/>
          <w:color w:val="auto"/>
        </w:rPr>
      </w:pPr>
    </w:p>
    <w:p w14:paraId="18FA0475">
      <w:pPr>
        <w:ind w:firstLine="420"/>
        <w:rPr>
          <w:strike w:val="0"/>
          <w:color w:val="auto"/>
        </w:rPr>
      </w:pPr>
    </w:p>
    <w:p w14:paraId="0872F111">
      <w:pPr>
        <w:ind w:firstLine="420"/>
        <w:rPr>
          <w:rFonts w:hint="eastAsia"/>
          <w:strike w:val="0"/>
          <w:color w:val="auto"/>
        </w:rPr>
      </w:pPr>
    </w:p>
    <w:p w14:paraId="5C7DC2E8">
      <w:pPr>
        <w:ind w:firstLine="420"/>
        <w:rPr>
          <w:rFonts w:hint="eastAsia"/>
          <w:strike w:val="0"/>
          <w:color w:val="auto"/>
        </w:rPr>
      </w:pPr>
    </w:p>
    <w:p w14:paraId="2D1078DC">
      <w:pPr>
        <w:pStyle w:val="48"/>
        <w:ind w:left="0" w:leftChars="0" w:right="0" w:rightChars="0" w:firstLine="0" w:firstLineChars="0"/>
        <w:jc w:val="center"/>
        <w:rPr>
          <w:strike w:val="0"/>
          <w:color w:val="auto"/>
        </w:rPr>
      </w:pPr>
      <w:bookmarkStart w:id="216" w:name="_Toc91512286"/>
      <w:r>
        <w:rPr>
          <w:rFonts w:hint="eastAsia"/>
          <w:strike w:val="0"/>
          <w:color w:val="auto"/>
        </w:rPr>
        <w:t xml:space="preserve">第四章  </w:t>
      </w:r>
      <w:bookmarkEnd w:id="216"/>
      <w:r>
        <w:rPr>
          <w:rFonts w:hint="eastAsia"/>
          <w:strike w:val="0"/>
          <w:color w:val="auto"/>
        </w:rPr>
        <w:t>评定标准及推荐原则</w:t>
      </w:r>
    </w:p>
    <w:p w14:paraId="7FAC8FDF">
      <w:pPr>
        <w:ind w:firstLine="0" w:firstLineChars="0"/>
        <w:rPr>
          <w:strike w:val="0"/>
          <w:color w:val="auto"/>
        </w:rPr>
      </w:pPr>
      <w:r>
        <w:rPr>
          <w:strike w:val="0"/>
          <w:color w:val="auto"/>
        </w:rPr>
        <w:br w:type="page"/>
      </w:r>
      <w:bookmarkStart w:id="217" w:name="_Hlk92268453"/>
    </w:p>
    <w:p w14:paraId="05D73674">
      <w:pPr>
        <w:spacing w:line="380" w:lineRule="exact"/>
        <w:ind w:firstLine="643"/>
        <w:jc w:val="center"/>
        <w:rPr>
          <w:rFonts w:hint="eastAsia" w:ascii="宋体" w:hAnsi="宋体" w:eastAsia="宋体"/>
          <w:b/>
          <w:strike w:val="0"/>
          <w:color w:val="auto"/>
          <w:sz w:val="32"/>
          <w:szCs w:val="32"/>
          <w:lang w:eastAsia="zh-CN"/>
        </w:rPr>
      </w:pPr>
      <w:r>
        <w:rPr>
          <w:rFonts w:hint="eastAsia" w:ascii="宋体" w:hAnsi="宋体"/>
          <w:b/>
          <w:strike w:val="0"/>
          <w:color w:val="auto"/>
          <w:sz w:val="32"/>
        </w:rPr>
        <w:t>评定标准和推荐原则</w:t>
      </w:r>
      <w:bookmarkEnd w:id="217"/>
      <w:r>
        <w:rPr>
          <w:rFonts w:hint="eastAsia" w:ascii="宋体" w:hAnsi="宋体"/>
          <w:b/>
          <w:strike w:val="0"/>
          <w:color w:val="auto"/>
          <w:sz w:val="32"/>
          <w:lang w:eastAsia="zh-CN"/>
        </w:rPr>
        <w:t>（</w:t>
      </w:r>
      <w:r>
        <w:rPr>
          <w:rFonts w:hint="eastAsia" w:ascii="宋体" w:hAnsi="宋体"/>
          <w:b/>
          <w:strike w:val="0"/>
          <w:color w:val="auto"/>
          <w:sz w:val="32"/>
          <w:lang w:val="en-US" w:eastAsia="zh-CN"/>
        </w:rPr>
        <w:t>适用标项一</w:t>
      </w:r>
      <w:r>
        <w:rPr>
          <w:rFonts w:hint="eastAsia" w:ascii="宋体" w:hAnsi="宋体"/>
          <w:b/>
          <w:strike w:val="0"/>
          <w:color w:val="auto"/>
          <w:sz w:val="32"/>
          <w:lang w:eastAsia="zh-CN"/>
        </w:rPr>
        <w:t>）</w:t>
      </w:r>
    </w:p>
    <w:p w14:paraId="5254ED53">
      <w:pPr>
        <w:spacing w:line="460" w:lineRule="exact"/>
        <w:ind w:firstLine="0" w:firstLineChars="0"/>
        <w:rPr>
          <w:rFonts w:hint="eastAsia"/>
          <w:strike w:val="0"/>
          <w:color w:val="auto"/>
        </w:rPr>
      </w:pPr>
    </w:p>
    <w:p w14:paraId="4DBF777A">
      <w:pPr>
        <w:pStyle w:val="28"/>
        <w:spacing w:line="460" w:lineRule="exact"/>
        <w:ind w:firstLine="0" w:firstLineChars="0"/>
        <w:jc w:val="left"/>
        <w:rPr>
          <w:rFonts w:hAnsi="宋体"/>
          <w:b/>
          <w:bCs/>
          <w:strike w:val="0"/>
          <w:color w:val="auto"/>
        </w:rPr>
      </w:pPr>
      <w:r>
        <w:rPr>
          <w:rFonts w:hint="eastAsia" w:hAnsi="宋体"/>
          <w:b/>
          <w:bCs/>
          <w:strike w:val="0"/>
          <w:color w:val="auto"/>
        </w:rPr>
        <w:t>一、评标原则</w:t>
      </w:r>
    </w:p>
    <w:p w14:paraId="33D7DC0A">
      <w:pPr>
        <w:pStyle w:val="28"/>
        <w:spacing w:line="460" w:lineRule="exact"/>
        <w:ind w:firstLine="210" w:firstLineChars="100"/>
        <w:jc w:val="left"/>
        <w:rPr>
          <w:rFonts w:hAnsi="宋体"/>
          <w:strike w:val="0"/>
          <w:color w:val="auto"/>
        </w:rPr>
      </w:pPr>
      <w:r>
        <w:rPr>
          <w:rFonts w:hint="eastAsia" w:hAnsi="宋体"/>
          <w:strike w:val="0"/>
          <w:color w:val="auto"/>
        </w:rPr>
        <w:t>（一）评标依据：评标委员会将以招投标文件为评标依据，</w:t>
      </w:r>
      <w:r>
        <w:rPr>
          <w:rFonts w:hAnsi="宋体"/>
          <w:strike w:val="0"/>
          <w:color w:val="auto"/>
        </w:rPr>
        <w:t>对投标人的投标报价、</w:t>
      </w:r>
      <w:r>
        <w:rPr>
          <w:rFonts w:hint="eastAsia" w:hAnsi="宋体"/>
          <w:bCs/>
          <w:strike w:val="0"/>
          <w:color w:val="auto"/>
        </w:rPr>
        <w:t>技术商务资信</w:t>
      </w:r>
      <w:r>
        <w:rPr>
          <w:rFonts w:hAnsi="宋体"/>
          <w:strike w:val="0"/>
          <w:color w:val="auto"/>
        </w:rPr>
        <w:t>等方面内容</w:t>
      </w:r>
      <w:r>
        <w:rPr>
          <w:rFonts w:hint="eastAsia" w:hAnsi="宋体"/>
          <w:strike w:val="0"/>
          <w:color w:val="auto"/>
        </w:rPr>
        <w:t>进行评价。</w:t>
      </w:r>
    </w:p>
    <w:p w14:paraId="7EA03FFC">
      <w:pPr>
        <w:pStyle w:val="28"/>
        <w:spacing w:line="460" w:lineRule="exact"/>
        <w:ind w:firstLine="210" w:firstLineChars="100"/>
        <w:jc w:val="left"/>
        <w:rPr>
          <w:rFonts w:hAnsi="宋体"/>
          <w:strike w:val="0"/>
          <w:color w:val="auto"/>
        </w:rPr>
      </w:pPr>
      <w:r>
        <w:rPr>
          <w:rFonts w:hint="eastAsia" w:hAnsi="宋体"/>
          <w:strike w:val="0"/>
          <w:color w:val="auto"/>
        </w:rPr>
        <w:t>（二）评标委员会组成：由采购人代表和评审专家组成，成员人数应当为5人以上单数，其中评审专家的人数不得少于成员总数的三分之二。</w:t>
      </w:r>
    </w:p>
    <w:p w14:paraId="55DED506">
      <w:pPr>
        <w:pStyle w:val="28"/>
        <w:spacing w:line="460" w:lineRule="exact"/>
        <w:ind w:firstLine="210" w:firstLineChars="100"/>
        <w:jc w:val="left"/>
        <w:rPr>
          <w:rFonts w:hint="eastAsia" w:hAnsi="宋体"/>
          <w:strike w:val="0"/>
          <w:color w:val="auto"/>
        </w:rPr>
      </w:pPr>
      <w:r>
        <w:rPr>
          <w:rFonts w:hint="eastAsia" w:hAnsi="宋体"/>
          <w:strike w:val="0"/>
          <w:color w:val="auto"/>
        </w:rPr>
        <w:t>（三）评分方式：评标委员会各成员独立对每个投标人的投标文件进行评价。</w:t>
      </w:r>
    </w:p>
    <w:p w14:paraId="476DAB3F">
      <w:pPr>
        <w:pStyle w:val="28"/>
        <w:spacing w:line="460" w:lineRule="exact"/>
        <w:ind w:firstLine="210" w:firstLineChars="100"/>
        <w:jc w:val="left"/>
        <w:rPr>
          <w:rFonts w:hint="eastAsia" w:hAnsi="宋体"/>
          <w:strike w:val="0"/>
          <w:color w:val="auto"/>
        </w:rPr>
      </w:pPr>
      <w:r>
        <w:rPr>
          <w:rFonts w:hint="eastAsia" w:hAnsi="宋体"/>
          <w:strike w:val="0"/>
          <w:color w:val="auto"/>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59FAA2C4">
      <w:pPr>
        <w:pStyle w:val="28"/>
        <w:spacing w:line="460" w:lineRule="exact"/>
        <w:ind w:firstLine="0" w:firstLineChars="0"/>
        <w:jc w:val="left"/>
        <w:rPr>
          <w:rFonts w:hAnsi="宋体"/>
          <w:b/>
          <w:bCs/>
          <w:strike w:val="0"/>
          <w:color w:val="auto"/>
        </w:rPr>
      </w:pPr>
      <w:r>
        <w:rPr>
          <w:rFonts w:hint="eastAsia" w:hAnsi="宋体"/>
          <w:b/>
          <w:bCs/>
          <w:strike w:val="0"/>
          <w:color w:val="auto"/>
        </w:rPr>
        <w:t>二、评分细则</w:t>
      </w:r>
    </w:p>
    <w:p w14:paraId="692E185D">
      <w:pPr>
        <w:pStyle w:val="28"/>
        <w:spacing w:line="460" w:lineRule="exact"/>
        <w:ind w:firstLine="210" w:firstLineChars="100"/>
        <w:jc w:val="left"/>
        <w:rPr>
          <w:rFonts w:hint="eastAsia" w:hAnsi="宋体"/>
          <w:strike w:val="0"/>
          <w:color w:val="auto"/>
        </w:rPr>
      </w:pPr>
      <w:r>
        <w:rPr>
          <w:rFonts w:hint="eastAsia" w:hAnsi="宋体"/>
          <w:strike w:val="0"/>
          <w:color w:val="auto"/>
        </w:rPr>
        <w:t>综合评分法：对满足招标文件全部实质性要求的投标人投标文件</w:t>
      </w:r>
      <w:r>
        <w:rPr>
          <w:rFonts w:ascii="Arial" w:hAnsi="Arial" w:cs="Arial"/>
          <w:strike w:val="0"/>
          <w:color w:val="auto"/>
        </w:rPr>
        <w:t>按照评审因素的量化指标评审</w:t>
      </w:r>
      <w:r>
        <w:rPr>
          <w:rFonts w:hint="eastAsia" w:ascii="Arial" w:hAnsi="Arial" w:cs="Arial"/>
          <w:strike w:val="0"/>
          <w:color w:val="auto"/>
        </w:rPr>
        <w:t>并汇总(</w:t>
      </w:r>
      <w:r>
        <w:rPr>
          <w:rFonts w:hint="eastAsia" w:hAnsi="宋体"/>
          <w:strike w:val="0"/>
          <w:color w:val="auto"/>
        </w:rPr>
        <w:t>四舍五入取至百分位)。</w:t>
      </w:r>
    </w:p>
    <w:p w14:paraId="70B905FC">
      <w:pPr>
        <w:pStyle w:val="28"/>
        <w:spacing w:line="460" w:lineRule="exact"/>
        <w:ind w:firstLine="210" w:firstLineChars="100"/>
        <w:jc w:val="left"/>
        <w:rPr>
          <w:rFonts w:hint="eastAsia" w:hAnsi="宋体"/>
          <w:strike w:val="0"/>
          <w:color w:val="auto"/>
        </w:rPr>
      </w:pPr>
    </w:p>
    <w:tbl>
      <w:tblPr>
        <w:tblStyle w:val="51"/>
        <w:tblpPr w:leftFromText="180" w:rightFromText="180" w:vertAnchor="text" w:horzAnchor="page" w:tblpX="1268" w:tblpY="444"/>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48C4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3DAA1ED1">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序号</w:t>
            </w:r>
          </w:p>
        </w:tc>
        <w:tc>
          <w:tcPr>
            <w:tcW w:w="1461" w:type="dxa"/>
            <w:gridSpan w:val="2"/>
            <w:noWrap w:val="0"/>
            <w:vAlign w:val="center"/>
          </w:tcPr>
          <w:p w14:paraId="12A6BEA7">
            <w:pPr>
              <w:adjustRightInd w:val="0"/>
              <w:spacing w:line="400" w:lineRule="exact"/>
              <w:ind w:firstLine="0" w:firstLineChars="0"/>
              <w:jc w:val="center"/>
              <w:textAlignment w:val="baseline"/>
              <w:rPr>
                <w:rFonts w:hint="eastAsia" w:ascii="宋体" w:hAnsi="宋体" w:eastAsia="宋体" w:cs="Times New Roman"/>
                <w:strike w:val="0"/>
                <w:color w:val="auto"/>
                <w:szCs w:val="21"/>
              </w:rPr>
            </w:pPr>
            <w:r>
              <w:rPr>
                <w:rFonts w:hint="eastAsia" w:ascii="宋体" w:hAnsi="宋体" w:eastAsia="宋体" w:cs="Times New Roman"/>
                <w:b/>
                <w:strike w:val="0"/>
                <w:color w:val="auto"/>
                <w:szCs w:val="21"/>
              </w:rPr>
              <w:t>评审因素</w:t>
            </w:r>
          </w:p>
        </w:tc>
        <w:tc>
          <w:tcPr>
            <w:tcW w:w="691" w:type="dxa"/>
            <w:noWrap w:val="0"/>
            <w:vAlign w:val="center"/>
          </w:tcPr>
          <w:p w14:paraId="16B1C4F1">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分值</w:t>
            </w:r>
          </w:p>
        </w:tc>
        <w:tc>
          <w:tcPr>
            <w:tcW w:w="6848" w:type="dxa"/>
            <w:noWrap w:val="0"/>
            <w:vAlign w:val="center"/>
          </w:tcPr>
          <w:p w14:paraId="58504E48">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评标标准</w:t>
            </w:r>
          </w:p>
        </w:tc>
      </w:tr>
      <w:tr w14:paraId="1779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4F5BD134">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1</w:t>
            </w:r>
          </w:p>
        </w:tc>
        <w:tc>
          <w:tcPr>
            <w:tcW w:w="1461" w:type="dxa"/>
            <w:gridSpan w:val="2"/>
            <w:noWrap w:val="0"/>
            <w:vAlign w:val="center"/>
          </w:tcPr>
          <w:p w14:paraId="26A244C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投标报价</w:t>
            </w:r>
          </w:p>
        </w:tc>
        <w:tc>
          <w:tcPr>
            <w:tcW w:w="691" w:type="dxa"/>
            <w:noWrap w:val="0"/>
            <w:vAlign w:val="center"/>
          </w:tcPr>
          <w:p w14:paraId="217FC2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30分</w:t>
            </w:r>
          </w:p>
        </w:tc>
        <w:tc>
          <w:tcPr>
            <w:tcW w:w="6848" w:type="dxa"/>
            <w:noWrap w:val="0"/>
            <w:vAlign w:val="center"/>
          </w:tcPr>
          <w:p w14:paraId="06E3F491">
            <w:pPr>
              <w:widowControl w:val="0"/>
              <w:spacing w:line="400" w:lineRule="exact"/>
              <w:jc w:val="both"/>
              <w:rPr>
                <w:rFonts w:hint="eastAsia" w:ascii="宋体" w:hAnsi="宋体" w:eastAsia="宋体" w:cs="Courier New"/>
                <w:b/>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一、政府采购政策扣除</w:t>
            </w:r>
          </w:p>
          <w:p w14:paraId="2EE820D5">
            <w:pPr>
              <w:widowControl w:val="0"/>
              <w:spacing w:line="400" w:lineRule="exact"/>
              <w:ind w:firstLine="420" w:firstLineChars="2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1、根据《政府采购促进中小企业发展管理办法》及桂财采〔2024〕55号《广西壮族自治区财政厅关于持续优化政府采购营商环境推动高质量发展的通知》的规定，</w:t>
            </w:r>
            <w:r>
              <w:rPr>
                <w:rFonts w:hint="eastAsia" w:ascii="宋体" w:hAnsi="宋体" w:eastAsia="宋体" w:cs="Courier New"/>
                <w:bCs/>
                <w:strike w:val="0"/>
                <w:color w:val="auto"/>
                <w:kern w:val="2"/>
                <w:sz w:val="21"/>
                <w:szCs w:val="21"/>
                <w:lang w:val="en-US" w:eastAsia="zh-CN" w:bidi="ar-SA"/>
              </w:rPr>
              <w:t>投标人在其投标文件中提供《中小企业声明函》且所投产品均为</w:t>
            </w:r>
            <w:r>
              <w:rPr>
                <w:rFonts w:hint="eastAsia" w:ascii="宋体" w:hAnsi="宋体" w:eastAsia="宋体" w:cs="宋体"/>
                <w:bCs/>
                <w:strike w:val="0"/>
                <w:color w:val="auto"/>
                <w:kern w:val="2"/>
                <w:sz w:val="21"/>
                <w:szCs w:val="21"/>
                <w:lang w:val="en-US" w:eastAsia="zh-CN" w:bidi="ar-SA"/>
              </w:rPr>
              <w:t>小型、微型企业生产的</w:t>
            </w:r>
            <w:r>
              <w:rPr>
                <w:rFonts w:hint="eastAsia" w:ascii="宋体" w:hAnsi="宋体" w:eastAsia="宋体" w:cs="Courier New"/>
                <w:bCs/>
                <w:strike w:val="0"/>
                <w:color w:val="auto"/>
                <w:kern w:val="2"/>
                <w:sz w:val="21"/>
                <w:szCs w:val="21"/>
                <w:lang w:val="en-US" w:eastAsia="zh-CN" w:bidi="ar-SA"/>
              </w:rPr>
              <w:t>，对其投标报价给予</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%的扣除，扣除后的价格为评标价，即评标价=投标报价×（1-</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w:t>
            </w:r>
          </w:p>
          <w:p w14:paraId="4675E3D0">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hint="eastAsia" w:ascii="宋体" w:hAnsi="宋体" w:eastAsia="宋体" w:cs="宋体"/>
                <w:strike w:val="0"/>
                <w:color w:val="auto"/>
                <w:kern w:val="2"/>
                <w:sz w:val="21"/>
                <w:szCs w:val="21"/>
                <w:lang w:val="en-US" w:eastAsia="zh-CN" w:bidi="ar-SA"/>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Courier New"/>
                <w:bCs/>
                <w:strike w:val="0"/>
                <w:color w:val="auto"/>
                <w:kern w:val="2"/>
                <w:sz w:val="21"/>
                <w:szCs w:val="21"/>
                <w:lang w:val="en-US" w:eastAsia="zh-CN" w:bidi="ar-SA"/>
              </w:rPr>
              <w:t>不重复享受政策。</w:t>
            </w:r>
          </w:p>
          <w:p w14:paraId="08FDDB35">
            <w:pPr>
              <w:widowControl w:val="0"/>
              <w:spacing w:line="400" w:lineRule="exact"/>
              <w:ind w:firstLine="420" w:firstLineChars="200"/>
              <w:jc w:val="both"/>
              <w:outlineLvl w:val="0"/>
              <w:rPr>
                <w:rFonts w:hint="eastAsia" w:ascii="宋体" w:hAnsi="宋体" w:eastAsia="宋体" w:cs="宋体"/>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3、</w:t>
            </w:r>
            <w:r>
              <w:rPr>
                <w:rFonts w:hint="eastAsia" w:ascii="宋体" w:hAnsi="宋体" w:eastAsia="宋体" w:cs="宋体"/>
                <w:strike w:val="0"/>
                <w:color w:val="auto"/>
                <w:kern w:val="2"/>
                <w:sz w:val="21"/>
                <w:szCs w:val="21"/>
                <w:lang w:val="en-US" w:eastAsia="zh-CN" w:bidi="ar-SA"/>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eastAsia="宋体" w:cs="Courier New"/>
                <w:bCs/>
                <w:strike w:val="0"/>
                <w:color w:val="auto"/>
                <w:kern w:val="2"/>
                <w:sz w:val="21"/>
                <w:szCs w:val="21"/>
                <w:lang w:val="en-US" w:eastAsia="zh-CN" w:bidi="ar-SA"/>
              </w:rPr>
              <w:t>不重复享受政策。</w:t>
            </w:r>
          </w:p>
          <w:p w14:paraId="0901D064">
            <w:pPr>
              <w:widowControl w:val="0"/>
              <w:spacing w:line="400" w:lineRule="exact"/>
              <w:jc w:val="both"/>
              <w:outlineLvl w:val="0"/>
              <w:rPr>
                <w:rFonts w:hint="eastAsia" w:ascii="宋体" w:hAnsi="宋体" w:eastAsia="宋体" w:cs="Courier New"/>
                <w:b/>
                <w:strike w:val="0"/>
                <w:color w:val="auto"/>
                <w:kern w:val="2"/>
                <w:sz w:val="21"/>
                <w:szCs w:val="21"/>
                <w:lang w:val="en-US" w:eastAsia="zh-CN" w:bidi="ar-SA"/>
              </w:rPr>
            </w:pPr>
            <w:r>
              <w:rPr>
                <w:rFonts w:hint="eastAsia" w:ascii="宋体" w:hAnsi="宋体" w:eastAsia="宋体" w:cs="Courier New"/>
                <w:b/>
                <w:strike w:val="0"/>
                <w:color w:val="auto"/>
                <w:kern w:val="2"/>
                <w:sz w:val="21"/>
                <w:szCs w:val="21"/>
                <w:lang w:val="en-US" w:eastAsia="zh-CN" w:bidi="ar-SA"/>
              </w:rPr>
              <w:t>二、价格分（满分30分）</w:t>
            </w:r>
          </w:p>
          <w:p w14:paraId="0F0707E5">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bCs/>
                <w:strike w:val="0"/>
                <w:color w:val="auto"/>
                <w:kern w:val="2"/>
                <w:sz w:val="21"/>
                <w:szCs w:val="21"/>
                <w:lang w:val="en-US" w:eastAsia="zh-CN" w:bidi="ar-SA"/>
              </w:rPr>
              <w:t>满足招标文件要求且</w:t>
            </w:r>
            <w:r>
              <w:rPr>
                <w:rFonts w:hint="eastAsia" w:ascii="宋体" w:hAnsi="宋体" w:eastAsia="宋体" w:cs="Courier New"/>
                <w:bCs/>
                <w:strike w:val="0"/>
                <w:color w:val="auto"/>
                <w:kern w:val="2"/>
                <w:sz w:val="21"/>
                <w:szCs w:val="21"/>
                <w:lang w:val="en-US" w:eastAsia="zh-CN" w:bidi="ar-SA"/>
              </w:rPr>
              <w:t>投标报价</w:t>
            </w:r>
            <w:r>
              <w:rPr>
                <w:rFonts w:ascii="宋体" w:hAnsi="宋体" w:eastAsia="宋体" w:cs="Courier New"/>
                <w:bCs/>
                <w:strike w:val="0"/>
                <w:color w:val="auto"/>
                <w:kern w:val="2"/>
                <w:sz w:val="21"/>
                <w:szCs w:val="21"/>
                <w:lang w:val="en-US" w:eastAsia="zh-CN" w:bidi="ar-SA"/>
              </w:rPr>
              <w:t>最低的</w:t>
            </w:r>
            <w:r>
              <w:rPr>
                <w:rFonts w:hint="eastAsia" w:ascii="宋体" w:hAnsi="宋体" w:eastAsia="宋体" w:cs="Courier New"/>
                <w:bCs/>
                <w:strike w:val="0"/>
                <w:color w:val="auto"/>
                <w:kern w:val="2"/>
                <w:sz w:val="21"/>
                <w:szCs w:val="21"/>
                <w:lang w:val="en-US" w:eastAsia="zh-CN" w:bidi="ar-SA"/>
              </w:rPr>
              <w:t>有效投标人的投标报价</w:t>
            </w:r>
            <w:r>
              <w:rPr>
                <w:rFonts w:ascii="宋体" w:hAnsi="宋体" w:eastAsia="宋体" w:cs="Courier New"/>
                <w:bCs/>
                <w:strike w:val="0"/>
                <w:color w:val="auto"/>
                <w:kern w:val="2"/>
                <w:sz w:val="21"/>
                <w:szCs w:val="21"/>
                <w:lang w:val="en-US" w:eastAsia="zh-CN" w:bidi="ar-SA"/>
              </w:rPr>
              <w:t>为评标基准价，其</w:t>
            </w:r>
            <w:r>
              <w:rPr>
                <w:rFonts w:hint="eastAsia" w:ascii="宋体" w:hAnsi="宋体" w:eastAsia="宋体" w:cs="Courier New"/>
                <w:bCs/>
                <w:strike w:val="0"/>
                <w:color w:val="auto"/>
                <w:kern w:val="2"/>
                <w:sz w:val="21"/>
                <w:szCs w:val="21"/>
                <w:lang w:val="en-US" w:eastAsia="zh-CN" w:bidi="ar-SA"/>
              </w:rPr>
              <w:t>价格</w:t>
            </w:r>
            <w:r>
              <w:rPr>
                <w:rFonts w:ascii="宋体" w:hAnsi="宋体" w:eastAsia="宋体" w:cs="Courier New"/>
                <w:bCs/>
                <w:strike w:val="0"/>
                <w:color w:val="auto"/>
                <w:kern w:val="2"/>
                <w:sz w:val="21"/>
                <w:szCs w:val="21"/>
                <w:lang w:val="en-US" w:eastAsia="zh-CN" w:bidi="ar-SA"/>
              </w:rPr>
              <w:t>分为满分。</w:t>
            </w:r>
          </w:p>
          <w:p w14:paraId="5EC30F07">
            <w:pPr>
              <w:widowControl w:val="0"/>
              <w:spacing w:line="400" w:lineRule="exact"/>
              <w:ind w:firstLine="420" w:firstLineChars="200"/>
              <w:jc w:val="both"/>
              <w:rPr>
                <w:rFonts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ascii="宋体" w:hAnsi="宋体" w:eastAsia="宋体" w:cs="Courier New"/>
                <w:bCs/>
                <w:strike w:val="0"/>
                <w:color w:val="auto"/>
                <w:kern w:val="2"/>
                <w:sz w:val="21"/>
                <w:szCs w:val="21"/>
                <w:lang w:val="en-US" w:eastAsia="zh-CN" w:bidi="ar-SA"/>
              </w:rPr>
              <w:t>其他投标人的价格分统一按照下列公式计算：</w:t>
            </w:r>
          </w:p>
          <w:p w14:paraId="3D098EC0">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某有效投标人的价格分</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w:t>
            </w:r>
            <w:r>
              <w:rPr>
                <w:rFonts w:ascii="宋体" w:hAnsi="宋体" w:eastAsia="宋体" w:cs="Courier New"/>
                <w:bCs/>
                <w:strike w:val="0"/>
                <w:color w:val="auto"/>
                <w:kern w:val="2"/>
                <w:sz w:val="21"/>
                <w:szCs w:val="21"/>
                <w:lang w:val="en-US" w:eastAsia="zh-CN" w:bidi="ar-SA"/>
              </w:rPr>
              <w:t>评标基准价／</w:t>
            </w:r>
            <w:r>
              <w:rPr>
                <w:rFonts w:hint="eastAsia" w:ascii="宋体" w:hAnsi="宋体" w:eastAsia="宋体" w:cs="Courier New"/>
                <w:bCs/>
                <w:strike w:val="0"/>
                <w:color w:val="auto"/>
                <w:kern w:val="2"/>
                <w:sz w:val="21"/>
                <w:szCs w:val="21"/>
                <w:lang w:val="en-US" w:eastAsia="zh-CN" w:bidi="ar-SA"/>
              </w:rPr>
              <w:t>某有效投标人投标报价）</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30分</w:t>
            </w:r>
          </w:p>
        </w:tc>
      </w:tr>
      <w:tr w14:paraId="484C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7672338A">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w:t>
            </w:r>
          </w:p>
        </w:tc>
        <w:tc>
          <w:tcPr>
            <w:tcW w:w="1461" w:type="dxa"/>
            <w:gridSpan w:val="2"/>
            <w:noWrap w:val="0"/>
            <w:vAlign w:val="center"/>
          </w:tcPr>
          <w:p w14:paraId="64623AB7">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bCs/>
                <w:strike w:val="0"/>
                <w:color w:val="auto"/>
                <w:kern w:val="0"/>
                <w:szCs w:val="21"/>
                <w:lang w:bidi="ar"/>
              </w:rPr>
              <w:t>技术性能分</w:t>
            </w:r>
          </w:p>
        </w:tc>
        <w:tc>
          <w:tcPr>
            <w:tcW w:w="691" w:type="dxa"/>
            <w:noWrap w:val="0"/>
            <w:vAlign w:val="center"/>
          </w:tcPr>
          <w:p w14:paraId="3AA9BB2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34</w:t>
            </w:r>
            <w:r>
              <w:rPr>
                <w:rFonts w:hint="eastAsia" w:ascii="宋体" w:hAnsi="宋体" w:eastAsia="宋体" w:cs="Times New Roman"/>
                <w:b/>
                <w:strike w:val="0"/>
                <w:color w:val="auto"/>
                <w:szCs w:val="21"/>
              </w:rPr>
              <w:t>分</w:t>
            </w:r>
          </w:p>
        </w:tc>
        <w:tc>
          <w:tcPr>
            <w:tcW w:w="6848" w:type="dxa"/>
            <w:noWrap w:val="0"/>
            <w:vAlign w:val="center"/>
          </w:tcPr>
          <w:p w14:paraId="1CD7ED66">
            <w:pPr>
              <w:widowControl/>
              <w:spacing w:line="500" w:lineRule="exact"/>
              <w:ind w:firstLine="0" w:firstLineChars="0"/>
              <w:jc w:val="left"/>
              <w:rPr>
                <w:rFonts w:hint="eastAsia" w:ascii="宋体" w:hAnsi="宋体" w:eastAsia="宋体" w:cs="Courier New"/>
                <w:strike w:val="0"/>
                <w:color w:val="auto"/>
                <w:szCs w:val="21"/>
              </w:rPr>
            </w:pPr>
            <w:bookmarkStart w:id="218" w:name="OLE_LINK32"/>
            <w:bookmarkStart w:id="219" w:name="OLE_LINK31"/>
            <w:r>
              <w:rPr>
                <w:rFonts w:hint="eastAsia" w:ascii="宋体" w:hAnsi="宋体" w:eastAsia="宋体" w:cs="Courier New"/>
                <w:strike w:val="0"/>
                <w:color w:val="auto"/>
                <w:szCs w:val="21"/>
              </w:rPr>
              <w:t>经评标委员会评定，根据投标人对标项</w:t>
            </w:r>
            <w:r>
              <w:rPr>
                <w:rFonts w:hint="eastAsia" w:ascii="宋体" w:hAnsi="宋体" w:eastAsia="宋体" w:cs="Courier New"/>
                <w:strike w:val="0"/>
                <w:color w:val="auto"/>
                <w:szCs w:val="21"/>
                <w:lang w:val="en-US" w:eastAsia="zh-CN"/>
              </w:rPr>
              <w:t>一</w:t>
            </w:r>
            <w:r>
              <w:rPr>
                <w:rFonts w:hint="eastAsia" w:ascii="宋体" w:hAnsi="宋体" w:eastAsia="宋体" w:cs="Courier New"/>
                <w:strike w:val="0"/>
                <w:color w:val="auto"/>
                <w:szCs w:val="21"/>
              </w:rPr>
              <w:t>技术要求标注</w:t>
            </w:r>
            <w:bookmarkStart w:id="238" w:name="_GoBack"/>
            <w:bookmarkEnd w:id="238"/>
            <w:r>
              <w:rPr>
                <w:rFonts w:hint="eastAsia" w:ascii="宋体" w:hAnsi="宋体" w:eastAsia="宋体" w:cs="Courier New"/>
                <w:strike w:val="0"/>
                <w:color w:val="auto"/>
                <w:szCs w:val="21"/>
              </w:rPr>
              <w:t>▲号的技术参数的响应情况进行评审：</w:t>
            </w:r>
          </w:p>
          <w:p w14:paraId="46FF0C56">
            <w:pPr>
              <w:pStyle w:val="18"/>
              <w:rPr>
                <w:rFonts w:hint="eastAsia" w:ascii="宋体" w:hAnsi="宋体" w:eastAsia="宋体" w:cs="Courier New"/>
                <w:b/>
                <w:strike w:val="0"/>
                <w:color w:val="auto"/>
              </w:rPr>
            </w:pPr>
            <w:r>
              <w:rPr>
                <w:rFonts w:hint="eastAsia" w:ascii="宋体" w:hAnsi="宋体" w:eastAsia="宋体" w:cs="Courier New"/>
                <w:strike w:val="0"/>
                <w:color w:val="auto"/>
                <w:szCs w:val="21"/>
              </w:rPr>
              <w:t>标注“▲”号的技术参数</w:t>
            </w:r>
            <w:r>
              <w:rPr>
                <w:rFonts w:hint="eastAsia" w:ascii="宋体" w:hAnsi="宋体" w:eastAsia="宋体" w:cs="Courier New"/>
                <w:strike w:val="0"/>
                <w:color w:val="auto"/>
                <w:szCs w:val="21"/>
                <w:lang w:val="en-US" w:eastAsia="zh-CN"/>
              </w:rPr>
              <w:t>(共</w:t>
            </w:r>
            <w:r>
              <w:rPr>
                <w:rFonts w:hint="eastAsia" w:ascii="宋体" w:hAnsi="宋体" w:cs="Courier New"/>
                <w:strike w:val="0"/>
                <w:color w:val="auto"/>
                <w:szCs w:val="21"/>
                <w:lang w:val="en-US" w:eastAsia="zh-CN"/>
              </w:rPr>
              <w:t>17</w:t>
            </w:r>
            <w:r>
              <w:rPr>
                <w:rFonts w:hint="eastAsia" w:ascii="宋体" w:hAnsi="宋体" w:eastAsia="宋体" w:cs="Courier New"/>
                <w:strike w:val="0"/>
                <w:color w:val="auto"/>
                <w:szCs w:val="21"/>
                <w:lang w:val="en-US" w:eastAsia="zh-CN"/>
              </w:rPr>
              <w:t>项)</w:t>
            </w:r>
            <w:r>
              <w:rPr>
                <w:rFonts w:hint="eastAsia" w:ascii="宋体" w:hAnsi="宋体" w:eastAsia="宋体" w:cs="Courier New"/>
                <w:strike w:val="0"/>
                <w:color w:val="auto"/>
                <w:szCs w:val="21"/>
              </w:rPr>
              <w:t>能</w:t>
            </w:r>
            <w:r>
              <w:rPr>
                <w:rFonts w:hint="eastAsia" w:ascii="宋体" w:hAnsi="宋体" w:eastAsia="宋体" w:cs="Courier New"/>
                <w:strike w:val="0"/>
                <w:color w:val="auto"/>
                <w:szCs w:val="21"/>
                <w:lang w:val="en-US" w:eastAsia="zh-CN"/>
              </w:rPr>
              <w:t>满足</w:t>
            </w:r>
            <w:r>
              <w:rPr>
                <w:rFonts w:hint="eastAsia" w:ascii="宋体" w:hAnsi="宋体" w:cs="Courier New"/>
                <w:strike w:val="0"/>
                <w:color w:val="auto"/>
                <w:szCs w:val="21"/>
                <w:lang w:val="en-US" w:eastAsia="zh-CN"/>
              </w:rPr>
              <w:t>或优于并提供厂家技术参数证明加盖厂商公章或产品功能截图等证明材料，材</w:t>
            </w:r>
            <w:r>
              <w:rPr>
                <w:rFonts w:hint="eastAsia" w:ascii="宋体" w:hAnsi="宋体" w:eastAsia="宋体" w:cs="Courier New"/>
                <w:strike w:val="0"/>
                <w:color w:val="auto"/>
                <w:szCs w:val="21"/>
              </w:rPr>
              <w:t>料须清晰，</w:t>
            </w:r>
            <w:r>
              <w:rPr>
                <w:rFonts w:hint="eastAsia" w:ascii="宋体" w:hAnsi="宋体" w:eastAsia="宋体" w:cs="Courier New"/>
                <w:strike w:val="0"/>
                <w:color w:val="auto"/>
                <w:szCs w:val="21"/>
                <w:lang w:val="en-US" w:eastAsia="zh-CN"/>
              </w:rPr>
              <w:t>每项</w:t>
            </w:r>
            <w:r>
              <w:rPr>
                <w:rFonts w:hint="eastAsia" w:ascii="宋体" w:hAnsi="宋体" w:eastAsia="宋体" w:cs="Courier New"/>
                <w:strike w:val="0"/>
                <w:color w:val="auto"/>
                <w:szCs w:val="21"/>
              </w:rPr>
              <w:t>得</w:t>
            </w:r>
            <w:r>
              <w:rPr>
                <w:rFonts w:hint="eastAsia" w:ascii="宋体" w:hAnsi="宋体" w:eastAsia="宋体" w:cs="Courier New"/>
                <w:strike w:val="0"/>
                <w:color w:val="auto"/>
                <w:szCs w:val="21"/>
                <w:lang w:val="en-US" w:eastAsia="zh-CN"/>
              </w:rPr>
              <w:t>2</w:t>
            </w:r>
            <w:r>
              <w:rPr>
                <w:rFonts w:hint="eastAsia" w:ascii="宋体" w:hAnsi="宋体" w:eastAsia="宋体" w:cs="Courier New"/>
                <w:strike w:val="0"/>
                <w:color w:val="auto"/>
                <w:szCs w:val="21"/>
              </w:rPr>
              <w:t>分，满分</w:t>
            </w:r>
            <w:r>
              <w:rPr>
                <w:rFonts w:hint="eastAsia" w:ascii="宋体" w:hAnsi="宋体" w:eastAsia="宋体" w:cs="Courier New"/>
                <w:strike w:val="0"/>
                <w:color w:val="auto"/>
                <w:szCs w:val="21"/>
                <w:lang w:val="en-US" w:eastAsia="zh-CN"/>
              </w:rPr>
              <w:t>34</w:t>
            </w:r>
            <w:r>
              <w:rPr>
                <w:rFonts w:hint="eastAsia" w:ascii="宋体" w:hAnsi="宋体" w:eastAsia="宋体" w:cs="Courier New"/>
                <w:strike w:val="0"/>
                <w:color w:val="auto"/>
                <w:szCs w:val="21"/>
              </w:rPr>
              <w:t>分；</w:t>
            </w:r>
            <w:bookmarkEnd w:id="218"/>
            <w:bookmarkEnd w:id="219"/>
          </w:p>
        </w:tc>
      </w:tr>
      <w:tr w14:paraId="124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7" w:type="dxa"/>
            <w:noWrap w:val="0"/>
            <w:vAlign w:val="center"/>
          </w:tcPr>
          <w:p w14:paraId="4262A30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w:t>
            </w:r>
          </w:p>
        </w:tc>
        <w:tc>
          <w:tcPr>
            <w:tcW w:w="1461" w:type="dxa"/>
            <w:gridSpan w:val="2"/>
            <w:noWrap w:val="0"/>
            <w:vAlign w:val="center"/>
          </w:tcPr>
          <w:p w14:paraId="3473AD2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strike w:val="0"/>
                <w:color w:val="auto"/>
                <w:szCs w:val="21"/>
              </w:rPr>
              <w:t>项目实施方案分</w:t>
            </w:r>
          </w:p>
        </w:tc>
        <w:tc>
          <w:tcPr>
            <w:tcW w:w="691" w:type="dxa"/>
            <w:noWrap w:val="0"/>
            <w:vAlign w:val="center"/>
          </w:tcPr>
          <w:p w14:paraId="6DFBC768">
            <w:pPr>
              <w:adjustRightInd w:val="0"/>
              <w:spacing w:line="400" w:lineRule="exact"/>
              <w:ind w:firstLine="0" w:firstLineChars="0"/>
              <w:jc w:val="center"/>
              <w:textAlignment w:val="baseline"/>
              <w:rPr>
                <w:rFonts w:hint="eastAsia" w:ascii="宋体" w:hAnsi="宋体" w:eastAsia="宋体" w:cs="Times New Roman"/>
                <w:b/>
                <w:strike w:val="0"/>
                <w:color w:val="auto"/>
                <w:szCs w:val="21"/>
                <w:highlight w:val="none"/>
              </w:rPr>
            </w:pPr>
            <w:r>
              <w:rPr>
                <w:rFonts w:hint="eastAsia" w:ascii="宋体" w:hAnsi="宋体" w:eastAsia="宋体" w:cs="Times New Roman"/>
                <w:b/>
                <w:strike w:val="0"/>
                <w:color w:val="auto"/>
                <w:szCs w:val="21"/>
                <w:highlight w:val="none"/>
                <w:lang w:val="en-US" w:eastAsia="zh-CN"/>
              </w:rPr>
              <w:t>16</w:t>
            </w:r>
            <w:r>
              <w:rPr>
                <w:rFonts w:hint="eastAsia" w:ascii="宋体" w:hAnsi="宋体" w:eastAsia="宋体" w:cs="Times New Roman"/>
                <w:b/>
                <w:strike w:val="0"/>
                <w:color w:val="auto"/>
                <w:szCs w:val="21"/>
                <w:highlight w:val="none"/>
              </w:rPr>
              <w:t>分</w:t>
            </w:r>
          </w:p>
        </w:tc>
        <w:tc>
          <w:tcPr>
            <w:tcW w:w="6848" w:type="dxa"/>
            <w:noWrap w:val="0"/>
            <w:vAlign w:val="center"/>
          </w:tcPr>
          <w:p w14:paraId="3152A7A7">
            <w:pPr>
              <w:spacing w:line="400" w:lineRule="exact"/>
              <w:ind w:firstLine="0" w:firstLineChars="0"/>
              <w:jc w:val="left"/>
              <w:rPr>
                <w:rFonts w:hint="eastAsia" w:ascii="宋体" w:hAnsi="宋体" w:eastAsia="宋体" w:cs="Times New Roman"/>
                <w:bCs/>
                <w:strike w:val="0"/>
                <w:color w:val="auto"/>
                <w:szCs w:val="21"/>
                <w:highlight w:val="none"/>
              </w:rPr>
            </w:pPr>
            <w:r>
              <w:rPr>
                <w:rFonts w:hint="eastAsia" w:ascii="宋体" w:hAnsi="宋体" w:eastAsia="宋体" w:cs="宋体"/>
                <w:bCs/>
                <w:strike w:val="0"/>
                <w:color w:val="auto"/>
                <w:kern w:val="0"/>
                <w:szCs w:val="21"/>
                <w:highlight w:val="none"/>
              </w:rPr>
              <w:t>由评委根据招标文件要求及投标人所提供的</w:t>
            </w:r>
            <w:r>
              <w:rPr>
                <w:rFonts w:hint="eastAsia" w:ascii="宋体" w:hAnsi="宋体" w:eastAsia="宋体" w:cs="Times New Roman"/>
                <w:bCs/>
                <w:strike w:val="0"/>
                <w:color w:val="auto"/>
                <w:szCs w:val="21"/>
                <w:highlight w:val="none"/>
              </w:rPr>
              <w:t>项目实施方案，包括</w:t>
            </w:r>
            <w:r>
              <w:rPr>
                <w:rFonts w:hint="eastAsia" w:ascii="宋体" w:hAnsi="宋体" w:eastAsia="宋体" w:cs="Times New Roman"/>
                <w:strike w:val="0"/>
                <w:color w:val="auto"/>
                <w:szCs w:val="21"/>
                <w:highlight w:val="none"/>
              </w:rPr>
              <w:t>对本项目系统总体要求的理解、实施</w:t>
            </w:r>
            <w:r>
              <w:rPr>
                <w:rFonts w:hint="eastAsia" w:ascii="宋体" w:hAnsi="宋体" w:eastAsia="宋体" w:cs="宋体"/>
                <w:strike w:val="0"/>
                <w:color w:val="auto"/>
                <w:spacing w:val="4"/>
                <w:szCs w:val="21"/>
                <w:highlight w:val="none"/>
              </w:rPr>
              <w:t>人员组织、实施进度管理等内容</w:t>
            </w:r>
            <w:r>
              <w:rPr>
                <w:rFonts w:hint="eastAsia" w:ascii="宋体" w:hAnsi="宋体" w:eastAsia="宋体" w:cs="Times New Roman"/>
                <w:bCs/>
                <w:strike w:val="0"/>
                <w:color w:val="auto"/>
                <w:szCs w:val="21"/>
                <w:highlight w:val="none"/>
              </w:rPr>
              <w:t>进行独立打分，不提供或达不到一档要求的不得分。</w:t>
            </w:r>
          </w:p>
          <w:p w14:paraId="627FC38D">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一档（</w:t>
            </w:r>
            <w:r>
              <w:rPr>
                <w:rFonts w:hint="eastAsia" w:ascii="宋体" w:hAnsi="宋体" w:eastAsia="宋体" w:cs="宋体"/>
                <w:bCs/>
                <w:strike w:val="0"/>
                <w:color w:val="auto"/>
                <w:kern w:val="0"/>
                <w:szCs w:val="21"/>
                <w:highlight w:val="none"/>
                <w:lang w:val="en-US" w:eastAsia="zh-CN"/>
              </w:rPr>
              <w:t>4</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3"/>
                <w:szCs w:val="21"/>
                <w:highlight w:val="none"/>
                <w:lang w:val="en-US" w:eastAsia="zh-CN"/>
              </w:rPr>
              <w:t>有</w:t>
            </w:r>
            <w:r>
              <w:rPr>
                <w:rFonts w:hint="eastAsia" w:ascii="宋体" w:hAnsi="宋体" w:eastAsia="宋体" w:cs="宋体"/>
                <w:strike w:val="0"/>
                <w:color w:val="auto"/>
                <w:spacing w:val="3"/>
                <w:szCs w:val="21"/>
                <w:highlight w:val="none"/>
              </w:rPr>
              <w:t>对项目的建设目标、实施要求的</w:t>
            </w:r>
            <w:r>
              <w:rPr>
                <w:rFonts w:hint="eastAsia" w:ascii="宋体" w:hAnsi="宋体" w:eastAsia="宋体" w:cs="宋体"/>
                <w:strike w:val="0"/>
                <w:color w:val="auto"/>
                <w:spacing w:val="2"/>
                <w:szCs w:val="21"/>
                <w:highlight w:val="none"/>
              </w:rPr>
              <w:t>理解，方案包含</w:t>
            </w:r>
            <w:r>
              <w:rPr>
                <w:rFonts w:hint="eastAsia" w:ascii="宋体" w:hAnsi="宋体" w:eastAsia="宋体" w:cs="宋体"/>
                <w:strike w:val="0"/>
                <w:color w:val="auto"/>
                <w:spacing w:val="4"/>
                <w:szCs w:val="21"/>
                <w:highlight w:val="none"/>
              </w:rPr>
              <w:t>有实施要点、人员组织、进度管理等相关内容</w:t>
            </w:r>
            <w:r>
              <w:rPr>
                <w:rFonts w:hint="eastAsia" w:ascii="宋体" w:hAnsi="宋体" w:eastAsia="宋体" w:cs="宋体"/>
                <w:bCs/>
                <w:strike w:val="0"/>
                <w:color w:val="auto"/>
                <w:kern w:val="0"/>
                <w:szCs w:val="21"/>
                <w:highlight w:val="none"/>
              </w:rPr>
              <w:t>。</w:t>
            </w:r>
          </w:p>
          <w:p w14:paraId="5FA498EA">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二档（</w:t>
            </w:r>
            <w:r>
              <w:rPr>
                <w:rFonts w:hint="eastAsia" w:ascii="宋体" w:hAnsi="宋体" w:eastAsia="宋体" w:cs="宋体"/>
                <w:bCs/>
                <w:strike w:val="0"/>
                <w:color w:val="auto"/>
                <w:kern w:val="0"/>
                <w:szCs w:val="21"/>
                <w:highlight w:val="none"/>
                <w:lang w:val="en-US" w:eastAsia="zh-CN"/>
              </w:rPr>
              <w:t>8</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8"/>
                <w:szCs w:val="21"/>
                <w:highlight w:val="none"/>
              </w:rPr>
              <w:t>满足一档的基础上，</w:t>
            </w:r>
            <w:r>
              <w:rPr>
                <w:rFonts w:hint="eastAsia" w:ascii="宋体" w:hAnsi="宋体" w:eastAsia="宋体" w:cs="宋体"/>
                <w:strike w:val="0"/>
                <w:color w:val="auto"/>
                <w:spacing w:val="8"/>
                <w:szCs w:val="21"/>
                <w:highlight w:val="none"/>
                <w:lang w:val="en-US" w:eastAsia="zh-CN"/>
              </w:rPr>
              <w:t>有</w:t>
            </w:r>
            <w:r>
              <w:rPr>
                <w:rFonts w:hint="eastAsia" w:ascii="宋体" w:hAnsi="宋体" w:eastAsia="宋体" w:cs="宋体"/>
                <w:strike w:val="0"/>
                <w:color w:val="auto"/>
                <w:spacing w:val="8"/>
                <w:szCs w:val="21"/>
                <w:highlight w:val="none"/>
              </w:rPr>
              <w:t>针对教室多媒体教学、</w:t>
            </w:r>
            <w:r>
              <w:rPr>
                <w:rFonts w:hint="eastAsia" w:ascii="宋体" w:hAnsi="宋体" w:eastAsia="宋体" w:cs="宋体"/>
                <w:strike w:val="0"/>
                <w:color w:val="auto"/>
                <w:spacing w:val="8"/>
                <w:szCs w:val="21"/>
                <w:highlight w:val="none"/>
                <w:lang w:val="en-US" w:eastAsia="zh-CN"/>
              </w:rPr>
              <w:t>计算机教室的</w:t>
            </w:r>
            <w:r>
              <w:rPr>
                <w:rFonts w:hint="eastAsia" w:ascii="宋体" w:hAnsi="宋体" w:eastAsia="宋体" w:cs="宋体"/>
                <w:strike w:val="0"/>
                <w:color w:val="auto"/>
                <w:spacing w:val="8"/>
                <w:szCs w:val="21"/>
                <w:highlight w:val="none"/>
              </w:rPr>
              <w:t>需求理解</w:t>
            </w:r>
            <w:r>
              <w:rPr>
                <w:rFonts w:hint="eastAsia" w:ascii="宋体" w:hAnsi="宋体" w:eastAsia="宋体" w:cs="宋体"/>
                <w:strike w:val="0"/>
                <w:color w:val="auto"/>
                <w:spacing w:val="6"/>
                <w:szCs w:val="21"/>
                <w:highlight w:val="none"/>
              </w:rPr>
              <w:t>，具有针对教室环境的设</w:t>
            </w:r>
            <w:r>
              <w:rPr>
                <w:rFonts w:hint="eastAsia" w:ascii="宋体" w:hAnsi="宋体" w:eastAsia="宋体" w:cs="宋体"/>
                <w:strike w:val="0"/>
                <w:color w:val="auto"/>
                <w:spacing w:val="5"/>
                <w:szCs w:val="21"/>
                <w:highlight w:val="none"/>
              </w:rPr>
              <w:t>计方案，</w:t>
            </w:r>
            <w:r>
              <w:rPr>
                <w:rFonts w:hint="eastAsia" w:ascii="宋体" w:hAnsi="宋体" w:eastAsia="宋体" w:cs="宋体"/>
                <w:strike w:val="0"/>
                <w:color w:val="auto"/>
                <w:spacing w:val="11"/>
                <w:szCs w:val="21"/>
                <w:highlight w:val="none"/>
              </w:rPr>
              <w:t>提供教室场景简要设计图</w:t>
            </w:r>
            <w:r>
              <w:rPr>
                <w:rFonts w:hint="eastAsia" w:ascii="宋体" w:hAnsi="宋体" w:eastAsia="宋体" w:cs="宋体"/>
                <w:bCs/>
                <w:strike w:val="0"/>
                <w:color w:val="auto"/>
                <w:kern w:val="0"/>
                <w:szCs w:val="21"/>
                <w:highlight w:val="none"/>
              </w:rPr>
              <w:t>。</w:t>
            </w:r>
          </w:p>
          <w:p w14:paraId="0476A469">
            <w:pPr>
              <w:snapToGrid w:val="0"/>
              <w:spacing w:line="400" w:lineRule="exact"/>
              <w:ind w:firstLine="420" w:firstLineChars="200"/>
              <w:rPr>
                <w:rFonts w:hint="eastAsia" w:ascii="宋体" w:hAnsi="宋体" w:eastAsia="宋体" w:cs="宋体"/>
                <w:b w:val="0"/>
                <w:bCs/>
                <w:strike w:val="0"/>
                <w:color w:val="auto"/>
                <w:spacing w:val="9"/>
                <w:szCs w:val="21"/>
                <w:highlight w:val="none"/>
              </w:rPr>
            </w:pPr>
            <w:r>
              <w:rPr>
                <w:rFonts w:hint="eastAsia" w:ascii="宋体" w:hAnsi="宋体" w:eastAsia="宋体" w:cs="宋体"/>
                <w:b w:val="0"/>
                <w:bCs/>
                <w:strike w:val="0"/>
                <w:color w:val="auto"/>
                <w:kern w:val="0"/>
                <w:szCs w:val="21"/>
                <w:highlight w:val="none"/>
              </w:rPr>
              <w:t>三档（</w:t>
            </w:r>
            <w:r>
              <w:rPr>
                <w:rFonts w:hint="eastAsia" w:ascii="宋体" w:hAnsi="宋体" w:eastAsia="宋体" w:cs="宋体"/>
                <w:b w:val="0"/>
                <w:bCs/>
                <w:strike w:val="0"/>
                <w:color w:val="auto"/>
                <w:kern w:val="0"/>
                <w:szCs w:val="21"/>
                <w:highlight w:val="none"/>
                <w:lang w:val="en-US" w:eastAsia="zh-CN"/>
              </w:rPr>
              <w:t>12</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满足二档的基础上，</w:t>
            </w:r>
            <w:r>
              <w:rPr>
                <w:rFonts w:hint="eastAsia" w:ascii="宋体" w:hAnsi="宋体" w:eastAsia="宋体" w:cs="宋体"/>
                <w:b w:val="0"/>
                <w:bCs/>
                <w:strike w:val="0"/>
                <w:color w:val="auto"/>
                <w:spacing w:val="11"/>
                <w:szCs w:val="21"/>
                <w:highlight w:val="none"/>
              </w:rPr>
              <w:t>实施方案内容完善，针对本项目教室环境提供设计方案、教室</w:t>
            </w:r>
            <w:r>
              <w:rPr>
                <w:rFonts w:hint="eastAsia" w:ascii="宋体" w:hAnsi="宋体" w:eastAsia="宋体" w:cs="宋体"/>
                <w:b w:val="0"/>
                <w:bCs/>
                <w:strike w:val="0"/>
                <w:color w:val="auto"/>
                <w:spacing w:val="10"/>
                <w:szCs w:val="21"/>
                <w:highlight w:val="none"/>
              </w:rPr>
              <w:t>场景设</w:t>
            </w:r>
            <w:r>
              <w:rPr>
                <w:rFonts w:hint="eastAsia" w:ascii="宋体" w:hAnsi="宋体" w:eastAsia="宋体" w:cs="宋体"/>
                <w:b w:val="0"/>
                <w:bCs/>
                <w:strike w:val="0"/>
                <w:color w:val="auto"/>
                <w:spacing w:val="11"/>
                <w:szCs w:val="21"/>
                <w:highlight w:val="none"/>
              </w:rPr>
              <w:t>计效果图、教室平面图；安装进度控制以及各种保障措施，贴合采购人的实际需求</w:t>
            </w:r>
            <w:r>
              <w:rPr>
                <w:rFonts w:hint="eastAsia" w:ascii="宋体" w:hAnsi="宋体" w:eastAsia="宋体" w:cs="宋体"/>
                <w:b w:val="0"/>
                <w:bCs/>
                <w:strike w:val="0"/>
                <w:color w:val="auto"/>
                <w:spacing w:val="9"/>
                <w:szCs w:val="21"/>
                <w:highlight w:val="none"/>
              </w:rPr>
              <w:t>。</w:t>
            </w:r>
          </w:p>
          <w:p w14:paraId="4FB83130">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 w:val="0"/>
                <w:bCs/>
                <w:strike w:val="0"/>
                <w:color w:val="auto"/>
                <w:kern w:val="0"/>
                <w:szCs w:val="21"/>
                <w:highlight w:val="none"/>
              </w:rPr>
              <w:t>四档（</w:t>
            </w:r>
            <w:r>
              <w:rPr>
                <w:rFonts w:hint="eastAsia" w:ascii="宋体" w:hAnsi="宋体" w:eastAsia="宋体" w:cs="宋体"/>
                <w:b w:val="0"/>
                <w:bCs/>
                <w:strike w:val="0"/>
                <w:color w:val="auto"/>
                <w:kern w:val="0"/>
                <w:szCs w:val="21"/>
                <w:highlight w:val="none"/>
                <w:lang w:val="en-US" w:eastAsia="zh-CN"/>
              </w:rPr>
              <w:t>16</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满足三档的基础上，</w:t>
            </w:r>
            <w:r>
              <w:rPr>
                <w:rFonts w:hint="eastAsia" w:ascii="宋体" w:hAnsi="宋体" w:eastAsia="宋体" w:cs="宋体"/>
                <w:b w:val="0"/>
                <w:bCs/>
                <w:strike w:val="0"/>
                <w:color w:val="auto"/>
                <w:spacing w:val="11"/>
                <w:szCs w:val="21"/>
                <w:highlight w:val="none"/>
              </w:rPr>
              <w:t>具备教学</w:t>
            </w:r>
            <w:r>
              <w:rPr>
                <w:rFonts w:hint="eastAsia" w:ascii="宋体" w:hAnsi="宋体" w:eastAsia="宋体" w:cs="宋体"/>
                <w:b w:val="0"/>
                <w:bCs/>
                <w:strike w:val="0"/>
                <w:color w:val="auto"/>
                <w:spacing w:val="7"/>
                <w:szCs w:val="21"/>
                <w:highlight w:val="none"/>
              </w:rPr>
              <w:t>运营保障机制</w:t>
            </w:r>
            <w:r>
              <w:rPr>
                <w:rFonts w:hint="eastAsia" w:ascii="宋体" w:hAnsi="宋体" w:eastAsia="宋体" w:cs="宋体"/>
                <w:b w:val="0"/>
                <w:bCs/>
                <w:strike w:val="0"/>
                <w:color w:val="auto"/>
                <w:kern w:val="0"/>
                <w:szCs w:val="21"/>
                <w:highlight w:val="none"/>
              </w:rPr>
              <w:t>，</w:t>
            </w:r>
            <w:r>
              <w:rPr>
                <w:rFonts w:hint="eastAsia" w:ascii="宋体" w:hAnsi="宋体" w:eastAsia="宋体" w:cs="宋体"/>
                <w:b w:val="0"/>
                <w:bCs/>
                <w:strike w:val="0"/>
                <w:color w:val="auto"/>
                <w:spacing w:val="11"/>
                <w:szCs w:val="21"/>
                <w:highlight w:val="none"/>
              </w:rPr>
              <w:t>满足采购需求中的教学软件；</w:t>
            </w:r>
            <w:r>
              <w:rPr>
                <w:rFonts w:hint="eastAsia" w:ascii="宋体" w:hAnsi="宋体" w:eastAsia="宋体" w:cs="宋体"/>
                <w:b w:val="0"/>
                <w:bCs/>
                <w:strike w:val="0"/>
                <w:color w:val="auto"/>
                <w:kern w:val="0"/>
                <w:szCs w:val="21"/>
                <w:highlight w:val="none"/>
              </w:rPr>
              <w:t>拟投入人员职责分工具体明确，有专门的质量技术管理班子，人员配备，工作程序，防范和控制风险制度，质量控制措施，内控措施，</w:t>
            </w:r>
            <w:r>
              <w:rPr>
                <w:rFonts w:hint="eastAsia" w:ascii="宋体" w:hAnsi="宋体" w:eastAsia="宋体" w:cs="宋体"/>
                <w:b w:val="0"/>
                <w:bCs/>
                <w:strike w:val="0"/>
                <w:color w:val="auto"/>
                <w:spacing w:val="11"/>
                <w:szCs w:val="21"/>
                <w:highlight w:val="none"/>
              </w:rPr>
              <w:t>具备</w:t>
            </w:r>
            <w:r>
              <w:rPr>
                <w:rFonts w:hint="eastAsia" w:ascii="宋体" w:hAnsi="宋体" w:eastAsia="宋体" w:cs="宋体"/>
                <w:b w:val="0"/>
                <w:bCs/>
                <w:strike w:val="0"/>
                <w:color w:val="auto"/>
                <w:spacing w:val="9"/>
                <w:szCs w:val="21"/>
                <w:highlight w:val="none"/>
              </w:rPr>
              <w:t>安装调试、系统服务能力以及提供关键性技术支撑，优于本项目需求。</w:t>
            </w:r>
          </w:p>
        </w:tc>
      </w:tr>
      <w:tr w14:paraId="4F52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567" w:type="dxa"/>
            <w:noWrap w:val="0"/>
            <w:vAlign w:val="center"/>
          </w:tcPr>
          <w:p w14:paraId="30E5A64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4</w:t>
            </w:r>
          </w:p>
        </w:tc>
        <w:tc>
          <w:tcPr>
            <w:tcW w:w="1461" w:type="dxa"/>
            <w:gridSpan w:val="2"/>
            <w:noWrap w:val="0"/>
            <w:vAlign w:val="center"/>
          </w:tcPr>
          <w:p w14:paraId="25E32B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售后服务方案分</w:t>
            </w:r>
          </w:p>
        </w:tc>
        <w:tc>
          <w:tcPr>
            <w:tcW w:w="691" w:type="dxa"/>
            <w:noWrap w:val="0"/>
            <w:vAlign w:val="center"/>
          </w:tcPr>
          <w:p w14:paraId="47AEE1B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16</w:t>
            </w:r>
            <w:r>
              <w:rPr>
                <w:rFonts w:hint="eastAsia" w:ascii="宋体" w:hAnsi="宋体" w:eastAsia="宋体" w:cs="Times New Roman"/>
                <w:b/>
                <w:strike w:val="0"/>
                <w:color w:val="auto"/>
                <w:szCs w:val="21"/>
              </w:rPr>
              <w:t>分</w:t>
            </w:r>
          </w:p>
        </w:tc>
        <w:tc>
          <w:tcPr>
            <w:tcW w:w="6848" w:type="dxa"/>
            <w:noWrap w:val="0"/>
            <w:vAlign w:val="center"/>
          </w:tcPr>
          <w:p w14:paraId="569B651D">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由评委根据招标文件要求及投标人所提供的</w:t>
            </w:r>
            <w:r>
              <w:rPr>
                <w:rFonts w:hint="eastAsia" w:ascii="宋体" w:hAnsi="宋体" w:eastAsia="宋体" w:cs="Times New Roman"/>
                <w:bCs/>
                <w:strike w:val="0"/>
                <w:color w:val="auto"/>
                <w:szCs w:val="21"/>
              </w:rPr>
              <w:t>售后服务方案，包括</w:t>
            </w:r>
            <w:r>
              <w:rPr>
                <w:rFonts w:hint="eastAsia" w:ascii="宋体" w:hAnsi="宋体" w:eastAsia="宋体" w:cs="宋体"/>
                <w:strike w:val="0"/>
                <w:color w:val="auto"/>
              </w:rPr>
              <w:t>保修期、保修期内和保修期外保修维修养护具体措施、安全保障措施、服务响应时间、服务质量保障、应急处理方案等内容</w:t>
            </w:r>
            <w:r>
              <w:rPr>
                <w:rFonts w:hint="eastAsia" w:ascii="宋体" w:hAnsi="宋体" w:eastAsia="宋体" w:cs="Times New Roman"/>
                <w:bCs/>
                <w:strike w:val="0"/>
                <w:color w:val="auto"/>
                <w:szCs w:val="21"/>
              </w:rPr>
              <w:t>进行独立打分，不提供或达不到一档要求的不得分。</w:t>
            </w:r>
          </w:p>
          <w:p w14:paraId="45CE7F3C">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一档（</w:t>
            </w:r>
            <w:r>
              <w:rPr>
                <w:rFonts w:hint="eastAsia" w:ascii="宋体" w:hAnsi="宋体" w:eastAsia="宋体" w:cs="宋体"/>
                <w:bCs/>
                <w:strike w:val="0"/>
                <w:color w:val="auto"/>
                <w:kern w:val="0"/>
                <w:szCs w:val="21"/>
                <w:lang w:val="en-US" w:eastAsia="zh-CN"/>
              </w:rPr>
              <w:t>4</w:t>
            </w:r>
            <w:r>
              <w:rPr>
                <w:rFonts w:hint="eastAsia" w:ascii="宋体" w:hAnsi="宋体" w:eastAsia="宋体" w:cs="宋体"/>
                <w:bCs/>
                <w:strike w:val="0"/>
                <w:color w:val="auto"/>
                <w:kern w:val="0"/>
                <w:szCs w:val="21"/>
              </w:rPr>
              <w:t>分）：</w:t>
            </w:r>
            <w:r>
              <w:rPr>
                <w:rFonts w:hint="eastAsia" w:ascii="宋体" w:hAnsi="宋体" w:eastAsia="宋体" w:cs="宋体"/>
                <w:bCs/>
                <w:strike w:val="0"/>
                <w:color w:val="auto"/>
                <w:kern w:val="0"/>
                <w:szCs w:val="21"/>
                <w:lang w:val="en-US" w:eastAsia="zh-CN"/>
              </w:rPr>
              <w:t>有</w:t>
            </w:r>
            <w:r>
              <w:rPr>
                <w:rFonts w:hint="eastAsia" w:ascii="宋体" w:hAnsi="宋体" w:eastAsia="宋体" w:cs="宋体"/>
                <w:bCs/>
                <w:strike w:val="0"/>
                <w:color w:val="auto"/>
                <w:kern w:val="0"/>
                <w:szCs w:val="21"/>
              </w:rPr>
              <w:t>售后服务方案，</w:t>
            </w:r>
            <w:r>
              <w:rPr>
                <w:rFonts w:hint="eastAsia" w:ascii="宋体" w:hAnsi="宋体" w:eastAsia="宋体" w:cs="宋体"/>
                <w:bCs/>
                <w:strike w:val="0"/>
                <w:color w:val="auto"/>
                <w:kern w:val="0"/>
                <w:szCs w:val="21"/>
                <w:lang w:val="en-US" w:eastAsia="zh-CN"/>
              </w:rPr>
              <w:t>但</w:t>
            </w:r>
            <w:r>
              <w:rPr>
                <w:rFonts w:hint="eastAsia" w:ascii="宋体" w:hAnsi="宋体" w:eastAsia="宋体" w:cs="宋体"/>
                <w:strike w:val="0"/>
                <w:color w:val="auto"/>
              </w:rPr>
              <w:t>没有从项目具体需求出发</w:t>
            </w:r>
            <w:r>
              <w:rPr>
                <w:rFonts w:hint="eastAsia" w:ascii="宋体" w:hAnsi="宋体" w:eastAsia="宋体" w:cs="宋体"/>
                <w:bCs/>
                <w:strike w:val="0"/>
                <w:color w:val="auto"/>
                <w:kern w:val="0"/>
                <w:szCs w:val="21"/>
              </w:rPr>
              <w:t>。</w:t>
            </w:r>
          </w:p>
          <w:p w14:paraId="6A59C6E6">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二档（</w:t>
            </w:r>
            <w:r>
              <w:rPr>
                <w:rFonts w:hint="eastAsia" w:ascii="宋体" w:hAnsi="宋体" w:eastAsia="宋体" w:cs="宋体"/>
                <w:bCs/>
                <w:strike w:val="0"/>
                <w:color w:val="auto"/>
                <w:kern w:val="0"/>
                <w:szCs w:val="21"/>
                <w:lang w:val="en-US" w:eastAsia="zh-CN"/>
              </w:rPr>
              <w:t>8</w:t>
            </w:r>
            <w:r>
              <w:rPr>
                <w:rFonts w:hint="eastAsia" w:ascii="宋体" w:hAnsi="宋体" w:eastAsia="宋体" w:cs="宋体"/>
                <w:bCs/>
                <w:strike w:val="0"/>
                <w:color w:val="auto"/>
                <w:kern w:val="0"/>
                <w:szCs w:val="21"/>
              </w:rPr>
              <w:t>分）：</w:t>
            </w:r>
            <w:r>
              <w:rPr>
                <w:rFonts w:hint="eastAsia" w:ascii="宋体" w:hAnsi="宋体" w:eastAsia="宋体" w:cs="宋体"/>
                <w:bCs/>
                <w:strike w:val="0"/>
                <w:color w:val="auto"/>
                <w:kern w:val="0"/>
                <w:szCs w:val="21"/>
                <w:lang w:val="en-US" w:eastAsia="zh-CN"/>
              </w:rPr>
              <w:t>有</w:t>
            </w:r>
            <w:r>
              <w:rPr>
                <w:rFonts w:hint="eastAsia" w:ascii="宋体" w:hAnsi="宋体" w:eastAsia="宋体" w:cs="宋体"/>
                <w:bCs/>
                <w:strike w:val="0"/>
                <w:color w:val="auto"/>
                <w:kern w:val="0"/>
                <w:szCs w:val="21"/>
              </w:rPr>
              <w:t>售后服务方案，提供</w:t>
            </w:r>
            <w:r>
              <w:rPr>
                <w:rFonts w:hint="eastAsia" w:ascii="宋体" w:hAnsi="宋体" w:eastAsia="宋体" w:cs="宋体"/>
                <w:strike w:val="0"/>
                <w:color w:val="auto"/>
              </w:rPr>
              <w:t>保修期、保修期内和保修期外保修维修养护措施、安全保障措施</w:t>
            </w:r>
            <w:r>
              <w:rPr>
                <w:rFonts w:hint="eastAsia" w:ascii="宋体" w:hAnsi="宋体" w:eastAsia="宋体" w:cs="宋体"/>
                <w:bCs/>
                <w:strike w:val="0"/>
                <w:color w:val="auto"/>
                <w:kern w:val="0"/>
                <w:szCs w:val="21"/>
              </w:rPr>
              <w:t>等内容。</w:t>
            </w:r>
          </w:p>
          <w:p w14:paraId="5F0EE437">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三档（</w:t>
            </w:r>
            <w:r>
              <w:rPr>
                <w:rFonts w:hint="eastAsia" w:ascii="宋体" w:hAnsi="宋体" w:eastAsia="宋体" w:cs="宋体"/>
                <w:bCs/>
                <w:strike w:val="0"/>
                <w:color w:val="auto"/>
                <w:kern w:val="0"/>
                <w:szCs w:val="21"/>
                <w:lang w:val="en-US" w:eastAsia="zh-CN"/>
              </w:rPr>
              <w:t>12</w:t>
            </w:r>
            <w:r>
              <w:rPr>
                <w:rFonts w:hint="eastAsia" w:ascii="宋体" w:hAnsi="宋体" w:eastAsia="宋体" w:cs="宋体"/>
                <w:bCs/>
                <w:strike w:val="0"/>
                <w:color w:val="auto"/>
                <w:kern w:val="0"/>
                <w:szCs w:val="21"/>
              </w:rPr>
              <w:t>分）：在二档的基础上，售后服务响应时效优于招标文件要求，有具体的</w:t>
            </w:r>
            <w:r>
              <w:rPr>
                <w:rFonts w:hint="eastAsia" w:ascii="宋体" w:hAnsi="宋体" w:eastAsia="宋体" w:cs="Times New Roman"/>
                <w:bCs/>
                <w:strike w:val="0"/>
                <w:color w:val="auto"/>
              </w:rPr>
              <w:t>问题产品替换方案</w:t>
            </w:r>
            <w:r>
              <w:rPr>
                <w:rFonts w:hint="eastAsia" w:ascii="宋体" w:hAnsi="宋体" w:eastAsia="宋体" w:cs="宋体"/>
                <w:bCs/>
                <w:strike w:val="0"/>
                <w:color w:val="auto"/>
                <w:kern w:val="0"/>
                <w:szCs w:val="21"/>
              </w:rPr>
              <w:t>，</w:t>
            </w:r>
            <w:r>
              <w:rPr>
                <w:rFonts w:ascii="宋体" w:hAnsi="宋体" w:eastAsia="宋体" w:cs="Times New Roman"/>
                <w:strike w:val="0"/>
                <w:color w:val="auto"/>
              </w:rPr>
              <w:t>保证项目</w:t>
            </w:r>
            <w:r>
              <w:rPr>
                <w:rFonts w:hint="eastAsia" w:ascii="宋体" w:hAnsi="宋体" w:eastAsia="宋体" w:cs="Times New Roman"/>
                <w:strike w:val="0"/>
                <w:color w:val="auto"/>
              </w:rPr>
              <w:t>售后</w:t>
            </w:r>
            <w:r>
              <w:rPr>
                <w:rFonts w:ascii="宋体" w:hAnsi="宋体" w:eastAsia="宋体" w:cs="Times New Roman"/>
                <w:strike w:val="0"/>
                <w:color w:val="auto"/>
              </w:rPr>
              <w:t>的技术力量和人力资源，</w:t>
            </w:r>
            <w:r>
              <w:rPr>
                <w:rFonts w:hint="eastAsia" w:ascii="宋体" w:hAnsi="宋体" w:eastAsia="宋体" w:cs="Times New Roman"/>
                <w:strike w:val="0"/>
                <w:color w:val="auto"/>
                <w:lang w:val="en-US" w:eastAsia="zh-CN"/>
              </w:rPr>
              <w:t>有</w:t>
            </w:r>
            <w:r>
              <w:rPr>
                <w:rFonts w:hint="eastAsia" w:ascii="宋体" w:hAnsi="宋体" w:eastAsia="宋体" w:cs="Times New Roman"/>
                <w:strike w:val="0"/>
                <w:color w:val="auto"/>
              </w:rPr>
              <w:t>技术支持服务</w:t>
            </w:r>
            <w:r>
              <w:rPr>
                <w:rFonts w:ascii="宋体" w:hAnsi="宋体" w:eastAsia="宋体" w:cs="Times New Roman"/>
                <w:strike w:val="0"/>
                <w:color w:val="auto"/>
              </w:rPr>
              <w:t>、技术培训的服务内容和措施</w:t>
            </w:r>
            <w:r>
              <w:rPr>
                <w:rFonts w:hint="eastAsia" w:ascii="宋体" w:hAnsi="宋体" w:eastAsia="宋体" w:cs="宋体"/>
                <w:bCs/>
                <w:strike w:val="0"/>
                <w:color w:val="auto"/>
                <w:kern w:val="0"/>
                <w:szCs w:val="21"/>
              </w:rPr>
              <w:t>。</w:t>
            </w:r>
          </w:p>
          <w:p w14:paraId="71527C47">
            <w:pPr>
              <w:autoSpaceDE w:val="0"/>
              <w:autoSpaceDN w:val="0"/>
              <w:snapToGrid w:val="0"/>
              <w:spacing w:line="400" w:lineRule="exact"/>
              <w:ind w:firstLine="420" w:firstLineChars="200"/>
              <w:rPr>
                <w:rFonts w:hint="eastAsia" w:ascii="宋体" w:hAnsi="宋体" w:eastAsia="宋体" w:cs="宋体"/>
                <w:bCs/>
                <w:strike w:val="0"/>
                <w:color w:val="auto"/>
                <w:kern w:val="0"/>
                <w:sz w:val="21"/>
                <w:szCs w:val="21"/>
                <w:lang w:val="en-US" w:eastAsia="zh-CN" w:bidi="ar-SA"/>
              </w:rPr>
            </w:pPr>
            <w:r>
              <w:rPr>
                <w:rFonts w:hint="eastAsia" w:ascii="宋体" w:hAnsi="宋体" w:eastAsia="宋体" w:cs="宋体"/>
                <w:bCs/>
                <w:strike w:val="0"/>
                <w:color w:val="auto"/>
                <w:kern w:val="0"/>
                <w:szCs w:val="21"/>
              </w:rPr>
              <w:t>四档（</w:t>
            </w:r>
            <w:r>
              <w:rPr>
                <w:rFonts w:hint="eastAsia" w:ascii="宋体" w:hAnsi="宋体" w:eastAsia="宋体" w:cs="宋体"/>
                <w:bCs/>
                <w:strike w:val="0"/>
                <w:color w:val="auto"/>
                <w:kern w:val="0"/>
                <w:szCs w:val="21"/>
                <w:lang w:val="en-US" w:eastAsia="zh-CN"/>
              </w:rPr>
              <w:t>16</w:t>
            </w:r>
            <w:r>
              <w:rPr>
                <w:rFonts w:hint="eastAsia" w:ascii="宋体" w:hAnsi="宋体" w:eastAsia="宋体" w:cs="宋体"/>
                <w:bCs/>
                <w:strike w:val="0"/>
                <w:color w:val="auto"/>
                <w:kern w:val="0"/>
                <w:szCs w:val="21"/>
              </w:rPr>
              <w:t>分）：在三档的基础上，针对项目出现的各种不同突发情况等提出具体的应急处理措施，切合项目实际，配备售后服务团队，分工明确，有具体的售后</w:t>
            </w:r>
            <w:r>
              <w:rPr>
                <w:rFonts w:ascii="宋体" w:hAnsi="宋体" w:eastAsia="宋体" w:cs="Times New Roman"/>
                <w:strike w:val="0"/>
                <w:color w:val="auto"/>
              </w:rPr>
              <w:t>组织管理措施</w:t>
            </w:r>
            <w:r>
              <w:rPr>
                <w:rFonts w:hint="eastAsia" w:ascii="宋体" w:hAnsi="宋体" w:eastAsia="宋体" w:cs="宋体"/>
                <w:bCs/>
                <w:strike w:val="0"/>
                <w:color w:val="auto"/>
                <w:kern w:val="0"/>
                <w:szCs w:val="21"/>
              </w:rPr>
              <w:t>、</w:t>
            </w:r>
            <w:r>
              <w:rPr>
                <w:rFonts w:ascii="宋体" w:hAnsi="宋体" w:eastAsia="宋体" w:cs="Times New Roman"/>
                <w:strike w:val="0"/>
                <w:color w:val="auto"/>
              </w:rPr>
              <w:t>质量进度计划控制流程</w:t>
            </w:r>
            <w:r>
              <w:rPr>
                <w:rFonts w:hint="eastAsia" w:ascii="宋体" w:hAnsi="宋体" w:eastAsia="宋体" w:cs="Times New Roman"/>
                <w:strike w:val="0"/>
                <w:color w:val="auto"/>
              </w:rPr>
              <w:t>、</w:t>
            </w:r>
            <w:r>
              <w:rPr>
                <w:rFonts w:hint="eastAsia" w:ascii="宋体" w:hAnsi="宋体" w:eastAsia="宋体" w:cs="宋体"/>
                <w:bCs/>
                <w:strike w:val="0"/>
                <w:color w:val="auto"/>
                <w:kern w:val="0"/>
                <w:szCs w:val="21"/>
              </w:rPr>
              <w:t>完善具体的售后服务监督及保障机制和售后服务管理流程，定期回访，保证项目服务质量，优于项目要求。</w:t>
            </w:r>
          </w:p>
        </w:tc>
      </w:tr>
      <w:tr w14:paraId="73D3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567" w:type="dxa"/>
            <w:noWrap w:val="0"/>
            <w:vAlign w:val="center"/>
          </w:tcPr>
          <w:p w14:paraId="1597868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5</w:t>
            </w:r>
          </w:p>
        </w:tc>
        <w:tc>
          <w:tcPr>
            <w:tcW w:w="737" w:type="dxa"/>
            <w:noWrap w:val="0"/>
            <w:vAlign w:val="center"/>
          </w:tcPr>
          <w:p w14:paraId="2FDADAD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商务分</w:t>
            </w:r>
          </w:p>
        </w:tc>
        <w:tc>
          <w:tcPr>
            <w:tcW w:w="724" w:type="dxa"/>
            <w:noWrap w:val="0"/>
            <w:vAlign w:val="center"/>
          </w:tcPr>
          <w:p w14:paraId="2EE583D7">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政策功能</w:t>
            </w:r>
          </w:p>
        </w:tc>
        <w:tc>
          <w:tcPr>
            <w:tcW w:w="691" w:type="dxa"/>
            <w:noWrap w:val="0"/>
            <w:vAlign w:val="center"/>
          </w:tcPr>
          <w:p w14:paraId="482ABF8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4</w:t>
            </w:r>
            <w:r>
              <w:rPr>
                <w:rFonts w:hint="eastAsia" w:ascii="宋体" w:hAnsi="宋体" w:eastAsia="宋体" w:cs="Times New Roman"/>
                <w:b/>
                <w:strike w:val="0"/>
                <w:color w:val="auto"/>
                <w:szCs w:val="21"/>
              </w:rPr>
              <w:t>分</w:t>
            </w:r>
          </w:p>
        </w:tc>
        <w:tc>
          <w:tcPr>
            <w:tcW w:w="6848" w:type="dxa"/>
            <w:noWrap w:val="0"/>
            <w:vAlign w:val="center"/>
          </w:tcPr>
          <w:p w14:paraId="03434D76">
            <w:pPr>
              <w:widowControl w:val="0"/>
              <w:spacing w:line="400" w:lineRule="exact"/>
              <w:ind w:left="0" w:leftChars="0" w:firstLine="0" w:firstLineChars="0"/>
              <w:jc w:val="left"/>
              <w:rPr>
                <w:rFonts w:hint="eastAsia" w:ascii="宋体" w:hAnsi="宋体" w:eastAsia="宋体" w:cs="Courier New"/>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strike w:val="0"/>
                <w:color w:val="auto"/>
                <w:kern w:val="2"/>
                <w:sz w:val="21"/>
                <w:szCs w:val="21"/>
                <w:lang w:val="en-US" w:eastAsia="zh-CN" w:bidi="ar-SA"/>
              </w:rPr>
              <w:t>投标产品</w:t>
            </w:r>
            <w:r>
              <w:rPr>
                <w:rFonts w:hint="eastAsia" w:ascii="宋体" w:hAnsi="宋体" w:eastAsia="宋体" w:cs="Courier New"/>
                <w:strike w:val="0"/>
                <w:color w:val="auto"/>
                <w:kern w:val="2"/>
                <w:sz w:val="21"/>
                <w:szCs w:val="21"/>
                <w:lang w:val="en-US" w:eastAsia="zh-CN" w:bidi="ar-SA"/>
              </w:rPr>
              <w:t>中包含列入政府采购品目清单中的优先采购产品并具有有效的节能产品认证证书的，每项</w:t>
            </w:r>
            <w:r>
              <w:rPr>
                <w:rFonts w:ascii="宋体" w:hAnsi="宋体" w:eastAsia="宋体" w:cs="Courier New"/>
                <w:strike w:val="0"/>
                <w:color w:val="auto"/>
                <w:kern w:val="2"/>
                <w:sz w:val="21"/>
                <w:szCs w:val="21"/>
                <w:lang w:val="en-US" w:eastAsia="zh-CN" w:bidi="ar-SA"/>
              </w:rPr>
              <w:t>产品</w:t>
            </w:r>
            <w:r>
              <w:rPr>
                <w:rFonts w:hint="eastAsia" w:ascii="宋体" w:hAnsi="宋体" w:eastAsia="宋体" w:cs="Courier New"/>
                <w:strike w:val="0"/>
                <w:color w:val="auto"/>
                <w:kern w:val="2"/>
                <w:sz w:val="21"/>
                <w:szCs w:val="21"/>
                <w:lang w:val="en-US" w:eastAsia="zh-CN" w:bidi="ar-SA"/>
              </w:rPr>
              <w:t>得1分，满分2分（以政府采购品目清单和有效的节能产品认证证书复印件为准）。</w:t>
            </w:r>
          </w:p>
          <w:p w14:paraId="6EE79B05">
            <w:pPr>
              <w:spacing w:line="400" w:lineRule="exact"/>
              <w:ind w:firstLine="0" w:firstLineChars="0"/>
              <w:jc w:val="left"/>
              <w:rPr>
                <w:rFonts w:hint="eastAsia" w:ascii="宋体" w:hAnsi="宋体" w:eastAsia="宋体" w:cs="宋体"/>
                <w:strike w:val="0"/>
                <w:snapToGrid w:val="0"/>
                <w:color w:val="auto"/>
                <w:kern w:val="0"/>
                <w:szCs w:val="21"/>
              </w:rPr>
            </w:pPr>
            <w:r>
              <w:rPr>
                <w:rFonts w:hint="eastAsia" w:ascii="宋体" w:hAnsi="宋体" w:eastAsia="宋体" w:cs="Times New Roman"/>
                <w:strike w:val="0"/>
                <w:color w:val="auto"/>
              </w:rPr>
              <w:t>（2）投标产品中包含列入政府采购品目清单中的优先采购产品并具有有效的环境标志产品认证证书，每项</w:t>
            </w:r>
            <w:r>
              <w:rPr>
                <w:rFonts w:ascii="宋体" w:hAnsi="宋体" w:eastAsia="宋体" w:cs="Times New Roman"/>
                <w:strike w:val="0"/>
                <w:color w:val="auto"/>
              </w:rPr>
              <w:t>产品</w:t>
            </w:r>
            <w:r>
              <w:rPr>
                <w:rFonts w:hint="eastAsia" w:ascii="宋体" w:hAnsi="宋体" w:eastAsia="宋体" w:cs="Times New Roman"/>
                <w:strike w:val="0"/>
                <w:color w:val="auto"/>
              </w:rPr>
              <w:t>得</w:t>
            </w:r>
            <w:r>
              <w:rPr>
                <w:rFonts w:hint="eastAsia" w:ascii="宋体" w:hAnsi="宋体" w:eastAsia="宋体" w:cs="Times New Roman"/>
                <w:strike w:val="0"/>
                <w:color w:val="auto"/>
                <w:lang w:val="en-US" w:eastAsia="zh-CN"/>
              </w:rPr>
              <w:t>1</w:t>
            </w:r>
            <w:r>
              <w:rPr>
                <w:rFonts w:hint="eastAsia" w:ascii="宋体" w:hAnsi="宋体" w:eastAsia="宋体" w:cs="Times New Roman"/>
                <w:strike w:val="0"/>
                <w:color w:val="auto"/>
              </w:rPr>
              <w:t>分，满分</w:t>
            </w:r>
            <w:r>
              <w:rPr>
                <w:rFonts w:hint="eastAsia" w:ascii="宋体" w:hAnsi="宋体" w:eastAsia="宋体" w:cs="Times New Roman"/>
                <w:strike w:val="0"/>
                <w:color w:val="auto"/>
                <w:lang w:val="en-US" w:eastAsia="zh-CN"/>
              </w:rPr>
              <w:t>2</w:t>
            </w:r>
            <w:r>
              <w:rPr>
                <w:rFonts w:hint="eastAsia" w:ascii="宋体" w:hAnsi="宋体" w:eastAsia="宋体" w:cs="Times New Roman"/>
                <w:strike w:val="0"/>
                <w:color w:val="auto"/>
              </w:rPr>
              <w:t>分（以政府采购品目清单和有效的环境标志产品认证证书复印件为准）。</w:t>
            </w:r>
          </w:p>
        </w:tc>
      </w:tr>
      <w:tr w14:paraId="67CD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7" w:type="dxa"/>
            <w:gridSpan w:val="5"/>
            <w:noWrap w:val="0"/>
            <w:vAlign w:val="center"/>
          </w:tcPr>
          <w:p w14:paraId="1E82D4A1">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总得分=1+2+3+4+5。</w:t>
            </w:r>
          </w:p>
        </w:tc>
      </w:tr>
    </w:tbl>
    <w:p w14:paraId="724DF772">
      <w:pPr>
        <w:ind w:left="0" w:leftChars="0" w:firstLine="0" w:firstLineChars="0"/>
        <w:rPr>
          <w:rFonts w:hint="eastAsia"/>
          <w:strike w:val="0"/>
          <w:color w:val="auto"/>
        </w:rPr>
      </w:pPr>
    </w:p>
    <w:p w14:paraId="48A53C2A">
      <w:pPr>
        <w:spacing w:line="460" w:lineRule="exact"/>
        <w:ind w:firstLine="0" w:firstLineChars="0"/>
        <w:rPr>
          <w:b/>
          <w:bCs/>
          <w:strike w:val="0"/>
          <w:color w:val="auto"/>
        </w:rPr>
      </w:pPr>
      <w:r>
        <w:rPr>
          <w:rFonts w:hint="eastAsia"/>
          <w:b/>
          <w:bCs/>
          <w:strike w:val="0"/>
          <w:color w:val="auto"/>
        </w:rPr>
        <w:t>四、中标候选人</w:t>
      </w:r>
      <w:bookmarkStart w:id="220" w:name="_Hlk92267887"/>
      <w:r>
        <w:rPr>
          <w:rFonts w:hint="eastAsia"/>
          <w:b/>
          <w:bCs/>
          <w:strike w:val="0"/>
          <w:color w:val="auto"/>
        </w:rPr>
        <w:t>推荐原则</w:t>
      </w:r>
      <w:bookmarkEnd w:id="220"/>
    </w:p>
    <w:p w14:paraId="4B78CC83">
      <w:pPr>
        <w:spacing w:line="460" w:lineRule="exact"/>
        <w:ind w:firstLine="0" w:firstLineChars="0"/>
        <w:rPr>
          <w:strike w:val="0"/>
          <w:color w:val="auto"/>
        </w:rPr>
      </w:pPr>
      <w:r>
        <w:rPr>
          <w:strike w:val="0"/>
          <w:color w:val="auto"/>
        </w:rPr>
        <w:tab/>
      </w:r>
      <w:r>
        <w:rPr>
          <w:rFonts w:hint="eastAsia"/>
          <w:strike w:val="0"/>
          <w:color w:val="auto"/>
        </w:rPr>
        <w:t>评标委员会将根据</w:t>
      </w:r>
      <w:r>
        <w:rPr>
          <w:strike w:val="0"/>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7A9B146">
      <w:pPr>
        <w:spacing w:line="380" w:lineRule="exact"/>
        <w:ind w:firstLine="643"/>
        <w:jc w:val="center"/>
        <w:rPr>
          <w:rFonts w:hint="eastAsia" w:ascii="宋体" w:hAnsi="宋体" w:eastAsia="宋体"/>
          <w:b/>
          <w:strike w:val="0"/>
          <w:color w:val="auto"/>
          <w:sz w:val="32"/>
          <w:szCs w:val="32"/>
          <w:lang w:eastAsia="zh-CN"/>
        </w:rPr>
      </w:pPr>
      <w:r>
        <w:rPr>
          <w:bCs/>
          <w:strike w:val="0"/>
          <w:color w:val="auto"/>
          <w:sz w:val="32"/>
          <w:szCs w:val="32"/>
        </w:rPr>
        <w:br w:type="page"/>
      </w:r>
      <w:r>
        <w:rPr>
          <w:rFonts w:hint="eastAsia" w:ascii="宋体" w:hAnsi="宋体"/>
          <w:b/>
          <w:strike w:val="0"/>
          <w:color w:val="auto"/>
          <w:sz w:val="32"/>
        </w:rPr>
        <w:t>评定标准和推荐原则</w:t>
      </w:r>
      <w:r>
        <w:rPr>
          <w:rFonts w:hint="eastAsia" w:ascii="宋体" w:hAnsi="宋体"/>
          <w:b/>
          <w:strike w:val="0"/>
          <w:color w:val="auto"/>
          <w:sz w:val="32"/>
          <w:lang w:eastAsia="zh-CN"/>
        </w:rPr>
        <w:t>（</w:t>
      </w:r>
      <w:r>
        <w:rPr>
          <w:rFonts w:hint="eastAsia" w:ascii="宋体" w:hAnsi="宋体"/>
          <w:b/>
          <w:strike w:val="0"/>
          <w:color w:val="auto"/>
          <w:sz w:val="32"/>
          <w:lang w:val="en-US" w:eastAsia="zh-CN"/>
        </w:rPr>
        <w:t>适用标项二</w:t>
      </w:r>
      <w:r>
        <w:rPr>
          <w:rFonts w:hint="eastAsia" w:ascii="宋体" w:hAnsi="宋体"/>
          <w:b/>
          <w:strike w:val="0"/>
          <w:color w:val="auto"/>
          <w:sz w:val="32"/>
          <w:lang w:eastAsia="zh-CN"/>
        </w:rPr>
        <w:t>）</w:t>
      </w:r>
    </w:p>
    <w:p w14:paraId="72DB11D8">
      <w:pPr>
        <w:spacing w:line="460" w:lineRule="exact"/>
        <w:ind w:firstLine="0" w:firstLineChars="0"/>
        <w:rPr>
          <w:rFonts w:hint="eastAsia"/>
          <w:strike w:val="0"/>
          <w:color w:val="auto"/>
        </w:rPr>
      </w:pPr>
    </w:p>
    <w:p w14:paraId="5AD239F4">
      <w:pPr>
        <w:pStyle w:val="28"/>
        <w:spacing w:line="460" w:lineRule="exact"/>
        <w:ind w:firstLine="0" w:firstLineChars="0"/>
        <w:jc w:val="left"/>
        <w:rPr>
          <w:rFonts w:hAnsi="宋体"/>
          <w:b/>
          <w:bCs/>
          <w:strike w:val="0"/>
          <w:color w:val="auto"/>
        </w:rPr>
      </w:pPr>
      <w:r>
        <w:rPr>
          <w:rFonts w:hint="eastAsia" w:hAnsi="宋体"/>
          <w:b/>
          <w:bCs/>
          <w:strike w:val="0"/>
          <w:color w:val="auto"/>
        </w:rPr>
        <w:t>一、评标原则</w:t>
      </w:r>
    </w:p>
    <w:p w14:paraId="6031544E">
      <w:pPr>
        <w:pStyle w:val="28"/>
        <w:spacing w:line="460" w:lineRule="exact"/>
        <w:ind w:firstLine="210" w:firstLineChars="100"/>
        <w:jc w:val="left"/>
        <w:rPr>
          <w:rFonts w:hAnsi="宋体"/>
          <w:strike w:val="0"/>
          <w:color w:val="auto"/>
        </w:rPr>
      </w:pPr>
      <w:r>
        <w:rPr>
          <w:rFonts w:hint="eastAsia" w:hAnsi="宋体"/>
          <w:strike w:val="0"/>
          <w:color w:val="auto"/>
        </w:rPr>
        <w:t>（一）评标依据：评标委员会将以招投标文件为评标依据，</w:t>
      </w:r>
      <w:r>
        <w:rPr>
          <w:rFonts w:hAnsi="宋体"/>
          <w:strike w:val="0"/>
          <w:color w:val="auto"/>
        </w:rPr>
        <w:t>对投标人的投标报价、</w:t>
      </w:r>
      <w:r>
        <w:rPr>
          <w:rFonts w:hint="eastAsia" w:hAnsi="宋体"/>
          <w:bCs/>
          <w:strike w:val="0"/>
          <w:color w:val="auto"/>
        </w:rPr>
        <w:t>技术商务资信</w:t>
      </w:r>
      <w:r>
        <w:rPr>
          <w:rFonts w:hAnsi="宋体"/>
          <w:strike w:val="0"/>
          <w:color w:val="auto"/>
        </w:rPr>
        <w:t>等方面内容</w:t>
      </w:r>
      <w:r>
        <w:rPr>
          <w:rFonts w:hint="eastAsia" w:hAnsi="宋体"/>
          <w:strike w:val="0"/>
          <w:color w:val="auto"/>
        </w:rPr>
        <w:t>进行评价。</w:t>
      </w:r>
    </w:p>
    <w:p w14:paraId="7636E7FF">
      <w:pPr>
        <w:pStyle w:val="28"/>
        <w:spacing w:line="460" w:lineRule="exact"/>
        <w:ind w:firstLine="210" w:firstLineChars="100"/>
        <w:jc w:val="left"/>
        <w:rPr>
          <w:rFonts w:hAnsi="宋体"/>
          <w:strike w:val="0"/>
          <w:color w:val="auto"/>
        </w:rPr>
      </w:pPr>
      <w:r>
        <w:rPr>
          <w:rFonts w:hint="eastAsia" w:hAnsi="宋体"/>
          <w:strike w:val="0"/>
          <w:color w:val="auto"/>
        </w:rPr>
        <w:t>（二）评标委员会组成：由采购人代表和评审专家组成，成员人数应当为5人以上单数，其中评审专家的人数不得少于成员总数的三分之二。</w:t>
      </w:r>
    </w:p>
    <w:p w14:paraId="1D38A375">
      <w:pPr>
        <w:pStyle w:val="28"/>
        <w:spacing w:line="460" w:lineRule="exact"/>
        <w:ind w:firstLine="210" w:firstLineChars="100"/>
        <w:jc w:val="left"/>
        <w:rPr>
          <w:rFonts w:hint="eastAsia" w:hAnsi="宋体"/>
          <w:strike w:val="0"/>
          <w:color w:val="auto"/>
        </w:rPr>
      </w:pPr>
      <w:r>
        <w:rPr>
          <w:rFonts w:hint="eastAsia" w:hAnsi="宋体"/>
          <w:strike w:val="0"/>
          <w:color w:val="auto"/>
        </w:rPr>
        <w:t>（三）评分方式：评标委员会各成员独立对每个投标人的投标文件进行评价。</w:t>
      </w:r>
    </w:p>
    <w:p w14:paraId="4B38EDC7">
      <w:pPr>
        <w:pStyle w:val="28"/>
        <w:spacing w:line="460" w:lineRule="exact"/>
        <w:ind w:firstLine="210" w:firstLineChars="100"/>
        <w:jc w:val="left"/>
        <w:rPr>
          <w:rFonts w:hint="eastAsia" w:hAnsi="宋体"/>
          <w:strike w:val="0"/>
          <w:color w:val="auto"/>
        </w:rPr>
      </w:pPr>
      <w:r>
        <w:rPr>
          <w:rFonts w:hint="eastAsia" w:hAnsi="宋体"/>
          <w:strike w:val="0"/>
          <w:color w:val="auto"/>
        </w:rPr>
        <w:t>（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w:t>
      </w:r>
    </w:p>
    <w:p w14:paraId="0C8894CE">
      <w:pPr>
        <w:pStyle w:val="28"/>
        <w:spacing w:line="460" w:lineRule="exact"/>
        <w:ind w:firstLine="0" w:firstLineChars="0"/>
        <w:jc w:val="left"/>
        <w:rPr>
          <w:rFonts w:hAnsi="宋体"/>
          <w:b/>
          <w:bCs/>
          <w:strike w:val="0"/>
          <w:color w:val="auto"/>
        </w:rPr>
      </w:pPr>
      <w:r>
        <w:rPr>
          <w:rFonts w:hint="eastAsia" w:hAnsi="宋体"/>
          <w:b/>
          <w:bCs/>
          <w:strike w:val="0"/>
          <w:color w:val="auto"/>
        </w:rPr>
        <w:t>二、评分细则</w:t>
      </w:r>
    </w:p>
    <w:p w14:paraId="720B5347">
      <w:pPr>
        <w:pStyle w:val="28"/>
        <w:spacing w:line="460" w:lineRule="exact"/>
        <w:ind w:firstLine="210" w:firstLineChars="100"/>
        <w:jc w:val="left"/>
        <w:rPr>
          <w:rFonts w:hint="eastAsia" w:hAnsi="宋体"/>
          <w:strike w:val="0"/>
          <w:color w:val="auto"/>
        </w:rPr>
      </w:pPr>
      <w:r>
        <w:rPr>
          <w:rFonts w:hint="eastAsia" w:hAnsi="宋体"/>
          <w:strike w:val="0"/>
          <w:color w:val="auto"/>
        </w:rPr>
        <w:t>综合评分法：对满足招标文件全部实质性要求的投标人投标文件</w:t>
      </w:r>
      <w:r>
        <w:rPr>
          <w:rFonts w:ascii="Arial" w:hAnsi="Arial" w:cs="Arial"/>
          <w:strike w:val="0"/>
          <w:color w:val="auto"/>
        </w:rPr>
        <w:t>按照评审因素的量化指标评审</w:t>
      </w:r>
      <w:r>
        <w:rPr>
          <w:rFonts w:hint="eastAsia" w:ascii="Arial" w:hAnsi="Arial" w:cs="Arial"/>
          <w:strike w:val="0"/>
          <w:color w:val="auto"/>
        </w:rPr>
        <w:t>并汇总(</w:t>
      </w:r>
      <w:r>
        <w:rPr>
          <w:rFonts w:hint="eastAsia" w:hAnsi="宋体"/>
          <w:strike w:val="0"/>
          <w:color w:val="auto"/>
        </w:rPr>
        <w:t>四舍五入取至百分位)。</w:t>
      </w:r>
    </w:p>
    <w:tbl>
      <w:tblPr>
        <w:tblStyle w:val="51"/>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37"/>
        <w:gridCol w:w="724"/>
        <w:gridCol w:w="691"/>
        <w:gridCol w:w="6848"/>
      </w:tblGrid>
      <w:tr w14:paraId="39E7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67" w:type="dxa"/>
            <w:noWrap w:val="0"/>
            <w:vAlign w:val="center"/>
          </w:tcPr>
          <w:p w14:paraId="73CDF776">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序号</w:t>
            </w:r>
          </w:p>
        </w:tc>
        <w:tc>
          <w:tcPr>
            <w:tcW w:w="1461" w:type="dxa"/>
            <w:gridSpan w:val="2"/>
            <w:noWrap w:val="0"/>
            <w:vAlign w:val="center"/>
          </w:tcPr>
          <w:p w14:paraId="184673F3">
            <w:pPr>
              <w:adjustRightInd w:val="0"/>
              <w:spacing w:line="400" w:lineRule="exact"/>
              <w:ind w:firstLine="0" w:firstLineChars="0"/>
              <w:jc w:val="center"/>
              <w:textAlignment w:val="baseline"/>
              <w:rPr>
                <w:rFonts w:hint="eastAsia" w:ascii="宋体" w:hAnsi="宋体" w:eastAsia="宋体" w:cs="Times New Roman"/>
                <w:strike w:val="0"/>
                <w:color w:val="auto"/>
                <w:szCs w:val="21"/>
              </w:rPr>
            </w:pPr>
            <w:r>
              <w:rPr>
                <w:rFonts w:hint="eastAsia" w:ascii="宋体" w:hAnsi="宋体" w:eastAsia="宋体" w:cs="Times New Roman"/>
                <w:b/>
                <w:strike w:val="0"/>
                <w:color w:val="auto"/>
                <w:szCs w:val="21"/>
              </w:rPr>
              <w:t>评审因素</w:t>
            </w:r>
          </w:p>
        </w:tc>
        <w:tc>
          <w:tcPr>
            <w:tcW w:w="691" w:type="dxa"/>
            <w:noWrap w:val="0"/>
            <w:vAlign w:val="center"/>
          </w:tcPr>
          <w:p w14:paraId="10A83EF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分值</w:t>
            </w:r>
          </w:p>
        </w:tc>
        <w:tc>
          <w:tcPr>
            <w:tcW w:w="6848" w:type="dxa"/>
            <w:noWrap w:val="0"/>
            <w:vAlign w:val="center"/>
          </w:tcPr>
          <w:p w14:paraId="33411A5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评标标准</w:t>
            </w:r>
          </w:p>
        </w:tc>
      </w:tr>
      <w:tr w14:paraId="19F9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144BFB5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1</w:t>
            </w:r>
          </w:p>
        </w:tc>
        <w:tc>
          <w:tcPr>
            <w:tcW w:w="1461" w:type="dxa"/>
            <w:gridSpan w:val="2"/>
            <w:noWrap w:val="0"/>
            <w:vAlign w:val="center"/>
          </w:tcPr>
          <w:p w14:paraId="760BE70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投标报价</w:t>
            </w:r>
          </w:p>
        </w:tc>
        <w:tc>
          <w:tcPr>
            <w:tcW w:w="691" w:type="dxa"/>
            <w:noWrap w:val="0"/>
            <w:vAlign w:val="center"/>
          </w:tcPr>
          <w:p w14:paraId="491A280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30分</w:t>
            </w:r>
          </w:p>
        </w:tc>
        <w:tc>
          <w:tcPr>
            <w:tcW w:w="6848" w:type="dxa"/>
            <w:noWrap w:val="0"/>
            <w:vAlign w:val="center"/>
          </w:tcPr>
          <w:p w14:paraId="2458BB50">
            <w:pPr>
              <w:widowControl w:val="0"/>
              <w:spacing w:line="400" w:lineRule="exact"/>
              <w:jc w:val="both"/>
              <w:rPr>
                <w:rFonts w:hint="eastAsia" w:ascii="宋体" w:hAnsi="宋体" w:eastAsia="宋体" w:cs="Courier New"/>
                <w:b/>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一、政府采购政策扣除</w:t>
            </w:r>
          </w:p>
          <w:p w14:paraId="24498AF3">
            <w:pPr>
              <w:widowControl w:val="0"/>
              <w:spacing w:line="400" w:lineRule="exact"/>
              <w:ind w:firstLine="420" w:firstLineChars="200"/>
              <w:jc w:val="both"/>
              <w:rPr>
                <w:rFonts w:hint="eastAsia" w:ascii="宋体" w:hAnsi="宋体" w:eastAsia="宋体" w:cs="宋体"/>
                <w:strike w:val="0"/>
                <w:color w:val="auto"/>
                <w:kern w:val="2"/>
                <w:sz w:val="21"/>
                <w:szCs w:val="21"/>
                <w:lang w:val="en-US" w:eastAsia="zh-CN" w:bidi="ar-SA"/>
              </w:rPr>
            </w:pPr>
            <w:r>
              <w:rPr>
                <w:rFonts w:hint="eastAsia" w:ascii="宋体" w:hAnsi="宋体" w:eastAsia="宋体" w:cs="宋体"/>
                <w:strike w:val="0"/>
                <w:color w:val="auto"/>
                <w:kern w:val="2"/>
                <w:sz w:val="21"/>
                <w:szCs w:val="21"/>
                <w:lang w:val="en-US" w:eastAsia="zh-CN" w:bidi="ar-SA"/>
              </w:rPr>
              <w:t>1、根据《政府采购促进中小企业发展管理办法》及桂财采〔2024〕55号《广西壮族自治区财政厅关于持续优化政府采购营商环境推动高质量发展的通知》的规定，</w:t>
            </w:r>
            <w:r>
              <w:rPr>
                <w:rFonts w:hint="eastAsia" w:ascii="宋体" w:hAnsi="宋体" w:eastAsia="宋体" w:cs="Courier New"/>
                <w:bCs/>
                <w:strike w:val="0"/>
                <w:color w:val="auto"/>
                <w:kern w:val="2"/>
                <w:sz w:val="21"/>
                <w:szCs w:val="21"/>
                <w:lang w:val="en-US" w:eastAsia="zh-CN" w:bidi="ar-SA"/>
              </w:rPr>
              <w:t>投标人在其投标文件中提供《中小企业声明函》且所投产品均为</w:t>
            </w:r>
            <w:r>
              <w:rPr>
                <w:rFonts w:hint="eastAsia" w:ascii="宋体" w:hAnsi="宋体" w:eastAsia="宋体" w:cs="宋体"/>
                <w:bCs/>
                <w:strike w:val="0"/>
                <w:color w:val="auto"/>
                <w:kern w:val="2"/>
                <w:sz w:val="21"/>
                <w:szCs w:val="21"/>
                <w:lang w:val="en-US" w:eastAsia="zh-CN" w:bidi="ar-SA"/>
              </w:rPr>
              <w:t>小型、微型企业生产的</w:t>
            </w:r>
            <w:r>
              <w:rPr>
                <w:rFonts w:hint="eastAsia" w:ascii="宋体" w:hAnsi="宋体" w:eastAsia="宋体" w:cs="Courier New"/>
                <w:bCs/>
                <w:strike w:val="0"/>
                <w:color w:val="auto"/>
                <w:kern w:val="2"/>
                <w:sz w:val="21"/>
                <w:szCs w:val="21"/>
                <w:lang w:val="en-US" w:eastAsia="zh-CN" w:bidi="ar-SA"/>
              </w:rPr>
              <w:t>，对其投标报价给予</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%的扣除，扣除后的价格为评标价，即评标价=投标报价×（1-</w:t>
            </w:r>
            <w:r>
              <w:rPr>
                <w:rFonts w:hint="eastAsia" w:ascii="宋体" w:hAnsi="宋体" w:cs="Courier New"/>
                <w:bCs/>
                <w:strike w:val="0"/>
                <w:color w:val="auto"/>
                <w:kern w:val="2"/>
                <w:sz w:val="21"/>
                <w:szCs w:val="21"/>
                <w:lang w:val="en-US" w:eastAsia="zh-CN" w:bidi="ar-SA"/>
              </w:rPr>
              <w:t>20</w:t>
            </w:r>
            <w:r>
              <w:rPr>
                <w:rFonts w:hint="eastAsia" w:ascii="宋体" w:hAnsi="宋体" w:eastAsia="宋体" w:cs="Courier New"/>
                <w:bCs/>
                <w:strike w:val="0"/>
                <w:color w:val="auto"/>
                <w:kern w:val="2"/>
                <w:sz w:val="21"/>
                <w:szCs w:val="21"/>
                <w:lang w:val="en-US" w:eastAsia="zh-CN" w:bidi="ar-SA"/>
              </w:rPr>
              <w:t>%）。</w:t>
            </w:r>
          </w:p>
          <w:p w14:paraId="67CE92B0">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hint="eastAsia" w:ascii="宋体" w:hAnsi="宋体" w:eastAsia="宋体" w:cs="宋体"/>
                <w:strike w:val="0"/>
                <w:color w:val="auto"/>
                <w:kern w:val="2"/>
                <w:sz w:val="21"/>
                <w:szCs w:val="21"/>
                <w:lang w:val="en-US" w:eastAsia="zh-CN" w:bidi="ar-SA"/>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Courier New"/>
                <w:bCs/>
                <w:strike w:val="0"/>
                <w:color w:val="auto"/>
                <w:kern w:val="2"/>
                <w:sz w:val="21"/>
                <w:szCs w:val="21"/>
                <w:lang w:val="en-US" w:eastAsia="zh-CN" w:bidi="ar-SA"/>
              </w:rPr>
              <w:t>不重复享受政策。</w:t>
            </w:r>
          </w:p>
          <w:p w14:paraId="09A4A4B2">
            <w:pPr>
              <w:widowControl w:val="0"/>
              <w:spacing w:line="400" w:lineRule="exact"/>
              <w:ind w:firstLine="420" w:firstLineChars="200"/>
              <w:jc w:val="both"/>
              <w:outlineLvl w:val="0"/>
              <w:rPr>
                <w:rFonts w:hint="eastAsia" w:ascii="宋体" w:hAnsi="宋体" w:eastAsia="宋体" w:cs="宋体"/>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3、</w:t>
            </w:r>
            <w:r>
              <w:rPr>
                <w:rFonts w:hint="eastAsia" w:ascii="宋体" w:hAnsi="宋体" w:eastAsia="宋体" w:cs="宋体"/>
                <w:strike w:val="0"/>
                <w:color w:val="auto"/>
                <w:kern w:val="2"/>
                <w:sz w:val="21"/>
                <w:szCs w:val="21"/>
                <w:lang w:val="en-US" w:eastAsia="zh-CN" w:bidi="ar-SA"/>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w:t>
            </w:r>
            <w:r>
              <w:rPr>
                <w:rFonts w:hint="eastAsia" w:ascii="宋体" w:hAnsi="宋体" w:eastAsia="宋体" w:cs="Courier New"/>
                <w:bCs/>
                <w:strike w:val="0"/>
                <w:color w:val="auto"/>
                <w:kern w:val="2"/>
                <w:sz w:val="21"/>
                <w:szCs w:val="21"/>
                <w:lang w:val="en-US" w:eastAsia="zh-CN" w:bidi="ar-SA"/>
              </w:rPr>
              <w:t>不重复享受政策。</w:t>
            </w:r>
          </w:p>
          <w:p w14:paraId="2BF8E057">
            <w:pPr>
              <w:widowControl w:val="0"/>
              <w:spacing w:line="400" w:lineRule="exact"/>
              <w:jc w:val="both"/>
              <w:outlineLvl w:val="0"/>
              <w:rPr>
                <w:rFonts w:hint="eastAsia" w:ascii="宋体" w:hAnsi="宋体" w:eastAsia="宋体" w:cs="Courier New"/>
                <w:b/>
                <w:strike w:val="0"/>
                <w:color w:val="auto"/>
                <w:kern w:val="2"/>
                <w:sz w:val="21"/>
                <w:szCs w:val="21"/>
                <w:lang w:val="en-US" w:eastAsia="zh-CN" w:bidi="ar-SA"/>
              </w:rPr>
            </w:pPr>
            <w:r>
              <w:rPr>
                <w:rFonts w:hint="eastAsia" w:ascii="宋体" w:hAnsi="宋体" w:eastAsia="宋体" w:cs="Courier New"/>
                <w:b/>
                <w:strike w:val="0"/>
                <w:color w:val="auto"/>
                <w:kern w:val="2"/>
                <w:sz w:val="21"/>
                <w:szCs w:val="21"/>
                <w:lang w:val="en-US" w:eastAsia="zh-CN" w:bidi="ar-SA"/>
              </w:rPr>
              <w:t>二、价格分（满分30分）</w:t>
            </w:r>
          </w:p>
          <w:p w14:paraId="078ADE1C">
            <w:pPr>
              <w:widowControl w:val="0"/>
              <w:spacing w:line="400" w:lineRule="exact"/>
              <w:ind w:firstLine="420" w:firstLineChars="200"/>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bCs/>
                <w:strike w:val="0"/>
                <w:color w:val="auto"/>
                <w:kern w:val="2"/>
                <w:sz w:val="21"/>
                <w:szCs w:val="21"/>
                <w:lang w:val="en-US" w:eastAsia="zh-CN" w:bidi="ar-SA"/>
              </w:rPr>
              <w:t>满足招标文件要求且</w:t>
            </w:r>
            <w:r>
              <w:rPr>
                <w:rFonts w:hint="eastAsia" w:ascii="宋体" w:hAnsi="宋体" w:eastAsia="宋体" w:cs="Courier New"/>
                <w:bCs/>
                <w:strike w:val="0"/>
                <w:color w:val="auto"/>
                <w:kern w:val="2"/>
                <w:sz w:val="21"/>
                <w:szCs w:val="21"/>
                <w:lang w:val="en-US" w:eastAsia="zh-CN" w:bidi="ar-SA"/>
              </w:rPr>
              <w:t>投标报价</w:t>
            </w:r>
            <w:r>
              <w:rPr>
                <w:rFonts w:ascii="宋体" w:hAnsi="宋体" w:eastAsia="宋体" w:cs="Courier New"/>
                <w:bCs/>
                <w:strike w:val="0"/>
                <w:color w:val="auto"/>
                <w:kern w:val="2"/>
                <w:sz w:val="21"/>
                <w:szCs w:val="21"/>
                <w:lang w:val="en-US" w:eastAsia="zh-CN" w:bidi="ar-SA"/>
              </w:rPr>
              <w:t>最低的</w:t>
            </w:r>
            <w:r>
              <w:rPr>
                <w:rFonts w:hint="eastAsia" w:ascii="宋体" w:hAnsi="宋体" w:eastAsia="宋体" w:cs="Courier New"/>
                <w:bCs/>
                <w:strike w:val="0"/>
                <w:color w:val="auto"/>
                <w:kern w:val="2"/>
                <w:sz w:val="21"/>
                <w:szCs w:val="21"/>
                <w:lang w:val="en-US" w:eastAsia="zh-CN" w:bidi="ar-SA"/>
              </w:rPr>
              <w:t>有效投标人的投标报价</w:t>
            </w:r>
            <w:r>
              <w:rPr>
                <w:rFonts w:ascii="宋体" w:hAnsi="宋体" w:eastAsia="宋体" w:cs="Courier New"/>
                <w:bCs/>
                <w:strike w:val="0"/>
                <w:color w:val="auto"/>
                <w:kern w:val="2"/>
                <w:sz w:val="21"/>
                <w:szCs w:val="21"/>
                <w:lang w:val="en-US" w:eastAsia="zh-CN" w:bidi="ar-SA"/>
              </w:rPr>
              <w:t>为评标基准价，其</w:t>
            </w:r>
            <w:r>
              <w:rPr>
                <w:rFonts w:hint="eastAsia" w:ascii="宋体" w:hAnsi="宋体" w:eastAsia="宋体" w:cs="Courier New"/>
                <w:bCs/>
                <w:strike w:val="0"/>
                <w:color w:val="auto"/>
                <w:kern w:val="2"/>
                <w:sz w:val="21"/>
                <w:szCs w:val="21"/>
                <w:lang w:val="en-US" w:eastAsia="zh-CN" w:bidi="ar-SA"/>
              </w:rPr>
              <w:t>价格</w:t>
            </w:r>
            <w:r>
              <w:rPr>
                <w:rFonts w:ascii="宋体" w:hAnsi="宋体" w:eastAsia="宋体" w:cs="Courier New"/>
                <w:bCs/>
                <w:strike w:val="0"/>
                <w:color w:val="auto"/>
                <w:kern w:val="2"/>
                <w:sz w:val="21"/>
                <w:szCs w:val="21"/>
                <w:lang w:val="en-US" w:eastAsia="zh-CN" w:bidi="ar-SA"/>
              </w:rPr>
              <w:t>分为满分。</w:t>
            </w:r>
          </w:p>
          <w:p w14:paraId="1A8D49A3">
            <w:pPr>
              <w:widowControl w:val="0"/>
              <w:spacing w:line="400" w:lineRule="exact"/>
              <w:ind w:firstLine="420" w:firstLineChars="200"/>
              <w:jc w:val="both"/>
              <w:rPr>
                <w:rFonts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2、</w:t>
            </w:r>
            <w:r>
              <w:rPr>
                <w:rFonts w:ascii="宋体" w:hAnsi="宋体" w:eastAsia="宋体" w:cs="Courier New"/>
                <w:bCs/>
                <w:strike w:val="0"/>
                <w:color w:val="auto"/>
                <w:kern w:val="2"/>
                <w:sz w:val="21"/>
                <w:szCs w:val="21"/>
                <w:lang w:val="en-US" w:eastAsia="zh-CN" w:bidi="ar-SA"/>
              </w:rPr>
              <w:t>其他投标人的价格分统一按照下列公式计算：</w:t>
            </w:r>
          </w:p>
          <w:p w14:paraId="0E07DBAA">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Cs/>
                <w:strike w:val="0"/>
                <w:color w:val="auto"/>
                <w:kern w:val="2"/>
                <w:sz w:val="21"/>
                <w:szCs w:val="21"/>
                <w:lang w:val="en-US" w:eastAsia="zh-CN" w:bidi="ar-SA"/>
              </w:rPr>
              <w:t>某有效投标人的价格分</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w:t>
            </w:r>
            <w:r>
              <w:rPr>
                <w:rFonts w:ascii="宋体" w:hAnsi="宋体" w:eastAsia="宋体" w:cs="Courier New"/>
                <w:bCs/>
                <w:strike w:val="0"/>
                <w:color w:val="auto"/>
                <w:kern w:val="2"/>
                <w:sz w:val="21"/>
                <w:szCs w:val="21"/>
                <w:lang w:val="en-US" w:eastAsia="zh-CN" w:bidi="ar-SA"/>
              </w:rPr>
              <w:t>评标基准价／</w:t>
            </w:r>
            <w:r>
              <w:rPr>
                <w:rFonts w:hint="eastAsia" w:ascii="宋体" w:hAnsi="宋体" w:eastAsia="宋体" w:cs="Courier New"/>
                <w:bCs/>
                <w:strike w:val="0"/>
                <w:color w:val="auto"/>
                <w:kern w:val="2"/>
                <w:sz w:val="21"/>
                <w:szCs w:val="21"/>
                <w:lang w:val="en-US" w:eastAsia="zh-CN" w:bidi="ar-SA"/>
              </w:rPr>
              <w:t>某有效投标人投标报价）</w:t>
            </w:r>
            <w:r>
              <w:rPr>
                <w:rFonts w:ascii="宋体" w:hAnsi="宋体" w:eastAsia="宋体" w:cs="Courier New"/>
                <w:bCs/>
                <w:strike w:val="0"/>
                <w:color w:val="auto"/>
                <w:kern w:val="2"/>
                <w:sz w:val="21"/>
                <w:szCs w:val="21"/>
                <w:lang w:val="en-US" w:eastAsia="zh-CN" w:bidi="ar-SA"/>
              </w:rPr>
              <w:t>×</w:t>
            </w:r>
            <w:r>
              <w:rPr>
                <w:rFonts w:hint="eastAsia" w:ascii="宋体" w:hAnsi="宋体" w:eastAsia="宋体" w:cs="Courier New"/>
                <w:bCs/>
                <w:strike w:val="0"/>
                <w:color w:val="auto"/>
                <w:kern w:val="2"/>
                <w:sz w:val="21"/>
                <w:szCs w:val="21"/>
                <w:lang w:val="en-US" w:eastAsia="zh-CN" w:bidi="ar-SA"/>
              </w:rPr>
              <w:t>30分</w:t>
            </w:r>
          </w:p>
        </w:tc>
      </w:tr>
      <w:tr w14:paraId="34D6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0B53CC1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w:t>
            </w:r>
          </w:p>
        </w:tc>
        <w:tc>
          <w:tcPr>
            <w:tcW w:w="1461" w:type="dxa"/>
            <w:gridSpan w:val="2"/>
            <w:noWrap w:val="0"/>
            <w:vAlign w:val="center"/>
          </w:tcPr>
          <w:p w14:paraId="0CAFAEF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bCs/>
                <w:strike w:val="0"/>
                <w:color w:val="auto"/>
                <w:kern w:val="0"/>
                <w:szCs w:val="21"/>
                <w:lang w:bidi="ar"/>
              </w:rPr>
              <w:t>技术性能分</w:t>
            </w:r>
          </w:p>
        </w:tc>
        <w:tc>
          <w:tcPr>
            <w:tcW w:w="691" w:type="dxa"/>
            <w:noWrap w:val="0"/>
            <w:vAlign w:val="center"/>
          </w:tcPr>
          <w:p w14:paraId="517206FD">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34</w:t>
            </w:r>
            <w:r>
              <w:rPr>
                <w:rFonts w:hint="eastAsia" w:ascii="宋体" w:hAnsi="宋体" w:eastAsia="宋体" w:cs="Times New Roman"/>
                <w:b/>
                <w:strike w:val="0"/>
                <w:color w:val="auto"/>
                <w:szCs w:val="21"/>
              </w:rPr>
              <w:t>分</w:t>
            </w:r>
          </w:p>
        </w:tc>
        <w:tc>
          <w:tcPr>
            <w:tcW w:w="6848" w:type="dxa"/>
            <w:noWrap w:val="0"/>
            <w:vAlign w:val="center"/>
          </w:tcPr>
          <w:p w14:paraId="0555DA7A">
            <w:pPr>
              <w:widowControl/>
              <w:spacing w:line="500" w:lineRule="exact"/>
              <w:ind w:firstLine="0" w:firstLineChars="0"/>
              <w:jc w:val="left"/>
              <w:rPr>
                <w:rFonts w:hint="eastAsia" w:ascii="宋体" w:hAnsi="宋体" w:eastAsia="宋体" w:cs="Courier New"/>
                <w:strike w:val="0"/>
                <w:color w:val="auto"/>
                <w:szCs w:val="21"/>
              </w:rPr>
            </w:pPr>
            <w:r>
              <w:rPr>
                <w:rFonts w:hint="eastAsia" w:ascii="宋体" w:hAnsi="宋体" w:eastAsia="宋体" w:cs="Courier New"/>
                <w:strike w:val="0"/>
                <w:color w:val="auto"/>
                <w:szCs w:val="21"/>
              </w:rPr>
              <w:t>经评标委员会评定，根据投标人对标项</w:t>
            </w:r>
            <w:r>
              <w:rPr>
                <w:rFonts w:hint="eastAsia" w:ascii="宋体" w:hAnsi="宋体" w:cs="Courier New"/>
                <w:strike w:val="0"/>
                <w:color w:val="auto"/>
                <w:szCs w:val="21"/>
                <w:lang w:val="en-US" w:eastAsia="zh-CN"/>
              </w:rPr>
              <w:t>二</w:t>
            </w:r>
            <w:r>
              <w:rPr>
                <w:rFonts w:hint="eastAsia" w:ascii="宋体" w:hAnsi="宋体" w:eastAsia="宋体" w:cs="Courier New"/>
                <w:strike w:val="0"/>
                <w:color w:val="auto"/>
                <w:szCs w:val="21"/>
              </w:rPr>
              <w:t>技术要求标注▲号的技术参数的响应情况进行评审：</w:t>
            </w:r>
          </w:p>
          <w:p w14:paraId="3AA6C632">
            <w:pPr>
              <w:pStyle w:val="18"/>
              <w:rPr>
                <w:rFonts w:hint="eastAsia" w:ascii="宋体" w:hAnsi="宋体" w:eastAsia="宋体" w:cs="Courier New"/>
                <w:b/>
                <w:strike w:val="0"/>
                <w:color w:val="auto"/>
              </w:rPr>
            </w:pPr>
            <w:r>
              <w:rPr>
                <w:rFonts w:hint="eastAsia" w:ascii="宋体" w:hAnsi="宋体" w:eastAsia="宋体" w:cs="Courier New"/>
                <w:strike w:val="0"/>
                <w:color w:val="auto"/>
                <w:szCs w:val="21"/>
              </w:rPr>
              <w:t>标注“▲”号的技术参数</w:t>
            </w:r>
            <w:r>
              <w:rPr>
                <w:rFonts w:hint="eastAsia" w:ascii="宋体" w:hAnsi="宋体" w:eastAsia="宋体" w:cs="Courier New"/>
                <w:strike w:val="0"/>
                <w:color w:val="auto"/>
                <w:szCs w:val="21"/>
                <w:lang w:val="en-US" w:eastAsia="zh-CN"/>
              </w:rPr>
              <w:t>(共34项)</w:t>
            </w:r>
            <w:r>
              <w:rPr>
                <w:rFonts w:hint="eastAsia" w:ascii="宋体" w:hAnsi="宋体" w:eastAsia="宋体" w:cs="Courier New"/>
                <w:strike w:val="0"/>
                <w:color w:val="auto"/>
                <w:szCs w:val="21"/>
              </w:rPr>
              <w:t>能</w:t>
            </w:r>
            <w:r>
              <w:rPr>
                <w:rFonts w:hint="eastAsia" w:ascii="宋体" w:hAnsi="宋体" w:eastAsia="宋体" w:cs="Courier New"/>
                <w:strike w:val="0"/>
                <w:color w:val="auto"/>
                <w:szCs w:val="21"/>
                <w:lang w:val="en-US" w:eastAsia="zh-CN"/>
              </w:rPr>
              <w:t>满足或优于并提供厂家技术参数证明加盖厂商公章或产品功能截图等证明材料，</w:t>
            </w:r>
            <w:r>
              <w:rPr>
                <w:rFonts w:hint="eastAsia" w:ascii="宋体" w:hAnsi="宋体" w:eastAsia="宋体" w:cs="Courier New"/>
                <w:strike w:val="0"/>
                <w:color w:val="auto"/>
                <w:szCs w:val="21"/>
              </w:rPr>
              <w:t>材料须清晰，</w:t>
            </w:r>
            <w:r>
              <w:rPr>
                <w:rFonts w:hint="eastAsia" w:ascii="宋体" w:hAnsi="宋体" w:eastAsia="宋体" w:cs="Courier New"/>
                <w:strike w:val="0"/>
                <w:color w:val="auto"/>
                <w:szCs w:val="21"/>
                <w:lang w:val="en-US" w:eastAsia="zh-CN"/>
              </w:rPr>
              <w:t>每项</w:t>
            </w:r>
            <w:r>
              <w:rPr>
                <w:rFonts w:hint="eastAsia" w:ascii="宋体" w:hAnsi="宋体" w:eastAsia="宋体" w:cs="Courier New"/>
                <w:strike w:val="0"/>
                <w:color w:val="auto"/>
                <w:szCs w:val="21"/>
              </w:rPr>
              <w:t>得</w:t>
            </w:r>
            <w:r>
              <w:rPr>
                <w:rFonts w:hint="eastAsia" w:ascii="宋体" w:hAnsi="宋体" w:eastAsia="宋体" w:cs="Courier New"/>
                <w:strike w:val="0"/>
                <w:color w:val="auto"/>
                <w:szCs w:val="21"/>
                <w:lang w:val="en-US" w:eastAsia="zh-CN"/>
              </w:rPr>
              <w:t>1</w:t>
            </w:r>
            <w:r>
              <w:rPr>
                <w:rFonts w:hint="eastAsia" w:ascii="宋体" w:hAnsi="宋体" w:eastAsia="宋体" w:cs="Courier New"/>
                <w:strike w:val="0"/>
                <w:color w:val="auto"/>
                <w:szCs w:val="21"/>
              </w:rPr>
              <w:t>分，满分</w:t>
            </w:r>
            <w:r>
              <w:rPr>
                <w:rFonts w:hint="eastAsia" w:ascii="宋体" w:hAnsi="宋体" w:eastAsia="宋体" w:cs="Courier New"/>
                <w:strike w:val="0"/>
                <w:color w:val="auto"/>
                <w:szCs w:val="21"/>
                <w:lang w:val="en-US" w:eastAsia="zh-CN"/>
              </w:rPr>
              <w:t>34</w:t>
            </w:r>
            <w:r>
              <w:rPr>
                <w:rFonts w:hint="eastAsia" w:ascii="宋体" w:hAnsi="宋体" w:eastAsia="宋体" w:cs="Courier New"/>
                <w:strike w:val="0"/>
                <w:color w:val="auto"/>
                <w:szCs w:val="21"/>
              </w:rPr>
              <w:t>分；</w:t>
            </w:r>
          </w:p>
        </w:tc>
      </w:tr>
      <w:tr w14:paraId="5EBB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67" w:type="dxa"/>
            <w:noWrap w:val="0"/>
            <w:vAlign w:val="center"/>
          </w:tcPr>
          <w:p w14:paraId="25C7FB3D">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3</w:t>
            </w:r>
          </w:p>
        </w:tc>
        <w:tc>
          <w:tcPr>
            <w:tcW w:w="1461" w:type="dxa"/>
            <w:gridSpan w:val="2"/>
            <w:noWrap w:val="0"/>
            <w:vAlign w:val="center"/>
          </w:tcPr>
          <w:p w14:paraId="1F67B7D9">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宋体"/>
                <w:b/>
                <w:strike w:val="0"/>
                <w:color w:val="auto"/>
                <w:szCs w:val="21"/>
              </w:rPr>
              <w:t>项目实施方案分</w:t>
            </w:r>
          </w:p>
        </w:tc>
        <w:tc>
          <w:tcPr>
            <w:tcW w:w="691" w:type="dxa"/>
            <w:noWrap w:val="0"/>
            <w:vAlign w:val="center"/>
          </w:tcPr>
          <w:p w14:paraId="7FA507EC">
            <w:pPr>
              <w:adjustRightInd w:val="0"/>
              <w:spacing w:line="400" w:lineRule="exact"/>
              <w:ind w:firstLine="0" w:firstLineChars="0"/>
              <w:jc w:val="center"/>
              <w:textAlignment w:val="baseline"/>
              <w:rPr>
                <w:rFonts w:hint="eastAsia" w:ascii="宋体" w:hAnsi="宋体" w:eastAsia="宋体" w:cs="Times New Roman"/>
                <w:b/>
                <w:strike w:val="0"/>
                <w:color w:val="auto"/>
                <w:szCs w:val="21"/>
                <w:highlight w:val="none"/>
              </w:rPr>
            </w:pPr>
            <w:r>
              <w:rPr>
                <w:rFonts w:hint="eastAsia" w:ascii="宋体" w:hAnsi="宋体" w:eastAsia="宋体" w:cs="Times New Roman"/>
                <w:b/>
                <w:strike w:val="0"/>
                <w:color w:val="auto"/>
                <w:szCs w:val="21"/>
                <w:highlight w:val="none"/>
                <w:lang w:val="en-US" w:eastAsia="zh-CN"/>
              </w:rPr>
              <w:t>16</w:t>
            </w:r>
            <w:r>
              <w:rPr>
                <w:rFonts w:hint="eastAsia" w:ascii="宋体" w:hAnsi="宋体" w:eastAsia="宋体" w:cs="Times New Roman"/>
                <w:b/>
                <w:strike w:val="0"/>
                <w:color w:val="auto"/>
                <w:szCs w:val="21"/>
                <w:highlight w:val="none"/>
              </w:rPr>
              <w:t>分</w:t>
            </w:r>
          </w:p>
        </w:tc>
        <w:tc>
          <w:tcPr>
            <w:tcW w:w="6848" w:type="dxa"/>
            <w:noWrap w:val="0"/>
            <w:vAlign w:val="center"/>
          </w:tcPr>
          <w:p w14:paraId="05DA0AE0">
            <w:pPr>
              <w:spacing w:line="400" w:lineRule="exact"/>
              <w:ind w:firstLine="0" w:firstLineChars="0"/>
              <w:jc w:val="left"/>
              <w:rPr>
                <w:rFonts w:hint="eastAsia" w:ascii="宋体" w:hAnsi="宋体" w:eastAsia="宋体" w:cs="Times New Roman"/>
                <w:bCs/>
                <w:strike w:val="0"/>
                <w:color w:val="auto"/>
                <w:szCs w:val="21"/>
                <w:highlight w:val="none"/>
              </w:rPr>
            </w:pPr>
            <w:r>
              <w:rPr>
                <w:rFonts w:hint="eastAsia" w:ascii="宋体" w:hAnsi="宋体" w:eastAsia="宋体" w:cs="宋体"/>
                <w:bCs/>
                <w:strike w:val="0"/>
                <w:color w:val="auto"/>
                <w:kern w:val="0"/>
                <w:szCs w:val="21"/>
                <w:highlight w:val="none"/>
              </w:rPr>
              <w:t>由评委根据招标文件要求及投标人所提供的</w:t>
            </w:r>
            <w:r>
              <w:rPr>
                <w:rFonts w:hint="eastAsia" w:ascii="宋体" w:hAnsi="宋体" w:eastAsia="宋体" w:cs="Times New Roman"/>
                <w:bCs/>
                <w:strike w:val="0"/>
                <w:color w:val="auto"/>
                <w:szCs w:val="21"/>
                <w:highlight w:val="none"/>
              </w:rPr>
              <w:t>项目实施方案，包括</w:t>
            </w:r>
            <w:r>
              <w:rPr>
                <w:rFonts w:hint="eastAsia" w:ascii="宋体" w:hAnsi="宋体" w:eastAsia="宋体" w:cs="Times New Roman"/>
                <w:strike w:val="0"/>
                <w:color w:val="auto"/>
                <w:szCs w:val="21"/>
                <w:highlight w:val="none"/>
              </w:rPr>
              <w:t>对本项目系统总体要求的理解、实施</w:t>
            </w:r>
            <w:r>
              <w:rPr>
                <w:rFonts w:hint="eastAsia" w:ascii="宋体" w:hAnsi="宋体" w:eastAsia="宋体" w:cs="宋体"/>
                <w:strike w:val="0"/>
                <w:color w:val="auto"/>
                <w:spacing w:val="4"/>
                <w:szCs w:val="21"/>
                <w:highlight w:val="none"/>
              </w:rPr>
              <w:t>人员组织、实施进度管理等内容</w:t>
            </w:r>
            <w:r>
              <w:rPr>
                <w:rFonts w:hint="eastAsia" w:ascii="宋体" w:hAnsi="宋体" w:eastAsia="宋体" w:cs="Times New Roman"/>
                <w:bCs/>
                <w:strike w:val="0"/>
                <w:color w:val="auto"/>
                <w:szCs w:val="21"/>
                <w:highlight w:val="none"/>
              </w:rPr>
              <w:t>进行独立打分，不提供或达不到一档要求的不得分。</w:t>
            </w:r>
          </w:p>
          <w:p w14:paraId="5BF6C54D">
            <w:pPr>
              <w:snapToGrid w:val="0"/>
              <w:spacing w:line="400" w:lineRule="exact"/>
              <w:ind w:firstLine="420" w:firstLineChars="200"/>
              <w:rPr>
                <w:rFonts w:hint="eastAsia" w:ascii="宋体" w:hAnsi="宋体" w:eastAsia="宋体" w:cs="宋体"/>
                <w:bCs/>
                <w:strike w:val="0"/>
                <w:dstrike w:val="0"/>
                <w:color w:val="auto"/>
                <w:kern w:val="0"/>
                <w:sz w:val="21"/>
                <w:szCs w:val="21"/>
                <w:highlight w:val="none"/>
                <w:lang w:eastAsia="zh-CN"/>
              </w:rPr>
            </w:pPr>
            <w:r>
              <w:rPr>
                <w:rFonts w:hint="eastAsia" w:ascii="宋体" w:hAnsi="宋体" w:eastAsia="宋体" w:cs="宋体"/>
                <w:bCs/>
                <w:strike w:val="0"/>
                <w:color w:val="auto"/>
                <w:kern w:val="0"/>
                <w:szCs w:val="21"/>
                <w:highlight w:val="none"/>
              </w:rPr>
              <w:t>一档（</w:t>
            </w:r>
            <w:r>
              <w:rPr>
                <w:rFonts w:hint="eastAsia" w:ascii="宋体" w:hAnsi="宋体" w:eastAsia="宋体" w:cs="宋体"/>
                <w:bCs/>
                <w:strike w:val="0"/>
                <w:color w:val="auto"/>
                <w:kern w:val="0"/>
                <w:szCs w:val="21"/>
                <w:highlight w:val="none"/>
                <w:lang w:val="en-US" w:eastAsia="zh-CN"/>
              </w:rPr>
              <w:t>4</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3"/>
                <w:szCs w:val="21"/>
                <w:highlight w:val="none"/>
              </w:rPr>
              <w:t>对项目的建设目标、实施要求</w:t>
            </w:r>
            <w:r>
              <w:rPr>
                <w:rFonts w:hint="eastAsia" w:ascii="宋体" w:hAnsi="宋体" w:eastAsia="宋体" w:cs="宋体"/>
                <w:strike w:val="0"/>
                <w:color w:val="auto"/>
                <w:spacing w:val="2"/>
                <w:szCs w:val="21"/>
                <w:highlight w:val="none"/>
              </w:rPr>
              <w:t>，方案包含</w:t>
            </w:r>
            <w:r>
              <w:rPr>
                <w:rFonts w:hint="eastAsia" w:ascii="宋体" w:hAnsi="宋体" w:eastAsia="宋体" w:cs="宋体"/>
                <w:strike w:val="0"/>
                <w:color w:val="auto"/>
                <w:spacing w:val="4"/>
                <w:szCs w:val="21"/>
                <w:highlight w:val="none"/>
              </w:rPr>
              <w:t>有实施要点、人员组织、进度管理等相关内容</w:t>
            </w:r>
            <w:r>
              <w:rPr>
                <w:rFonts w:hint="eastAsia" w:ascii="宋体" w:hAnsi="宋体" w:cs="宋体"/>
                <w:strike w:val="0"/>
                <w:color w:val="auto"/>
                <w:spacing w:val="4"/>
                <w:szCs w:val="21"/>
                <w:highlight w:val="none"/>
                <w:lang w:eastAsia="zh-CN"/>
              </w:rPr>
              <w:t>。</w:t>
            </w:r>
          </w:p>
          <w:p w14:paraId="76DF0F03">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Cs/>
                <w:strike w:val="0"/>
                <w:color w:val="auto"/>
                <w:kern w:val="0"/>
                <w:szCs w:val="21"/>
                <w:highlight w:val="none"/>
              </w:rPr>
              <w:t>二档（</w:t>
            </w:r>
            <w:r>
              <w:rPr>
                <w:rFonts w:hint="eastAsia" w:ascii="宋体" w:hAnsi="宋体" w:eastAsia="宋体" w:cs="宋体"/>
                <w:bCs/>
                <w:strike w:val="0"/>
                <w:color w:val="auto"/>
                <w:kern w:val="0"/>
                <w:szCs w:val="21"/>
                <w:highlight w:val="none"/>
                <w:lang w:val="en-US" w:eastAsia="zh-CN"/>
              </w:rPr>
              <w:t>8</w:t>
            </w:r>
            <w:r>
              <w:rPr>
                <w:rFonts w:hint="eastAsia" w:ascii="宋体" w:hAnsi="宋体" w:eastAsia="宋体" w:cs="宋体"/>
                <w:bCs/>
                <w:strike w:val="0"/>
                <w:color w:val="auto"/>
                <w:kern w:val="0"/>
                <w:szCs w:val="21"/>
                <w:highlight w:val="none"/>
              </w:rPr>
              <w:t>分）：</w:t>
            </w:r>
            <w:r>
              <w:rPr>
                <w:rFonts w:hint="eastAsia" w:ascii="宋体" w:hAnsi="宋体" w:eastAsia="宋体" w:cs="宋体"/>
                <w:strike w:val="0"/>
                <w:color w:val="auto"/>
                <w:spacing w:val="8"/>
                <w:szCs w:val="21"/>
                <w:highlight w:val="none"/>
              </w:rPr>
              <w:t>满足一档的基础上，针对教室多媒体教学、</w:t>
            </w:r>
            <w:r>
              <w:rPr>
                <w:rFonts w:hint="eastAsia" w:ascii="宋体" w:hAnsi="宋体" w:eastAsia="宋体" w:cs="宋体"/>
                <w:strike w:val="0"/>
                <w:color w:val="auto"/>
                <w:spacing w:val="8"/>
                <w:szCs w:val="21"/>
                <w:highlight w:val="none"/>
                <w:lang w:val="en-US" w:eastAsia="zh-CN"/>
              </w:rPr>
              <w:t>计算机教室</w:t>
            </w:r>
            <w:r>
              <w:rPr>
                <w:rFonts w:hint="eastAsia" w:ascii="宋体" w:hAnsi="宋体" w:eastAsia="宋体" w:cs="宋体"/>
                <w:strike w:val="0"/>
                <w:color w:val="auto"/>
                <w:spacing w:val="8"/>
                <w:szCs w:val="21"/>
                <w:highlight w:val="none"/>
              </w:rPr>
              <w:t>需求</w:t>
            </w:r>
            <w:r>
              <w:rPr>
                <w:rFonts w:hint="eastAsia" w:ascii="宋体" w:hAnsi="宋体" w:eastAsia="宋体" w:cs="宋体"/>
                <w:strike w:val="0"/>
                <w:color w:val="auto"/>
                <w:spacing w:val="6"/>
                <w:szCs w:val="21"/>
                <w:highlight w:val="none"/>
              </w:rPr>
              <w:t>，实施方案，具有针对教室环境的设</w:t>
            </w:r>
            <w:r>
              <w:rPr>
                <w:rFonts w:hint="eastAsia" w:ascii="宋体" w:hAnsi="宋体" w:eastAsia="宋体" w:cs="宋体"/>
                <w:strike w:val="0"/>
                <w:color w:val="auto"/>
                <w:spacing w:val="5"/>
                <w:szCs w:val="21"/>
                <w:highlight w:val="none"/>
              </w:rPr>
              <w:t>计方案，</w:t>
            </w:r>
            <w:r>
              <w:rPr>
                <w:rFonts w:hint="eastAsia" w:ascii="宋体" w:hAnsi="宋体" w:eastAsia="宋体" w:cs="宋体"/>
                <w:strike w:val="0"/>
                <w:color w:val="auto"/>
                <w:spacing w:val="11"/>
                <w:szCs w:val="21"/>
                <w:highlight w:val="none"/>
              </w:rPr>
              <w:t>提供教室场景简要设计图</w:t>
            </w:r>
            <w:r>
              <w:rPr>
                <w:rFonts w:hint="eastAsia" w:ascii="宋体" w:hAnsi="宋体" w:eastAsia="宋体" w:cs="宋体"/>
                <w:bCs/>
                <w:strike w:val="0"/>
                <w:color w:val="auto"/>
                <w:kern w:val="0"/>
                <w:szCs w:val="21"/>
                <w:highlight w:val="none"/>
              </w:rPr>
              <w:t>。</w:t>
            </w:r>
          </w:p>
          <w:p w14:paraId="057BD33A">
            <w:pPr>
              <w:snapToGrid w:val="0"/>
              <w:spacing w:line="400" w:lineRule="exact"/>
              <w:ind w:firstLine="420" w:firstLineChars="200"/>
              <w:rPr>
                <w:rFonts w:hint="eastAsia" w:ascii="宋体" w:hAnsi="宋体" w:eastAsia="宋体" w:cs="宋体"/>
                <w:b w:val="0"/>
                <w:bCs/>
                <w:strike w:val="0"/>
                <w:color w:val="auto"/>
                <w:spacing w:val="9"/>
                <w:szCs w:val="21"/>
                <w:highlight w:val="none"/>
              </w:rPr>
            </w:pPr>
            <w:r>
              <w:rPr>
                <w:rFonts w:hint="eastAsia" w:ascii="宋体" w:hAnsi="宋体" w:eastAsia="宋体" w:cs="宋体"/>
                <w:b w:val="0"/>
                <w:bCs/>
                <w:strike w:val="0"/>
                <w:color w:val="auto"/>
                <w:kern w:val="0"/>
                <w:szCs w:val="21"/>
                <w:highlight w:val="none"/>
              </w:rPr>
              <w:t>三档（</w:t>
            </w:r>
            <w:r>
              <w:rPr>
                <w:rFonts w:hint="eastAsia" w:ascii="宋体" w:hAnsi="宋体" w:eastAsia="宋体" w:cs="宋体"/>
                <w:b w:val="0"/>
                <w:bCs/>
                <w:strike w:val="0"/>
                <w:color w:val="auto"/>
                <w:kern w:val="0"/>
                <w:szCs w:val="21"/>
                <w:highlight w:val="none"/>
                <w:lang w:val="en-US" w:eastAsia="zh-CN"/>
              </w:rPr>
              <w:t>12</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满足二档的基础上，</w:t>
            </w:r>
            <w:r>
              <w:rPr>
                <w:rFonts w:hint="eastAsia" w:ascii="宋体" w:hAnsi="宋体" w:eastAsia="宋体" w:cs="宋体"/>
                <w:b w:val="0"/>
                <w:bCs/>
                <w:strike w:val="0"/>
                <w:color w:val="auto"/>
                <w:spacing w:val="11"/>
                <w:szCs w:val="21"/>
                <w:highlight w:val="none"/>
              </w:rPr>
              <w:t>实施方案内容，针对本项目教室环境提供设计方案、教室</w:t>
            </w:r>
            <w:r>
              <w:rPr>
                <w:rFonts w:hint="eastAsia" w:ascii="宋体" w:hAnsi="宋体" w:eastAsia="宋体" w:cs="宋体"/>
                <w:b w:val="0"/>
                <w:bCs/>
                <w:strike w:val="0"/>
                <w:color w:val="auto"/>
                <w:spacing w:val="10"/>
                <w:szCs w:val="21"/>
                <w:highlight w:val="none"/>
              </w:rPr>
              <w:t>场景设</w:t>
            </w:r>
            <w:r>
              <w:rPr>
                <w:rFonts w:hint="eastAsia" w:ascii="宋体" w:hAnsi="宋体" w:eastAsia="宋体" w:cs="宋体"/>
                <w:b w:val="0"/>
                <w:bCs/>
                <w:strike w:val="0"/>
                <w:color w:val="auto"/>
                <w:spacing w:val="11"/>
                <w:szCs w:val="21"/>
                <w:highlight w:val="none"/>
              </w:rPr>
              <w:t>计效果图、教室平面图；安装进度控制以及各种保障措施，贴合采购人的实际需求</w:t>
            </w:r>
            <w:r>
              <w:rPr>
                <w:rFonts w:hint="eastAsia" w:ascii="宋体" w:hAnsi="宋体" w:eastAsia="宋体" w:cs="宋体"/>
                <w:b w:val="0"/>
                <w:bCs/>
                <w:strike w:val="0"/>
                <w:color w:val="auto"/>
                <w:spacing w:val="9"/>
                <w:szCs w:val="21"/>
                <w:highlight w:val="none"/>
              </w:rPr>
              <w:t>。</w:t>
            </w:r>
          </w:p>
          <w:p w14:paraId="36249F6F">
            <w:pPr>
              <w:snapToGrid w:val="0"/>
              <w:spacing w:line="400" w:lineRule="exact"/>
              <w:ind w:firstLine="420" w:firstLineChars="200"/>
              <w:rPr>
                <w:rFonts w:hint="eastAsia" w:ascii="宋体" w:hAnsi="宋体" w:eastAsia="宋体" w:cs="宋体"/>
                <w:bCs/>
                <w:strike w:val="0"/>
                <w:color w:val="auto"/>
                <w:kern w:val="0"/>
                <w:szCs w:val="21"/>
                <w:highlight w:val="none"/>
              </w:rPr>
            </w:pPr>
            <w:r>
              <w:rPr>
                <w:rFonts w:hint="eastAsia" w:ascii="宋体" w:hAnsi="宋体" w:eastAsia="宋体" w:cs="宋体"/>
                <w:b w:val="0"/>
                <w:bCs/>
                <w:strike w:val="0"/>
                <w:color w:val="auto"/>
                <w:kern w:val="0"/>
                <w:szCs w:val="21"/>
                <w:highlight w:val="none"/>
              </w:rPr>
              <w:t>四档（</w:t>
            </w:r>
            <w:r>
              <w:rPr>
                <w:rFonts w:hint="eastAsia" w:ascii="宋体" w:hAnsi="宋体" w:eastAsia="宋体" w:cs="宋体"/>
                <w:b w:val="0"/>
                <w:bCs/>
                <w:strike w:val="0"/>
                <w:color w:val="auto"/>
                <w:kern w:val="0"/>
                <w:szCs w:val="21"/>
                <w:highlight w:val="none"/>
                <w:lang w:val="en-US" w:eastAsia="zh-CN"/>
              </w:rPr>
              <w:t>16</w:t>
            </w:r>
            <w:r>
              <w:rPr>
                <w:rFonts w:hint="eastAsia" w:ascii="宋体" w:hAnsi="宋体" w:eastAsia="宋体" w:cs="宋体"/>
                <w:b w:val="0"/>
                <w:bCs/>
                <w:strike w:val="0"/>
                <w:color w:val="auto"/>
                <w:kern w:val="0"/>
                <w:szCs w:val="21"/>
                <w:highlight w:val="none"/>
              </w:rPr>
              <w:t>分）：</w:t>
            </w:r>
            <w:r>
              <w:rPr>
                <w:rFonts w:hint="eastAsia" w:ascii="宋体" w:hAnsi="宋体" w:eastAsia="宋体" w:cs="宋体"/>
                <w:b w:val="0"/>
                <w:bCs/>
                <w:strike w:val="0"/>
                <w:color w:val="auto"/>
                <w:spacing w:val="9"/>
                <w:szCs w:val="21"/>
                <w:highlight w:val="none"/>
              </w:rPr>
              <w:t>满足三档的基础上，</w:t>
            </w:r>
            <w:r>
              <w:rPr>
                <w:rFonts w:hint="eastAsia" w:ascii="宋体" w:hAnsi="宋体" w:eastAsia="宋体" w:cs="宋体"/>
                <w:b w:val="0"/>
                <w:bCs/>
                <w:strike w:val="0"/>
                <w:color w:val="auto"/>
                <w:spacing w:val="11"/>
                <w:szCs w:val="21"/>
                <w:highlight w:val="none"/>
              </w:rPr>
              <w:t>具备教学</w:t>
            </w:r>
            <w:r>
              <w:rPr>
                <w:rFonts w:hint="eastAsia" w:ascii="宋体" w:hAnsi="宋体" w:eastAsia="宋体" w:cs="宋体"/>
                <w:b w:val="0"/>
                <w:bCs/>
                <w:strike w:val="0"/>
                <w:color w:val="auto"/>
                <w:spacing w:val="7"/>
                <w:szCs w:val="21"/>
                <w:highlight w:val="none"/>
              </w:rPr>
              <w:t>运营保障机制</w:t>
            </w:r>
            <w:r>
              <w:rPr>
                <w:rFonts w:hint="eastAsia" w:ascii="宋体" w:hAnsi="宋体" w:eastAsia="宋体" w:cs="宋体"/>
                <w:b w:val="0"/>
                <w:bCs/>
                <w:strike w:val="0"/>
                <w:color w:val="auto"/>
                <w:kern w:val="0"/>
                <w:szCs w:val="21"/>
                <w:highlight w:val="none"/>
              </w:rPr>
              <w:t>，</w:t>
            </w:r>
            <w:r>
              <w:rPr>
                <w:rFonts w:hint="eastAsia" w:ascii="宋体" w:hAnsi="宋体" w:eastAsia="宋体" w:cs="宋体"/>
                <w:b w:val="0"/>
                <w:bCs/>
                <w:strike w:val="0"/>
                <w:color w:val="auto"/>
                <w:spacing w:val="11"/>
                <w:szCs w:val="21"/>
                <w:highlight w:val="none"/>
              </w:rPr>
              <w:t>满足采购需求中的教学软件；</w:t>
            </w:r>
            <w:r>
              <w:rPr>
                <w:rFonts w:hint="eastAsia" w:ascii="宋体" w:hAnsi="宋体" w:eastAsia="宋体" w:cs="宋体"/>
                <w:b w:val="0"/>
                <w:bCs/>
                <w:strike w:val="0"/>
                <w:color w:val="auto"/>
                <w:kern w:val="0"/>
                <w:szCs w:val="21"/>
                <w:highlight w:val="none"/>
              </w:rPr>
              <w:t>拟投入人员职责分工具体明确，有专门的质量技术管理班子，人员配备合理，工作程序制定全面严谨，防范和控制风险制度健全，质量控制措施操作性强，内控措施细致周全，</w:t>
            </w:r>
            <w:r>
              <w:rPr>
                <w:rFonts w:hint="eastAsia" w:ascii="宋体" w:hAnsi="宋体" w:eastAsia="宋体" w:cs="宋体"/>
                <w:b w:val="0"/>
                <w:bCs/>
                <w:strike w:val="0"/>
                <w:color w:val="auto"/>
                <w:spacing w:val="11"/>
                <w:szCs w:val="21"/>
                <w:highlight w:val="none"/>
              </w:rPr>
              <w:t>具备合理</w:t>
            </w:r>
            <w:r>
              <w:rPr>
                <w:rFonts w:hint="eastAsia" w:ascii="宋体" w:hAnsi="宋体" w:eastAsia="宋体" w:cs="宋体"/>
                <w:b w:val="0"/>
                <w:bCs/>
                <w:strike w:val="0"/>
                <w:color w:val="auto"/>
                <w:spacing w:val="9"/>
                <w:szCs w:val="21"/>
                <w:highlight w:val="none"/>
              </w:rPr>
              <w:t>的安装调试、系统服务能力以及提供关键性技术支撑，优于本项目需求。</w:t>
            </w:r>
          </w:p>
        </w:tc>
      </w:tr>
      <w:tr w14:paraId="110A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noWrap w:val="0"/>
            <w:vAlign w:val="center"/>
          </w:tcPr>
          <w:p w14:paraId="6683122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4</w:t>
            </w:r>
          </w:p>
        </w:tc>
        <w:tc>
          <w:tcPr>
            <w:tcW w:w="1461" w:type="dxa"/>
            <w:gridSpan w:val="2"/>
            <w:noWrap w:val="0"/>
            <w:vAlign w:val="center"/>
          </w:tcPr>
          <w:p w14:paraId="09727AB5">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售后服务方案分</w:t>
            </w:r>
          </w:p>
        </w:tc>
        <w:tc>
          <w:tcPr>
            <w:tcW w:w="691" w:type="dxa"/>
            <w:noWrap w:val="0"/>
            <w:vAlign w:val="center"/>
          </w:tcPr>
          <w:p w14:paraId="5B26FE8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lang w:val="en-US" w:eastAsia="zh-CN"/>
              </w:rPr>
              <w:t>16</w:t>
            </w:r>
            <w:r>
              <w:rPr>
                <w:rFonts w:hint="eastAsia" w:ascii="宋体" w:hAnsi="宋体" w:eastAsia="宋体" w:cs="Times New Roman"/>
                <w:b/>
                <w:strike w:val="0"/>
                <w:color w:val="auto"/>
                <w:szCs w:val="21"/>
              </w:rPr>
              <w:t>分</w:t>
            </w:r>
          </w:p>
        </w:tc>
        <w:tc>
          <w:tcPr>
            <w:tcW w:w="6848" w:type="dxa"/>
            <w:noWrap w:val="0"/>
            <w:vAlign w:val="center"/>
          </w:tcPr>
          <w:p w14:paraId="6FC03D14">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由评委根据招标文件要求及投标人所提供的</w:t>
            </w:r>
            <w:r>
              <w:rPr>
                <w:rFonts w:hint="eastAsia" w:ascii="宋体" w:hAnsi="宋体" w:eastAsia="宋体" w:cs="Times New Roman"/>
                <w:bCs/>
                <w:strike w:val="0"/>
                <w:color w:val="auto"/>
                <w:szCs w:val="21"/>
              </w:rPr>
              <w:t>售后服务方案，包括</w:t>
            </w:r>
            <w:r>
              <w:rPr>
                <w:rFonts w:hint="eastAsia" w:ascii="宋体" w:hAnsi="宋体" w:eastAsia="宋体" w:cs="宋体"/>
                <w:strike w:val="0"/>
                <w:color w:val="auto"/>
              </w:rPr>
              <w:t>保修期、保修期内和保修期外保修维修养护具体措施、安全保障措施、服务响应时间、服务质量保障、应急处理方案等内容</w:t>
            </w:r>
            <w:r>
              <w:rPr>
                <w:rFonts w:hint="eastAsia" w:ascii="宋体" w:hAnsi="宋体" w:eastAsia="宋体" w:cs="Times New Roman"/>
                <w:bCs/>
                <w:strike w:val="0"/>
                <w:color w:val="auto"/>
                <w:szCs w:val="21"/>
              </w:rPr>
              <w:t>进行独立打分，不提供或达不到一档要求的不得分。</w:t>
            </w:r>
          </w:p>
          <w:p w14:paraId="072850F9">
            <w:pPr>
              <w:snapToGrid w:val="0"/>
              <w:spacing w:line="400" w:lineRule="exact"/>
              <w:ind w:firstLine="420" w:firstLineChars="200"/>
              <w:rPr>
                <w:rFonts w:hint="eastAsia" w:ascii="宋体" w:hAnsi="宋体" w:eastAsia="宋体" w:cs="宋体"/>
                <w:bCs/>
                <w:strike w:val="0"/>
                <w:dstrike w:val="0"/>
                <w:color w:val="auto"/>
                <w:kern w:val="0"/>
                <w:sz w:val="21"/>
                <w:szCs w:val="21"/>
                <w:lang w:eastAsia="zh-CN"/>
              </w:rPr>
            </w:pPr>
            <w:r>
              <w:rPr>
                <w:rFonts w:hint="eastAsia" w:ascii="宋体" w:hAnsi="宋体" w:eastAsia="宋体" w:cs="宋体"/>
                <w:bCs/>
                <w:strike w:val="0"/>
                <w:color w:val="auto"/>
                <w:kern w:val="0"/>
                <w:szCs w:val="21"/>
              </w:rPr>
              <w:t>一档（</w:t>
            </w:r>
            <w:r>
              <w:rPr>
                <w:rFonts w:hint="eastAsia" w:ascii="宋体" w:hAnsi="宋体" w:eastAsia="宋体" w:cs="宋体"/>
                <w:bCs/>
                <w:strike w:val="0"/>
                <w:color w:val="auto"/>
                <w:kern w:val="0"/>
                <w:szCs w:val="21"/>
                <w:lang w:val="en-US" w:eastAsia="zh-CN"/>
              </w:rPr>
              <w:t>4</w:t>
            </w:r>
            <w:r>
              <w:rPr>
                <w:rFonts w:hint="eastAsia" w:ascii="宋体" w:hAnsi="宋体" w:eastAsia="宋体" w:cs="宋体"/>
                <w:bCs/>
                <w:strike w:val="0"/>
                <w:color w:val="auto"/>
                <w:kern w:val="0"/>
                <w:szCs w:val="21"/>
              </w:rPr>
              <w:t>分）：售后服务方案，</w:t>
            </w:r>
            <w:r>
              <w:rPr>
                <w:rFonts w:hint="eastAsia" w:ascii="宋体" w:hAnsi="宋体" w:eastAsia="宋体" w:cs="宋体"/>
                <w:strike w:val="0"/>
                <w:color w:val="auto"/>
              </w:rPr>
              <w:t>没有从项目具体需求出发</w:t>
            </w:r>
            <w:r>
              <w:rPr>
                <w:rFonts w:hint="eastAsia" w:ascii="宋体" w:hAnsi="宋体" w:cs="宋体"/>
                <w:strike w:val="0"/>
                <w:color w:val="auto"/>
                <w:lang w:eastAsia="zh-CN"/>
              </w:rPr>
              <w:t>。</w:t>
            </w:r>
          </w:p>
          <w:p w14:paraId="55B19C41">
            <w:pPr>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二档（</w:t>
            </w:r>
            <w:r>
              <w:rPr>
                <w:rFonts w:hint="eastAsia" w:ascii="宋体" w:hAnsi="宋体" w:eastAsia="宋体" w:cs="宋体"/>
                <w:bCs/>
                <w:strike w:val="0"/>
                <w:color w:val="auto"/>
                <w:kern w:val="0"/>
                <w:szCs w:val="21"/>
                <w:lang w:val="en-US" w:eastAsia="zh-CN"/>
              </w:rPr>
              <w:t>8</w:t>
            </w:r>
            <w:r>
              <w:rPr>
                <w:rFonts w:hint="eastAsia" w:ascii="宋体" w:hAnsi="宋体" w:eastAsia="宋体" w:cs="宋体"/>
                <w:bCs/>
                <w:strike w:val="0"/>
                <w:color w:val="auto"/>
                <w:kern w:val="0"/>
                <w:szCs w:val="21"/>
              </w:rPr>
              <w:t>分）：在一档的基础上，提供</w:t>
            </w:r>
            <w:r>
              <w:rPr>
                <w:rFonts w:hint="eastAsia" w:ascii="宋体" w:hAnsi="宋体" w:eastAsia="宋体" w:cs="宋体"/>
                <w:strike w:val="0"/>
                <w:color w:val="auto"/>
              </w:rPr>
              <w:t>保修期、保修期内和保修期外保修维修养护措施、安全保障措施</w:t>
            </w:r>
            <w:r>
              <w:rPr>
                <w:rFonts w:hint="eastAsia" w:ascii="宋体" w:hAnsi="宋体" w:eastAsia="宋体" w:cs="宋体"/>
                <w:bCs/>
                <w:strike w:val="0"/>
                <w:color w:val="auto"/>
                <w:kern w:val="0"/>
                <w:szCs w:val="21"/>
              </w:rPr>
              <w:t>等内容，但售后服务方案各项措施不全。</w:t>
            </w:r>
          </w:p>
          <w:p w14:paraId="4664E9DF">
            <w:pPr>
              <w:autoSpaceDE w:val="0"/>
              <w:autoSpaceDN w:val="0"/>
              <w:snapToGrid w:val="0"/>
              <w:spacing w:line="400" w:lineRule="exact"/>
              <w:ind w:firstLine="420" w:firstLineChars="200"/>
              <w:rPr>
                <w:rFonts w:hint="eastAsia" w:ascii="宋体" w:hAnsi="宋体" w:eastAsia="宋体" w:cs="宋体"/>
                <w:bCs/>
                <w:strike w:val="0"/>
                <w:dstrike w:val="0"/>
                <w:color w:val="auto"/>
                <w:kern w:val="0"/>
                <w:sz w:val="21"/>
                <w:szCs w:val="21"/>
                <w:lang w:eastAsia="zh-CN"/>
              </w:rPr>
            </w:pPr>
            <w:r>
              <w:rPr>
                <w:rFonts w:hint="eastAsia" w:ascii="宋体" w:hAnsi="宋体" w:eastAsia="宋体" w:cs="宋体"/>
                <w:bCs/>
                <w:strike w:val="0"/>
                <w:color w:val="auto"/>
                <w:kern w:val="0"/>
                <w:szCs w:val="21"/>
              </w:rPr>
              <w:t>三档（</w:t>
            </w:r>
            <w:r>
              <w:rPr>
                <w:rFonts w:hint="eastAsia" w:ascii="宋体" w:hAnsi="宋体" w:eastAsia="宋体" w:cs="宋体"/>
                <w:bCs/>
                <w:strike w:val="0"/>
                <w:color w:val="auto"/>
                <w:kern w:val="0"/>
                <w:szCs w:val="21"/>
                <w:lang w:val="en-US" w:eastAsia="zh-CN"/>
              </w:rPr>
              <w:t>12</w:t>
            </w:r>
            <w:r>
              <w:rPr>
                <w:rFonts w:hint="eastAsia" w:ascii="宋体" w:hAnsi="宋体" w:eastAsia="宋体" w:cs="宋体"/>
                <w:bCs/>
                <w:strike w:val="0"/>
                <w:color w:val="auto"/>
                <w:kern w:val="0"/>
                <w:szCs w:val="21"/>
              </w:rPr>
              <w:t>分）：在二档的基础上，售后服务响应时效优于招标文件要求，有具体的</w:t>
            </w:r>
            <w:r>
              <w:rPr>
                <w:rFonts w:hint="eastAsia" w:ascii="宋体" w:hAnsi="宋体" w:eastAsia="宋体" w:cs="Times New Roman"/>
                <w:bCs/>
                <w:strike w:val="0"/>
                <w:color w:val="auto"/>
              </w:rPr>
              <w:t>问题产品替换方案</w:t>
            </w:r>
            <w:r>
              <w:rPr>
                <w:rFonts w:hint="eastAsia" w:ascii="宋体" w:hAnsi="宋体" w:eastAsia="宋体" w:cs="宋体"/>
                <w:bCs/>
                <w:strike w:val="0"/>
                <w:color w:val="auto"/>
                <w:kern w:val="0"/>
                <w:szCs w:val="21"/>
              </w:rPr>
              <w:t>，</w:t>
            </w:r>
            <w:r>
              <w:rPr>
                <w:rFonts w:ascii="宋体" w:hAnsi="宋体" w:eastAsia="宋体" w:cs="Times New Roman"/>
                <w:strike w:val="0"/>
                <w:color w:val="auto"/>
              </w:rPr>
              <w:t>保证项目</w:t>
            </w:r>
            <w:r>
              <w:rPr>
                <w:rFonts w:hint="eastAsia" w:ascii="宋体" w:hAnsi="宋体" w:eastAsia="宋体" w:cs="Times New Roman"/>
                <w:strike w:val="0"/>
                <w:color w:val="auto"/>
              </w:rPr>
              <w:t>售后</w:t>
            </w:r>
            <w:r>
              <w:rPr>
                <w:rFonts w:ascii="宋体" w:hAnsi="宋体" w:eastAsia="宋体" w:cs="Times New Roman"/>
                <w:strike w:val="0"/>
                <w:color w:val="auto"/>
              </w:rPr>
              <w:t>的技术力量和人力资源，</w:t>
            </w:r>
            <w:r>
              <w:rPr>
                <w:rFonts w:hint="eastAsia" w:ascii="宋体" w:hAnsi="宋体" w:eastAsia="宋体" w:cs="Times New Roman"/>
                <w:strike w:val="0"/>
                <w:color w:val="auto"/>
              </w:rPr>
              <w:t>技术支持服务</w:t>
            </w:r>
            <w:r>
              <w:rPr>
                <w:rFonts w:ascii="宋体" w:hAnsi="宋体" w:eastAsia="宋体" w:cs="Times New Roman"/>
                <w:strike w:val="0"/>
                <w:color w:val="auto"/>
              </w:rPr>
              <w:t>、技术培训的服务内容和措施</w:t>
            </w:r>
            <w:r>
              <w:rPr>
                <w:rFonts w:hint="eastAsia" w:ascii="宋体" w:hAnsi="宋体" w:eastAsia="宋体" w:cs="宋体"/>
                <w:bCs/>
                <w:strike w:val="0"/>
                <w:color w:val="auto"/>
                <w:kern w:val="0"/>
                <w:szCs w:val="21"/>
              </w:rPr>
              <w:t>，整体售后服务方案</w:t>
            </w:r>
            <w:r>
              <w:rPr>
                <w:rFonts w:hint="eastAsia" w:ascii="宋体" w:hAnsi="宋体" w:cs="宋体"/>
                <w:bCs/>
                <w:strike w:val="0"/>
                <w:color w:val="auto"/>
                <w:kern w:val="0"/>
                <w:szCs w:val="21"/>
                <w:lang w:eastAsia="zh-CN"/>
              </w:rPr>
              <w:t>。</w:t>
            </w:r>
          </w:p>
          <w:p w14:paraId="6B55AFB4">
            <w:pPr>
              <w:autoSpaceDE w:val="0"/>
              <w:autoSpaceDN w:val="0"/>
              <w:snapToGrid w:val="0"/>
              <w:spacing w:line="400" w:lineRule="exact"/>
              <w:ind w:firstLine="420" w:firstLineChars="200"/>
              <w:rPr>
                <w:rFonts w:hint="eastAsia" w:ascii="宋体" w:hAnsi="宋体" w:eastAsia="宋体" w:cs="宋体"/>
                <w:bCs/>
                <w:strike w:val="0"/>
                <w:color w:val="auto"/>
                <w:kern w:val="0"/>
                <w:szCs w:val="21"/>
              </w:rPr>
            </w:pPr>
            <w:r>
              <w:rPr>
                <w:rFonts w:hint="eastAsia" w:ascii="宋体" w:hAnsi="宋体" w:eastAsia="宋体" w:cs="宋体"/>
                <w:bCs/>
                <w:strike w:val="0"/>
                <w:color w:val="auto"/>
                <w:kern w:val="0"/>
                <w:szCs w:val="21"/>
              </w:rPr>
              <w:t>四档（</w:t>
            </w:r>
            <w:r>
              <w:rPr>
                <w:rFonts w:hint="eastAsia" w:ascii="宋体" w:hAnsi="宋体" w:eastAsia="宋体" w:cs="宋体"/>
                <w:bCs/>
                <w:strike w:val="0"/>
                <w:color w:val="auto"/>
                <w:kern w:val="0"/>
                <w:szCs w:val="21"/>
                <w:lang w:val="en-US" w:eastAsia="zh-CN"/>
              </w:rPr>
              <w:t>16</w:t>
            </w:r>
            <w:r>
              <w:rPr>
                <w:rFonts w:hint="eastAsia" w:ascii="宋体" w:hAnsi="宋体" w:eastAsia="宋体" w:cs="宋体"/>
                <w:bCs/>
                <w:strike w:val="0"/>
                <w:color w:val="auto"/>
                <w:kern w:val="0"/>
                <w:szCs w:val="21"/>
              </w:rPr>
              <w:t>分）：在三档的基础上，针对项目出现的各种不同突发情况等提出具体的应急处理措施，切合项目实际，配备售后服务团队，分工明确，有具体的售后</w:t>
            </w:r>
            <w:r>
              <w:rPr>
                <w:rFonts w:ascii="宋体" w:hAnsi="宋体" w:eastAsia="宋体" w:cs="Times New Roman"/>
                <w:strike w:val="0"/>
                <w:color w:val="auto"/>
              </w:rPr>
              <w:t>组织管理措施</w:t>
            </w:r>
            <w:r>
              <w:rPr>
                <w:rFonts w:hint="eastAsia" w:ascii="宋体" w:hAnsi="宋体" w:eastAsia="宋体" w:cs="宋体"/>
                <w:bCs/>
                <w:strike w:val="0"/>
                <w:color w:val="auto"/>
                <w:kern w:val="0"/>
                <w:szCs w:val="21"/>
              </w:rPr>
              <w:t>、</w:t>
            </w:r>
            <w:r>
              <w:rPr>
                <w:rFonts w:ascii="宋体" w:hAnsi="宋体" w:eastAsia="宋体" w:cs="Times New Roman"/>
                <w:strike w:val="0"/>
                <w:color w:val="auto"/>
              </w:rPr>
              <w:t>质量进度计划控制流程</w:t>
            </w:r>
            <w:r>
              <w:rPr>
                <w:rFonts w:hint="eastAsia" w:ascii="宋体" w:hAnsi="宋体" w:eastAsia="宋体" w:cs="Times New Roman"/>
                <w:strike w:val="0"/>
                <w:color w:val="auto"/>
              </w:rPr>
              <w:t>、</w:t>
            </w:r>
            <w:r>
              <w:rPr>
                <w:rFonts w:hint="eastAsia" w:ascii="宋体" w:hAnsi="宋体" w:eastAsia="宋体" w:cs="宋体"/>
                <w:bCs/>
                <w:strike w:val="0"/>
                <w:color w:val="auto"/>
                <w:kern w:val="0"/>
                <w:szCs w:val="21"/>
              </w:rPr>
              <w:t>售后服务监督及保障机制和售后服务管理流程，定期回访，保证项目服务质量，优于项目要求。</w:t>
            </w:r>
          </w:p>
        </w:tc>
      </w:tr>
      <w:tr w14:paraId="012D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vMerge w:val="restart"/>
            <w:noWrap w:val="0"/>
            <w:vAlign w:val="center"/>
          </w:tcPr>
          <w:p w14:paraId="1902EF69">
            <w:pPr>
              <w:adjustRightInd w:val="0"/>
              <w:spacing w:line="400" w:lineRule="exact"/>
              <w:ind w:firstLine="0" w:firstLineChars="0"/>
              <w:jc w:val="center"/>
              <w:textAlignment w:val="baseline"/>
              <w:rPr>
                <w:rFonts w:hint="eastAsia" w:ascii="宋体" w:hAnsi="宋体" w:eastAsia="宋体" w:cs="Times New Roman"/>
                <w:b/>
                <w:strike w:val="0"/>
                <w:color w:val="auto"/>
                <w:szCs w:val="21"/>
                <w:lang w:val="en-US" w:eastAsia="zh-CN"/>
              </w:rPr>
            </w:pPr>
            <w:r>
              <w:rPr>
                <w:rFonts w:hint="eastAsia" w:ascii="宋体" w:hAnsi="宋体" w:eastAsia="宋体" w:cs="Times New Roman"/>
                <w:b/>
                <w:strike w:val="0"/>
                <w:color w:val="auto"/>
                <w:szCs w:val="21"/>
                <w:lang w:val="en-US" w:eastAsia="zh-CN"/>
              </w:rPr>
              <w:t>5</w:t>
            </w:r>
          </w:p>
        </w:tc>
        <w:tc>
          <w:tcPr>
            <w:tcW w:w="737" w:type="dxa"/>
            <w:vMerge w:val="restart"/>
            <w:noWrap w:val="0"/>
            <w:vAlign w:val="center"/>
          </w:tcPr>
          <w:p w14:paraId="40A67E1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cs="宋体"/>
                <w:b/>
                <w:bCs/>
                <w:strike w:val="0"/>
                <w:color w:val="auto"/>
                <w:kern w:val="0"/>
                <w:szCs w:val="21"/>
                <w:highlight w:val="none"/>
                <w:lang w:bidi="ar"/>
              </w:rPr>
              <w:t>商务分</w:t>
            </w:r>
          </w:p>
        </w:tc>
        <w:tc>
          <w:tcPr>
            <w:tcW w:w="724" w:type="dxa"/>
            <w:noWrap w:val="0"/>
            <w:vAlign w:val="center"/>
          </w:tcPr>
          <w:p w14:paraId="3824049A">
            <w:pPr>
              <w:adjustRightInd w:val="0"/>
              <w:spacing w:line="400" w:lineRule="exact"/>
              <w:ind w:firstLine="0" w:firstLineChars="0"/>
              <w:jc w:val="center"/>
              <w:textAlignment w:val="baseline"/>
              <w:rPr>
                <w:rFonts w:hint="eastAsia" w:ascii="宋体" w:hAnsi="宋体" w:eastAsia="宋体" w:cs="Times New Roman"/>
                <w:b/>
                <w:bCs/>
                <w:strike w:val="0"/>
                <w:color w:val="auto"/>
                <w:szCs w:val="21"/>
                <w:lang w:val="en-US" w:eastAsia="zh-CN"/>
              </w:rPr>
            </w:pPr>
            <w:r>
              <w:rPr>
                <w:rFonts w:hint="eastAsia" w:ascii="Times New Roman" w:hAnsi="Times New Roman" w:eastAsia="宋体" w:cs="Times New Roman"/>
                <w:b/>
                <w:bCs/>
                <w:strike w:val="0"/>
                <w:color w:val="auto"/>
                <w:spacing w:val="4"/>
                <w:lang w:val="en-US" w:eastAsia="zh-CN"/>
              </w:rPr>
              <w:t>业绩分</w:t>
            </w:r>
          </w:p>
        </w:tc>
        <w:tc>
          <w:tcPr>
            <w:tcW w:w="691" w:type="dxa"/>
            <w:noWrap w:val="0"/>
            <w:vAlign w:val="center"/>
          </w:tcPr>
          <w:p w14:paraId="587FDC50">
            <w:pPr>
              <w:adjustRightInd w:val="0"/>
              <w:spacing w:line="400" w:lineRule="exact"/>
              <w:ind w:firstLine="0" w:firstLineChars="0"/>
              <w:jc w:val="center"/>
              <w:textAlignment w:val="baseline"/>
              <w:rPr>
                <w:rFonts w:hint="default" w:ascii="宋体" w:hAnsi="宋体" w:eastAsia="宋体" w:cs="Times New Roman"/>
                <w:b/>
                <w:strike w:val="0"/>
                <w:color w:val="auto"/>
                <w:szCs w:val="21"/>
                <w:lang w:val="en-US" w:eastAsia="zh-CN"/>
              </w:rPr>
            </w:pPr>
            <w:r>
              <w:rPr>
                <w:rFonts w:hint="eastAsia" w:ascii="宋体" w:hAnsi="宋体" w:eastAsia="宋体" w:cs="Times New Roman"/>
                <w:b/>
                <w:strike w:val="0"/>
                <w:color w:val="auto"/>
                <w:szCs w:val="21"/>
                <w:lang w:val="en-US" w:eastAsia="zh-CN"/>
              </w:rPr>
              <w:t>2分</w:t>
            </w:r>
          </w:p>
        </w:tc>
        <w:tc>
          <w:tcPr>
            <w:tcW w:w="6848" w:type="dxa"/>
            <w:noWrap w:val="0"/>
            <w:vAlign w:val="center"/>
          </w:tcPr>
          <w:p w14:paraId="0D2CD079">
            <w:pPr>
              <w:autoSpaceDE w:val="0"/>
              <w:autoSpaceDN w:val="0"/>
              <w:snapToGrid w:val="0"/>
              <w:spacing w:line="400" w:lineRule="exact"/>
              <w:ind w:firstLine="0" w:firstLineChars="0"/>
              <w:rPr>
                <w:rFonts w:hint="eastAsia" w:ascii="宋体" w:hAnsi="宋体" w:eastAsia="宋体" w:cs="宋体"/>
                <w:strike w:val="0"/>
                <w:snapToGrid w:val="0"/>
                <w:color w:val="auto"/>
                <w:kern w:val="0"/>
                <w:szCs w:val="21"/>
              </w:rPr>
            </w:pPr>
            <w:r>
              <w:rPr>
                <w:rFonts w:hint="eastAsia" w:ascii="Times New Roman" w:hAnsi="宋体" w:eastAsia="宋体" w:cs="宋体"/>
                <w:bCs/>
                <w:strike w:val="0"/>
                <w:color w:val="auto"/>
              </w:rPr>
              <w:t>投标人提供202</w:t>
            </w:r>
            <w:r>
              <w:rPr>
                <w:rFonts w:hint="eastAsia" w:ascii="Times New Roman" w:hAnsi="宋体" w:eastAsia="宋体" w:cs="宋体"/>
                <w:bCs/>
                <w:strike w:val="0"/>
                <w:color w:val="auto"/>
                <w:lang w:val="en-US" w:eastAsia="zh-CN"/>
              </w:rPr>
              <w:t>2</w:t>
            </w:r>
            <w:r>
              <w:rPr>
                <w:rFonts w:hint="eastAsia" w:ascii="Times New Roman" w:hAnsi="宋体" w:eastAsia="宋体" w:cs="宋体"/>
                <w:bCs/>
                <w:strike w:val="0"/>
                <w:color w:val="auto"/>
              </w:rPr>
              <w:t>年1月1日以来同类项目合同证明，每提供一个得</w:t>
            </w:r>
            <w:r>
              <w:rPr>
                <w:rFonts w:hint="eastAsia" w:ascii="Times New Roman" w:hAnsi="宋体" w:eastAsia="宋体" w:cs="宋体"/>
                <w:bCs/>
                <w:strike w:val="0"/>
                <w:color w:val="auto"/>
                <w:lang w:val="en-US" w:eastAsia="zh-CN"/>
              </w:rPr>
              <w:t>0.5</w:t>
            </w:r>
            <w:r>
              <w:rPr>
                <w:rFonts w:hint="eastAsia" w:ascii="Times New Roman" w:hAnsi="宋体" w:eastAsia="宋体" w:cs="宋体"/>
                <w:bCs/>
                <w:strike w:val="0"/>
                <w:color w:val="auto"/>
              </w:rPr>
              <w:t>分，满分</w:t>
            </w:r>
            <w:r>
              <w:rPr>
                <w:rFonts w:hint="eastAsia" w:ascii="Times New Roman" w:hAnsi="宋体" w:eastAsia="宋体" w:cs="宋体"/>
                <w:bCs/>
                <w:strike w:val="0"/>
                <w:color w:val="auto"/>
                <w:lang w:val="en-US" w:eastAsia="zh-CN"/>
              </w:rPr>
              <w:t>2</w:t>
            </w:r>
            <w:r>
              <w:rPr>
                <w:rFonts w:hint="eastAsia" w:ascii="Times New Roman" w:hAnsi="宋体" w:eastAsia="宋体" w:cs="宋体"/>
                <w:bCs/>
                <w:strike w:val="0"/>
                <w:color w:val="auto"/>
              </w:rPr>
              <w:t>分。（须提供合同证明材料复印件，否则不得分</w:t>
            </w:r>
            <w:r>
              <w:rPr>
                <w:rFonts w:hint="eastAsia" w:ascii="Times New Roman" w:hAnsi="宋体" w:eastAsia="宋体" w:cs="宋体"/>
                <w:bCs/>
                <w:strike w:val="0"/>
                <w:color w:val="auto"/>
                <w:lang w:eastAsia="zh-CN"/>
              </w:rPr>
              <w:t>）</w:t>
            </w:r>
            <w:r>
              <w:rPr>
                <w:rFonts w:hint="eastAsia" w:ascii="Times New Roman" w:hAnsi="宋体" w:eastAsia="宋体" w:cs="宋体"/>
                <w:bCs/>
                <w:strike w:val="0"/>
                <w:color w:val="auto"/>
              </w:rPr>
              <w:t>。</w:t>
            </w:r>
          </w:p>
        </w:tc>
      </w:tr>
      <w:tr w14:paraId="635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567" w:type="dxa"/>
            <w:vMerge w:val="continue"/>
            <w:noWrap w:val="0"/>
            <w:vAlign w:val="center"/>
          </w:tcPr>
          <w:p w14:paraId="0E869203">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p>
        </w:tc>
        <w:tc>
          <w:tcPr>
            <w:tcW w:w="737" w:type="dxa"/>
            <w:vMerge w:val="continue"/>
            <w:noWrap w:val="0"/>
            <w:vAlign w:val="center"/>
          </w:tcPr>
          <w:p w14:paraId="5354A860">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p>
        </w:tc>
        <w:tc>
          <w:tcPr>
            <w:tcW w:w="724" w:type="dxa"/>
            <w:noWrap w:val="0"/>
            <w:vAlign w:val="center"/>
          </w:tcPr>
          <w:p w14:paraId="6DCE1AD2">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政策功能</w:t>
            </w:r>
          </w:p>
        </w:tc>
        <w:tc>
          <w:tcPr>
            <w:tcW w:w="691" w:type="dxa"/>
            <w:noWrap w:val="0"/>
            <w:vAlign w:val="center"/>
          </w:tcPr>
          <w:p w14:paraId="6E839B76">
            <w:pPr>
              <w:adjustRightInd w:val="0"/>
              <w:spacing w:line="400" w:lineRule="exact"/>
              <w:ind w:firstLine="0" w:firstLineChars="0"/>
              <w:jc w:val="center"/>
              <w:textAlignment w:val="baseline"/>
              <w:rPr>
                <w:rFonts w:hint="eastAsia" w:ascii="宋体" w:hAnsi="宋体" w:eastAsia="宋体" w:cs="Times New Roman"/>
                <w:b/>
                <w:strike w:val="0"/>
                <w:color w:val="auto"/>
                <w:szCs w:val="21"/>
              </w:rPr>
            </w:pPr>
            <w:r>
              <w:rPr>
                <w:rFonts w:hint="eastAsia" w:ascii="宋体" w:hAnsi="宋体" w:eastAsia="宋体" w:cs="Times New Roman"/>
                <w:b/>
                <w:strike w:val="0"/>
                <w:color w:val="auto"/>
                <w:szCs w:val="21"/>
              </w:rPr>
              <w:t>2分</w:t>
            </w:r>
          </w:p>
        </w:tc>
        <w:tc>
          <w:tcPr>
            <w:tcW w:w="6848" w:type="dxa"/>
            <w:noWrap w:val="0"/>
            <w:vAlign w:val="center"/>
          </w:tcPr>
          <w:p w14:paraId="7813B365">
            <w:pPr>
              <w:widowControl w:val="0"/>
              <w:spacing w:line="400" w:lineRule="exact"/>
              <w:ind w:left="0" w:leftChars="0" w:firstLine="0" w:firstLineChars="0"/>
              <w:jc w:val="left"/>
              <w:rPr>
                <w:rFonts w:hint="eastAsia" w:ascii="宋体" w:hAnsi="宋体" w:eastAsia="宋体" w:cs="Courier New"/>
                <w:strike w:val="0"/>
                <w:color w:val="auto"/>
                <w:kern w:val="2"/>
                <w:sz w:val="21"/>
                <w:szCs w:val="21"/>
                <w:lang w:val="en-US" w:eastAsia="zh-CN" w:bidi="ar-SA"/>
              </w:rPr>
            </w:pPr>
            <w:r>
              <w:rPr>
                <w:rFonts w:hint="eastAsia" w:ascii="宋体" w:hAnsi="宋体" w:eastAsia="宋体" w:cs="Courier New"/>
                <w:strike w:val="0"/>
                <w:color w:val="auto"/>
                <w:kern w:val="2"/>
                <w:sz w:val="21"/>
                <w:szCs w:val="21"/>
                <w:lang w:val="en-US" w:eastAsia="zh-CN" w:bidi="ar-SA"/>
              </w:rPr>
              <w:t>（1）</w:t>
            </w:r>
            <w:r>
              <w:rPr>
                <w:rFonts w:ascii="宋体" w:hAnsi="宋体" w:eastAsia="宋体" w:cs="Courier New"/>
                <w:strike w:val="0"/>
                <w:color w:val="auto"/>
                <w:kern w:val="2"/>
                <w:sz w:val="21"/>
                <w:szCs w:val="21"/>
                <w:lang w:val="en-US" w:eastAsia="zh-CN" w:bidi="ar-SA"/>
              </w:rPr>
              <w:t>投标产品</w:t>
            </w:r>
            <w:r>
              <w:rPr>
                <w:rFonts w:hint="eastAsia" w:ascii="宋体" w:hAnsi="宋体" w:eastAsia="宋体" w:cs="Courier New"/>
                <w:strike w:val="0"/>
                <w:color w:val="auto"/>
                <w:kern w:val="2"/>
                <w:sz w:val="21"/>
                <w:szCs w:val="21"/>
                <w:lang w:val="en-US" w:eastAsia="zh-CN" w:bidi="ar-SA"/>
              </w:rPr>
              <w:t>中包含列入政府采购品目清单中的优先采购产品并具有有效的节能产品认证证书的，每项</w:t>
            </w:r>
            <w:r>
              <w:rPr>
                <w:rFonts w:ascii="宋体" w:hAnsi="宋体" w:eastAsia="宋体" w:cs="Courier New"/>
                <w:strike w:val="0"/>
                <w:color w:val="auto"/>
                <w:kern w:val="2"/>
                <w:sz w:val="21"/>
                <w:szCs w:val="21"/>
                <w:lang w:val="en-US" w:eastAsia="zh-CN" w:bidi="ar-SA"/>
              </w:rPr>
              <w:t>产品</w:t>
            </w:r>
            <w:r>
              <w:rPr>
                <w:rFonts w:hint="eastAsia" w:ascii="宋体" w:hAnsi="宋体" w:eastAsia="宋体" w:cs="Courier New"/>
                <w:strike w:val="0"/>
                <w:color w:val="auto"/>
                <w:kern w:val="2"/>
                <w:sz w:val="21"/>
                <w:szCs w:val="21"/>
                <w:lang w:val="en-US" w:eastAsia="zh-CN" w:bidi="ar-SA"/>
              </w:rPr>
              <w:t>得0.5分，满分1分（以政府采购品目清单和有效的节能产品认证证书复印件为准）。</w:t>
            </w:r>
          </w:p>
          <w:p w14:paraId="08DB4161">
            <w:pPr>
              <w:spacing w:line="400" w:lineRule="exact"/>
              <w:ind w:firstLine="0" w:firstLineChars="0"/>
              <w:jc w:val="left"/>
              <w:rPr>
                <w:rFonts w:hint="eastAsia" w:ascii="宋体" w:hAnsi="宋体" w:eastAsia="宋体" w:cs="宋体"/>
                <w:strike w:val="0"/>
                <w:snapToGrid w:val="0"/>
                <w:color w:val="auto"/>
                <w:kern w:val="0"/>
                <w:szCs w:val="21"/>
              </w:rPr>
            </w:pPr>
            <w:r>
              <w:rPr>
                <w:rFonts w:hint="eastAsia" w:ascii="宋体" w:hAnsi="宋体" w:eastAsia="宋体" w:cs="Times New Roman"/>
                <w:strike w:val="0"/>
                <w:color w:val="auto"/>
              </w:rPr>
              <w:t>（2）投标产品中包含列入政府采购品目清单中的优先采购产品并具有有效的环境标志产品认证证书，每项</w:t>
            </w:r>
            <w:r>
              <w:rPr>
                <w:rFonts w:ascii="宋体" w:hAnsi="宋体" w:eastAsia="宋体" w:cs="Times New Roman"/>
                <w:strike w:val="0"/>
                <w:color w:val="auto"/>
              </w:rPr>
              <w:t>产品</w:t>
            </w:r>
            <w:r>
              <w:rPr>
                <w:rFonts w:hint="eastAsia" w:ascii="宋体" w:hAnsi="宋体" w:eastAsia="宋体" w:cs="Times New Roman"/>
                <w:strike w:val="0"/>
                <w:color w:val="auto"/>
              </w:rPr>
              <w:t>得0.5分，满分1分（以政府采购品目清单和有效的环境标志产品认证证书复印件为准）。</w:t>
            </w:r>
          </w:p>
        </w:tc>
      </w:tr>
      <w:tr w14:paraId="3A2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7" w:type="dxa"/>
            <w:gridSpan w:val="5"/>
            <w:noWrap w:val="0"/>
            <w:vAlign w:val="center"/>
          </w:tcPr>
          <w:p w14:paraId="5D345017">
            <w:pPr>
              <w:widowControl w:val="0"/>
              <w:spacing w:line="400" w:lineRule="exact"/>
              <w:jc w:val="both"/>
              <w:rPr>
                <w:rFonts w:hint="eastAsia" w:ascii="宋体" w:hAnsi="宋体" w:eastAsia="宋体" w:cs="Courier New"/>
                <w:bCs/>
                <w:strike w:val="0"/>
                <w:color w:val="auto"/>
                <w:kern w:val="2"/>
                <w:sz w:val="21"/>
                <w:szCs w:val="21"/>
                <w:lang w:val="en-US" w:eastAsia="zh-CN" w:bidi="ar-SA"/>
              </w:rPr>
            </w:pPr>
            <w:r>
              <w:rPr>
                <w:rFonts w:hint="eastAsia" w:ascii="宋体" w:hAnsi="宋体" w:eastAsia="宋体" w:cs="Courier New"/>
                <w:b/>
                <w:bCs/>
                <w:strike w:val="0"/>
                <w:color w:val="auto"/>
                <w:kern w:val="2"/>
                <w:sz w:val="21"/>
                <w:szCs w:val="21"/>
                <w:lang w:val="en-US" w:eastAsia="zh-CN" w:bidi="ar-SA"/>
              </w:rPr>
              <w:t>总得分=1+2+3+4+5。</w:t>
            </w:r>
          </w:p>
        </w:tc>
      </w:tr>
    </w:tbl>
    <w:p w14:paraId="730A113F">
      <w:pPr>
        <w:pStyle w:val="28"/>
        <w:spacing w:line="460" w:lineRule="exact"/>
        <w:ind w:firstLine="210" w:firstLineChars="100"/>
        <w:jc w:val="left"/>
        <w:rPr>
          <w:rFonts w:hint="eastAsia" w:hAnsi="宋体"/>
          <w:strike w:val="0"/>
          <w:color w:val="auto"/>
        </w:rPr>
      </w:pPr>
    </w:p>
    <w:p w14:paraId="5CEBC7CA">
      <w:pPr>
        <w:spacing w:line="460" w:lineRule="exact"/>
        <w:ind w:firstLine="0" w:firstLineChars="0"/>
        <w:rPr>
          <w:b/>
          <w:bCs/>
          <w:strike w:val="0"/>
          <w:color w:val="auto"/>
        </w:rPr>
      </w:pPr>
      <w:r>
        <w:rPr>
          <w:rFonts w:hint="eastAsia"/>
          <w:b/>
          <w:bCs/>
          <w:strike w:val="0"/>
          <w:color w:val="auto"/>
        </w:rPr>
        <w:t>四、中标候选人推荐原则</w:t>
      </w:r>
    </w:p>
    <w:p w14:paraId="14208EC3">
      <w:pPr>
        <w:spacing w:line="460" w:lineRule="exact"/>
        <w:ind w:firstLine="0" w:firstLineChars="0"/>
        <w:rPr>
          <w:strike w:val="0"/>
          <w:color w:val="auto"/>
        </w:rPr>
      </w:pPr>
      <w:r>
        <w:rPr>
          <w:strike w:val="0"/>
          <w:color w:val="auto"/>
        </w:rPr>
        <w:tab/>
      </w:r>
      <w:r>
        <w:rPr>
          <w:rFonts w:hint="eastAsia"/>
          <w:strike w:val="0"/>
          <w:color w:val="auto"/>
        </w:rPr>
        <w:t>评标委员会将根据</w:t>
      </w:r>
      <w:r>
        <w:rPr>
          <w:strike w:val="0"/>
          <w:color w:val="auto"/>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1A24B04">
      <w:pPr>
        <w:pStyle w:val="28"/>
        <w:spacing w:line="420" w:lineRule="exact"/>
        <w:ind w:firstLine="0" w:firstLineChars="0"/>
        <w:jc w:val="left"/>
        <w:rPr>
          <w:strike w:val="0"/>
          <w:color w:val="auto"/>
        </w:rPr>
      </w:pPr>
      <w:r>
        <w:rPr>
          <w:bCs/>
          <w:strike w:val="0"/>
          <w:color w:val="auto"/>
          <w:sz w:val="32"/>
          <w:szCs w:val="32"/>
        </w:rPr>
        <w:br w:type="page"/>
      </w:r>
    </w:p>
    <w:p w14:paraId="42969E06">
      <w:pPr>
        <w:ind w:firstLine="0" w:firstLineChars="0"/>
        <w:rPr>
          <w:strike w:val="0"/>
          <w:color w:val="auto"/>
        </w:rPr>
      </w:pPr>
    </w:p>
    <w:p w14:paraId="39499743">
      <w:pPr>
        <w:ind w:firstLine="0" w:firstLineChars="0"/>
        <w:rPr>
          <w:strike w:val="0"/>
          <w:color w:val="auto"/>
        </w:rPr>
      </w:pPr>
    </w:p>
    <w:p w14:paraId="0B1BCD63">
      <w:pPr>
        <w:ind w:firstLine="0" w:firstLineChars="0"/>
        <w:rPr>
          <w:strike w:val="0"/>
          <w:color w:val="auto"/>
        </w:rPr>
      </w:pPr>
    </w:p>
    <w:p w14:paraId="3973EEE8">
      <w:pPr>
        <w:ind w:firstLine="0" w:firstLineChars="0"/>
        <w:rPr>
          <w:strike w:val="0"/>
          <w:color w:val="auto"/>
        </w:rPr>
      </w:pPr>
    </w:p>
    <w:p w14:paraId="5C6CD19E">
      <w:pPr>
        <w:ind w:firstLine="0" w:firstLineChars="0"/>
        <w:rPr>
          <w:strike w:val="0"/>
          <w:color w:val="auto"/>
        </w:rPr>
      </w:pPr>
    </w:p>
    <w:p w14:paraId="1573D12A">
      <w:pPr>
        <w:ind w:firstLine="0" w:firstLineChars="0"/>
        <w:rPr>
          <w:strike w:val="0"/>
          <w:color w:val="auto"/>
        </w:rPr>
      </w:pPr>
    </w:p>
    <w:p w14:paraId="763E0093">
      <w:pPr>
        <w:ind w:firstLine="0" w:firstLineChars="0"/>
        <w:rPr>
          <w:rFonts w:hint="eastAsia"/>
          <w:strike w:val="0"/>
          <w:color w:val="auto"/>
        </w:rPr>
      </w:pPr>
    </w:p>
    <w:p w14:paraId="43D926D0">
      <w:pPr>
        <w:ind w:firstLine="0" w:firstLineChars="0"/>
        <w:rPr>
          <w:rFonts w:hint="eastAsia"/>
          <w:strike w:val="0"/>
          <w:color w:val="auto"/>
        </w:rPr>
      </w:pPr>
    </w:p>
    <w:p w14:paraId="68D09F17">
      <w:pPr>
        <w:ind w:firstLine="0" w:firstLineChars="0"/>
        <w:rPr>
          <w:strike w:val="0"/>
          <w:color w:val="auto"/>
        </w:rPr>
      </w:pPr>
    </w:p>
    <w:p w14:paraId="0A98DA26">
      <w:pPr>
        <w:ind w:firstLine="0" w:firstLineChars="0"/>
        <w:rPr>
          <w:strike w:val="0"/>
          <w:color w:val="auto"/>
        </w:rPr>
      </w:pPr>
    </w:p>
    <w:p w14:paraId="29A151BD">
      <w:pPr>
        <w:ind w:firstLine="0" w:firstLineChars="0"/>
        <w:rPr>
          <w:rFonts w:hint="eastAsia"/>
          <w:strike w:val="0"/>
          <w:color w:val="auto"/>
        </w:rPr>
      </w:pPr>
    </w:p>
    <w:p w14:paraId="62B67E53">
      <w:pPr>
        <w:pStyle w:val="48"/>
        <w:ind w:left="0" w:leftChars="0" w:right="0" w:rightChars="0" w:firstLine="0" w:firstLineChars="0"/>
        <w:jc w:val="center"/>
        <w:rPr>
          <w:strike w:val="0"/>
          <w:color w:val="auto"/>
        </w:rPr>
      </w:pPr>
      <w:bookmarkStart w:id="221" w:name="_Toc91512287"/>
      <w:r>
        <w:rPr>
          <w:rFonts w:hint="eastAsia"/>
          <w:strike w:val="0"/>
          <w:color w:val="auto"/>
        </w:rPr>
        <w:t xml:space="preserve">第五章 </w:t>
      </w:r>
      <w:r>
        <w:rPr>
          <w:strike w:val="0"/>
          <w:color w:val="auto"/>
        </w:rPr>
        <w:t xml:space="preserve"> </w:t>
      </w:r>
      <w:r>
        <w:rPr>
          <w:rFonts w:hint="eastAsia"/>
          <w:strike w:val="0"/>
          <w:color w:val="auto"/>
        </w:rPr>
        <w:t>政府采购合同主要条款</w:t>
      </w:r>
      <w:bookmarkEnd w:id="221"/>
    </w:p>
    <w:p w14:paraId="30449A90">
      <w:pPr>
        <w:ind w:firstLine="480"/>
        <w:jc w:val="center"/>
        <w:rPr>
          <w:strike w:val="0"/>
          <w:color w:val="auto"/>
          <w:sz w:val="24"/>
        </w:rPr>
      </w:pPr>
      <w:bookmarkStart w:id="222" w:name="_Toc389638324"/>
      <w:r>
        <w:rPr>
          <w:rFonts w:hint="eastAsia"/>
          <w:strike w:val="0"/>
          <w:color w:val="auto"/>
          <w:sz w:val="24"/>
        </w:rPr>
        <w:t>（拟签订文本）</w:t>
      </w:r>
      <w:bookmarkEnd w:id="222"/>
    </w:p>
    <w:p w14:paraId="64BDF385">
      <w:pPr>
        <w:ind w:firstLine="420"/>
        <w:rPr>
          <w:strike w:val="0"/>
          <w:color w:val="auto"/>
        </w:rPr>
      </w:pPr>
    </w:p>
    <w:p w14:paraId="6B230583">
      <w:pPr>
        <w:pStyle w:val="28"/>
        <w:ind w:firstLine="0" w:firstLineChars="0"/>
        <w:jc w:val="left"/>
        <w:rPr>
          <w:rFonts w:hint="eastAsia" w:hAnsi="宋体"/>
          <w:strike w:val="0"/>
          <w:color w:val="auto"/>
          <w:kern w:val="0"/>
        </w:rPr>
      </w:pPr>
      <w:r>
        <w:rPr>
          <w:strike w:val="0"/>
          <w:color w:val="auto"/>
        </w:rPr>
        <w:br w:type="page"/>
      </w:r>
      <w:bookmarkStart w:id="223" w:name="_Hlk92701478"/>
      <w:r>
        <w:rPr>
          <w:rFonts w:hint="eastAsia" w:hAnsi="宋体"/>
          <w:strike w:val="0"/>
          <w:color w:val="auto"/>
          <w:kern w:val="0"/>
        </w:rPr>
        <w:t>（本合同由财政部制定，如本合同格式不适用，采购人与中标人可协商拟定合同，但不得实质性改变中标人投标文件中的响应内容）</w:t>
      </w:r>
    </w:p>
    <w:p w14:paraId="792015BE">
      <w:pPr>
        <w:pStyle w:val="28"/>
        <w:spacing w:line="500" w:lineRule="exact"/>
        <w:ind w:firstLine="960"/>
        <w:jc w:val="center"/>
        <w:rPr>
          <w:rFonts w:hint="eastAsia" w:ascii="方正小标宋_GBK" w:hAnsi="宋体" w:eastAsia="方正小标宋_GBK"/>
          <w:strike w:val="0"/>
          <w:color w:val="auto"/>
          <w:sz w:val="48"/>
          <w:szCs w:val="48"/>
        </w:rPr>
      </w:pPr>
    </w:p>
    <w:p w14:paraId="1B24313A">
      <w:pPr>
        <w:pStyle w:val="20"/>
        <w:spacing w:line="500" w:lineRule="exact"/>
        <w:ind w:firstLine="884"/>
        <w:jc w:val="center"/>
        <w:rPr>
          <w:rFonts w:ascii="宋体" w:hAnsi="宋体" w:cs="宋体"/>
          <w:b/>
          <w:bCs/>
          <w:strike w:val="0"/>
          <w:color w:val="auto"/>
          <w:spacing w:val="-20"/>
          <w:kern w:val="44"/>
          <w:sz w:val="48"/>
          <w:szCs w:val="48"/>
        </w:rPr>
      </w:pPr>
      <w:r>
        <w:rPr>
          <w:rFonts w:hint="eastAsia" w:ascii="宋体" w:hAnsi="宋体" w:cs="宋体"/>
          <w:b/>
          <w:bCs/>
          <w:strike w:val="0"/>
          <w:color w:val="auto"/>
          <w:spacing w:val="-20"/>
          <w:kern w:val="44"/>
          <w:sz w:val="48"/>
          <w:szCs w:val="48"/>
        </w:rPr>
        <w:t>政府采购货物买卖合同</w:t>
      </w:r>
    </w:p>
    <w:p w14:paraId="0303B40E">
      <w:pPr>
        <w:pStyle w:val="20"/>
        <w:spacing w:line="500" w:lineRule="exact"/>
        <w:ind w:firstLine="884"/>
        <w:jc w:val="center"/>
        <w:rPr>
          <w:rFonts w:ascii="宋体" w:hAnsi="宋体" w:cs="宋体"/>
          <w:b/>
          <w:bCs/>
          <w:strike w:val="0"/>
          <w:color w:val="auto"/>
          <w:spacing w:val="-20"/>
          <w:kern w:val="44"/>
          <w:sz w:val="48"/>
          <w:szCs w:val="48"/>
        </w:rPr>
      </w:pPr>
      <w:r>
        <w:rPr>
          <w:rFonts w:hint="eastAsia" w:ascii="宋体" w:hAnsi="宋体" w:cs="宋体"/>
          <w:b/>
          <w:bCs/>
          <w:strike w:val="0"/>
          <w:color w:val="auto"/>
          <w:spacing w:val="-20"/>
          <w:kern w:val="44"/>
          <w:sz w:val="48"/>
          <w:szCs w:val="48"/>
        </w:rPr>
        <w:t>（试行）</w:t>
      </w:r>
    </w:p>
    <w:p w14:paraId="5536D09C">
      <w:pPr>
        <w:ind w:firstLine="723"/>
        <w:rPr>
          <w:rFonts w:ascii="宋体" w:hAnsi="宋体" w:cs="宋体"/>
          <w:b/>
          <w:bCs/>
          <w:strike w:val="0"/>
          <w:color w:val="auto"/>
          <w:spacing w:val="-20"/>
          <w:kern w:val="44"/>
          <w:sz w:val="40"/>
          <w:szCs w:val="40"/>
        </w:rPr>
      </w:pPr>
    </w:p>
    <w:p w14:paraId="20C68BB9">
      <w:pPr>
        <w:ind w:firstLine="723"/>
        <w:rPr>
          <w:rFonts w:ascii="宋体" w:hAnsi="宋体" w:cs="宋体"/>
          <w:b/>
          <w:bCs/>
          <w:strike w:val="0"/>
          <w:color w:val="auto"/>
          <w:spacing w:val="-20"/>
          <w:kern w:val="44"/>
          <w:sz w:val="40"/>
          <w:szCs w:val="40"/>
        </w:rPr>
      </w:pPr>
    </w:p>
    <w:p w14:paraId="30BA6BF1">
      <w:pPr>
        <w:ind w:firstLine="723"/>
        <w:rPr>
          <w:rFonts w:ascii="宋体" w:hAnsi="宋体" w:cs="宋体"/>
          <w:b/>
          <w:bCs/>
          <w:strike w:val="0"/>
          <w:color w:val="auto"/>
          <w:spacing w:val="-20"/>
          <w:kern w:val="44"/>
          <w:sz w:val="40"/>
          <w:szCs w:val="40"/>
        </w:rPr>
      </w:pPr>
    </w:p>
    <w:p w14:paraId="44EACCF4">
      <w:pPr>
        <w:spacing w:line="360" w:lineRule="auto"/>
        <w:ind w:left="420" w:leftChars="200" w:firstLine="640"/>
        <w:rPr>
          <w:strike w:val="0"/>
          <w:color w:val="auto"/>
          <w:sz w:val="32"/>
          <w:szCs w:val="32"/>
        </w:rPr>
      </w:pPr>
      <w:r>
        <w:rPr>
          <w:rFonts w:hint="eastAsia" w:ascii="宋体" w:hAnsi="宋体" w:cs="宋体"/>
          <w:strike w:val="0"/>
          <w:color w:val="auto"/>
          <w:kern w:val="0"/>
          <w:sz w:val="32"/>
          <w:szCs w:val="32"/>
        </w:rPr>
        <w:t>项目名称：</w:t>
      </w:r>
      <w:r>
        <w:rPr>
          <w:rFonts w:hint="eastAsia"/>
          <w:strike w:val="0"/>
          <w:color w:val="auto"/>
          <w:sz w:val="32"/>
          <w:szCs w:val="32"/>
          <w:u w:val="single"/>
        </w:rPr>
        <w:t xml:space="preserve">                             </w:t>
      </w:r>
    </w:p>
    <w:p w14:paraId="72B7CF58">
      <w:pPr>
        <w:spacing w:line="360" w:lineRule="auto"/>
        <w:ind w:left="420" w:leftChars="200" w:firstLine="640"/>
        <w:rPr>
          <w:strike w:val="0"/>
          <w:color w:val="auto"/>
          <w:sz w:val="32"/>
          <w:szCs w:val="32"/>
          <w:u w:val="single"/>
        </w:rPr>
      </w:pPr>
      <w:r>
        <w:rPr>
          <w:rFonts w:hint="eastAsia"/>
          <w:strike w:val="0"/>
          <w:color w:val="auto"/>
          <w:sz w:val="32"/>
          <w:szCs w:val="32"/>
        </w:rPr>
        <w:t>合同编号：</w:t>
      </w:r>
      <w:r>
        <w:rPr>
          <w:rFonts w:hint="eastAsia"/>
          <w:strike w:val="0"/>
          <w:color w:val="auto"/>
          <w:sz w:val="32"/>
          <w:szCs w:val="32"/>
          <w:u w:val="single"/>
        </w:rPr>
        <w:t xml:space="preserve">                             </w:t>
      </w:r>
    </w:p>
    <w:p w14:paraId="375F4F8D">
      <w:pPr>
        <w:spacing w:line="360" w:lineRule="auto"/>
        <w:ind w:left="420" w:leftChars="200" w:firstLine="640"/>
        <w:rPr>
          <w:strike w:val="0"/>
          <w:color w:val="auto"/>
          <w:sz w:val="32"/>
          <w:szCs w:val="32"/>
        </w:rPr>
      </w:pPr>
      <w:r>
        <w:rPr>
          <w:rFonts w:hint="eastAsia"/>
          <w:strike w:val="0"/>
          <w:color w:val="auto"/>
          <w:sz w:val="32"/>
          <w:szCs w:val="32"/>
        </w:rPr>
        <w:t>甲    方：</w:t>
      </w:r>
      <w:r>
        <w:rPr>
          <w:rFonts w:hint="eastAsia"/>
          <w:strike w:val="0"/>
          <w:color w:val="auto"/>
          <w:sz w:val="32"/>
          <w:szCs w:val="32"/>
          <w:u w:val="single"/>
        </w:rPr>
        <w:t xml:space="preserve">                             </w:t>
      </w:r>
    </w:p>
    <w:p w14:paraId="13848E65">
      <w:pPr>
        <w:spacing w:line="360" w:lineRule="auto"/>
        <w:ind w:left="420" w:leftChars="200" w:firstLine="640"/>
        <w:rPr>
          <w:strike w:val="0"/>
          <w:color w:val="auto"/>
          <w:sz w:val="32"/>
          <w:szCs w:val="32"/>
          <w:u w:val="single"/>
        </w:rPr>
      </w:pPr>
      <w:r>
        <w:rPr>
          <w:rFonts w:hint="eastAsia"/>
          <w:strike w:val="0"/>
          <w:color w:val="auto"/>
          <w:sz w:val="32"/>
          <w:szCs w:val="32"/>
        </w:rPr>
        <w:t>乙    方：</w:t>
      </w:r>
      <w:r>
        <w:rPr>
          <w:rFonts w:hint="eastAsia"/>
          <w:strike w:val="0"/>
          <w:color w:val="auto"/>
          <w:sz w:val="32"/>
          <w:szCs w:val="32"/>
          <w:u w:val="single"/>
        </w:rPr>
        <w:t xml:space="preserve">                             </w:t>
      </w:r>
    </w:p>
    <w:p w14:paraId="6A7BEC9E">
      <w:pPr>
        <w:spacing w:line="360" w:lineRule="auto"/>
        <w:ind w:left="420" w:leftChars="200" w:firstLine="640"/>
        <w:rPr>
          <w:strike w:val="0"/>
          <w:color w:val="auto"/>
          <w:sz w:val="32"/>
          <w:szCs w:val="32"/>
        </w:rPr>
      </w:pPr>
      <w:r>
        <w:rPr>
          <w:rFonts w:hint="eastAsia"/>
          <w:strike w:val="0"/>
          <w:color w:val="auto"/>
          <w:sz w:val="32"/>
          <w:szCs w:val="32"/>
        </w:rPr>
        <w:t>签订时间：</w:t>
      </w:r>
      <w:r>
        <w:rPr>
          <w:rFonts w:hint="eastAsia"/>
          <w:strike w:val="0"/>
          <w:color w:val="auto"/>
          <w:sz w:val="32"/>
          <w:szCs w:val="32"/>
          <w:u w:val="single"/>
        </w:rPr>
        <w:t xml:space="preserve">      </w:t>
      </w:r>
      <w:r>
        <w:rPr>
          <w:strike w:val="0"/>
          <w:color w:val="auto"/>
          <w:sz w:val="32"/>
          <w:szCs w:val="32"/>
          <w:u w:val="single"/>
        </w:rPr>
        <w:t xml:space="preserve">           </w:t>
      </w:r>
      <w:r>
        <w:rPr>
          <w:rFonts w:hint="eastAsia"/>
          <w:strike w:val="0"/>
          <w:color w:val="auto"/>
          <w:sz w:val="32"/>
          <w:szCs w:val="32"/>
          <w:u w:val="single"/>
        </w:rPr>
        <w:t xml:space="preserve">            </w:t>
      </w:r>
    </w:p>
    <w:p w14:paraId="5BEDC3AD">
      <w:pPr>
        <w:ind w:firstLine="420"/>
        <w:rPr>
          <w:strike w:val="0"/>
          <w:color w:val="auto"/>
        </w:rPr>
      </w:pPr>
    </w:p>
    <w:p w14:paraId="54A13AAA">
      <w:pPr>
        <w:ind w:firstLine="880"/>
        <w:rPr>
          <w:rFonts w:eastAsia="黑体"/>
          <w:strike w:val="0"/>
          <w:color w:val="auto"/>
          <w:sz w:val="44"/>
          <w:szCs w:val="44"/>
        </w:rPr>
      </w:pPr>
      <w:r>
        <w:rPr>
          <w:rFonts w:eastAsia="黑体"/>
          <w:strike w:val="0"/>
          <w:color w:val="auto"/>
          <w:sz w:val="44"/>
          <w:szCs w:val="44"/>
        </w:rPr>
        <w:br w:type="page"/>
      </w:r>
    </w:p>
    <w:p w14:paraId="2AE51359">
      <w:pPr>
        <w:ind w:firstLine="880"/>
        <w:rPr>
          <w:rFonts w:eastAsia="黑体"/>
          <w:strike w:val="0"/>
          <w:color w:val="auto"/>
          <w:sz w:val="44"/>
          <w:szCs w:val="44"/>
        </w:rPr>
      </w:pPr>
    </w:p>
    <w:p w14:paraId="487F0428">
      <w:pPr>
        <w:spacing w:line="440" w:lineRule="exact"/>
        <w:ind w:firstLine="880"/>
        <w:rPr>
          <w:rFonts w:eastAsia="黑体"/>
          <w:strike w:val="0"/>
          <w:color w:val="auto"/>
          <w:sz w:val="44"/>
          <w:szCs w:val="44"/>
        </w:rPr>
      </w:pPr>
    </w:p>
    <w:p w14:paraId="039AFB6A">
      <w:pPr>
        <w:spacing w:line="440" w:lineRule="exact"/>
        <w:ind w:firstLine="880"/>
        <w:jc w:val="center"/>
        <w:rPr>
          <w:rFonts w:eastAsia="黑体"/>
          <w:strike w:val="0"/>
          <w:color w:val="auto"/>
          <w:sz w:val="44"/>
          <w:szCs w:val="44"/>
        </w:rPr>
      </w:pPr>
      <w:r>
        <w:rPr>
          <w:rFonts w:hint="eastAsia" w:eastAsia="黑体"/>
          <w:strike w:val="0"/>
          <w:color w:val="auto"/>
          <w:sz w:val="44"/>
          <w:szCs w:val="44"/>
        </w:rPr>
        <w:t>使 用 说 明</w:t>
      </w:r>
    </w:p>
    <w:p w14:paraId="384FEBCE">
      <w:pPr>
        <w:ind w:firstLine="640"/>
        <w:rPr>
          <w:rFonts w:ascii="仿宋_GB2312" w:hAnsi="仿宋_GB2312" w:eastAsia="仿宋_GB2312" w:cs="仿宋_GB2312"/>
          <w:strike w:val="0"/>
          <w:color w:val="auto"/>
          <w:sz w:val="32"/>
          <w:szCs w:val="32"/>
        </w:rPr>
      </w:pPr>
    </w:p>
    <w:p w14:paraId="3097B76E">
      <w:pPr>
        <w:ind w:firstLine="640"/>
        <w:rPr>
          <w:rFonts w:ascii="仿宋_GB2312" w:hAnsi="仿宋_GB2312" w:eastAsia="仿宋_GB2312" w:cs="仿宋_GB2312"/>
          <w:strike w:val="0"/>
          <w:color w:val="auto"/>
          <w:sz w:val="32"/>
          <w:szCs w:val="32"/>
        </w:rPr>
      </w:pPr>
      <w:r>
        <w:rPr>
          <w:rFonts w:hint="eastAsia" w:ascii="仿宋_GB2312" w:hAnsi="仿宋_GB2312" w:eastAsia="仿宋_GB2312" w:cs="仿宋_GB2312"/>
          <w:strike w:val="0"/>
          <w:color w:val="auto"/>
          <w:sz w:val="32"/>
          <w:szCs w:val="32"/>
        </w:rPr>
        <w:t>1.本合同标准文本适用于购买现成货物的采购项目，不包括需要供应商定制开发、创新研发的货物采购项目。</w:t>
      </w:r>
    </w:p>
    <w:p w14:paraId="6DE6E334">
      <w:pPr>
        <w:ind w:firstLine="640"/>
        <w:rPr>
          <w:rFonts w:eastAsia="黑体"/>
          <w:strike w:val="0"/>
          <w:color w:val="auto"/>
          <w:sz w:val="44"/>
          <w:szCs w:val="44"/>
        </w:rPr>
      </w:pPr>
      <w:r>
        <w:rPr>
          <w:rFonts w:hint="eastAsia" w:ascii="仿宋_GB2312" w:hAnsi="仿宋_GB2312" w:eastAsia="仿宋_GB2312" w:cs="仿宋_GB2312"/>
          <w:strike w:val="0"/>
          <w:color w:val="auto"/>
          <w:sz w:val="32"/>
          <w:szCs w:val="32"/>
        </w:rPr>
        <w:t>2.本合同标准文本为政府采购货物买卖合同编制提供参考，可以结合采购项目具体情况，对文本作必要的调整修订后使用。</w:t>
      </w:r>
    </w:p>
    <w:p w14:paraId="3DFF2D55">
      <w:pPr>
        <w:ind w:firstLine="640"/>
        <w:rPr>
          <w:rFonts w:eastAsia="黑体"/>
          <w:strike w:val="0"/>
          <w:color w:val="auto"/>
          <w:sz w:val="44"/>
          <w:szCs w:val="44"/>
        </w:rPr>
        <w:sectPr>
          <w:headerReference r:id="rId11" w:type="default"/>
          <w:footerReference r:id="rId12" w:type="default"/>
          <w:pgSz w:w="11906" w:h="16838"/>
          <w:pgMar w:top="1440" w:right="1083" w:bottom="1440" w:left="1080" w:header="851" w:footer="992" w:gutter="0"/>
          <w:pgNumType w:fmt="decimal"/>
          <w:cols w:space="720" w:num="1"/>
          <w:docGrid w:type="lines" w:linePitch="312" w:charSpace="0"/>
        </w:sectPr>
      </w:pPr>
      <w:r>
        <w:rPr>
          <w:rFonts w:hint="eastAsia" w:ascii="仿宋_GB2312" w:hAnsi="仿宋_GB2312" w:eastAsia="仿宋_GB2312" w:cs="仿宋_GB2312"/>
          <w:strike w:val="0"/>
          <w:color w:val="auto"/>
          <w:sz w:val="32"/>
          <w:szCs w:val="32"/>
        </w:rPr>
        <w:t>3.本合同标准文本各条款中，如涉及填写多家供应商、制造商，多种采购标的、分包主要内容等信息的，可根据采购项目具体情况添加信息项。</w:t>
      </w:r>
    </w:p>
    <w:p w14:paraId="294C5FA8">
      <w:pPr>
        <w:pStyle w:val="3"/>
        <w:adjustRightInd w:val="0"/>
        <w:snapToGrid w:val="0"/>
        <w:ind w:left="0" w:leftChars="0" w:firstLine="0" w:firstLineChars="0"/>
        <w:jc w:val="both"/>
        <w:rPr>
          <w:rFonts w:hint="eastAsia" w:ascii="黑体" w:hAnsi="黑体"/>
          <w:strike w:val="0"/>
          <w:color w:val="auto"/>
          <w:sz w:val="28"/>
          <w:szCs w:val="28"/>
        </w:rPr>
      </w:pPr>
    </w:p>
    <w:p w14:paraId="354CF152">
      <w:pPr>
        <w:pStyle w:val="3"/>
        <w:adjustRightInd w:val="0"/>
        <w:snapToGrid w:val="0"/>
        <w:jc w:val="center"/>
        <w:rPr>
          <w:rFonts w:hint="eastAsia" w:ascii="黑体" w:hAnsi="华文中宋"/>
          <w:b w:val="0"/>
          <w:bCs w:val="0"/>
          <w:strike w:val="0"/>
          <w:color w:val="auto"/>
          <w:sz w:val="28"/>
          <w:szCs w:val="28"/>
        </w:rPr>
      </w:pPr>
      <w:r>
        <w:rPr>
          <w:rFonts w:hint="eastAsia" w:ascii="黑体" w:hAnsi="黑体"/>
          <w:b w:val="0"/>
          <w:bCs w:val="0"/>
          <w:strike w:val="0"/>
          <w:color w:val="auto"/>
          <w:sz w:val="28"/>
          <w:szCs w:val="28"/>
        </w:rPr>
        <w:t xml:space="preserve">第一节 </w:t>
      </w:r>
      <w:r>
        <w:rPr>
          <w:rFonts w:hint="eastAsia" w:ascii="黑体" w:hAnsi="华文中宋"/>
          <w:b w:val="0"/>
          <w:bCs w:val="0"/>
          <w:strike w:val="0"/>
          <w:color w:val="auto"/>
          <w:sz w:val="28"/>
          <w:szCs w:val="28"/>
        </w:rPr>
        <w:t>政府采购合同协议书</w:t>
      </w:r>
    </w:p>
    <w:p w14:paraId="4C53707C">
      <w:pPr>
        <w:pStyle w:val="3"/>
        <w:adjustRightInd w:val="0"/>
        <w:snapToGrid w:val="0"/>
        <w:jc w:val="center"/>
        <w:rPr>
          <w:rFonts w:hint="eastAsia" w:ascii="黑体" w:hAnsi="华文中宋"/>
          <w:b w:val="0"/>
          <w:bCs w:val="0"/>
          <w:strike w:val="0"/>
          <w:color w:val="auto"/>
          <w:sz w:val="28"/>
          <w:szCs w:val="28"/>
        </w:rPr>
      </w:pPr>
    </w:p>
    <w:p w14:paraId="7CCAD6CA">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甲方（全称）：</w:t>
      </w:r>
      <w:r>
        <w:rPr>
          <w:rFonts w:hint="eastAsia" w:ascii="宋体" w:hAnsi="宋体"/>
          <w:strike w:val="0"/>
          <w:color w:val="auto"/>
          <w:szCs w:val="21"/>
          <w:u w:val="single"/>
        </w:rPr>
        <w:t xml:space="preserve">                        </w:t>
      </w:r>
      <w:r>
        <w:rPr>
          <w:rFonts w:hint="eastAsia" w:ascii="宋体" w:hAnsi="宋体"/>
          <w:strike w:val="0"/>
          <w:color w:val="auto"/>
          <w:szCs w:val="21"/>
        </w:rPr>
        <w:t>（采购人、受采购人委托签订合同的单位或采购</w:t>
      </w:r>
      <w:r>
        <w:rPr>
          <w:rFonts w:hint="eastAsia" w:ascii="宋体" w:hAnsi="宋体"/>
          <w:strike w:val="0"/>
          <w:color w:val="auto"/>
          <w:szCs w:val="21"/>
        </w:rPr>
        <w:tab/>
      </w:r>
      <w:r>
        <w:rPr>
          <w:rFonts w:hint="eastAsia" w:ascii="宋体" w:hAnsi="宋体"/>
          <w:strike w:val="0"/>
          <w:color w:val="auto"/>
          <w:szCs w:val="21"/>
        </w:rPr>
        <w:t xml:space="preserve">                                   文件约定的合同甲方）</w:t>
      </w:r>
    </w:p>
    <w:p w14:paraId="58447BF9">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乙方1（全称）：</w:t>
      </w:r>
      <w:r>
        <w:rPr>
          <w:rFonts w:hint="eastAsia" w:ascii="宋体" w:hAnsi="宋体"/>
          <w:strike w:val="0"/>
          <w:color w:val="auto"/>
          <w:szCs w:val="21"/>
          <w:u w:val="single"/>
        </w:rPr>
        <w:t xml:space="preserve">                       </w:t>
      </w:r>
      <w:r>
        <w:rPr>
          <w:rFonts w:hint="eastAsia" w:ascii="宋体" w:hAnsi="宋体"/>
          <w:strike w:val="0"/>
          <w:color w:val="auto"/>
          <w:szCs w:val="21"/>
        </w:rPr>
        <w:t>（供应商）</w:t>
      </w:r>
    </w:p>
    <w:p w14:paraId="0F5B6393">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乙方2（全称）：</w:t>
      </w:r>
      <w:r>
        <w:rPr>
          <w:rFonts w:hint="eastAsia" w:ascii="宋体" w:hAnsi="宋体"/>
          <w:strike w:val="0"/>
          <w:color w:val="auto"/>
          <w:szCs w:val="21"/>
          <w:u w:val="single"/>
        </w:rPr>
        <w:t xml:space="preserve">                        </w:t>
      </w:r>
      <w:r>
        <w:rPr>
          <w:rFonts w:hint="eastAsia" w:ascii="宋体" w:hAnsi="宋体"/>
          <w:strike w:val="0"/>
          <w:color w:val="auto"/>
          <w:szCs w:val="21"/>
        </w:rPr>
        <w:t>（联合体成员供应商或其他合同主体）（如有）</w:t>
      </w:r>
    </w:p>
    <w:p w14:paraId="4D35A718">
      <w:pPr>
        <w:adjustRightInd w:val="0"/>
        <w:snapToGrid w:val="0"/>
        <w:spacing w:line="400" w:lineRule="exact"/>
        <w:rPr>
          <w:rFonts w:hint="eastAsia" w:ascii="宋体" w:hAnsi="宋体"/>
          <w:strike w:val="0"/>
          <w:color w:val="auto"/>
          <w:szCs w:val="21"/>
        </w:rPr>
      </w:pPr>
      <w:r>
        <w:rPr>
          <w:rFonts w:hint="eastAsia"/>
          <w:strike w:val="0"/>
          <w:color w:val="auto"/>
        </w:rPr>
        <w:t>乙方</w:t>
      </w:r>
      <w:r>
        <w:rPr>
          <w:rFonts w:hint="eastAsia" w:ascii="宋体" w:hAnsi="宋体"/>
          <w:strike w:val="0"/>
          <w:color w:val="auto"/>
          <w:szCs w:val="21"/>
        </w:rPr>
        <w:t>3</w:t>
      </w:r>
      <w:r>
        <w:rPr>
          <w:rFonts w:hint="eastAsia"/>
          <w:strike w:val="0"/>
          <w:color w:val="auto"/>
        </w:rPr>
        <w:t>（全称）</w:t>
      </w:r>
      <w:r>
        <w:rPr>
          <w:rFonts w:hint="eastAsia" w:ascii="宋体" w:hAnsi="宋体"/>
          <w:strike w:val="0"/>
          <w:color w:val="auto"/>
          <w:szCs w:val="21"/>
          <w:u w:val="single"/>
        </w:rPr>
        <w:t xml:space="preserve">                          </w:t>
      </w:r>
      <w:r>
        <w:rPr>
          <w:rFonts w:hint="eastAsia" w:ascii="宋体" w:hAnsi="宋体"/>
          <w:strike w:val="0"/>
          <w:color w:val="auto"/>
          <w:szCs w:val="21"/>
        </w:rPr>
        <w:t>（联合体成员供应商或其他合同主体）（如有）</w:t>
      </w:r>
    </w:p>
    <w:p w14:paraId="33F92546">
      <w:pPr>
        <w:spacing w:line="400" w:lineRule="exact"/>
        <w:rPr>
          <w:rFonts w:hint="eastAsia" w:ascii="宋体" w:hAnsi="宋体" w:cs="宋体"/>
          <w:strike w:val="0"/>
          <w:color w:val="auto"/>
          <w:szCs w:val="21"/>
        </w:rPr>
      </w:pPr>
    </w:p>
    <w:p w14:paraId="34BB4BA3">
      <w:pPr>
        <w:pStyle w:val="23"/>
        <w:adjustRightInd w:val="0"/>
        <w:snapToGrid w:val="0"/>
        <w:spacing w:line="400" w:lineRule="exact"/>
        <w:ind w:firstLine="420" w:firstLineChars="200"/>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35D6E7EC">
      <w:pPr>
        <w:numPr>
          <w:ilvl w:val="0"/>
          <w:numId w:val="22"/>
        </w:numPr>
        <w:adjustRightInd w:val="0"/>
        <w:snapToGrid w:val="0"/>
        <w:spacing w:line="400" w:lineRule="exact"/>
        <w:ind w:firstLine="422" w:firstLineChars="200"/>
        <w:rPr>
          <w:rFonts w:hint="eastAsia" w:ascii="宋体" w:hAnsi="宋体" w:cs="宋体"/>
          <w:b/>
          <w:strike w:val="0"/>
          <w:color w:val="auto"/>
          <w:szCs w:val="21"/>
        </w:rPr>
      </w:pPr>
      <w:r>
        <w:rPr>
          <w:rFonts w:hint="eastAsia" w:ascii="宋体" w:hAnsi="宋体" w:cs="宋体"/>
          <w:b/>
          <w:strike w:val="0"/>
          <w:color w:val="auto"/>
          <w:szCs w:val="21"/>
        </w:rPr>
        <w:t>项目信息</w:t>
      </w:r>
    </w:p>
    <w:p w14:paraId="32F2B6B1">
      <w:pPr>
        <w:pStyle w:val="23"/>
        <w:numPr>
          <w:ilvl w:val="0"/>
          <w:numId w:val="23"/>
        </w:numPr>
        <w:adjustRightInd w:val="0"/>
        <w:snapToGrid w:val="0"/>
        <w:spacing w:line="400" w:lineRule="exact"/>
        <w:ind w:firstLine="420" w:firstLineChars="200"/>
        <w:rPr>
          <w:rFonts w:hint="eastAsia" w:ascii="宋体" w:hAnsi="宋体" w:eastAsia="宋体" w:cs="宋体"/>
          <w:strike w:val="0"/>
          <w:color w:val="auto"/>
          <w:sz w:val="21"/>
          <w:szCs w:val="21"/>
          <w:u w:val="single"/>
        </w:rPr>
      </w:pPr>
      <w:r>
        <w:rPr>
          <w:rFonts w:hint="eastAsia" w:ascii="宋体" w:hAnsi="宋体" w:eastAsia="宋体" w:cs="宋体"/>
          <w:strike w:val="0"/>
          <w:color w:val="auto"/>
          <w:sz w:val="21"/>
          <w:szCs w:val="21"/>
        </w:rPr>
        <w:t>采购项目名称：</w:t>
      </w:r>
      <w:r>
        <w:rPr>
          <w:rFonts w:hint="eastAsia" w:ascii="宋体" w:hAnsi="宋体" w:eastAsia="宋体" w:cs="宋体"/>
          <w:strike w:val="0"/>
          <w:color w:val="auto"/>
          <w:sz w:val="21"/>
          <w:szCs w:val="21"/>
          <w:u w:val="single"/>
        </w:rPr>
        <w:t xml:space="preserve">                                          </w:t>
      </w:r>
    </w:p>
    <w:p w14:paraId="6763BBD2">
      <w:pPr>
        <w:pStyle w:val="23"/>
        <w:numPr>
          <w:ilvl w:val="0"/>
          <w:numId w:val="0"/>
        </w:numPr>
        <w:tabs>
          <w:tab w:val="left" w:pos="999"/>
        </w:tabs>
        <w:adjustRightInd w:val="0"/>
        <w:snapToGrid w:val="0"/>
        <w:spacing w:line="400" w:lineRule="exact"/>
        <w:rPr>
          <w:rFonts w:hint="eastAsia" w:ascii="宋体" w:hAnsi="宋体" w:eastAsia="宋体" w:cs="宋体"/>
          <w:strike w:val="0"/>
          <w:color w:val="auto"/>
          <w:sz w:val="21"/>
          <w:szCs w:val="21"/>
        </w:rPr>
      </w:pPr>
      <w:r>
        <w:rPr>
          <w:rFonts w:hint="eastAsia" w:ascii="宋体" w:hAnsi="宋体" w:eastAsia="宋体" w:cs="宋体"/>
          <w:strike w:val="0"/>
          <w:color w:val="auto"/>
          <w:sz w:val="21"/>
          <w:szCs w:val="21"/>
        </w:rPr>
        <w:t xml:space="preserve">         采购项目编号：</w:t>
      </w:r>
      <w:r>
        <w:rPr>
          <w:rFonts w:hint="eastAsia" w:ascii="宋体" w:hAnsi="宋体" w:eastAsia="宋体" w:cs="宋体"/>
          <w:strike w:val="0"/>
          <w:color w:val="auto"/>
          <w:sz w:val="21"/>
          <w:szCs w:val="21"/>
          <w:u w:val="single"/>
        </w:rPr>
        <w:t xml:space="preserve">                                          </w:t>
      </w:r>
    </w:p>
    <w:p w14:paraId="5620951F">
      <w:pPr>
        <w:pStyle w:val="23"/>
        <w:adjustRightInd w:val="0"/>
        <w:snapToGrid w:val="0"/>
        <w:spacing w:line="400" w:lineRule="exact"/>
        <w:ind w:firstLine="420" w:firstLineChars="200"/>
        <w:rPr>
          <w:rFonts w:hint="eastAsia" w:ascii="宋体" w:hAnsi="宋体"/>
          <w:strike w:val="0"/>
          <w:color w:val="auto"/>
          <w:szCs w:val="21"/>
        </w:rPr>
      </w:pPr>
      <w:r>
        <w:rPr>
          <w:rFonts w:hint="eastAsia" w:ascii="宋体" w:hAnsi="宋体" w:eastAsia="宋体" w:cs="宋体"/>
          <w:strike w:val="0"/>
          <w:color w:val="auto"/>
          <w:sz w:val="21"/>
          <w:szCs w:val="21"/>
        </w:rPr>
        <w:t>（2）采购计划编号：</w:t>
      </w:r>
      <w:r>
        <w:rPr>
          <w:rFonts w:hint="eastAsia" w:ascii="宋体" w:hAnsi="宋体" w:eastAsia="宋体" w:cs="宋体"/>
          <w:strike w:val="0"/>
          <w:color w:val="auto"/>
          <w:sz w:val="21"/>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rPr>
        <w:t xml:space="preserve"> </w:t>
      </w:r>
    </w:p>
    <w:p w14:paraId="366615EA">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（3）项目内容：</w:t>
      </w:r>
    </w:p>
    <w:p w14:paraId="4F4C9069">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 xml:space="preserve">     采购标的及数量（台/套</w:t>
      </w:r>
      <w:r>
        <w:rPr>
          <w:rFonts w:ascii="宋体" w:hAnsi="宋体"/>
          <w:strike w:val="0"/>
          <w:color w:val="auto"/>
          <w:szCs w:val="21"/>
          <w:lang w:val="en"/>
        </w:rPr>
        <w:t>/</w:t>
      </w:r>
      <w:r>
        <w:rPr>
          <w:rFonts w:hint="eastAsia" w:ascii="宋体" w:hAnsi="宋体"/>
          <w:strike w:val="0"/>
          <w:color w:val="auto"/>
          <w:szCs w:val="21"/>
          <w:lang w:val="en"/>
        </w:rPr>
        <w:t>个</w:t>
      </w:r>
      <w:r>
        <w:rPr>
          <w:rFonts w:ascii="宋体" w:hAnsi="宋体"/>
          <w:strike w:val="0"/>
          <w:color w:val="auto"/>
          <w:szCs w:val="21"/>
          <w:lang w:val="en"/>
        </w:rPr>
        <w:t>/</w:t>
      </w:r>
      <w:r>
        <w:rPr>
          <w:rFonts w:hint="eastAsia" w:ascii="宋体" w:hAnsi="宋体"/>
          <w:strike w:val="0"/>
          <w:color w:val="auto"/>
          <w:szCs w:val="21"/>
          <w:lang w:val="en"/>
        </w:rPr>
        <w:t>架</w:t>
      </w:r>
      <w:r>
        <w:rPr>
          <w:rFonts w:ascii="宋体" w:hAnsi="宋体"/>
          <w:strike w:val="0"/>
          <w:color w:val="auto"/>
          <w:szCs w:val="21"/>
          <w:lang w:val="en"/>
        </w:rPr>
        <w:t>/</w:t>
      </w:r>
      <w:r>
        <w:rPr>
          <w:rFonts w:hint="eastAsia" w:ascii="宋体" w:hAnsi="宋体"/>
          <w:strike w:val="0"/>
          <w:color w:val="auto"/>
          <w:szCs w:val="21"/>
          <w:lang w:val="en"/>
        </w:rPr>
        <w:t>组等</w:t>
      </w:r>
      <w:r>
        <w:rPr>
          <w:rFonts w:hint="eastAsia" w:ascii="宋体" w:hAnsi="宋体"/>
          <w:strike w:val="0"/>
          <w:color w:val="auto"/>
          <w:szCs w:val="21"/>
        </w:rPr>
        <w:t>）：</w:t>
      </w:r>
      <w:r>
        <w:rPr>
          <w:rFonts w:hint="eastAsia" w:ascii="宋体" w:hAnsi="宋体"/>
          <w:strike w:val="0"/>
          <w:color w:val="auto"/>
          <w:szCs w:val="21"/>
          <w:u w:val="single"/>
        </w:rPr>
        <w:t xml:space="preserve">                       </w:t>
      </w:r>
      <w:r>
        <w:rPr>
          <w:rFonts w:hint="eastAsia" w:ascii="宋体" w:hAnsi="宋体"/>
          <w:strike w:val="0"/>
          <w:color w:val="auto"/>
          <w:szCs w:val="21"/>
        </w:rPr>
        <w:t xml:space="preserve"> </w:t>
      </w:r>
    </w:p>
    <w:p w14:paraId="19A5EF90">
      <w:pPr>
        <w:numPr>
          <w:ilvl w:val="0"/>
          <w:numId w:val="0"/>
        </w:numPr>
        <w:adjustRightInd w:val="0"/>
        <w:snapToGrid w:val="0"/>
        <w:spacing w:line="400" w:lineRule="exact"/>
        <w:ind w:firstLine="420" w:firstLineChars="200"/>
        <w:rPr>
          <w:rFonts w:hint="eastAsia" w:ascii="宋体" w:hAnsi="宋体" w:cs="宋体"/>
          <w:strike w:val="0"/>
          <w:color w:val="auto"/>
          <w:szCs w:val="21"/>
          <w:lang w:val="en"/>
        </w:rPr>
      </w:pPr>
      <w:r>
        <w:rPr>
          <w:rFonts w:hint="eastAsia" w:ascii="宋体" w:hAnsi="宋体"/>
          <w:strike w:val="0"/>
          <w:color w:val="auto"/>
          <w:szCs w:val="21"/>
        </w:rPr>
        <w:t xml:space="preserve">     </w:t>
      </w:r>
      <w:r>
        <w:rPr>
          <w:rFonts w:hint="eastAsia" w:ascii="宋体" w:hAnsi="宋体" w:cs="宋体"/>
          <w:strike w:val="0"/>
          <w:color w:val="auto"/>
          <w:szCs w:val="21"/>
        </w:rPr>
        <w:t>品牌：</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lang w:val="en"/>
        </w:rPr>
        <w:t xml:space="preserve">     </w:t>
      </w:r>
      <w:r>
        <w:rPr>
          <w:rFonts w:hint="eastAsia" w:ascii="宋体" w:hAnsi="宋体" w:cs="宋体"/>
          <w:strike w:val="0"/>
          <w:color w:val="auto"/>
          <w:szCs w:val="21"/>
        </w:rPr>
        <w:t>规格型号：</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r>
        <w:rPr>
          <w:rFonts w:hint="eastAsia" w:ascii="宋体" w:hAnsi="宋体" w:cs="宋体"/>
          <w:strike w:val="0"/>
          <w:color w:val="auto"/>
          <w:szCs w:val="21"/>
          <w:u w:val="single"/>
        </w:rPr>
        <w:t xml:space="preserve">       </w:t>
      </w:r>
      <w:r>
        <w:rPr>
          <w:rFonts w:ascii="宋体" w:hAnsi="宋体" w:cs="宋体"/>
          <w:strike w:val="0"/>
          <w:color w:val="auto"/>
          <w:szCs w:val="21"/>
          <w:u w:val="single"/>
          <w:lang w:val="en"/>
        </w:rPr>
        <w:t xml:space="preserve">   </w:t>
      </w:r>
    </w:p>
    <w:p w14:paraId="5118CE5A">
      <w:pPr>
        <w:adjustRightInd w:val="0"/>
        <w:snapToGrid w:val="0"/>
        <w:spacing w:line="400" w:lineRule="exact"/>
        <w:ind w:firstLine="945" w:firstLineChars="450"/>
        <w:rPr>
          <w:rFonts w:hint="eastAsia" w:ascii="宋体" w:hAnsi="宋体"/>
          <w:strike w:val="0"/>
          <w:color w:val="auto"/>
          <w:szCs w:val="21"/>
          <w:u w:val="single"/>
        </w:rPr>
      </w:pPr>
      <w:r>
        <w:rPr>
          <w:rFonts w:hint="eastAsia" w:ascii="宋体" w:hAnsi="宋体"/>
          <w:strike w:val="0"/>
          <w:color w:val="auto"/>
          <w:szCs w:val="21"/>
        </w:rPr>
        <w:t>采购标的的技术要求、商务要求具体见附件。</w:t>
      </w:r>
    </w:p>
    <w:p w14:paraId="5FE28B6B">
      <w:pPr>
        <w:numPr>
          <w:ilvl w:val="0"/>
          <w:numId w:val="0"/>
        </w:numPr>
        <w:adjustRightInd w:val="0"/>
        <w:snapToGrid w:val="0"/>
        <w:spacing w:line="400" w:lineRule="exact"/>
        <w:ind w:firstLine="945" w:firstLineChars="450"/>
        <w:rPr>
          <w:rFonts w:hint="eastAsia" w:ascii="宋体" w:hAnsi="宋体" w:cs="宋体"/>
          <w:strike w:val="0"/>
          <w:color w:val="auto"/>
          <w:szCs w:val="21"/>
        </w:rPr>
      </w:pPr>
      <w:r>
        <w:rPr>
          <w:rFonts w:hint="eastAsia" w:ascii="汉仪书宋二S" w:hAnsi="汉仪书宋二S" w:eastAsia="汉仪书宋二S" w:cs="汉仪书宋二S"/>
          <w:strike w:val="0"/>
          <w:color w:val="auto"/>
          <w:szCs w:val="21"/>
        </w:rPr>
        <w:t>①</w:t>
      </w:r>
      <w:r>
        <w:rPr>
          <w:rFonts w:hint="eastAsia" w:ascii="宋体" w:hAnsi="宋体" w:cs="宋体"/>
          <w:strike w:val="0"/>
          <w:color w:val="auto"/>
          <w:szCs w:val="21"/>
        </w:rPr>
        <w:t>涉及信息类产品，请填写该产品关键部件的品牌、型号：</w:t>
      </w:r>
    </w:p>
    <w:p w14:paraId="71063D77">
      <w:pPr>
        <w:numPr>
          <w:ilvl w:val="0"/>
          <w:numId w:val="0"/>
        </w:numPr>
        <w:adjustRightInd w:val="0"/>
        <w:snapToGrid w:val="0"/>
        <w:spacing w:line="400" w:lineRule="exact"/>
        <w:ind w:firstLine="420" w:firstLineChars="200"/>
        <w:rPr>
          <w:rFonts w:hint="eastAsia" w:ascii="宋体" w:hAnsi="宋体" w:cs="宋体"/>
          <w:strike w:val="0"/>
          <w:color w:val="auto"/>
          <w:kern w:val="0"/>
          <w:szCs w:val="21"/>
          <w:u w:val="single"/>
        </w:rPr>
      </w:pPr>
      <w:r>
        <w:rPr>
          <w:rFonts w:hint="eastAsia" w:ascii="宋体" w:hAnsi="宋体" w:cs="宋体"/>
          <w:strike w:val="0"/>
          <w:color w:val="auto"/>
          <w:szCs w:val="21"/>
        </w:rPr>
        <w:t xml:space="preserve">     标的名称：</w:t>
      </w:r>
      <w:r>
        <w:rPr>
          <w:rFonts w:hint="eastAsia" w:ascii="宋体" w:hAnsi="宋体" w:cs="宋体"/>
          <w:strike w:val="0"/>
          <w:color w:val="auto"/>
          <w:kern w:val="0"/>
          <w:szCs w:val="21"/>
          <w:u w:val="single"/>
        </w:rPr>
        <w:t xml:space="preserve">      </w:t>
      </w:r>
      <w:r>
        <w:rPr>
          <w:rFonts w:ascii="宋体" w:hAnsi="宋体" w:cs="宋体"/>
          <w:strike w:val="0"/>
          <w:color w:val="auto"/>
          <w:kern w:val="0"/>
          <w:szCs w:val="21"/>
          <w:u w:val="single"/>
          <w:lang w:val="en"/>
        </w:rPr>
        <w:t xml:space="preserve">               </w:t>
      </w:r>
      <w:r>
        <w:rPr>
          <w:rFonts w:hint="eastAsia" w:ascii="宋体" w:hAnsi="宋体" w:cs="宋体"/>
          <w:strike w:val="0"/>
          <w:color w:val="auto"/>
          <w:kern w:val="0"/>
          <w:szCs w:val="21"/>
          <w:u w:val="single"/>
        </w:rPr>
        <w:t xml:space="preserve">    </w:t>
      </w:r>
    </w:p>
    <w:p w14:paraId="5355082F">
      <w:pPr>
        <w:numPr>
          <w:ilvl w:val="0"/>
          <w:numId w:val="0"/>
        </w:num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 xml:space="preserve">     关键部件：</w:t>
      </w:r>
      <w:r>
        <w:rPr>
          <w:rFonts w:hint="eastAsia" w:ascii="宋体" w:hAnsi="宋体" w:cs="宋体"/>
          <w:strike w:val="0"/>
          <w:color w:val="auto"/>
          <w:kern w:val="0"/>
          <w:szCs w:val="21"/>
          <w:u w:val="single"/>
        </w:rPr>
        <w:t xml:space="preserve">          </w:t>
      </w:r>
      <w:r>
        <w:rPr>
          <w:rFonts w:hint="eastAsia" w:ascii="宋体" w:hAnsi="宋体" w:cs="宋体"/>
          <w:strike w:val="0"/>
          <w:color w:val="auto"/>
          <w:kern w:val="0"/>
          <w:szCs w:val="21"/>
        </w:rPr>
        <w:t xml:space="preserve"> </w:t>
      </w:r>
      <w:r>
        <w:rPr>
          <w:rFonts w:hint="eastAsia" w:ascii="宋体" w:hAnsi="宋体" w:cs="宋体"/>
          <w:strike w:val="0"/>
          <w:color w:val="auto"/>
          <w:szCs w:val="21"/>
        </w:rPr>
        <w:t>品牌：</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型号：</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w:t>
      </w:r>
    </w:p>
    <w:p w14:paraId="0CBBADD6">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kern w:val="2"/>
          <w:sz w:val="21"/>
        </w:rPr>
        <w:t>关键部件</w:t>
      </w:r>
      <w:r>
        <w:rPr>
          <w:rFonts w:hint="eastAsia" w:ascii="宋体" w:hAnsi="宋体" w:eastAsia="宋体" w:cs="宋体"/>
          <w:strike w:val="0"/>
          <w:color w:val="auto"/>
          <w:sz w:val="21"/>
        </w:rPr>
        <w:t>：</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品牌：</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型号：</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w:t>
      </w:r>
    </w:p>
    <w:p w14:paraId="25DA24A0">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关键部件：</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品牌：</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型号：</w:t>
      </w:r>
      <w:r>
        <w:rPr>
          <w:rFonts w:hint="eastAsia" w:ascii="宋体" w:hAnsi="宋体" w:eastAsia="宋体" w:cs="宋体"/>
          <w:strike w:val="0"/>
          <w:color w:val="auto"/>
          <w:sz w:val="21"/>
          <w:u w:val="single"/>
        </w:rPr>
        <w:t xml:space="preserve">       </w:t>
      </w:r>
    </w:p>
    <w:p w14:paraId="39B5FFB9">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3857AC4A">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汉仪书宋二S" w:hAnsi="汉仪书宋二S" w:eastAsia="汉仪书宋二S" w:cs="汉仪书宋二S"/>
          <w:strike w:val="0"/>
          <w:color w:val="auto"/>
          <w:sz w:val="21"/>
        </w:rPr>
        <w:t>②</w:t>
      </w:r>
      <w:r>
        <w:rPr>
          <w:rFonts w:hint="eastAsia" w:ascii="宋体" w:hAnsi="宋体" w:eastAsia="宋体" w:cs="宋体"/>
          <w:strike w:val="0"/>
          <w:color w:val="auto"/>
          <w:sz w:val="21"/>
        </w:rPr>
        <w:t>涉及车辆采购，请填写是否属于新能源汽车：</w:t>
      </w:r>
    </w:p>
    <w:p w14:paraId="64801E90">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是，《政府采购品目分类目录》底级品目名称：</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数量：</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金额：</w:t>
      </w:r>
      <w:r>
        <w:rPr>
          <w:rFonts w:hint="eastAsia" w:ascii="宋体" w:hAnsi="宋体" w:eastAsia="宋体" w:cs="宋体"/>
          <w:strike w:val="0"/>
          <w:color w:val="auto"/>
          <w:sz w:val="21"/>
          <w:u w:val="single"/>
        </w:rPr>
        <w:t xml:space="preserve">     </w:t>
      </w:r>
      <w:r>
        <w:rPr>
          <w:rFonts w:hint="eastAsia" w:ascii="宋体" w:hAnsi="宋体" w:eastAsia="宋体" w:cs="宋体"/>
          <w:strike w:val="0"/>
          <w:color w:val="auto"/>
          <w:sz w:val="21"/>
        </w:rPr>
        <w:t xml:space="preserve"> </w:t>
      </w:r>
    </w:p>
    <w:p w14:paraId="352A4A6F">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否</w:t>
      </w:r>
    </w:p>
    <w:p w14:paraId="0AA20876">
      <w:pPr>
        <w:pStyle w:val="311"/>
        <w:numPr>
          <w:ilvl w:val="0"/>
          <w:numId w:val="0"/>
        </w:numPr>
        <w:snapToGrid w:val="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w:t>
      </w:r>
      <w:r>
        <w:rPr>
          <w:rFonts w:ascii="宋体" w:hAnsi="宋体" w:eastAsia="宋体" w:cs="宋体"/>
          <w:strike w:val="0"/>
          <w:color w:val="auto"/>
          <w:sz w:val="21"/>
          <w:lang w:val="en"/>
        </w:rPr>
        <w:t>4</w:t>
      </w:r>
      <w:r>
        <w:rPr>
          <w:rFonts w:hint="eastAsia" w:ascii="宋体" w:hAnsi="宋体" w:eastAsia="宋体" w:cs="宋体"/>
          <w:strike w:val="0"/>
          <w:color w:val="auto"/>
          <w:sz w:val="21"/>
        </w:rPr>
        <w:t>）政府采购组织形式：</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政府集中采购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部门集中采购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分散采购</w:t>
      </w:r>
    </w:p>
    <w:p w14:paraId="6194F560">
      <w:pPr>
        <w:pStyle w:val="311"/>
        <w:numPr>
          <w:ilvl w:val="0"/>
          <w:numId w:val="0"/>
        </w:numPr>
        <w:snapToGrid w:val="0"/>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w:t>
      </w:r>
      <w:r>
        <w:rPr>
          <w:rFonts w:ascii="宋体" w:hAnsi="宋体" w:eastAsia="宋体" w:cs="宋体"/>
          <w:strike w:val="0"/>
          <w:color w:val="auto"/>
          <w:sz w:val="21"/>
          <w:lang w:val="en"/>
        </w:rPr>
        <w:t>5</w:t>
      </w:r>
      <w:r>
        <w:rPr>
          <w:rFonts w:hint="eastAsia" w:ascii="宋体" w:hAnsi="宋体" w:eastAsia="宋体" w:cs="宋体"/>
          <w:strike w:val="0"/>
          <w:color w:val="auto"/>
          <w:sz w:val="21"/>
        </w:rPr>
        <w:t>）政府采购方式：</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公开招标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邀请招标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竞争性谈判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竞争性磋商</w:t>
      </w:r>
    </w:p>
    <w:p w14:paraId="5F30038B">
      <w:pPr>
        <w:pStyle w:val="311"/>
        <w:numPr>
          <w:ilvl w:val="0"/>
          <w:numId w:val="0"/>
        </w:numPr>
        <w:snapToGrid w:val="0"/>
        <w:ind w:firstLine="420"/>
        <w:rPr>
          <w:rFonts w:hint="eastAsia" w:ascii="宋体" w:hAnsi="宋体" w:eastAsia="宋体" w:cs="宋体"/>
          <w:strike w:val="0"/>
          <w:color w:val="auto"/>
          <w:sz w:val="21"/>
          <w:u w:val="single"/>
        </w:rPr>
      </w:pPr>
      <w:r>
        <w:rPr>
          <w:rFonts w:hint="eastAsia" w:ascii="宋体" w:hAnsi="宋体" w:cs="宋体"/>
          <w:strike w:val="0"/>
          <w:color w:val="auto"/>
        </w:rPr>
        <w:t xml:space="preserve">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询价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单一来源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 xml:space="preserve">框架协议 </w:t>
      </w:r>
      <w:r>
        <w:rPr>
          <w:rFonts w:hint="eastAsia" w:ascii="宋体" w:hAnsi="宋体" w:eastAsia="宋体" w:cs="宋体"/>
          <w:strike w:val="0"/>
          <w:color w:val="auto"/>
          <w:sz w:val="21"/>
        </w:rPr>
        <w:sym w:font="Wingdings" w:char="00A8"/>
      </w:r>
      <w:r>
        <w:rPr>
          <w:rFonts w:hint="eastAsia" w:ascii="宋体" w:hAnsi="宋体" w:eastAsia="宋体" w:cs="宋体"/>
          <w:strike w:val="0"/>
          <w:color w:val="auto"/>
          <w:sz w:val="21"/>
        </w:rPr>
        <w:t>其他：</w:t>
      </w:r>
      <w:r>
        <w:rPr>
          <w:rFonts w:hint="eastAsia" w:ascii="宋体" w:hAnsi="宋体" w:eastAsia="宋体" w:cs="宋体"/>
          <w:strike w:val="0"/>
          <w:color w:val="auto"/>
          <w:sz w:val="21"/>
          <w:u w:val="single"/>
        </w:rPr>
        <w:t xml:space="preserve">          </w:t>
      </w:r>
    </w:p>
    <w:p w14:paraId="7FA71C2A">
      <w:pPr>
        <w:pStyle w:val="311"/>
        <w:numPr>
          <w:ilvl w:val="0"/>
          <w:numId w:val="0"/>
        </w:numPr>
        <w:snapToGrid w:val="0"/>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（注：在框架协议采购的第二阶段，可选择使用该合同文本）</w:t>
      </w:r>
    </w:p>
    <w:p w14:paraId="5C5FC1C3">
      <w:pPr>
        <w:pStyle w:val="311"/>
        <w:numPr>
          <w:ilvl w:val="0"/>
          <w:numId w:val="0"/>
        </w:numPr>
        <w:snapToGrid w:val="0"/>
        <w:ind w:firstLine="220" w:firstLineChars="100"/>
        <w:rPr>
          <w:rFonts w:hint="eastAsia" w:ascii="宋体" w:hAnsi="宋体" w:eastAsia="宋体" w:cs="Times New Roman"/>
          <w:strike w:val="0"/>
          <w:color w:val="auto"/>
          <w:kern w:val="2"/>
          <w:sz w:val="21"/>
        </w:rPr>
      </w:pPr>
      <w:r>
        <w:rPr>
          <w:rFonts w:hint="eastAsia" w:ascii="宋体" w:hAnsi="宋体"/>
          <w:strike w:val="0"/>
          <w:color w:val="auto"/>
        </w:rPr>
        <w:t xml:space="preserve"> （</w:t>
      </w:r>
      <w:r>
        <w:rPr>
          <w:rFonts w:ascii="宋体" w:hAnsi="宋体"/>
          <w:strike w:val="0"/>
          <w:color w:val="auto"/>
          <w:lang w:val="en"/>
        </w:rPr>
        <w:t>6</w:t>
      </w:r>
      <w:r>
        <w:rPr>
          <w:rFonts w:hint="eastAsia" w:ascii="宋体" w:hAnsi="宋体"/>
          <w:strike w:val="0"/>
          <w:color w:val="auto"/>
        </w:rPr>
        <w:t>）</w:t>
      </w:r>
      <w:r>
        <w:rPr>
          <w:rFonts w:hint="eastAsia" w:ascii="宋体" w:hAnsi="宋体" w:eastAsia="宋体" w:cs="Times New Roman"/>
          <w:strike w:val="0"/>
          <w:color w:val="auto"/>
          <w:kern w:val="2"/>
          <w:sz w:val="21"/>
        </w:rPr>
        <w:t>中标（成交）采购标的制造商是否为中小企业：</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 xml:space="preserve">是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否</w:t>
      </w:r>
    </w:p>
    <w:p w14:paraId="3AEEA574">
      <w:pPr>
        <w:numPr>
          <w:ilvl w:val="0"/>
          <w:numId w:val="0"/>
        </w:numPr>
        <w:adjustRightInd w:val="0"/>
        <w:snapToGrid w:val="0"/>
        <w:spacing w:line="400" w:lineRule="exact"/>
        <w:rPr>
          <w:rFonts w:hint="eastAsia" w:ascii="宋体" w:hAnsi="宋体"/>
          <w:iCs/>
          <w:strike w:val="0"/>
          <w:color w:val="auto"/>
          <w:szCs w:val="21"/>
        </w:rPr>
      </w:pPr>
      <w:r>
        <w:rPr>
          <w:rFonts w:hint="eastAsia" w:ascii="宋体" w:hAnsi="宋体"/>
          <w:strike w:val="0"/>
          <w:color w:val="auto"/>
          <w:szCs w:val="21"/>
        </w:rPr>
        <w:t xml:space="preserve">         本合同是否为专门面向中小企业的采购合同（中小企业预留合同）：</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64DB5DD1">
      <w:pPr>
        <w:numPr>
          <w:ilvl w:val="0"/>
          <w:numId w:val="0"/>
        </w:numPr>
        <w:adjustRightInd w:val="0"/>
        <w:snapToGrid w:val="0"/>
        <w:spacing w:line="400" w:lineRule="exact"/>
        <w:rPr>
          <w:rFonts w:hint="eastAsia" w:ascii="宋体" w:hAnsi="宋体"/>
          <w:iCs/>
          <w:strike w:val="0"/>
          <w:color w:val="auto"/>
          <w:szCs w:val="21"/>
        </w:rPr>
      </w:pPr>
      <w:r>
        <w:rPr>
          <w:rFonts w:hint="eastAsia"/>
          <w:strike w:val="0"/>
          <w:color w:val="auto"/>
        </w:rPr>
        <w:t xml:space="preserve">         若本项目不专门面向中小企业采购，是否给予小微企业评审优惠：</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7007CE0D">
      <w:pPr>
        <w:numPr>
          <w:ilvl w:val="0"/>
          <w:numId w:val="0"/>
        </w:numPr>
        <w:adjustRightInd w:val="0"/>
        <w:snapToGrid w:val="0"/>
        <w:spacing w:line="400" w:lineRule="exact"/>
        <w:rPr>
          <w:rFonts w:hint="eastAsia" w:ascii="宋体" w:hAnsi="宋体"/>
          <w:iCs/>
          <w:strike w:val="0"/>
          <w:color w:val="auto"/>
          <w:szCs w:val="21"/>
        </w:rPr>
      </w:pPr>
      <w:r>
        <w:rPr>
          <w:rFonts w:hint="eastAsia"/>
          <w:strike w:val="0"/>
          <w:color w:val="auto"/>
        </w:rPr>
        <w:t xml:space="preserve">         中标（成交）采购标的制造商是否为残疾人福利性单位：</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4A2E64AC">
      <w:pPr>
        <w:snapToGrid w:val="0"/>
        <w:spacing w:line="400" w:lineRule="exact"/>
        <w:rPr>
          <w:strike w:val="0"/>
          <w:color w:val="auto"/>
        </w:rPr>
      </w:pPr>
      <w:r>
        <w:rPr>
          <w:rFonts w:hint="eastAsia"/>
          <w:strike w:val="0"/>
          <w:color w:val="auto"/>
        </w:rPr>
        <w:t xml:space="preserve">         中标（成交）采购标的制造商是否为监狱企业：</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5981804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w:t>
      </w:r>
      <w:r>
        <w:rPr>
          <w:rFonts w:ascii="宋体" w:hAnsi="宋体"/>
          <w:strike w:val="0"/>
          <w:color w:val="auto"/>
          <w:szCs w:val="21"/>
          <w:lang w:val="en"/>
        </w:rPr>
        <w:t>7</w:t>
      </w:r>
      <w:r>
        <w:rPr>
          <w:rFonts w:hint="eastAsia" w:ascii="宋体" w:hAnsi="宋体"/>
          <w:strike w:val="0"/>
          <w:color w:val="auto"/>
          <w:szCs w:val="21"/>
        </w:rPr>
        <w:t>）合同是否分包：</w:t>
      </w:r>
      <w:r>
        <w:rPr>
          <w:rFonts w:hint="eastAsia" w:ascii="宋体" w:hAnsi="宋体"/>
          <w:iCs/>
          <w:strike w:val="0"/>
          <w:color w:val="auto"/>
          <w:szCs w:val="21"/>
        </w:rPr>
        <w:sym w:font="Wingdings" w:char="00A8"/>
      </w:r>
      <w:r>
        <w:rPr>
          <w:rFonts w:hint="eastAsia" w:ascii="宋体" w:hAnsi="宋体"/>
          <w:iCs/>
          <w:strike w:val="0"/>
          <w:color w:val="auto"/>
          <w:szCs w:val="21"/>
        </w:rPr>
        <w:t xml:space="preserve">是       </w:t>
      </w:r>
      <w:r>
        <w:rPr>
          <w:rFonts w:hint="eastAsia" w:ascii="宋体" w:hAnsi="宋体"/>
          <w:iCs/>
          <w:strike w:val="0"/>
          <w:color w:val="auto"/>
          <w:szCs w:val="21"/>
        </w:rPr>
        <w:sym w:font="Wingdings" w:char="00A8"/>
      </w:r>
      <w:r>
        <w:rPr>
          <w:rFonts w:hint="eastAsia" w:ascii="宋体" w:hAnsi="宋体"/>
          <w:iCs/>
          <w:strike w:val="0"/>
          <w:color w:val="auto"/>
          <w:szCs w:val="21"/>
        </w:rPr>
        <w:t>否</w:t>
      </w:r>
    </w:p>
    <w:p w14:paraId="6C3F5689">
      <w:pPr>
        <w:adjustRightInd w:val="0"/>
        <w:snapToGrid w:val="0"/>
        <w:spacing w:line="400" w:lineRule="exact"/>
        <w:ind w:firstLine="840" w:firstLineChars="400"/>
        <w:rPr>
          <w:rFonts w:hint="eastAsia" w:ascii="宋体" w:hAnsi="宋体"/>
          <w:strike w:val="0"/>
          <w:color w:val="auto"/>
          <w:szCs w:val="21"/>
          <w:u w:val="single"/>
        </w:rPr>
      </w:pPr>
      <w:r>
        <w:rPr>
          <w:rFonts w:hint="eastAsia" w:ascii="宋体" w:hAnsi="宋体"/>
          <w:strike w:val="0"/>
          <w:color w:val="auto"/>
          <w:szCs w:val="21"/>
        </w:rPr>
        <w:t xml:space="preserve"> 分包主要内容：</w:t>
      </w:r>
      <w:r>
        <w:rPr>
          <w:rFonts w:hint="eastAsia" w:ascii="宋体" w:hAnsi="宋体"/>
          <w:strike w:val="0"/>
          <w:color w:val="auto"/>
          <w:szCs w:val="21"/>
          <w:u w:val="single"/>
        </w:rPr>
        <w:t xml:space="preserve">                                            </w:t>
      </w:r>
    </w:p>
    <w:p w14:paraId="3C027F2C">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分包供应商/制造商名称（如供应商和制造商不同，请分别填写）：</w:t>
      </w:r>
    </w:p>
    <w:p w14:paraId="1BBDE9B1">
      <w:pPr>
        <w:adjustRightInd w:val="0"/>
        <w:snapToGrid w:val="0"/>
        <w:spacing w:line="400" w:lineRule="exact"/>
        <w:ind w:firstLine="840" w:firstLineChars="400"/>
        <w:rPr>
          <w:rFonts w:hint="eastAsia" w:ascii="宋体" w:hAnsi="宋体"/>
          <w:strike w:val="0"/>
          <w:color w:val="auto"/>
          <w:szCs w:val="21"/>
          <w:u w:val="single"/>
        </w:rPr>
      </w:pPr>
      <w:r>
        <w:rPr>
          <w:rFonts w:hint="eastAsia" w:ascii="宋体" w:hAnsi="宋体"/>
          <w:strike w:val="0"/>
          <w:color w:val="auto"/>
          <w:szCs w:val="21"/>
        </w:rPr>
        <w:t xml:space="preserve"> </w:t>
      </w:r>
      <w:r>
        <w:rPr>
          <w:rFonts w:hint="eastAsia" w:ascii="宋体" w:hAnsi="宋体"/>
          <w:strike w:val="0"/>
          <w:color w:val="auto"/>
          <w:szCs w:val="21"/>
          <w:u w:val="single"/>
        </w:rPr>
        <w:t xml:space="preserve">                                                          </w:t>
      </w:r>
    </w:p>
    <w:p w14:paraId="59D5DD23">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分包供应商/制造商类型（如果供应商和制造商不同，只填写制造商类型）：</w:t>
      </w:r>
    </w:p>
    <w:p w14:paraId="7EFA0A5D">
      <w:pPr>
        <w:adjustRightInd w:val="0"/>
        <w:snapToGrid w:val="0"/>
        <w:spacing w:line="400" w:lineRule="exact"/>
        <w:ind w:firstLine="840" w:firstLineChars="400"/>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大型企业  </w:t>
      </w:r>
      <w:r>
        <w:rPr>
          <w:rFonts w:hint="eastAsia" w:ascii="宋体" w:hAnsi="宋体"/>
          <w:iCs/>
          <w:strike w:val="0"/>
          <w:color w:val="auto"/>
          <w:szCs w:val="21"/>
        </w:rPr>
        <w:sym w:font="Wingdings" w:char="00A8"/>
      </w:r>
      <w:r>
        <w:rPr>
          <w:rFonts w:hint="eastAsia" w:ascii="宋体" w:hAnsi="宋体"/>
          <w:iCs/>
          <w:strike w:val="0"/>
          <w:color w:val="auto"/>
          <w:szCs w:val="21"/>
        </w:rPr>
        <w:t xml:space="preserve">中型企业  </w:t>
      </w:r>
      <w:r>
        <w:rPr>
          <w:rFonts w:hint="eastAsia" w:ascii="宋体" w:hAnsi="宋体"/>
          <w:iCs/>
          <w:strike w:val="0"/>
          <w:color w:val="auto"/>
          <w:szCs w:val="21"/>
        </w:rPr>
        <w:sym w:font="Wingdings" w:char="00A8"/>
      </w:r>
      <w:r>
        <w:rPr>
          <w:rFonts w:hint="eastAsia" w:ascii="宋体" w:hAnsi="宋体"/>
          <w:iCs/>
          <w:strike w:val="0"/>
          <w:color w:val="auto"/>
          <w:szCs w:val="21"/>
        </w:rPr>
        <w:t xml:space="preserve">小微型企业  </w:t>
      </w:r>
    </w:p>
    <w:p w14:paraId="6B24AE61">
      <w:pPr>
        <w:adjustRightInd w:val="0"/>
        <w:snapToGrid w:val="0"/>
        <w:spacing w:line="400" w:lineRule="exact"/>
        <w:ind w:firstLine="840" w:firstLineChars="400"/>
        <w:rPr>
          <w:rFonts w:eastAsia="华文楷体"/>
          <w:strike w:val="0"/>
          <w:color w:val="auto"/>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残疾人福利性单位 </w:t>
      </w:r>
      <w:r>
        <w:rPr>
          <w:rFonts w:hint="eastAsia" w:ascii="宋体" w:hAnsi="宋体"/>
          <w:iCs/>
          <w:strike w:val="0"/>
          <w:color w:val="auto"/>
          <w:szCs w:val="21"/>
        </w:rPr>
        <w:sym w:font="Wingdings" w:char="00A8"/>
      </w:r>
      <w:r>
        <w:rPr>
          <w:rFonts w:hint="eastAsia" w:ascii="宋体" w:hAnsi="宋体"/>
          <w:iCs/>
          <w:strike w:val="0"/>
          <w:color w:val="auto"/>
          <w:szCs w:val="21"/>
        </w:rPr>
        <w:t xml:space="preserve">监狱企业 </w:t>
      </w:r>
      <w:r>
        <w:rPr>
          <w:rFonts w:hint="eastAsia" w:ascii="宋体" w:hAnsi="宋体"/>
          <w:iCs/>
          <w:strike w:val="0"/>
          <w:color w:val="auto"/>
          <w:szCs w:val="21"/>
        </w:rPr>
        <w:sym w:font="Wingdings" w:char="00A8"/>
      </w:r>
      <w:r>
        <w:rPr>
          <w:rFonts w:hint="eastAsia" w:ascii="宋体" w:hAnsi="宋体"/>
          <w:iCs/>
          <w:strike w:val="0"/>
          <w:color w:val="auto"/>
          <w:szCs w:val="21"/>
        </w:rPr>
        <w:t>其他</w:t>
      </w:r>
    </w:p>
    <w:p w14:paraId="219A1D44">
      <w:pPr>
        <w:numPr>
          <w:ilvl w:val="0"/>
          <w:numId w:val="0"/>
        </w:numPr>
        <w:adjustRightInd w:val="0"/>
        <w:snapToGrid w:val="0"/>
        <w:spacing w:line="400" w:lineRule="exact"/>
        <w:rPr>
          <w:rFonts w:hint="eastAsia" w:ascii="宋体" w:hAnsi="宋体" w:cs="宋体"/>
          <w:iCs/>
          <w:strike w:val="0"/>
          <w:color w:val="auto"/>
          <w:szCs w:val="21"/>
        </w:rPr>
      </w:pPr>
      <w:r>
        <w:rPr>
          <w:rFonts w:hint="eastAsia" w:ascii="宋体" w:hAnsi="宋体"/>
          <w:strike w:val="0"/>
          <w:color w:val="auto"/>
          <w:szCs w:val="21"/>
        </w:rPr>
        <w:t xml:space="preserve">    </w:t>
      </w:r>
      <w:r>
        <w:rPr>
          <w:rFonts w:hint="eastAsia" w:ascii="宋体" w:hAnsi="宋体" w:cs="宋体"/>
          <w:strike w:val="0"/>
          <w:color w:val="auto"/>
          <w:szCs w:val="21"/>
        </w:rPr>
        <w:t>（</w:t>
      </w:r>
      <w:r>
        <w:rPr>
          <w:rFonts w:ascii="宋体" w:hAnsi="宋体" w:cs="宋体"/>
          <w:strike w:val="0"/>
          <w:color w:val="auto"/>
          <w:szCs w:val="21"/>
          <w:lang w:val="en"/>
        </w:rPr>
        <w:t>8</w:t>
      </w:r>
      <w:r>
        <w:rPr>
          <w:rFonts w:hint="eastAsia" w:ascii="宋体" w:hAnsi="宋体" w:cs="宋体"/>
          <w:strike w:val="0"/>
          <w:color w:val="auto"/>
          <w:szCs w:val="21"/>
        </w:rPr>
        <w:t>）中标（成交）供应商是否为外商投资企业：</w:t>
      </w:r>
      <w:r>
        <w:rPr>
          <w:rFonts w:hint="eastAsia" w:ascii="宋体" w:hAnsi="宋体" w:cs="宋体"/>
          <w:iCs/>
          <w:strike w:val="0"/>
          <w:color w:val="auto"/>
          <w:szCs w:val="21"/>
        </w:rPr>
        <w:sym w:font="Wingdings" w:char="00A8"/>
      </w:r>
      <w:r>
        <w:rPr>
          <w:rFonts w:hint="eastAsia" w:ascii="宋体" w:hAnsi="宋体" w:cs="宋体"/>
          <w:iCs/>
          <w:strike w:val="0"/>
          <w:color w:val="auto"/>
          <w:szCs w:val="21"/>
        </w:rPr>
        <w:t xml:space="preserve">是       </w:t>
      </w:r>
      <w:r>
        <w:rPr>
          <w:rFonts w:hint="eastAsia" w:ascii="宋体" w:hAnsi="宋体" w:cs="宋体"/>
          <w:iCs/>
          <w:strike w:val="0"/>
          <w:color w:val="auto"/>
          <w:szCs w:val="21"/>
        </w:rPr>
        <w:sym w:font="Wingdings" w:char="00A8"/>
      </w:r>
      <w:r>
        <w:rPr>
          <w:rFonts w:hint="eastAsia" w:ascii="宋体" w:hAnsi="宋体" w:cs="宋体"/>
          <w:iCs/>
          <w:strike w:val="0"/>
          <w:color w:val="auto"/>
          <w:szCs w:val="21"/>
        </w:rPr>
        <w:t>否</w:t>
      </w:r>
    </w:p>
    <w:p w14:paraId="1B6010F2">
      <w:pPr>
        <w:pStyle w:val="311"/>
        <w:tabs>
          <w:tab w:val="left" w:pos="1340"/>
        </w:tabs>
        <w:ind w:firstLine="420"/>
        <w:rPr>
          <w:rFonts w:hint="eastAsia" w:ascii="宋体" w:hAnsi="宋体" w:eastAsia="宋体" w:cs="宋体"/>
          <w:strike w:val="0"/>
          <w:color w:val="auto"/>
          <w:sz w:val="21"/>
          <w:u w:val="single"/>
        </w:rPr>
      </w:pPr>
      <w:r>
        <w:rPr>
          <w:rFonts w:hint="eastAsia" w:ascii="宋体" w:hAnsi="宋体" w:eastAsia="宋体" w:cs="宋体"/>
          <w:strike w:val="0"/>
          <w:color w:val="auto"/>
          <w:sz w:val="21"/>
        </w:rPr>
        <w:t xml:space="preserve">     外商投资企业类型：</w:t>
      </w:r>
      <w:r>
        <w:rPr>
          <w:rFonts w:hint="eastAsia" w:ascii="宋体" w:hAnsi="宋体" w:eastAsia="宋体" w:cs="宋体"/>
          <w:iCs/>
          <w:strike w:val="0"/>
          <w:color w:val="auto"/>
          <w:sz w:val="21"/>
        </w:rPr>
        <w:sym w:font="Wingdings" w:char="00A8"/>
      </w:r>
      <w:r>
        <w:rPr>
          <w:rFonts w:hint="eastAsia" w:ascii="宋体" w:hAnsi="宋体" w:eastAsia="宋体" w:cs="宋体"/>
          <w:strike w:val="0"/>
          <w:color w:val="auto"/>
          <w:sz w:val="21"/>
        </w:rPr>
        <w:t xml:space="preserve">全部由外国投资者投资  </w:t>
      </w:r>
      <w:r>
        <w:rPr>
          <w:rFonts w:hint="eastAsia" w:ascii="宋体" w:hAnsi="宋体" w:eastAsia="宋体" w:cs="宋体"/>
          <w:iCs/>
          <w:strike w:val="0"/>
          <w:color w:val="auto"/>
          <w:sz w:val="21"/>
        </w:rPr>
        <w:sym w:font="Wingdings" w:char="00A8"/>
      </w:r>
      <w:r>
        <w:rPr>
          <w:rFonts w:hint="eastAsia" w:ascii="宋体" w:hAnsi="宋体" w:eastAsia="宋体" w:cs="宋体"/>
          <w:iCs/>
          <w:strike w:val="0"/>
          <w:color w:val="auto"/>
          <w:sz w:val="21"/>
        </w:rPr>
        <w:t>部分由外国投资者投资</w:t>
      </w:r>
    </w:p>
    <w:p w14:paraId="240E18AF">
      <w:pPr>
        <w:numPr>
          <w:ilvl w:val="0"/>
          <w:numId w:val="0"/>
        </w:num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w:t>
      </w:r>
      <w:r>
        <w:rPr>
          <w:rFonts w:ascii="宋体" w:hAnsi="宋体" w:cs="宋体"/>
          <w:strike w:val="0"/>
          <w:color w:val="auto"/>
          <w:szCs w:val="21"/>
          <w:lang w:val="en"/>
        </w:rPr>
        <w:t>9</w:t>
      </w:r>
      <w:r>
        <w:rPr>
          <w:rFonts w:hint="eastAsia" w:ascii="宋体" w:hAnsi="宋体" w:cs="宋体"/>
          <w:strike w:val="0"/>
          <w:color w:val="auto"/>
          <w:szCs w:val="21"/>
        </w:rPr>
        <w:t>）是否涉及进口产品：</w:t>
      </w:r>
    </w:p>
    <w:p w14:paraId="756922C0">
      <w:pPr>
        <w:numPr>
          <w:ilvl w:val="0"/>
          <w:numId w:val="0"/>
        </w:numPr>
        <w:adjustRightInd w:val="0"/>
        <w:snapToGrid w:val="0"/>
        <w:spacing w:line="400" w:lineRule="exact"/>
        <w:ind w:firstLine="840" w:firstLineChars="400"/>
        <w:rPr>
          <w:rFonts w:hint="eastAsia" w:ascii="宋体" w:hAnsi="宋体" w:cs="宋体"/>
          <w:strike w:val="0"/>
          <w:color w:val="auto"/>
          <w:szCs w:val="21"/>
          <w:u w:val="single"/>
        </w:rPr>
      </w:pPr>
      <w:r>
        <w:rPr>
          <w:rFonts w:hint="eastAsia" w:ascii="宋体" w:hAnsi="宋体" w:cs="宋体"/>
          <w:strike w:val="0"/>
          <w:color w:val="auto"/>
          <w:szCs w:val="21"/>
        </w:rPr>
        <w:t xml:space="preserve"> </w:t>
      </w:r>
      <w:r>
        <w:rPr>
          <w:rFonts w:hint="eastAsia" w:ascii="宋体" w:hAnsi="宋体" w:cs="宋体"/>
          <w:strike w:val="0"/>
          <w:color w:val="auto"/>
          <w:szCs w:val="21"/>
        </w:rPr>
        <w:sym w:font="Wingdings" w:char="00A8"/>
      </w:r>
      <w:r>
        <w:rPr>
          <w:rFonts w:hint="eastAsia" w:ascii="宋体" w:hAnsi="宋体" w:cs="宋体"/>
          <w:strike w:val="0"/>
          <w:color w:val="auto"/>
          <w:szCs w:val="21"/>
        </w:rPr>
        <w:t>是，《政府采购品目分类目录》底级品目名称：</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金额：</w:t>
      </w:r>
      <w:r>
        <w:rPr>
          <w:rFonts w:hint="eastAsia" w:ascii="宋体" w:hAnsi="宋体" w:cs="宋体"/>
          <w:strike w:val="0"/>
          <w:color w:val="auto"/>
          <w:szCs w:val="21"/>
          <w:u w:val="single"/>
        </w:rPr>
        <w:t xml:space="preserve">        </w:t>
      </w:r>
    </w:p>
    <w:p w14:paraId="25AC668A">
      <w:pPr>
        <w:numPr>
          <w:ilvl w:val="0"/>
          <w:numId w:val="0"/>
        </w:numPr>
        <w:adjustRightInd w:val="0"/>
        <w:snapToGrid w:val="0"/>
        <w:spacing w:line="400" w:lineRule="exact"/>
        <w:ind w:firstLine="840" w:firstLineChars="400"/>
        <w:rPr>
          <w:rFonts w:hint="eastAsia" w:ascii="宋体" w:hAnsi="宋体"/>
          <w:strike w:val="0"/>
          <w:color w:val="auto"/>
          <w:szCs w:val="21"/>
        </w:rPr>
      </w:pPr>
      <w:r>
        <w:rPr>
          <w:rFonts w:hint="eastAsia" w:ascii="宋体" w:hAnsi="宋体" w:cs="宋体"/>
          <w:strike w:val="0"/>
          <w:color w:val="auto"/>
          <w:szCs w:val="21"/>
        </w:rPr>
        <w:t xml:space="preserve">        国别：</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品牌：</w:t>
      </w:r>
      <w:r>
        <w:rPr>
          <w:rFonts w:hint="eastAsia" w:ascii="宋体" w:hAnsi="宋体" w:cs="宋体"/>
          <w:strike w:val="0"/>
          <w:color w:val="auto"/>
          <w:szCs w:val="21"/>
          <w:u w:val="single"/>
        </w:rPr>
        <w:t xml:space="preserve">        </w:t>
      </w:r>
      <w:r>
        <w:rPr>
          <w:rFonts w:hint="eastAsia" w:ascii="宋体" w:hAnsi="宋体" w:cs="宋体"/>
          <w:strike w:val="0"/>
          <w:color w:val="auto"/>
          <w:szCs w:val="21"/>
        </w:rPr>
        <w:t xml:space="preserve"> 规格型号：</w:t>
      </w:r>
      <w:r>
        <w:rPr>
          <w:rFonts w:hint="eastAsia" w:ascii="宋体" w:hAnsi="宋体" w:cs="宋体"/>
          <w:strike w:val="0"/>
          <w:color w:val="auto"/>
          <w:szCs w:val="21"/>
          <w:u w:val="single"/>
        </w:rPr>
        <w:t xml:space="preserve">        </w:t>
      </w:r>
      <w:r>
        <w:rPr>
          <w:rFonts w:hint="eastAsia" w:ascii="宋体" w:hAnsi="宋体"/>
          <w:strike w:val="0"/>
          <w:color w:val="auto"/>
          <w:szCs w:val="21"/>
        </w:rPr>
        <w:t xml:space="preserve">      </w:t>
      </w:r>
    </w:p>
    <w:p w14:paraId="2AA59936">
      <w:p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2AEEDC2E">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（1</w:t>
      </w:r>
      <w:r>
        <w:rPr>
          <w:rFonts w:ascii="宋体" w:hAnsi="宋体"/>
          <w:strike w:val="0"/>
          <w:color w:val="auto"/>
          <w:szCs w:val="21"/>
          <w:lang w:val="en"/>
        </w:rPr>
        <w:t>0</w:t>
      </w:r>
      <w:r>
        <w:rPr>
          <w:rFonts w:hint="eastAsia" w:ascii="宋体" w:hAnsi="宋体"/>
          <w:strike w:val="0"/>
          <w:color w:val="auto"/>
          <w:szCs w:val="21"/>
        </w:rPr>
        <w:t>）是否涉及节能产品：</w:t>
      </w:r>
    </w:p>
    <w:p w14:paraId="2677D826">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是，《节能产品政府采购品目清单》的底级品目名称：</w:t>
      </w:r>
      <w:r>
        <w:rPr>
          <w:rFonts w:hint="eastAsia" w:ascii="宋体" w:hAnsi="宋体"/>
          <w:strike w:val="0"/>
          <w:color w:val="auto"/>
          <w:szCs w:val="21"/>
          <w:u w:val="single"/>
        </w:rPr>
        <w:t xml:space="preserve">         </w:t>
      </w:r>
      <w:r>
        <w:rPr>
          <w:rFonts w:hint="eastAsia" w:ascii="宋体" w:hAnsi="宋体"/>
          <w:iCs/>
          <w:strike w:val="0"/>
          <w:color w:val="auto"/>
          <w:szCs w:val="21"/>
        </w:rPr>
        <w:t xml:space="preserve">     </w:t>
      </w:r>
    </w:p>
    <w:p w14:paraId="574F0109">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7D3DC6B3">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4C23F396">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是否涉及环境标志产品：</w:t>
      </w:r>
    </w:p>
    <w:p w14:paraId="39B7938E">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是，《环境标志产品政府采购品目清单》的底级品目名称：</w:t>
      </w:r>
      <w:r>
        <w:rPr>
          <w:rFonts w:hint="eastAsia" w:ascii="宋体" w:hAnsi="宋体"/>
          <w:strike w:val="0"/>
          <w:color w:val="auto"/>
          <w:szCs w:val="21"/>
          <w:u w:val="single"/>
        </w:rPr>
        <w:t xml:space="preserve">         </w:t>
      </w:r>
      <w:r>
        <w:rPr>
          <w:rFonts w:hint="eastAsia" w:ascii="宋体" w:hAnsi="宋体"/>
          <w:iCs/>
          <w:strike w:val="0"/>
          <w:color w:val="auto"/>
          <w:szCs w:val="21"/>
        </w:rPr>
        <w:t xml:space="preserve"> </w:t>
      </w:r>
    </w:p>
    <w:p w14:paraId="3368BAE6">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32A3B3F9">
      <w:pPr>
        <w:numPr>
          <w:ilvl w:val="0"/>
          <w:numId w:val="0"/>
        </w:numPr>
        <w:tabs>
          <w:tab w:val="left" w:pos="740"/>
        </w:tabs>
        <w:adjustRightInd w:val="0"/>
        <w:snapToGrid w:val="0"/>
        <w:spacing w:line="400" w:lineRule="exact"/>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strike w:val="0"/>
          <w:color w:val="auto"/>
          <w:szCs w:val="21"/>
        </w:rPr>
        <w:sym w:font="Wingdings" w:char="00A8"/>
      </w:r>
      <w:r>
        <w:rPr>
          <w:rFonts w:hint="eastAsia" w:ascii="宋体" w:hAnsi="宋体"/>
          <w:strike w:val="0"/>
          <w:color w:val="auto"/>
          <w:szCs w:val="21"/>
        </w:rPr>
        <w:t>否</w:t>
      </w:r>
    </w:p>
    <w:p w14:paraId="22BA6901">
      <w:pPr>
        <w:pStyle w:val="311"/>
        <w:numPr>
          <w:ilvl w:val="0"/>
          <w:numId w:val="0"/>
        </w:numPr>
        <w:snapToGrid w:val="0"/>
        <w:rPr>
          <w:rFonts w:hint="eastAsia" w:ascii="宋体" w:hAnsi="宋体" w:eastAsia="宋体" w:cs="Times New Roman"/>
          <w:strike w:val="0"/>
          <w:color w:val="auto"/>
          <w:kern w:val="2"/>
          <w:sz w:val="21"/>
        </w:rPr>
      </w:pPr>
      <w:r>
        <w:rPr>
          <w:rFonts w:hint="eastAsia" w:ascii="宋体" w:hAnsi="宋体"/>
          <w:strike w:val="0"/>
          <w:color w:val="auto"/>
          <w:sz w:val="21"/>
        </w:rPr>
        <w:t xml:space="preserve">          </w:t>
      </w:r>
      <w:r>
        <w:rPr>
          <w:rFonts w:hint="eastAsia" w:ascii="宋体" w:hAnsi="宋体" w:eastAsia="宋体" w:cs="Times New Roman"/>
          <w:strike w:val="0"/>
          <w:color w:val="auto"/>
          <w:kern w:val="2"/>
          <w:sz w:val="21"/>
        </w:rPr>
        <w:t xml:space="preserve">是否涉及绿色产品： </w:t>
      </w:r>
    </w:p>
    <w:p w14:paraId="024752FA">
      <w:pPr>
        <w:pStyle w:val="311"/>
        <w:ind w:firstLine="420" w:firstLineChars="0"/>
        <w:rPr>
          <w:rFonts w:hint="eastAsia" w:ascii="宋体" w:hAnsi="宋体" w:eastAsia="宋体"/>
          <w:strike w:val="0"/>
          <w:color w:val="auto"/>
          <w:u w:val="single"/>
        </w:rPr>
      </w:pPr>
      <w:r>
        <w:rPr>
          <w:rFonts w:hint="eastAsia" w:ascii="宋体" w:hAnsi="宋体" w:eastAsia="宋体" w:cs="Times New Roman"/>
          <w:strike w:val="0"/>
          <w:color w:val="auto"/>
          <w:kern w:val="2"/>
          <w:sz w:val="21"/>
        </w:rPr>
        <w:t xml:space="preserve">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是，绿色产品政府采购相关政策确定的底级品目名称：</w:t>
      </w:r>
      <w:r>
        <w:rPr>
          <w:rFonts w:hint="eastAsia" w:ascii="宋体" w:hAnsi="宋体" w:eastAsia="宋体"/>
          <w:strike w:val="0"/>
          <w:color w:val="auto"/>
          <w:u w:val="single"/>
        </w:rPr>
        <w:t xml:space="preserve">         </w:t>
      </w:r>
    </w:p>
    <w:p w14:paraId="1CA090A0">
      <w:pPr>
        <w:numPr>
          <w:ilvl w:val="0"/>
          <w:numId w:val="0"/>
        </w:numPr>
        <w:tabs>
          <w:tab w:val="left" w:pos="740"/>
        </w:tabs>
        <w:adjustRightInd w:val="0"/>
        <w:snapToGrid w:val="0"/>
        <w:spacing w:line="400" w:lineRule="exact"/>
        <w:rPr>
          <w:rFonts w:hint="eastAsia" w:ascii="宋体" w:hAnsi="宋体"/>
          <w:iCs/>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强制采购       </w:t>
      </w:r>
      <w:r>
        <w:rPr>
          <w:rFonts w:hint="eastAsia" w:ascii="宋体" w:hAnsi="宋体"/>
          <w:iCs/>
          <w:strike w:val="0"/>
          <w:color w:val="auto"/>
          <w:szCs w:val="21"/>
        </w:rPr>
        <w:sym w:font="Wingdings" w:char="00A8"/>
      </w:r>
      <w:r>
        <w:rPr>
          <w:rFonts w:hint="eastAsia" w:ascii="宋体" w:hAnsi="宋体"/>
          <w:iCs/>
          <w:strike w:val="0"/>
          <w:color w:val="auto"/>
          <w:szCs w:val="21"/>
        </w:rPr>
        <w:t xml:space="preserve">优先采购    </w:t>
      </w:r>
    </w:p>
    <w:p w14:paraId="58E00B46">
      <w:pPr>
        <w:pStyle w:val="311"/>
        <w:ind w:firstLine="420" w:firstLineChars="0"/>
        <w:rPr>
          <w:rFonts w:hint="eastAsia" w:ascii="宋体" w:hAnsi="宋体"/>
          <w:strike w:val="0"/>
          <w:color w:val="auto"/>
          <w:sz w:val="21"/>
        </w:rPr>
      </w:pPr>
      <w:r>
        <w:rPr>
          <w:rFonts w:hint="eastAsia" w:ascii="宋体" w:hAnsi="宋体" w:eastAsia="宋体" w:cs="Times New Roman"/>
          <w:strike w:val="0"/>
          <w:color w:val="auto"/>
          <w:kern w:val="2"/>
          <w:sz w:val="21"/>
        </w:rPr>
        <w:t xml:space="preserve">     </w:t>
      </w:r>
      <w:r>
        <w:rPr>
          <w:rFonts w:hint="eastAsia" w:ascii="宋体" w:hAnsi="宋体" w:eastAsia="宋体" w:cs="Times New Roman"/>
          <w:strike w:val="0"/>
          <w:color w:val="auto"/>
          <w:kern w:val="2"/>
          <w:sz w:val="21"/>
        </w:rPr>
        <w:sym w:font="Wingdings" w:char="00A8"/>
      </w:r>
      <w:r>
        <w:rPr>
          <w:rFonts w:hint="eastAsia" w:ascii="宋体" w:hAnsi="宋体" w:eastAsia="宋体" w:cs="Times New Roman"/>
          <w:strike w:val="0"/>
          <w:color w:val="auto"/>
          <w:kern w:val="2"/>
          <w:sz w:val="21"/>
        </w:rPr>
        <w:t>否</w:t>
      </w:r>
    </w:p>
    <w:p w14:paraId="49E3B128">
      <w:pPr>
        <w:numPr>
          <w:ilvl w:val="0"/>
          <w:numId w:val="0"/>
        </w:num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（1</w:t>
      </w:r>
      <w:r>
        <w:rPr>
          <w:rFonts w:ascii="宋体" w:hAnsi="宋体"/>
          <w:strike w:val="0"/>
          <w:color w:val="auto"/>
          <w:szCs w:val="21"/>
          <w:lang w:val="en"/>
        </w:rPr>
        <w:t>1</w:t>
      </w:r>
      <w:r>
        <w:rPr>
          <w:rFonts w:hint="eastAsia" w:ascii="宋体" w:hAnsi="宋体"/>
          <w:strike w:val="0"/>
          <w:color w:val="auto"/>
          <w:szCs w:val="21"/>
        </w:rPr>
        <w:t>）涉及商品包装和快递包装的，是否参考《商品包装政府采购需求标准（试行）》、《快递包装政府采购需求标准（试行）》明确产品及相关快递服务的具体包装要求：</w:t>
      </w:r>
    </w:p>
    <w:p w14:paraId="2B69E044">
      <w:pPr>
        <w:numPr>
          <w:ilvl w:val="0"/>
          <w:numId w:val="0"/>
        </w:numPr>
        <w:adjustRightInd w:val="0"/>
        <w:snapToGrid w:val="0"/>
        <w:spacing w:line="400" w:lineRule="exact"/>
        <w:ind w:firstLine="840" w:firstLineChars="400"/>
        <w:rPr>
          <w:rFonts w:hint="eastAsia" w:ascii="宋体" w:hAnsi="宋体"/>
          <w:strike w:val="0"/>
          <w:color w:val="auto"/>
          <w:szCs w:val="21"/>
        </w:rPr>
      </w:pPr>
      <w:r>
        <w:rPr>
          <w:rFonts w:hint="eastAsia" w:ascii="宋体" w:hAnsi="宋体"/>
          <w:strike w:val="0"/>
          <w:color w:val="auto"/>
          <w:szCs w:val="21"/>
        </w:rPr>
        <w:sym w:font="Wingdings" w:char="00A8"/>
      </w:r>
      <w:r>
        <w:rPr>
          <w:rFonts w:hint="eastAsia" w:ascii="宋体" w:hAnsi="宋体"/>
          <w:strike w:val="0"/>
          <w:color w:val="auto"/>
          <w:szCs w:val="21"/>
        </w:rPr>
        <w:t xml:space="preserve">是       </w:t>
      </w:r>
      <w:r>
        <w:rPr>
          <w:rFonts w:hint="eastAsia" w:ascii="宋体" w:hAnsi="宋体"/>
          <w:strike w:val="0"/>
          <w:color w:val="auto"/>
          <w:szCs w:val="21"/>
        </w:rPr>
        <w:sym w:font="Wingdings" w:char="00A8"/>
      </w:r>
      <w:r>
        <w:rPr>
          <w:rFonts w:hint="eastAsia" w:ascii="宋体" w:hAnsi="宋体"/>
          <w:strike w:val="0"/>
          <w:color w:val="auto"/>
          <w:szCs w:val="21"/>
        </w:rPr>
        <w:t xml:space="preserve">否      </w:t>
      </w:r>
      <w:r>
        <w:rPr>
          <w:rFonts w:hint="eastAsia" w:ascii="宋体" w:hAnsi="宋体"/>
          <w:strike w:val="0"/>
          <w:color w:val="auto"/>
          <w:szCs w:val="21"/>
        </w:rPr>
        <w:sym w:font="Wingdings" w:char="00A8"/>
      </w:r>
      <w:r>
        <w:rPr>
          <w:rFonts w:hint="eastAsia" w:ascii="宋体" w:hAnsi="宋体"/>
          <w:strike w:val="0"/>
          <w:color w:val="auto"/>
          <w:szCs w:val="21"/>
        </w:rPr>
        <w:t>不涉及</w:t>
      </w:r>
    </w:p>
    <w:p w14:paraId="5EBE731B">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合同金额</w:t>
      </w:r>
    </w:p>
    <w:p w14:paraId="3B6720E9">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（1）合同金额小写：</w:t>
      </w:r>
      <w:r>
        <w:rPr>
          <w:rFonts w:hint="eastAsia" w:ascii="宋体" w:hAnsi="宋体"/>
          <w:strike w:val="0"/>
          <w:color w:val="auto"/>
          <w:szCs w:val="21"/>
          <w:u w:val="single"/>
        </w:rPr>
        <w:t xml:space="preserve">                           </w:t>
      </w:r>
    </w:p>
    <w:p w14:paraId="561C016F">
      <w:pPr>
        <w:adjustRightInd w:val="0"/>
        <w:snapToGrid w:val="0"/>
        <w:spacing w:line="400" w:lineRule="exact"/>
        <w:rPr>
          <w:rFonts w:hint="eastAsia" w:ascii="宋体" w:hAnsi="宋体"/>
          <w:strike w:val="0"/>
          <w:color w:val="auto"/>
          <w:szCs w:val="21"/>
          <w:u w:val="single"/>
        </w:rPr>
      </w:pPr>
      <w:r>
        <w:rPr>
          <w:rFonts w:hint="eastAsia" w:ascii="宋体" w:hAnsi="宋体"/>
          <w:strike w:val="0"/>
          <w:color w:val="auto"/>
          <w:szCs w:val="21"/>
        </w:rPr>
        <w:t xml:space="preserve">                 大写：</w:t>
      </w:r>
      <w:r>
        <w:rPr>
          <w:rFonts w:hint="eastAsia" w:ascii="宋体" w:hAnsi="宋体"/>
          <w:strike w:val="0"/>
          <w:color w:val="auto"/>
          <w:szCs w:val="21"/>
          <w:u w:val="single"/>
        </w:rPr>
        <w:t xml:space="preserve">                           </w:t>
      </w:r>
    </w:p>
    <w:p w14:paraId="0F91F4EF">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分包金额（如有）小写：</w:t>
      </w:r>
      <w:r>
        <w:rPr>
          <w:rFonts w:hint="eastAsia" w:ascii="宋体" w:hAnsi="宋体"/>
          <w:strike w:val="0"/>
          <w:color w:val="auto"/>
          <w:szCs w:val="21"/>
          <w:u w:val="single"/>
        </w:rPr>
        <w:t xml:space="preserve">                   </w:t>
      </w:r>
    </w:p>
    <w:p w14:paraId="529ED17E">
      <w:pPr>
        <w:adjustRightInd w:val="0"/>
        <w:snapToGrid w:val="0"/>
        <w:spacing w:line="400" w:lineRule="exact"/>
        <w:rPr>
          <w:rFonts w:hint="eastAsia" w:ascii="宋体" w:hAnsi="宋体"/>
          <w:strike w:val="0"/>
          <w:color w:val="auto"/>
          <w:szCs w:val="21"/>
          <w:u w:val="single"/>
        </w:rPr>
      </w:pPr>
      <w:r>
        <w:rPr>
          <w:rFonts w:hint="eastAsia" w:ascii="宋体" w:hAnsi="宋体"/>
          <w:strike w:val="0"/>
          <w:color w:val="auto"/>
          <w:szCs w:val="21"/>
        </w:rPr>
        <w:t xml:space="preserve">                     大写：</w:t>
      </w:r>
      <w:r>
        <w:rPr>
          <w:rFonts w:hint="eastAsia" w:ascii="宋体" w:hAnsi="宋体"/>
          <w:strike w:val="0"/>
          <w:color w:val="auto"/>
          <w:szCs w:val="21"/>
          <w:u w:val="single"/>
        </w:rPr>
        <w:t xml:space="preserve">                       </w:t>
      </w:r>
    </w:p>
    <w:p w14:paraId="3520D9B2">
      <w:p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（注：固定单价合同应填写单价和最高限价）</w:t>
      </w:r>
    </w:p>
    <w:p w14:paraId="4E39CF88">
      <w:pPr>
        <w:numPr>
          <w:ilvl w:val="0"/>
          <w:numId w:val="0"/>
        </w:numPr>
        <w:adjustRightInd w:val="0"/>
        <w:snapToGrid w:val="0"/>
        <w:spacing w:line="400" w:lineRule="exact"/>
        <w:rPr>
          <w:rFonts w:hint="eastAsia" w:ascii="宋体" w:hAnsi="宋体"/>
          <w:strike w:val="0"/>
          <w:color w:val="auto"/>
          <w:szCs w:val="21"/>
        </w:rPr>
      </w:pPr>
      <w:r>
        <w:rPr>
          <w:rFonts w:hint="eastAsia" w:ascii="宋体" w:hAnsi="宋体"/>
          <w:strike w:val="0"/>
          <w:color w:val="auto"/>
          <w:szCs w:val="21"/>
        </w:rPr>
        <w:t xml:space="preserve">    （2）合同定价方式（采用组合定价方式的，可以勾选多项）：</w:t>
      </w:r>
    </w:p>
    <w:p w14:paraId="6863297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iCs/>
          <w:strike w:val="0"/>
          <w:color w:val="auto"/>
          <w:szCs w:val="21"/>
        </w:rPr>
        <w:t xml:space="preserve">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固定总价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固定单价 </w:t>
      </w:r>
      <w:r>
        <w:rPr>
          <w:rFonts w:hint="eastAsia" w:ascii="宋体" w:hAnsi="宋体"/>
          <w:iCs/>
          <w:strike w:val="0"/>
          <w:color w:val="auto"/>
          <w:szCs w:val="21"/>
        </w:rPr>
        <w:sym w:font="Wingdings" w:char="00A8"/>
      </w:r>
      <w:r>
        <w:rPr>
          <w:rFonts w:hint="eastAsia" w:ascii="宋体" w:hAnsi="宋体"/>
          <w:iCs/>
          <w:strike w:val="0"/>
          <w:color w:val="auto"/>
          <w:szCs w:val="21"/>
        </w:rPr>
        <w:t xml:space="preserve">固定费率 </w:t>
      </w:r>
      <w:r>
        <w:rPr>
          <w:rFonts w:hint="eastAsia" w:ascii="宋体" w:hAnsi="宋体"/>
          <w:iCs/>
          <w:strike w:val="0"/>
          <w:color w:val="auto"/>
          <w:szCs w:val="21"/>
        </w:rPr>
        <w:sym w:font="Wingdings" w:char="00A8"/>
      </w:r>
      <w:r>
        <w:rPr>
          <w:rFonts w:hint="eastAsia" w:ascii="宋体" w:hAnsi="宋体"/>
          <w:iCs/>
          <w:strike w:val="0"/>
          <w:color w:val="auto"/>
          <w:szCs w:val="21"/>
        </w:rPr>
        <w:t xml:space="preserve">成本补偿 </w:t>
      </w:r>
      <w:r>
        <w:rPr>
          <w:rFonts w:hint="eastAsia" w:ascii="宋体" w:hAnsi="宋体"/>
          <w:iCs/>
          <w:strike w:val="0"/>
          <w:color w:val="auto"/>
          <w:szCs w:val="21"/>
        </w:rPr>
        <w:sym w:font="Wingdings" w:char="00A8"/>
      </w:r>
      <w:r>
        <w:rPr>
          <w:rFonts w:hint="eastAsia" w:ascii="宋体" w:hAnsi="宋体"/>
          <w:iCs/>
          <w:strike w:val="0"/>
          <w:color w:val="auto"/>
          <w:szCs w:val="21"/>
        </w:rPr>
        <w:t xml:space="preserve">绩效激励 </w:t>
      </w:r>
      <w:r>
        <w:rPr>
          <w:rFonts w:hint="eastAsia" w:ascii="宋体" w:hAnsi="宋体"/>
          <w:iCs/>
          <w:strike w:val="0"/>
          <w:color w:val="auto"/>
          <w:szCs w:val="21"/>
        </w:rPr>
        <w:sym w:font="Wingdings" w:char="00A8"/>
      </w:r>
      <w:r>
        <w:rPr>
          <w:rFonts w:hint="eastAsia" w:ascii="宋体" w:hAnsi="宋体"/>
          <w:iCs/>
          <w:strike w:val="0"/>
          <w:color w:val="auto"/>
          <w:szCs w:val="21"/>
        </w:rPr>
        <w:t>其他</w:t>
      </w:r>
      <w:r>
        <w:rPr>
          <w:rFonts w:hint="eastAsia" w:ascii="宋体" w:hAnsi="宋体"/>
          <w:strike w:val="0"/>
          <w:color w:val="auto"/>
          <w:szCs w:val="21"/>
          <w:u w:val="single"/>
        </w:rPr>
        <w:t xml:space="preserve">       </w:t>
      </w:r>
    </w:p>
    <w:p w14:paraId="38E23700">
      <w:pPr>
        <w:pStyle w:val="168"/>
        <w:spacing w:line="400" w:lineRule="exact"/>
        <w:rPr>
          <w:strike w:val="0"/>
          <w:color w:val="auto"/>
        </w:rPr>
      </w:pPr>
      <w:r>
        <w:rPr>
          <w:rFonts w:hint="eastAsia" w:ascii="宋体" w:hAnsi="宋体"/>
          <w:strike w:val="0"/>
          <w:color w:val="auto"/>
        </w:rPr>
        <w:t>（3）付款方式（按项目实际勾选填写）：</w:t>
      </w:r>
    </w:p>
    <w:p w14:paraId="44E710DF">
      <w:pPr>
        <w:adjustRightInd w:val="0"/>
        <w:snapToGrid w:val="0"/>
        <w:spacing w:line="400" w:lineRule="exact"/>
        <w:ind w:firstLine="630" w:firstLineChars="300"/>
        <w:rPr>
          <w:rFonts w:hint="eastAsia" w:ascii="宋体" w:hAnsi="宋体"/>
          <w:strike w:val="0"/>
          <w:color w:val="auto"/>
          <w:szCs w:val="21"/>
          <w:u w:val="single"/>
        </w:rPr>
      </w:pPr>
      <w:r>
        <w:rPr>
          <w:rFonts w:hint="eastAsia" w:ascii="宋体" w:hAnsi="宋体"/>
          <w:strike w:val="0"/>
          <w:color w:val="auto"/>
          <w:szCs w:val="21"/>
        </w:rPr>
        <w:sym w:font="Wingdings" w:char="00A8"/>
      </w:r>
      <w:r>
        <w:rPr>
          <w:rFonts w:hint="eastAsia" w:ascii="宋体" w:hAnsi="宋体"/>
          <w:strike w:val="0"/>
          <w:color w:val="auto"/>
          <w:szCs w:val="21"/>
        </w:rPr>
        <w:t>全额付款：</w:t>
      </w:r>
      <w:r>
        <w:rPr>
          <w:rFonts w:hint="eastAsia" w:ascii="宋体" w:hAnsi="宋体"/>
          <w:strike w:val="0"/>
          <w:color w:val="auto"/>
          <w:szCs w:val="21"/>
          <w:u w:val="single"/>
        </w:rPr>
        <w:t xml:space="preserve">     （应明确一次性支付合同款项的条件）                    </w:t>
      </w:r>
    </w:p>
    <w:p w14:paraId="53168408">
      <w:pPr>
        <w:snapToGrid w:val="0"/>
        <w:spacing w:line="400" w:lineRule="exact"/>
        <w:ind w:firstLine="630" w:firstLineChars="300"/>
        <w:rPr>
          <w:strike w:val="0"/>
          <w:color w:val="auto"/>
        </w:rPr>
      </w:pPr>
      <w:r>
        <w:rPr>
          <w:rFonts w:hint="eastAsia" w:ascii="宋体" w:hAnsi="宋体"/>
          <w:strike w:val="0"/>
          <w:color w:val="auto"/>
          <w:szCs w:val="21"/>
        </w:rPr>
        <w:sym w:font="Wingdings" w:char="00A8"/>
      </w:r>
      <w:r>
        <w:rPr>
          <w:rFonts w:hint="eastAsia" w:ascii="宋体" w:hAnsi="宋体"/>
          <w:strike w:val="0"/>
          <w:color w:val="auto"/>
          <w:szCs w:val="21"/>
        </w:rPr>
        <w:t>分期付款：</w:t>
      </w:r>
      <w:r>
        <w:rPr>
          <w:rFonts w:hint="eastAsia" w:ascii="宋体" w:hAnsi="宋体"/>
          <w:strike w:val="0"/>
          <w:color w:val="auto"/>
          <w:szCs w:val="21"/>
          <w:u w:val="single"/>
        </w:rPr>
        <w:t xml:space="preserve">  （应明确分期支付合同款项的各期比例和支付条件，各期支付条件应与分期履约验收情况挂钩） </w:t>
      </w:r>
      <w:r>
        <w:rPr>
          <w:rFonts w:hint="eastAsia" w:ascii="宋体" w:hAnsi="宋体"/>
          <w:strike w:val="0"/>
          <w:color w:val="auto"/>
          <w:szCs w:val="21"/>
        </w:rPr>
        <w:t>，其中涉及预付款的：</w:t>
      </w:r>
      <w:r>
        <w:rPr>
          <w:rFonts w:hint="eastAsia" w:ascii="宋体" w:hAnsi="宋体"/>
          <w:strike w:val="0"/>
          <w:color w:val="auto"/>
          <w:szCs w:val="21"/>
          <w:u w:val="single"/>
        </w:rPr>
        <w:t xml:space="preserve"> （应明确预付款的支付比例和支付条件） </w:t>
      </w:r>
    </w:p>
    <w:p w14:paraId="4BB9BB91">
      <w:pPr>
        <w:adjustRightInd w:val="0"/>
        <w:snapToGrid w:val="0"/>
        <w:spacing w:line="400" w:lineRule="exact"/>
        <w:ind w:firstLine="630" w:firstLineChars="300"/>
        <w:rPr>
          <w:rFonts w:hint="eastAsia" w:ascii="宋体" w:hAnsi="宋体"/>
          <w:strike w:val="0"/>
          <w:color w:val="auto"/>
          <w:szCs w:val="21"/>
          <w:u w:val="single"/>
        </w:rPr>
      </w:pPr>
      <w:r>
        <w:rPr>
          <w:rFonts w:hint="eastAsia" w:ascii="宋体" w:hAnsi="宋体"/>
          <w:strike w:val="0"/>
          <w:color w:val="auto"/>
          <w:szCs w:val="21"/>
        </w:rPr>
        <w:sym w:font="Wingdings" w:char="00A8"/>
      </w:r>
      <w:r>
        <w:rPr>
          <w:rFonts w:hint="eastAsia" w:ascii="宋体" w:hAnsi="宋体"/>
          <w:strike w:val="0"/>
          <w:color w:val="auto"/>
          <w:szCs w:val="21"/>
        </w:rPr>
        <w:t>成本补偿：</w:t>
      </w:r>
      <w:r>
        <w:rPr>
          <w:rFonts w:hint="eastAsia" w:ascii="宋体" w:hAnsi="宋体"/>
          <w:strike w:val="0"/>
          <w:color w:val="auto"/>
          <w:szCs w:val="21"/>
          <w:u w:val="single"/>
        </w:rPr>
        <w:t xml:space="preserve">      （应明确按照成本补偿方式的支付方式和支付条件）   </w:t>
      </w:r>
    </w:p>
    <w:p w14:paraId="6FB4CA6B">
      <w:pPr>
        <w:adjustRightInd w:val="0"/>
        <w:snapToGrid w:val="0"/>
        <w:spacing w:line="400" w:lineRule="exact"/>
        <w:ind w:firstLine="630" w:firstLineChars="300"/>
        <w:rPr>
          <w:rFonts w:hint="eastAsia" w:ascii="宋体" w:hAnsi="宋体"/>
          <w:strike w:val="0"/>
          <w:color w:val="auto"/>
          <w:szCs w:val="21"/>
        </w:rPr>
      </w:pPr>
      <w:r>
        <w:rPr>
          <w:rFonts w:hint="eastAsia" w:ascii="宋体" w:hAnsi="宋体"/>
          <w:strike w:val="0"/>
          <w:color w:val="auto"/>
          <w:szCs w:val="21"/>
        </w:rPr>
        <w:sym w:font="Wingdings" w:char="00A8"/>
      </w:r>
      <w:r>
        <w:rPr>
          <w:rFonts w:hint="eastAsia" w:ascii="宋体" w:hAnsi="宋体"/>
          <w:strike w:val="0"/>
          <w:color w:val="auto"/>
          <w:szCs w:val="21"/>
        </w:rPr>
        <w:t>绩效激励：</w:t>
      </w:r>
      <w:r>
        <w:rPr>
          <w:rFonts w:hint="eastAsia" w:ascii="宋体" w:hAnsi="宋体"/>
          <w:strike w:val="0"/>
          <w:color w:val="auto"/>
          <w:szCs w:val="21"/>
          <w:u w:val="single"/>
        </w:rPr>
        <w:t xml:space="preserve">      （应明确按照绩效激励方式的支付方式和支付条件）   </w:t>
      </w:r>
    </w:p>
    <w:p w14:paraId="470BFBDA">
      <w:pPr>
        <w:numPr>
          <w:ilvl w:val="0"/>
          <w:numId w:val="22"/>
        </w:numPr>
        <w:adjustRightInd w:val="0"/>
        <w:snapToGrid w:val="0"/>
        <w:spacing w:line="400" w:lineRule="exact"/>
        <w:ind w:firstLine="422" w:firstLineChars="200"/>
        <w:rPr>
          <w:rFonts w:hint="eastAsia" w:ascii="宋体" w:hAnsi="宋体"/>
          <w:b/>
          <w:strike w:val="0"/>
          <w:color w:val="auto"/>
          <w:szCs w:val="21"/>
          <w:u w:val="single"/>
        </w:rPr>
      </w:pPr>
      <w:r>
        <w:rPr>
          <w:rFonts w:hint="eastAsia" w:ascii="宋体" w:hAnsi="宋体"/>
          <w:b/>
          <w:strike w:val="0"/>
          <w:color w:val="auto"/>
          <w:szCs w:val="21"/>
        </w:rPr>
        <w:t>合同履行</w:t>
      </w:r>
    </w:p>
    <w:p w14:paraId="2B5CFE9E">
      <w:p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strike w:val="0"/>
          <w:color w:val="auto"/>
          <w:szCs w:val="21"/>
        </w:rPr>
        <w:t>（1）起始日期：</w:t>
      </w:r>
      <w:r>
        <w:rPr>
          <w:rFonts w:hint="eastAsia" w:ascii="宋体" w:hAnsi="宋体" w:cs="宋体"/>
          <w:strike w:val="0"/>
          <w:color w:val="auto"/>
          <w:szCs w:val="21"/>
          <w:u w:val="single"/>
        </w:rPr>
        <w:t xml:space="preserve">    </w:t>
      </w:r>
      <w:r>
        <w:rPr>
          <w:rFonts w:hint="eastAsia" w:ascii="宋体" w:hAnsi="宋体" w:cs="宋体"/>
          <w:strike w:val="0"/>
          <w:color w:val="auto"/>
          <w:szCs w:val="21"/>
        </w:rPr>
        <w:t>年</w:t>
      </w:r>
      <w:r>
        <w:rPr>
          <w:rFonts w:hint="eastAsia" w:ascii="宋体" w:hAnsi="宋体" w:cs="宋体"/>
          <w:strike w:val="0"/>
          <w:color w:val="auto"/>
          <w:szCs w:val="21"/>
          <w:u w:val="single"/>
        </w:rPr>
        <w:t xml:space="preserve">   </w:t>
      </w:r>
      <w:r>
        <w:rPr>
          <w:rFonts w:hint="eastAsia" w:ascii="宋体" w:hAnsi="宋体" w:cs="宋体"/>
          <w:strike w:val="0"/>
          <w:color w:val="auto"/>
          <w:szCs w:val="21"/>
        </w:rPr>
        <w:t>月</w:t>
      </w:r>
      <w:r>
        <w:rPr>
          <w:rFonts w:hint="eastAsia" w:ascii="宋体" w:hAnsi="宋体" w:cs="宋体"/>
          <w:strike w:val="0"/>
          <w:color w:val="auto"/>
          <w:szCs w:val="21"/>
          <w:u w:val="single"/>
        </w:rPr>
        <w:t xml:space="preserve">   </w:t>
      </w:r>
      <w:r>
        <w:rPr>
          <w:rFonts w:hint="eastAsia" w:ascii="宋体" w:hAnsi="宋体" w:cs="宋体"/>
          <w:strike w:val="0"/>
          <w:color w:val="auto"/>
          <w:szCs w:val="21"/>
        </w:rPr>
        <w:t>日，完成日期：</w:t>
      </w:r>
      <w:r>
        <w:rPr>
          <w:rFonts w:hint="eastAsia" w:ascii="宋体" w:hAnsi="宋体" w:cs="宋体"/>
          <w:strike w:val="0"/>
          <w:color w:val="auto"/>
          <w:szCs w:val="21"/>
          <w:u w:val="single"/>
        </w:rPr>
        <w:t xml:space="preserve">    </w:t>
      </w:r>
      <w:r>
        <w:rPr>
          <w:rFonts w:hint="eastAsia" w:ascii="宋体" w:hAnsi="宋体" w:cs="宋体"/>
          <w:strike w:val="0"/>
          <w:color w:val="auto"/>
          <w:szCs w:val="21"/>
        </w:rPr>
        <w:t>年</w:t>
      </w:r>
      <w:r>
        <w:rPr>
          <w:rFonts w:hint="eastAsia" w:ascii="宋体" w:hAnsi="宋体" w:cs="宋体"/>
          <w:strike w:val="0"/>
          <w:color w:val="auto"/>
          <w:szCs w:val="21"/>
          <w:u w:val="single"/>
        </w:rPr>
        <w:t xml:space="preserve">   </w:t>
      </w:r>
      <w:r>
        <w:rPr>
          <w:rFonts w:hint="eastAsia" w:ascii="宋体" w:hAnsi="宋体" w:cs="宋体"/>
          <w:strike w:val="0"/>
          <w:color w:val="auto"/>
          <w:szCs w:val="21"/>
        </w:rPr>
        <w:t>月</w:t>
      </w:r>
      <w:r>
        <w:rPr>
          <w:rFonts w:hint="eastAsia" w:ascii="宋体" w:hAnsi="宋体" w:cs="宋体"/>
          <w:strike w:val="0"/>
          <w:color w:val="auto"/>
          <w:szCs w:val="21"/>
          <w:u w:val="single"/>
        </w:rPr>
        <w:t xml:space="preserve">   </w:t>
      </w:r>
      <w:r>
        <w:rPr>
          <w:rFonts w:hint="eastAsia" w:ascii="宋体" w:hAnsi="宋体" w:cs="宋体"/>
          <w:strike w:val="0"/>
          <w:color w:val="auto"/>
          <w:szCs w:val="21"/>
        </w:rPr>
        <w:t>日。</w:t>
      </w:r>
    </w:p>
    <w:p w14:paraId="6C2C0C2E">
      <w:pPr>
        <w:adjustRightInd w:val="0"/>
        <w:snapToGrid w:val="0"/>
        <w:spacing w:line="400" w:lineRule="exact"/>
        <w:ind w:firstLine="420" w:firstLineChars="200"/>
        <w:rPr>
          <w:rFonts w:hint="eastAsia" w:ascii="宋体" w:hAnsi="宋体" w:cs="宋体"/>
          <w:strike w:val="0"/>
          <w:color w:val="auto"/>
          <w:szCs w:val="21"/>
          <w:u w:val="single"/>
        </w:rPr>
      </w:pPr>
      <w:r>
        <w:rPr>
          <w:rFonts w:hint="eastAsia" w:ascii="宋体" w:hAnsi="宋体" w:cs="宋体"/>
          <w:strike w:val="0"/>
          <w:color w:val="auto"/>
          <w:szCs w:val="21"/>
        </w:rPr>
        <w:t>（2）履约地点</w:t>
      </w:r>
      <w:r>
        <w:rPr>
          <w:rFonts w:hint="eastAsia" w:ascii="宋体" w:hAnsi="宋体" w:cs="宋体"/>
          <w:bCs/>
          <w:strike w:val="0"/>
          <w:color w:val="auto"/>
          <w:szCs w:val="21"/>
        </w:rPr>
        <w:t>：</w:t>
      </w:r>
      <w:r>
        <w:rPr>
          <w:rFonts w:hint="eastAsia" w:ascii="宋体" w:hAnsi="宋体" w:cs="宋体"/>
          <w:strike w:val="0"/>
          <w:color w:val="auto"/>
          <w:szCs w:val="21"/>
          <w:u w:val="single"/>
        </w:rPr>
        <w:t xml:space="preserve">                             </w:t>
      </w:r>
    </w:p>
    <w:p w14:paraId="1FA9EB3F">
      <w:pPr>
        <w:adjustRightInd w:val="0"/>
        <w:snapToGrid w:val="0"/>
        <w:spacing w:line="400" w:lineRule="exact"/>
        <w:ind w:firstLine="420" w:firstLineChars="200"/>
        <w:rPr>
          <w:rFonts w:hint="eastAsia" w:ascii="宋体" w:hAnsi="宋体" w:cs="宋体"/>
          <w:strike w:val="0"/>
          <w:color w:val="auto"/>
          <w:szCs w:val="21"/>
        </w:rPr>
      </w:pPr>
      <w:r>
        <w:rPr>
          <w:rFonts w:hint="eastAsia" w:ascii="宋体" w:hAnsi="宋体" w:cs="宋体"/>
          <w:bCs/>
          <w:strike w:val="0"/>
          <w:color w:val="auto"/>
          <w:szCs w:val="21"/>
        </w:rPr>
        <w:t>（3）履约担保：</w:t>
      </w:r>
      <w:r>
        <w:rPr>
          <w:rFonts w:hint="eastAsia" w:ascii="宋体" w:hAnsi="宋体" w:cs="宋体"/>
          <w:strike w:val="0"/>
          <w:color w:val="auto"/>
        </w:rPr>
        <w:t>是否收取履约保证金：</w:t>
      </w:r>
      <w:r>
        <w:rPr>
          <w:rFonts w:hint="eastAsia" w:ascii="宋体" w:hAnsi="宋体" w:cs="宋体"/>
          <w:strike w:val="0"/>
          <w:color w:val="auto"/>
          <w:szCs w:val="21"/>
        </w:rPr>
        <w:sym w:font="Wingdings" w:char="00A8"/>
      </w:r>
      <w:r>
        <w:rPr>
          <w:rFonts w:hint="eastAsia" w:ascii="宋体" w:hAnsi="宋体" w:cs="宋体"/>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cs="宋体"/>
          <w:strike w:val="0"/>
          <w:color w:val="auto"/>
          <w:szCs w:val="21"/>
        </w:rPr>
        <w:t>否</w:t>
      </w:r>
    </w:p>
    <w:p w14:paraId="2DA839C7">
      <w:pPr>
        <w:pStyle w:val="311"/>
        <w:rPr>
          <w:rFonts w:hint="eastAsia" w:ascii="宋体" w:hAnsi="宋体" w:eastAsia="宋体" w:cs="宋体"/>
          <w:strike w:val="0"/>
          <w:color w:val="auto"/>
          <w:sz w:val="21"/>
        </w:rPr>
      </w:pPr>
      <w:r>
        <w:rPr>
          <w:rFonts w:hint="eastAsia" w:ascii="宋体" w:hAnsi="宋体" w:cs="宋体"/>
          <w:bCs/>
          <w:strike w:val="0"/>
          <w:color w:val="auto"/>
        </w:rPr>
        <w:t xml:space="preserve">  </w:t>
      </w:r>
      <w:r>
        <w:rPr>
          <w:rFonts w:hint="eastAsia" w:ascii="宋体" w:hAnsi="宋体" w:eastAsia="宋体" w:cs="宋体"/>
          <w:strike w:val="0"/>
          <w:color w:val="auto"/>
          <w:sz w:val="21"/>
        </w:rPr>
        <w:t xml:space="preserve">  收取履约保证金形式：</w:t>
      </w:r>
      <w:r>
        <w:rPr>
          <w:rFonts w:hint="eastAsia" w:ascii="宋体" w:hAnsi="宋体" w:eastAsia="宋体" w:cs="宋体"/>
          <w:bCs/>
          <w:strike w:val="0"/>
          <w:color w:val="auto"/>
          <w:sz w:val="21"/>
          <w:u w:val="single"/>
        </w:rPr>
        <w:t xml:space="preserve">                            </w:t>
      </w:r>
    </w:p>
    <w:p w14:paraId="5A9E054E">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 xml:space="preserve">    收取履约保证金金额：</w:t>
      </w:r>
      <w:r>
        <w:rPr>
          <w:rFonts w:hint="eastAsia" w:ascii="宋体" w:hAnsi="宋体" w:eastAsia="宋体" w:cs="宋体"/>
          <w:bCs/>
          <w:strike w:val="0"/>
          <w:color w:val="auto"/>
          <w:sz w:val="21"/>
          <w:u w:val="single"/>
        </w:rPr>
        <w:t xml:space="preserve">                            </w:t>
      </w:r>
    </w:p>
    <w:p w14:paraId="3F8FAC91">
      <w:pPr>
        <w:snapToGrid w:val="0"/>
        <w:spacing w:line="400" w:lineRule="exact"/>
        <w:ind w:firstLine="420" w:firstLineChars="200"/>
        <w:rPr>
          <w:rFonts w:hint="eastAsia" w:ascii="宋体" w:hAnsi="宋体" w:cs="宋体"/>
          <w:strike w:val="0"/>
          <w:color w:val="auto"/>
        </w:rPr>
      </w:pPr>
      <w:r>
        <w:rPr>
          <w:rFonts w:hint="eastAsia" w:ascii="宋体" w:hAnsi="宋体" w:cs="宋体"/>
          <w:bCs/>
          <w:strike w:val="0"/>
          <w:color w:val="auto"/>
          <w:szCs w:val="21"/>
        </w:rPr>
        <w:t xml:space="preserve">    履约担保期限：</w:t>
      </w:r>
      <w:r>
        <w:rPr>
          <w:rFonts w:hint="eastAsia" w:ascii="宋体" w:hAnsi="宋体" w:cs="宋体"/>
          <w:bCs/>
          <w:strike w:val="0"/>
          <w:color w:val="auto"/>
          <w:szCs w:val="21"/>
          <w:u w:val="single"/>
        </w:rPr>
        <w:t xml:space="preserve">                                  </w:t>
      </w:r>
    </w:p>
    <w:p w14:paraId="2A8831AF">
      <w:pPr>
        <w:adjustRightInd w:val="0"/>
        <w:snapToGrid w:val="0"/>
        <w:spacing w:line="400" w:lineRule="exact"/>
        <w:ind w:firstLine="420" w:firstLineChars="200"/>
        <w:rPr>
          <w:rFonts w:hint="eastAsia" w:ascii="宋体" w:hAnsi="宋体" w:cs="宋体"/>
          <w:bCs/>
          <w:strike w:val="0"/>
          <w:color w:val="auto"/>
          <w:szCs w:val="21"/>
        </w:rPr>
      </w:pPr>
      <w:r>
        <w:rPr>
          <w:rFonts w:hint="eastAsia" w:ascii="宋体" w:hAnsi="宋体" w:cs="宋体"/>
          <w:bCs/>
          <w:strike w:val="0"/>
          <w:color w:val="auto"/>
          <w:szCs w:val="21"/>
        </w:rPr>
        <w:t>（4）分期履行要求：</w:t>
      </w:r>
      <w:r>
        <w:rPr>
          <w:rFonts w:hint="eastAsia" w:ascii="宋体" w:hAnsi="宋体" w:cs="宋体"/>
          <w:bCs/>
          <w:strike w:val="0"/>
          <w:color w:val="auto"/>
          <w:szCs w:val="21"/>
          <w:u w:val="single"/>
        </w:rPr>
        <w:t xml:space="preserve">                                                        </w:t>
      </w:r>
    </w:p>
    <w:p w14:paraId="2E289EEC">
      <w:pPr>
        <w:adjustRightInd w:val="0"/>
        <w:snapToGrid w:val="0"/>
        <w:spacing w:line="400" w:lineRule="exact"/>
        <w:ind w:firstLine="420" w:firstLineChars="200"/>
        <w:rPr>
          <w:rFonts w:hint="eastAsia" w:ascii="宋体" w:hAnsi="宋体" w:cs="宋体"/>
          <w:strike w:val="0"/>
          <w:color w:val="auto"/>
          <w:szCs w:val="21"/>
          <w:u w:val="single"/>
        </w:rPr>
      </w:pPr>
      <w:r>
        <w:rPr>
          <w:rFonts w:hint="eastAsia" w:ascii="宋体" w:hAnsi="宋体" w:cs="宋体"/>
          <w:bCs/>
          <w:strike w:val="0"/>
          <w:color w:val="auto"/>
          <w:szCs w:val="21"/>
        </w:rPr>
        <w:t>（5）风险处置措施和替代方案：</w:t>
      </w:r>
      <w:r>
        <w:rPr>
          <w:rFonts w:hint="eastAsia" w:ascii="宋体" w:hAnsi="宋体" w:cs="宋体"/>
          <w:strike w:val="0"/>
          <w:color w:val="auto"/>
          <w:szCs w:val="21"/>
          <w:u w:val="single"/>
        </w:rPr>
        <w:t xml:space="preserve">                                                               </w:t>
      </w:r>
    </w:p>
    <w:p w14:paraId="07FC3355">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合同验收</w:t>
      </w:r>
    </w:p>
    <w:p w14:paraId="13958CA2">
      <w:pPr>
        <w:numPr>
          <w:ilvl w:val="0"/>
          <w:numId w:val="24"/>
        </w:num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验收组织方式：</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自行组织 </w:t>
      </w:r>
      <w:r>
        <w:rPr>
          <w:rFonts w:hint="eastAsia" w:ascii="宋体" w:hAnsi="宋体" w:cs="宋体"/>
          <w:strike w:val="0"/>
          <w:color w:val="auto"/>
          <w:szCs w:val="21"/>
        </w:rPr>
        <w:sym w:font="Wingdings" w:char="00A8"/>
      </w:r>
      <w:r>
        <w:rPr>
          <w:rFonts w:hint="eastAsia" w:ascii="宋体" w:hAnsi="宋体"/>
          <w:bCs/>
          <w:strike w:val="0"/>
          <w:color w:val="auto"/>
          <w:szCs w:val="21"/>
        </w:rPr>
        <w:t>委托第三方组织</w:t>
      </w:r>
    </w:p>
    <w:p w14:paraId="611D6105">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验收主体：</w:t>
      </w:r>
      <w:r>
        <w:rPr>
          <w:rFonts w:hint="eastAsia" w:ascii="宋体" w:hAnsi="宋体"/>
          <w:bCs/>
          <w:strike w:val="0"/>
          <w:color w:val="auto"/>
          <w:szCs w:val="21"/>
          <w:u w:val="single"/>
        </w:rPr>
        <w:t xml:space="preserve">                  </w:t>
      </w:r>
    </w:p>
    <w:p w14:paraId="13D41B24">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是否邀请本项目的其他供应商参加验收：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43B94E70">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是否邀请专家参加验收：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433A1994">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是否邀请服务对象参加验收：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72E90BBB">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是否邀请第三方检测机构参加验收：</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是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2060B69F">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是否进行抽查检测：</w:t>
      </w:r>
      <w:r>
        <w:rPr>
          <w:rFonts w:hint="eastAsia" w:ascii="宋体" w:hAnsi="宋体" w:cs="宋体"/>
          <w:strike w:val="0"/>
          <w:color w:val="auto"/>
          <w:szCs w:val="21"/>
        </w:rPr>
        <w:sym w:font="Wingdings" w:char="00A8"/>
      </w:r>
      <w:r>
        <w:rPr>
          <w:rFonts w:hint="eastAsia" w:ascii="宋体" w:hAnsi="宋体"/>
          <w:bCs/>
          <w:strike w:val="0"/>
          <w:color w:val="auto"/>
          <w:szCs w:val="21"/>
        </w:rPr>
        <w:t>是，抽查比例：</w:t>
      </w:r>
      <w:r>
        <w:rPr>
          <w:rFonts w:hint="eastAsia" w:ascii="宋体" w:hAnsi="宋体"/>
          <w:bCs/>
          <w:strike w:val="0"/>
          <w:color w:val="auto"/>
          <w:szCs w:val="21"/>
          <w:u w:val="single"/>
        </w:rPr>
        <w:t xml:space="preserve">        </w:t>
      </w: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0957071B">
      <w:pPr>
        <w:adjustRightInd w:val="0"/>
        <w:snapToGrid w:val="0"/>
        <w:spacing w:line="400" w:lineRule="exact"/>
        <w:ind w:firstLine="840" w:firstLineChars="400"/>
        <w:rPr>
          <w:rFonts w:hint="eastAsia" w:ascii="宋体" w:hAnsi="宋体"/>
          <w:bCs/>
          <w:strike w:val="0"/>
          <w:color w:val="auto"/>
          <w:szCs w:val="21"/>
          <w:u w:val="single"/>
        </w:rPr>
      </w:pPr>
      <w:r>
        <w:rPr>
          <w:rFonts w:hint="eastAsia" w:ascii="宋体" w:hAnsi="宋体"/>
          <w:bCs/>
          <w:strike w:val="0"/>
          <w:color w:val="auto"/>
          <w:szCs w:val="21"/>
        </w:rPr>
        <w:t>是否存在破坏性检测：</w:t>
      </w:r>
      <w:r>
        <w:rPr>
          <w:rFonts w:hint="eastAsia" w:ascii="宋体" w:hAnsi="宋体" w:cs="宋体"/>
          <w:strike w:val="0"/>
          <w:color w:val="auto"/>
          <w:szCs w:val="21"/>
        </w:rPr>
        <w:sym w:font="Wingdings" w:char="00A8"/>
      </w:r>
      <w:r>
        <w:rPr>
          <w:rFonts w:hint="eastAsia" w:ascii="宋体" w:hAnsi="宋体"/>
          <w:bCs/>
          <w:strike w:val="0"/>
          <w:color w:val="auto"/>
          <w:szCs w:val="21"/>
        </w:rPr>
        <w:t>是，</w:t>
      </w:r>
      <w:r>
        <w:rPr>
          <w:rFonts w:hint="eastAsia" w:ascii="宋体" w:hAnsi="宋体"/>
          <w:bCs/>
          <w:strike w:val="0"/>
          <w:color w:val="auto"/>
          <w:szCs w:val="21"/>
          <w:u w:val="single"/>
        </w:rPr>
        <w:t>（应明确对被破坏的检测产品的处理方式）</w:t>
      </w:r>
    </w:p>
    <w:p w14:paraId="18518FBA">
      <w:pPr>
        <w:adjustRightInd w:val="0"/>
        <w:snapToGrid w:val="0"/>
        <w:spacing w:line="400" w:lineRule="exact"/>
        <w:ind w:firstLine="840" w:firstLineChars="400"/>
        <w:rPr>
          <w:rFonts w:hint="eastAsia" w:ascii="宋体" w:hAnsi="宋体"/>
          <w:bCs/>
          <w:strike w:val="0"/>
          <w:color w:val="auto"/>
          <w:szCs w:val="21"/>
        </w:rPr>
      </w:pP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否</w:t>
      </w:r>
    </w:p>
    <w:p w14:paraId="7320AF15">
      <w:pPr>
        <w:adjustRightInd w:val="0"/>
        <w:snapToGrid w:val="0"/>
        <w:spacing w:line="400" w:lineRule="exact"/>
        <w:ind w:firstLine="840" w:firstLineChars="400"/>
        <w:rPr>
          <w:rFonts w:hint="eastAsia" w:ascii="宋体" w:hAnsi="宋体"/>
          <w:bCs/>
          <w:strike w:val="0"/>
          <w:color w:val="auto"/>
          <w:szCs w:val="21"/>
          <w:u w:val="single"/>
        </w:rPr>
      </w:pPr>
      <w:r>
        <w:rPr>
          <w:rFonts w:hint="eastAsia" w:ascii="宋体" w:hAnsi="宋体"/>
          <w:bCs/>
          <w:strike w:val="0"/>
          <w:color w:val="auto"/>
          <w:szCs w:val="21"/>
        </w:rPr>
        <w:t>验收组织的其他事项：</w:t>
      </w:r>
      <w:r>
        <w:rPr>
          <w:rFonts w:hint="eastAsia" w:ascii="宋体" w:hAnsi="宋体"/>
          <w:bCs/>
          <w:strike w:val="0"/>
          <w:color w:val="auto"/>
          <w:szCs w:val="21"/>
          <w:u w:val="single"/>
        </w:rPr>
        <w:t xml:space="preserve">                </w:t>
      </w:r>
    </w:p>
    <w:p w14:paraId="59B4CDD6">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（2）履约验收时间：</w:t>
      </w:r>
      <w:r>
        <w:rPr>
          <w:rFonts w:hint="eastAsia" w:ascii="宋体" w:hAnsi="宋体"/>
          <w:bCs/>
          <w:strike w:val="0"/>
          <w:color w:val="auto"/>
          <w:szCs w:val="21"/>
          <w:u w:val="single"/>
        </w:rPr>
        <w:t xml:space="preserve">（计划于何时验收/供应商提出验收申请之日起   日内组织验收） </w:t>
      </w:r>
    </w:p>
    <w:p w14:paraId="089B9131">
      <w:p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（3）履约验收方式：</w:t>
      </w:r>
      <w:r>
        <w:rPr>
          <w:rFonts w:hint="eastAsia" w:ascii="宋体" w:hAnsi="宋体" w:cs="宋体"/>
          <w:strike w:val="0"/>
          <w:color w:val="auto"/>
          <w:szCs w:val="21"/>
        </w:rPr>
        <w:sym w:font="Wingdings" w:char="00A8"/>
      </w:r>
      <w:r>
        <w:rPr>
          <w:rFonts w:hint="eastAsia" w:ascii="宋体" w:hAnsi="宋体"/>
          <w:bCs/>
          <w:strike w:val="0"/>
          <w:color w:val="auto"/>
          <w:szCs w:val="21"/>
        </w:rPr>
        <w:t xml:space="preserve">一次性验收         </w:t>
      </w:r>
    </w:p>
    <w:p w14:paraId="3BAC0811">
      <w:pPr>
        <w:adjustRightInd w:val="0"/>
        <w:snapToGrid w:val="0"/>
        <w:spacing w:line="400" w:lineRule="exact"/>
        <w:rPr>
          <w:rFonts w:hint="eastAsia" w:ascii="宋体" w:hAnsi="宋体"/>
          <w:bCs/>
          <w:strike w:val="0"/>
          <w:color w:val="auto"/>
          <w:szCs w:val="21"/>
        </w:rPr>
      </w:pPr>
      <w:r>
        <w:rPr>
          <w:rFonts w:hint="eastAsia" w:ascii="宋体" w:hAnsi="宋体"/>
          <w:bCs/>
          <w:strike w:val="0"/>
          <w:color w:val="auto"/>
          <w:szCs w:val="21"/>
        </w:rPr>
        <w:t xml:space="preserve">                       </w:t>
      </w:r>
      <w:r>
        <w:rPr>
          <w:rFonts w:hint="eastAsia" w:ascii="宋体" w:hAnsi="宋体" w:cs="宋体"/>
          <w:strike w:val="0"/>
          <w:color w:val="auto"/>
          <w:szCs w:val="21"/>
        </w:rPr>
        <w:sym w:font="Wingdings" w:char="00A8"/>
      </w:r>
      <w:r>
        <w:rPr>
          <w:rFonts w:hint="eastAsia" w:ascii="宋体" w:hAnsi="宋体"/>
          <w:bCs/>
          <w:strike w:val="0"/>
          <w:color w:val="auto"/>
          <w:szCs w:val="21"/>
        </w:rPr>
        <w:t>分期/分项验收：</w:t>
      </w:r>
      <w:r>
        <w:rPr>
          <w:rFonts w:hint="eastAsia" w:ascii="宋体" w:hAnsi="宋体"/>
          <w:bCs/>
          <w:strike w:val="0"/>
          <w:color w:val="auto"/>
          <w:szCs w:val="21"/>
          <w:u w:val="single"/>
        </w:rPr>
        <w:t xml:space="preserve"> （应明确分期</w:t>
      </w:r>
      <w:r>
        <w:rPr>
          <w:rFonts w:ascii="宋体" w:hAnsi="宋体"/>
          <w:bCs/>
          <w:strike w:val="0"/>
          <w:color w:val="auto"/>
          <w:szCs w:val="21"/>
          <w:u w:val="single"/>
          <w:lang w:val="en"/>
        </w:rPr>
        <w:t>/</w:t>
      </w:r>
      <w:r>
        <w:rPr>
          <w:rFonts w:hint="eastAsia" w:ascii="宋体" w:hAnsi="宋体"/>
          <w:bCs/>
          <w:strike w:val="0"/>
          <w:color w:val="auto"/>
          <w:szCs w:val="21"/>
          <w:u w:val="single"/>
          <w:lang w:val="en"/>
        </w:rPr>
        <w:t>分项验收的工作安排</w:t>
      </w:r>
      <w:r>
        <w:rPr>
          <w:rFonts w:hint="eastAsia" w:ascii="宋体" w:hAnsi="宋体"/>
          <w:bCs/>
          <w:strike w:val="0"/>
          <w:color w:val="auto"/>
          <w:szCs w:val="21"/>
          <w:u w:val="single"/>
        </w:rPr>
        <w:t xml:space="preserve">）  </w:t>
      </w:r>
    </w:p>
    <w:p w14:paraId="0C135E16">
      <w:pPr>
        <w:adjustRightInd w:val="0"/>
        <w:snapToGrid w:val="0"/>
        <w:spacing w:line="400" w:lineRule="exact"/>
        <w:ind w:firstLine="420" w:firstLineChars="200"/>
        <w:rPr>
          <w:rFonts w:hint="eastAsia" w:ascii="宋体" w:hAnsi="宋体"/>
          <w:bCs/>
          <w:strike w:val="0"/>
          <w:color w:val="auto"/>
          <w:szCs w:val="21"/>
        </w:rPr>
      </w:pPr>
      <w:r>
        <w:rPr>
          <w:rFonts w:hint="eastAsia" w:ascii="宋体" w:hAnsi="宋体"/>
          <w:bCs/>
          <w:strike w:val="0"/>
          <w:color w:val="auto"/>
          <w:szCs w:val="21"/>
        </w:rPr>
        <w:t>（4）履约验收程序：</w:t>
      </w:r>
      <w:r>
        <w:rPr>
          <w:rFonts w:hint="eastAsia" w:ascii="宋体" w:hAnsi="宋体"/>
          <w:bCs/>
          <w:strike w:val="0"/>
          <w:color w:val="auto"/>
          <w:szCs w:val="21"/>
          <w:u w:val="single"/>
        </w:rPr>
        <w:t xml:space="preserve">                                         </w:t>
      </w:r>
    </w:p>
    <w:p w14:paraId="00D0BBB9">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（5）履约验收的内容：</w:t>
      </w:r>
      <w:r>
        <w:rPr>
          <w:rFonts w:hint="eastAsia" w:ascii="宋体" w:hAnsi="宋体"/>
          <w:bCs/>
          <w:strike w:val="0"/>
          <w:color w:val="auto"/>
          <w:szCs w:val="21"/>
          <w:u w:val="single"/>
        </w:rPr>
        <w:t xml:space="preserve"> （应当包括每一项技术和商务要求的履约情况，特别是落实政府采购扶持中小企业，支持绿色发展和乡村振兴等政策情况）                                      </w:t>
      </w:r>
    </w:p>
    <w:p w14:paraId="44F5ECE8">
      <w:pPr>
        <w:adjustRightInd w:val="0"/>
        <w:snapToGrid w:val="0"/>
        <w:spacing w:line="400" w:lineRule="exact"/>
        <w:ind w:firstLine="420" w:firstLineChars="200"/>
        <w:rPr>
          <w:rFonts w:hint="eastAsia" w:ascii="宋体" w:hAnsi="宋体"/>
          <w:bCs/>
          <w:strike w:val="0"/>
          <w:color w:val="auto"/>
          <w:szCs w:val="21"/>
          <w:u w:val="single"/>
        </w:rPr>
      </w:pPr>
      <w:r>
        <w:rPr>
          <w:rFonts w:hint="eastAsia" w:ascii="宋体" w:hAnsi="宋体"/>
          <w:bCs/>
          <w:strike w:val="0"/>
          <w:color w:val="auto"/>
          <w:szCs w:val="21"/>
        </w:rPr>
        <w:t>（6）履约验收标准：</w:t>
      </w:r>
      <w:r>
        <w:rPr>
          <w:rFonts w:hint="eastAsia" w:ascii="宋体" w:hAnsi="宋体"/>
          <w:bCs/>
          <w:strike w:val="0"/>
          <w:color w:val="auto"/>
          <w:szCs w:val="21"/>
          <w:u w:val="single"/>
        </w:rPr>
        <w:t xml:space="preserve">                                         </w:t>
      </w:r>
    </w:p>
    <w:p w14:paraId="4C1CAAFE">
      <w:pPr>
        <w:pStyle w:val="311"/>
        <w:ind w:firstLine="420"/>
        <w:rPr>
          <w:rFonts w:hint="eastAsia" w:ascii="宋体" w:hAnsi="宋体" w:eastAsia="宋体" w:cs="宋体"/>
          <w:strike w:val="0"/>
          <w:color w:val="auto"/>
          <w:sz w:val="21"/>
        </w:rPr>
      </w:pPr>
      <w:r>
        <w:rPr>
          <w:rFonts w:hint="eastAsia" w:ascii="宋体" w:hAnsi="宋体" w:eastAsia="宋体" w:cs="宋体"/>
          <w:bCs/>
          <w:strike w:val="0"/>
          <w:color w:val="auto"/>
          <w:sz w:val="21"/>
        </w:rPr>
        <w:t>（7）是否以采购活动中供应商提供的样品作为参考：</w:t>
      </w:r>
      <w:r>
        <w:rPr>
          <w:rFonts w:hint="eastAsia" w:ascii="宋体" w:hAnsi="宋体" w:eastAsia="宋体" w:cs="宋体"/>
          <w:strike w:val="0"/>
          <w:color w:val="auto"/>
          <w:sz w:val="21"/>
        </w:rPr>
        <w:sym w:font="Wingdings" w:char="00A8"/>
      </w:r>
      <w:r>
        <w:rPr>
          <w:rFonts w:hint="eastAsia" w:ascii="宋体" w:hAnsi="宋体" w:eastAsia="宋体" w:cs="宋体"/>
          <w:bCs/>
          <w:strike w:val="0"/>
          <w:color w:val="auto"/>
          <w:sz w:val="21"/>
        </w:rPr>
        <w:t xml:space="preserve">是  </w:t>
      </w:r>
      <w:r>
        <w:rPr>
          <w:rFonts w:hint="eastAsia" w:ascii="宋体" w:hAnsi="宋体" w:eastAsia="宋体" w:cs="宋体"/>
          <w:strike w:val="0"/>
          <w:color w:val="auto"/>
          <w:sz w:val="21"/>
        </w:rPr>
        <w:sym w:font="Wingdings" w:char="00A8"/>
      </w:r>
      <w:r>
        <w:rPr>
          <w:rFonts w:hint="eastAsia" w:ascii="宋体" w:hAnsi="宋体" w:eastAsia="宋体" w:cs="宋体"/>
          <w:bCs/>
          <w:strike w:val="0"/>
          <w:color w:val="auto"/>
          <w:sz w:val="21"/>
        </w:rPr>
        <w:t>否</w:t>
      </w:r>
    </w:p>
    <w:p w14:paraId="77CCB0EC">
      <w:pPr>
        <w:adjustRightInd w:val="0"/>
        <w:snapToGrid w:val="0"/>
        <w:spacing w:line="400" w:lineRule="exact"/>
        <w:ind w:firstLine="420" w:firstLineChars="200"/>
        <w:rPr>
          <w:rFonts w:hint="eastAsia" w:ascii="宋体" w:hAnsi="宋体" w:cs="宋体"/>
          <w:bCs/>
          <w:strike w:val="0"/>
          <w:color w:val="auto"/>
          <w:szCs w:val="21"/>
          <w:u w:val="single"/>
        </w:rPr>
      </w:pPr>
      <w:r>
        <w:rPr>
          <w:rFonts w:hint="eastAsia" w:ascii="宋体" w:hAnsi="宋体" w:cs="宋体"/>
          <w:bCs/>
          <w:strike w:val="0"/>
          <w:color w:val="auto"/>
          <w:szCs w:val="21"/>
        </w:rPr>
        <w:t>（8）履约验收其他事项：</w:t>
      </w:r>
      <w:r>
        <w:rPr>
          <w:rFonts w:hint="eastAsia" w:ascii="宋体" w:hAnsi="宋体" w:cs="宋体"/>
          <w:bCs/>
          <w:strike w:val="0"/>
          <w:color w:val="auto"/>
          <w:szCs w:val="21"/>
          <w:u w:val="single"/>
        </w:rPr>
        <w:t xml:space="preserve">      （产权过户登记等）          </w:t>
      </w:r>
    </w:p>
    <w:p w14:paraId="1620040A">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组成合同的文件</w:t>
      </w:r>
    </w:p>
    <w:p w14:paraId="2AB255A6">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本协议书与下列文件一起构成合同文件，如下述文件之间有任何抵触、矛盾或歧义，应按以下顺序解释：</w:t>
      </w:r>
    </w:p>
    <w:p w14:paraId="268FC41D">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（1）政府采购合同协议书及其变更、补充协议</w:t>
      </w:r>
    </w:p>
    <w:p w14:paraId="59B22D04">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（2）政府采购合同专用条款</w:t>
      </w:r>
    </w:p>
    <w:p w14:paraId="60003A74">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（3）政府采购合同通用条款</w:t>
      </w:r>
    </w:p>
    <w:p w14:paraId="3D0D9363">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（4）中标（成交）通知书</w:t>
      </w:r>
    </w:p>
    <w:p w14:paraId="759D7A5C">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（5）投标（响应）文件</w:t>
      </w:r>
    </w:p>
    <w:p w14:paraId="316ED92D">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（6）采购文件</w:t>
      </w:r>
    </w:p>
    <w:p w14:paraId="77745A20">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（7）有关技术文件，图纸</w:t>
      </w:r>
    </w:p>
    <w:p w14:paraId="7DF7985A">
      <w:pPr>
        <w:pStyle w:val="311"/>
        <w:ind w:firstLine="420"/>
        <w:rPr>
          <w:rFonts w:hint="eastAsia" w:ascii="宋体" w:hAnsi="宋体" w:eastAsia="宋体" w:cs="宋体"/>
          <w:strike w:val="0"/>
          <w:color w:val="auto"/>
          <w:kern w:val="2"/>
          <w:sz w:val="21"/>
        </w:rPr>
      </w:pPr>
      <w:r>
        <w:rPr>
          <w:rFonts w:hint="eastAsia" w:ascii="宋体" w:hAnsi="宋体" w:eastAsia="宋体" w:cs="宋体"/>
          <w:strike w:val="0"/>
          <w:color w:val="auto"/>
          <w:sz w:val="21"/>
        </w:rPr>
        <w:t>（8）</w:t>
      </w:r>
      <w:r>
        <w:rPr>
          <w:rFonts w:hint="eastAsia" w:ascii="宋体" w:hAnsi="宋体" w:eastAsia="宋体" w:cs="宋体"/>
          <w:strike w:val="0"/>
          <w:color w:val="auto"/>
          <w:kern w:val="2"/>
          <w:sz w:val="21"/>
        </w:rPr>
        <w:t>国家法律、行政法规和规章制度规定或合同约定的作为合同组成部分的其他文件</w:t>
      </w:r>
    </w:p>
    <w:p w14:paraId="033F25DB">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合同生效</w:t>
      </w:r>
    </w:p>
    <w:p w14:paraId="3EE746EB">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本合同自</w:t>
      </w:r>
      <w:r>
        <w:rPr>
          <w:rFonts w:hint="eastAsia" w:ascii="宋体" w:hAnsi="宋体"/>
          <w:strike w:val="0"/>
          <w:color w:val="auto"/>
          <w:szCs w:val="21"/>
          <w:u w:val="single"/>
        </w:rPr>
        <w:t xml:space="preserve">                             </w:t>
      </w:r>
      <w:r>
        <w:rPr>
          <w:rFonts w:hint="eastAsia" w:ascii="宋体" w:hAnsi="宋体"/>
          <w:strike w:val="0"/>
          <w:color w:val="auto"/>
          <w:szCs w:val="21"/>
        </w:rPr>
        <w:t>生效。</w:t>
      </w:r>
    </w:p>
    <w:p w14:paraId="2F360AB5">
      <w:pPr>
        <w:numPr>
          <w:ilvl w:val="0"/>
          <w:numId w:val="22"/>
        </w:numPr>
        <w:adjustRightInd w:val="0"/>
        <w:snapToGrid w:val="0"/>
        <w:spacing w:line="400" w:lineRule="exact"/>
        <w:ind w:firstLine="422" w:firstLineChars="200"/>
        <w:rPr>
          <w:rFonts w:hint="eastAsia" w:ascii="宋体" w:hAnsi="宋体"/>
          <w:b/>
          <w:strike w:val="0"/>
          <w:color w:val="auto"/>
          <w:szCs w:val="21"/>
        </w:rPr>
      </w:pPr>
      <w:r>
        <w:rPr>
          <w:rFonts w:hint="eastAsia" w:ascii="宋体" w:hAnsi="宋体"/>
          <w:b/>
          <w:strike w:val="0"/>
          <w:color w:val="auto"/>
          <w:szCs w:val="21"/>
        </w:rPr>
        <w:t>合同份数</w:t>
      </w:r>
    </w:p>
    <w:p w14:paraId="04DB2D31">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本合同一式</w:t>
      </w:r>
      <w:r>
        <w:rPr>
          <w:rFonts w:hint="eastAsia" w:ascii="宋体" w:hAnsi="宋体"/>
          <w:strike w:val="0"/>
          <w:color w:val="auto"/>
          <w:szCs w:val="21"/>
          <w:u w:val="single"/>
        </w:rPr>
        <w:t xml:space="preserve">    </w:t>
      </w:r>
      <w:r>
        <w:rPr>
          <w:rFonts w:hint="eastAsia" w:ascii="宋体" w:hAnsi="宋体"/>
          <w:strike w:val="0"/>
          <w:color w:val="auto"/>
          <w:szCs w:val="21"/>
        </w:rPr>
        <w:t>份，甲方执</w:t>
      </w:r>
      <w:r>
        <w:rPr>
          <w:rFonts w:hint="eastAsia" w:ascii="宋体" w:hAnsi="宋体"/>
          <w:strike w:val="0"/>
          <w:color w:val="auto"/>
          <w:szCs w:val="21"/>
          <w:u w:val="single"/>
        </w:rPr>
        <w:t xml:space="preserve">    </w:t>
      </w:r>
      <w:r>
        <w:rPr>
          <w:rFonts w:hint="eastAsia" w:ascii="宋体" w:hAnsi="宋体"/>
          <w:strike w:val="0"/>
          <w:color w:val="auto"/>
          <w:szCs w:val="21"/>
        </w:rPr>
        <w:t>份，乙方执</w:t>
      </w:r>
      <w:r>
        <w:rPr>
          <w:rFonts w:hint="eastAsia" w:ascii="宋体" w:hAnsi="宋体"/>
          <w:strike w:val="0"/>
          <w:color w:val="auto"/>
          <w:szCs w:val="21"/>
          <w:u w:val="single"/>
        </w:rPr>
        <w:t xml:space="preserve">    </w:t>
      </w:r>
      <w:r>
        <w:rPr>
          <w:rFonts w:hint="eastAsia" w:ascii="宋体" w:hAnsi="宋体"/>
          <w:strike w:val="0"/>
          <w:color w:val="auto"/>
          <w:szCs w:val="21"/>
        </w:rPr>
        <w:t>份，均具有同等法律效力。</w:t>
      </w:r>
    </w:p>
    <w:p w14:paraId="56AE8120">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合同订立时间：</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4D6C463E">
      <w:pPr>
        <w:adjustRightInd w:val="0"/>
        <w:snapToGrid w:val="0"/>
        <w:spacing w:line="400" w:lineRule="exact"/>
        <w:ind w:firstLine="420" w:firstLineChars="200"/>
        <w:rPr>
          <w:rFonts w:hint="eastAsia" w:ascii="宋体" w:hAnsi="宋体"/>
          <w:strike w:val="0"/>
          <w:color w:val="auto"/>
          <w:szCs w:val="21"/>
        </w:rPr>
      </w:pPr>
      <w:r>
        <w:rPr>
          <w:rFonts w:hint="eastAsia" w:ascii="宋体" w:hAnsi="宋体"/>
          <w:strike w:val="0"/>
          <w:color w:val="auto"/>
          <w:szCs w:val="21"/>
        </w:rPr>
        <w:t>合同订立地点：</w:t>
      </w:r>
      <w:r>
        <w:rPr>
          <w:rFonts w:hint="eastAsia" w:ascii="宋体" w:hAnsi="宋体"/>
          <w:strike w:val="0"/>
          <w:color w:val="auto"/>
          <w:szCs w:val="21"/>
          <w:u w:val="single"/>
        </w:rPr>
        <w:t xml:space="preserve">                           </w:t>
      </w:r>
    </w:p>
    <w:p w14:paraId="778860BC">
      <w:pPr>
        <w:adjustRightInd w:val="0"/>
        <w:snapToGrid w:val="0"/>
        <w:spacing w:line="400" w:lineRule="exact"/>
        <w:ind w:firstLine="420" w:firstLineChars="200"/>
        <w:rPr>
          <w:strike w:val="0"/>
          <w:color w:val="auto"/>
        </w:rPr>
      </w:pPr>
      <w:r>
        <w:rPr>
          <w:rFonts w:hint="eastAsia" w:ascii="宋体" w:hAnsi="宋体"/>
          <w:strike w:val="0"/>
          <w:color w:val="auto"/>
          <w:szCs w:val="21"/>
        </w:rPr>
        <w:t>附件：具体标的及其技术要求和商务要求、联合协议、分包意向协议等。</w:t>
      </w:r>
    </w:p>
    <w:p w14:paraId="08301E32">
      <w:pPr>
        <w:pStyle w:val="168"/>
        <w:spacing w:line="400" w:lineRule="exact"/>
        <w:rPr>
          <w:strike w:val="0"/>
          <w:color w:val="auto"/>
        </w:rPr>
      </w:pPr>
    </w:p>
    <w:p w14:paraId="2970DEB9">
      <w:pPr>
        <w:pStyle w:val="3"/>
        <w:rPr>
          <w:rFonts w:hint="eastAsia" w:ascii="宋体" w:hAnsi="宋体"/>
          <w:b w:val="0"/>
          <w:bCs w:val="0"/>
          <w:strike w:val="0"/>
          <w:color w:val="auto"/>
          <w:sz w:val="21"/>
          <w:szCs w:val="21"/>
        </w:rPr>
      </w:pPr>
      <w:r>
        <w:rPr>
          <w:strike w:val="0"/>
          <w:color w:val="auto"/>
          <w:lang w:val="en"/>
        </w:rPr>
        <w:t xml:space="preserve">   </w:t>
      </w:r>
    </w:p>
    <w:p w14:paraId="57B249A5">
      <w:pPr>
        <w:rPr>
          <w:strike w:val="0"/>
          <w:color w:val="auto"/>
        </w:rPr>
      </w:pPr>
      <w:r>
        <w:rPr>
          <w:rFonts w:hint="eastAsia"/>
          <w:strike w:val="0"/>
          <w:color w:val="auto"/>
        </w:rPr>
        <w:br w:type="page"/>
      </w:r>
    </w:p>
    <w:p w14:paraId="50272D05">
      <w:pPr>
        <w:pStyle w:val="168"/>
        <w:rPr>
          <w:strike w:val="0"/>
          <w:color w:val="auto"/>
        </w:rPr>
      </w:pPr>
    </w:p>
    <w:tbl>
      <w:tblPr>
        <w:tblStyle w:val="5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56"/>
        <w:gridCol w:w="2877"/>
        <w:gridCol w:w="2360"/>
        <w:gridCol w:w="2524"/>
      </w:tblGrid>
      <w:tr w14:paraId="004E2E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07043C12">
            <w:pPr>
              <w:adjustRightInd w:val="0"/>
              <w:snapToGrid w:val="0"/>
              <w:spacing w:line="300" w:lineRule="exact"/>
              <w:jc w:val="center"/>
              <w:rPr>
                <w:strike w:val="0"/>
                <w:color w:val="auto"/>
              </w:rPr>
            </w:pPr>
            <w:r>
              <w:rPr>
                <w:strike w:val="0"/>
                <w:color w:val="auto"/>
                <w:szCs w:val="21"/>
              </w:rPr>
              <w:t>甲方</w:t>
            </w:r>
            <w:r>
              <w:rPr>
                <w:rFonts w:hint="eastAsia"/>
                <w:strike w:val="0"/>
                <w:color w:val="auto"/>
                <w:szCs w:val="21"/>
              </w:rPr>
              <w:t>（采购人</w:t>
            </w:r>
            <w:r>
              <w:rPr>
                <w:rFonts w:hint="eastAsia" w:ascii="宋体" w:hAnsi="宋体"/>
                <w:strike w:val="0"/>
                <w:color w:val="auto"/>
                <w:szCs w:val="21"/>
              </w:rPr>
              <w:t>、受采购人委托签订合同的单位或</w:t>
            </w:r>
            <w:r>
              <w:rPr>
                <w:rFonts w:hint="eastAsia"/>
                <w:strike w:val="0"/>
                <w:color w:val="auto"/>
                <w:szCs w:val="21"/>
              </w:rPr>
              <w:t>采购文件约定的合同甲方）</w:t>
            </w:r>
          </w:p>
        </w:tc>
        <w:tc>
          <w:tcPr>
            <w:tcW w:w="2437" w:type="pct"/>
            <w:gridSpan w:val="2"/>
            <w:tcBorders>
              <w:left w:val="single" w:color="auto" w:sz="2" w:space="0"/>
              <w:bottom w:val="single" w:color="auto" w:sz="2" w:space="0"/>
            </w:tcBorders>
            <w:noWrap w:val="0"/>
            <w:vAlign w:val="center"/>
          </w:tcPr>
          <w:p w14:paraId="670B5C46">
            <w:pPr>
              <w:adjustRightInd w:val="0"/>
              <w:snapToGrid w:val="0"/>
              <w:spacing w:line="300" w:lineRule="exact"/>
              <w:jc w:val="center"/>
              <w:rPr>
                <w:strike w:val="0"/>
                <w:color w:val="auto"/>
              </w:rPr>
            </w:pPr>
            <w:r>
              <w:rPr>
                <w:strike w:val="0"/>
                <w:color w:val="auto"/>
                <w:szCs w:val="21"/>
              </w:rPr>
              <w:t>乙方</w:t>
            </w:r>
            <w:r>
              <w:rPr>
                <w:rFonts w:hint="eastAsia"/>
                <w:strike w:val="0"/>
                <w:color w:val="auto"/>
                <w:szCs w:val="21"/>
              </w:rPr>
              <w:t>（供应商）</w:t>
            </w:r>
          </w:p>
        </w:tc>
      </w:tr>
      <w:tr w14:paraId="3C68B2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09A30FB">
            <w:pPr>
              <w:adjustRightInd w:val="0"/>
              <w:snapToGrid w:val="0"/>
              <w:spacing w:line="300" w:lineRule="exact"/>
              <w:jc w:val="center"/>
              <w:rPr>
                <w:strike w:val="0"/>
                <w:color w:val="auto"/>
                <w:szCs w:val="21"/>
              </w:rPr>
            </w:pPr>
            <w:r>
              <w:rPr>
                <w:strike w:val="0"/>
                <w:color w:val="auto"/>
                <w:szCs w:val="21"/>
              </w:rPr>
              <w:t>单位名称</w:t>
            </w:r>
            <w:r>
              <w:rPr>
                <w:rFonts w:hint="eastAsia"/>
                <w:strike w:val="0"/>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8E6BC9C">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75DB33">
            <w:pPr>
              <w:adjustRightInd w:val="0"/>
              <w:snapToGrid w:val="0"/>
              <w:spacing w:line="300" w:lineRule="exact"/>
              <w:jc w:val="center"/>
              <w:rPr>
                <w:strike w:val="0"/>
                <w:color w:val="auto"/>
                <w:szCs w:val="21"/>
              </w:rPr>
            </w:pPr>
            <w:r>
              <w:rPr>
                <w:strike w:val="0"/>
                <w:color w:val="auto"/>
                <w:szCs w:val="21"/>
              </w:rPr>
              <w:t>单位名称</w:t>
            </w:r>
            <w:r>
              <w:rPr>
                <w:rFonts w:hint="eastAsia"/>
                <w:strike w:val="0"/>
                <w:color w:val="auto"/>
                <w:szCs w:val="21"/>
              </w:rPr>
              <w:t>（公章或合同章）</w:t>
            </w:r>
          </w:p>
        </w:tc>
        <w:tc>
          <w:tcPr>
            <w:tcW w:w="1259" w:type="pct"/>
            <w:tcBorders>
              <w:top w:val="single" w:color="auto" w:sz="2" w:space="0"/>
              <w:left w:val="single" w:color="auto" w:sz="2" w:space="0"/>
              <w:bottom w:val="single" w:color="auto" w:sz="2" w:space="0"/>
            </w:tcBorders>
            <w:noWrap w:val="0"/>
            <w:vAlign w:val="center"/>
          </w:tcPr>
          <w:p w14:paraId="0AB1923E">
            <w:pPr>
              <w:adjustRightInd w:val="0"/>
              <w:snapToGrid w:val="0"/>
              <w:spacing w:line="300" w:lineRule="exact"/>
              <w:jc w:val="center"/>
              <w:rPr>
                <w:strike w:val="0"/>
                <w:color w:val="auto"/>
                <w:spacing w:val="20"/>
                <w:szCs w:val="21"/>
              </w:rPr>
            </w:pPr>
          </w:p>
        </w:tc>
      </w:tr>
      <w:tr w14:paraId="17B00B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F592C35">
            <w:pPr>
              <w:adjustRightInd w:val="0"/>
              <w:snapToGrid w:val="0"/>
              <w:spacing w:line="300" w:lineRule="exact"/>
              <w:jc w:val="center"/>
              <w:rPr>
                <w:strike w:val="0"/>
                <w:color w:val="auto"/>
                <w:szCs w:val="21"/>
              </w:rPr>
            </w:pPr>
            <w:r>
              <w:rPr>
                <w:strike w:val="0"/>
                <w:color w:val="auto"/>
                <w:szCs w:val="21"/>
              </w:rPr>
              <w:t>法定代表人</w:t>
            </w:r>
            <w:r>
              <w:rPr>
                <w:rFonts w:hint="eastAsia" w:ascii="宋体" w:hAnsi="宋体"/>
                <w:strike w:val="0"/>
                <w:color w:val="auto"/>
                <w:szCs w:val="21"/>
                <w:lang w:eastAsia="zh-CN"/>
              </w:rPr>
              <w:t>（</w:t>
            </w:r>
            <w:r>
              <w:rPr>
                <w:rFonts w:hint="eastAsia" w:ascii="宋体" w:hAnsi="宋体"/>
                <w:strike w:val="0"/>
                <w:color w:val="auto"/>
                <w:szCs w:val="21"/>
                <w:lang w:val="en-US" w:eastAsia="zh-CN"/>
              </w:rPr>
              <w:t>负责人</w:t>
            </w:r>
            <w:r>
              <w:rPr>
                <w:rFonts w:hint="eastAsia" w:ascii="宋体" w:hAnsi="宋体"/>
                <w:strike w:val="0"/>
                <w:color w:val="auto"/>
                <w:szCs w:val="21"/>
                <w:lang w:eastAsia="zh-CN"/>
              </w:rPr>
              <w:t>）</w:t>
            </w:r>
          </w:p>
          <w:p w14:paraId="244CE552">
            <w:pPr>
              <w:adjustRightInd w:val="0"/>
              <w:snapToGrid w:val="0"/>
              <w:spacing w:line="300" w:lineRule="exact"/>
              <w:ind w:firstLine="100" w:firstLineChars="48"/>
              <w:jc w:val="center"/>
              <w:rPr>
                <w:strike w:val="0"/>
                <w:color w:val="auto"/>
                <w:szCs w:val="21"/>
              </w:rPr>
            </w:pPr>
            <w:r>
              <w:rPr>
                <w:rFonts w:hint="eastAsia"/>
                <w:strike w:val="0"/>
                <w:color w:val="auto"/>
                <w:szCs w:val="21"/>
              </w:rPr>
              <w:t>或其</w:t>
            </w:r>
            <w:r>
              <w:rPr>
                <w:strike w:val="0"/>
                <w:color w:val="auto"/>
                <w:szCs w:val="21"/>
              </w:rPr>
              <w:t>委托代理人</w:t>
            </w:r>
            <w:r>
              <w:rPr>
                <w:rFonts w:hint="eastAsia"/>
                <w:strike w:val="0"/>
                <w:color w:val="auto"/>
                <w:szCs w:val="21"/>
              </w:rPr>
              <w:t>（签章）</w:t>
            </w:r>
          </w:p>
        </w:tc>
        <w:tc>
          <w:tcPr>
            <w:tcW w:w="1436" w:type="pct"/>
            <w:vMerge w:val="restart"/>
            <w:tcBorders>
              <w:top w:val="single" w:color="auto" w:sz="2" w:space="0"/>
              <w:left w:val="single" w:color="auto" w:sz="2" w:space="0"/>
              <w:right w:val="single" w:color="auto" w:sz="2" w:space="0"/>
            </w:tcBorders>
            <w:noWrap w:val="0"/>
            <w:vAlign w:val="center"/>
          </w:tcPr>
          <w:p w14:paraId="251C2652">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right w:val="single" w:color="auto" w:sz="2" w:space="0"/>
            </w:tcBorders>
            <w:noWrap w:val="0"/>
            <w:vAlign w:val="center"/>
          </w:tcPr>
          <w:p w14:paraId="7DBB65CF">
            <w:pPr>
              <w:adjustRightInd w:val="0"/>
              <w:snapToGrid w:val="0"/>
              <w:spacing w:line="300" w:lineRule="exact"/>
              <w:jc w:val="center"/>
              <w:rPr>
                <w:strike w:val="0"/>
                <w:color w:val="auto"/>
                <w:szCs w:val="21"/>
              </w:rPr>
            </w:pPr>
            <w:r>
              <w:rPr>
                <w:strike w:val="0"/>
                <w:color w:val="auto"/>
                <w:szCs w:val="21"/>
              </w:rPr>
              <w:t>法定代表人</w:t>
            </w:r>
            <w:r>
              <w:rPr>
                <w:rFonts w:hint="eastAsia" w:ascii="宋体" w:hAnsi="宋体"/>
                <w:strike w:val="0"/>
                <w:color w:val="auto"/>
                <w:szCs w:val="21"/>
                <w:lang w:eastAsia="zh-CN"/>
              </w:rPr>
              <w:t>（</w:t>
            </w:r>
            <w:r>
              <w:rPr>
                <w:rFonts w:hint="eastAsia" w:ascii="宋体" w:hAnsi="宋体"/>
                <w:strike w:val="0"/>
                <w:color w:val="auto"/>
                <w:szCs w:val="21"/>
                <w:lang w:val="en-US" w:eastAsia="zh-CN"/>
              </w:rPr>
              <w:t>负责人</w:t>
            </w:r>
            <w:r>
              <w:rPr>
                <w:rFonts w:hint="eastAsia" w:ascii="宋体" w:hAnsi="宋体"/>
                <w:strike w:val="0"/>
                <w:color w:val="auto"/>
                <w:szCs w:val="21"/>
                <w:lang w:eastAsia="zh-CN"/>
              </w:rPr>
              <w:t>）</w:t>
            </w:r>
          </w:p>
          <w:p w14:paraId="4EA1B1E6">
            <w:pPr>
              <w:adjustRightInd w:val="0"/>
              <w:snapToGrid w:val="0"/>
              <w:spacing w:line="300" w:lineRule="exact"/>
              <w:jc w:val="center"/>
              <w:rPr>
                <w:strike w:val="0"/>
                <w:color w:val="auto"/>
                <w:szCs w:val="21"/>
              </w:rPr>
            </w:pPr>
            <w:r>
              <w:rPr>
                <w:rFonts w:hint="eastAsia"/>
                <w:strike w:val="0"/>
                <w:color w:val="auto"/>
                <w:szCs w:val="21"/>
              </w:rPr>
              <w:t>或其</w:t>
            </w:r>
            <w:r>
              <w:rPr>
                <w:strike w:val="0"/>
                <w:color w:val="auto"/>
                <w:szCs w:val="21"/>
              </w:rPr>
              <w:t>委托代理人</w:t>
            </w:r>
            <w:r>
              <w:rPr>
                <w:rFonts w:hint="eastAsia"/>
                <w:strike w:val="0"/>
                <w:color w:val="auto"/>
                <w:szCs w:val="21"/>
              </w:rPr>
              <w:t>（签章）</w:t>
            </w:r>
          </w:p>
        </w:tc>
        <w:tc>
          <w:tcPr>
            <w:tcW w:w="1259" w:type="pct"/>
            <w:tcBorders>
              <w:top w:val="single" w:color="auto" w:sz="2" w:space="0"/>
              <w:left w:val="single" w:color="auto" w:sz="2" w:space="0"/>
              <w:bottom w:val="single" w:color="auto" w:sz="2" w:space="0"/>
            </w:tcBorders>
            <w:noWrap w:val="0"/>
            <w:vAlign w:val="center"/>
          </w:tcPr>
          <w:p w14:paraId="58574A5E">
            <w:pPr>
              <w:adjustRightInd w:val="0"/>
              <w:snapToGrid w:val="0"/>
              <w:spacing w:line="300" w:lineRule="exact"/>
              <w:jc w:val="center"/>
              <w:rPr>
                <w:strike w:val="0"/>
                <w:color w:val="auto"/>
                <w:szCs w:val="21"/>
              </w:rPr>
            </w:pPr>
          </w:p>
        </w:tc>
      </w:tr>
      <w:tr w14:paraId="38C11B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69FBDB67">
            <w:pPr>
              <w:adjustRightInd w:val="0"/>
              <w:snapToGrid w:val="0"/>
              <w:spacing w:line="300" w:lineRule="exact"/>
              <w:jc w:val="center"/>
              <w:rPr>
                <w:strike w:val="0"/>
                <w:color w:val="auto"/>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0EDE248B">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42E4C5">
            <w:pPr>
              <w:adjustRightInd w:val="0"/>
              <w:snapToGrid w:val="0"/>
              <w:spacing w:line="300" w:lineRule="exact"/>
              <w:jc w:val="center"/>
              <w:rPr>
                <w:strike w:val="0"/>
                <w:color w:val="auto"/>
                <w:szCs w:val="21"/>
              </w:rPr>
            </w:pPr>
            <w:r>
              <w:rPr>
                <w:rFonts w:hint="eastAsia"/>
                <w:strike w:val="0"/>
                <w:color w:val="auto"/>
                <w:szCs w:val="21"/>
              </w:rPr>
              <w:t>拥有者性别</w:t>
            </w:r>
          </w:p>
        </w:tc>
        <w:tc>
          <w:tcPr>
            <w:tcW w:w="1259" w:type="pct"/>
            <w:tcBorders>
              <w:top w:val="single" w:color="auto" w:sz="2" w:space="0"/>
              <w:left w:val="single" w:color="auto" w:sz="2" w:space="0"/>
              <w:bottom w:val="single" w:color="auto" w:sz="2" w:space="0"/>
            </w:tcBorders>
            <w:noWrap w:val="0"/>
            <w:vAlign w:val="center"/>
          </w:tcPr>
          <w:p w14:paraId="6549D84B">
            <w:pPr>
              <w:adjustRightInd w:val="0"/>
              <w:snapToGrid w:val="0"/>
              <w:spacing w:line="300" w:lineRule="exact"/>
              <w:jc w:val="center"/>
              <w:rPr>
                <w:strike w:val="0"/>
                <w:color w:val="auto"/>
                <w:spacing w:val="20"/>
                <w:szCs w:val="21"/>
              </w:rPr>
            </w:pPr>
          </w:p>
        </w:tc>
      </w:tr>
      <w:tr w14:paraId="2770D8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7B57B4B">
            <w:pPr>
              <w:adjustRightInd w:val="0"/>
              <w:snapToGrid w:val="0"/>
              <w:spacing w:line="300" w:lineRule="exact"/>
              <w:jc w:val="center"/>
              <w:rPr>
                <w:strike w:val="0"/>
                <w:color w:val="auto"/>
                <w:szCs w:val="21"/>
              </w:rPr>
            </w:pPr>
            <w:r>
              <w:rPr>
                <w:rFonts w:hint="eastAsia"/>
                <w:strike w:val="0"/>
                <w:color w:val="auto"/>
                <w:szCs w:val="21"/>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92FADA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19C5A3">
            <w:pPr>
              <w:adjustRightInd w:val="0"/>
              <w:snapToGrid w:val="0"/>
              <w:spacing w:line="300" w:lineRule="exact"/>
              <w:jc w:val="center"/>
              <w:rPr>
                <w:strike w:val="0"/>
                <w:color w:val="auto"/>
                <w:szCs w:val="21"/>
              </w:rPr>
            </w:pPr>
            <w:r>
              <w:rPr>
                <w:rFonts w:hint="eastAsia"/>
                <w:strike w:val="0"/>
                <w:color w:val="auto"/>
                <w:szCs w:val="21"/>
              </w:rPr>
              <w:t>住  所</w:t>
            </w:r>
          </w:p>
        </w:tc>
        <w:tc>
          <w:tcPr>
            <w:tcW w:w="1259" w:type="pct"/>
            <w:tcBorders>
              <w:top w:val="single" w:color="auto" w:sz="2" w:space="0"/>
              <w:left w:val="single" w:color="auto" w:sz="2" w:space="0"/>
              <w:bottom w:val="single" w:color="auto" w:sz="2" w:space="0"/>
            </w:tcBorders>
            <w:noWrap w:val="0"/>
            <w:vAlign w:val="center"/>
          </w:tcPr>
          <w:p w14:paraId="450E5F45">
            <w:pPr>
              <w:adjustRightInd w:val="0"/>
              <w:snapToGrid w:val="0"/>
              <w:spacing w:line="300" w:lineRule="exact"/>
              <w:jc w:val="center"/>
              <w:rPr>
                <w:strike w:val="0"/>
                <w:color w:val="auto"/>
                <w:spacing w:val="20"/>
                <w:szCs w:val="21"/>
              </w:rPr>
            </w:pPr>
          </w:p>
        </w:tc>
      </w:tr>
      <w:tr w14:paraId="1E98560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4BEC3F8">
            <w:pPr>
              <w:adjustRightInd w:val="0"/>
              <w:snapToGrid w:val="0"/>
              <w:spacing w:line="300" w:lineRule="exact"/>
              <w:jc w:val="center"/>
              <w:rPr>
                <w:strike w:val="0"/>
                <w:color w:val="auto"/>
                <w:szCs w:val="21"/>
              </w:rPr>
            </w:pPr>
            <w:r>
              <w:rPr>
                <w:strike w:val="0"/>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32619B">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D17377">
            <w:pPr>
              <w:adjustRightInd w:val="0"/>
              <w:snapToGrid w:val="0"/>
              <w:spacing w:line="300" w:lineRule="exact"/>
              <w:jc w:val="center"/>
              <w:rPr>
                <w:strike w:val="0"/>
                <w:color w:val="auto"/>
                <w:szCs w:val="21"/>
              </w:rPr>
            </w:pPr>
            <w:r>
              <w:rPr>
                <w:strike w:val="0"/>
                <w:color w:val="auto"/>
                <w:szCs w:val="21"/>
              </w:rPr>
              <w:t>联 系 人</w:t>
            </w:r>
          </w:p>
        </w:tc>
        <w:tc>
          <w:tcPr>
            <w:tcW w:w="1259" w:type="pct"/>
            <w:tcBorders>
              <w:top w:val="single" w:color="auto" w:sz="2" w:space="0"/>
              <w:left w:val="single" w:color="auto" w:sz="2" w:space="0"/>
              <w:bottom w:val="single" w:color="auto" w:sz="2" w:space="0"/>
            </w:tcBorders>
            <w:noWrap w:val="0"/>
            <w:vAlign w:val="center"/>
          </w:tcPr>
          <w:p w14:paraId="2C775F42">
            <w:pPr>
              <w:adjustRightInd w:val="0"/>
              <w:snapToGrid w:val="0"/>
              <w:spacing w:line="300" w:lineRule="exact"/>
              <w:jc w:val="center"/>
              <w:rPr>
                <w:strike w:val="0"/>
                <w:color w:val="auto"/>
                <w:spacing w:val="20"/>
                <w:szCs w:val="21"/>
              </w:rPr>
            </w:pPr>
          </w:p>
        </w:tc>
      </w:tr>
      <w:tr w14:paraId="639647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6408B6">
            <w:pPr>
              <w:adjustRightInd w:val="0"/>
              <w:snapToGrid w:val="0"/>
              <w:spacing w:line="300" w:lineRule="exact"/>
              <w:jc w:val="center"/>
              <w:rPr>
                <w:strike w:val="0"/>
                <w:color w:val="auto"/>
                <w:szCs w:val="21"/>
              </w:rPr>
            </w:pPr>
            <w:r>
              <w:rPr>
                <w:strike w:val="0"/>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0B8CE9C">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77E1CF">
            <w:pPr>
              <w:adjustRightInd w:val="0"/>
              <w:snapToGrid w:val="0"/>
              <w:spacing w:line="300" w:lineRule="exact"/>
              <w:jc w:val="center"/>
              <w:rPr>
                <w:strike w:val="0"/>
                <w:color w:val="auto"/>
                <w:szCs w:val="21"/>
              </w:rPr>
            </w:pPr>
            <w:r>
              <w:rPr>
                <w:strike w:val="0"/>
                <w:color w:val="auto"/>
                <w:szCs w:val="21"/>
              </w:rPr>
              <w:t>联系电话</w:t>
            </w:r>
          </w:p>
        </w:tc>
        <w:tc>
          <w:tcPr>
            <w:tcW w:w="1259" w:type="pct"/>
            <w:tcBorders>
              <w:top w:val="single" w:color="auto" w:sz="2" w:space="0"/>
              <w:left w:val="single" w:color="auto" w:sz="2" w:space="0"/>
              <w:bottom w:val="single" w:color="auto" w:sz="2" w:space="0"/>
            </w:tcBorders>
            <w:noWrap w:val="0"/>
            <w:vAlign w:val="center"/>
          </w:tcPr>
          <w:p w14:paraId="05B910DB">
            <w:pPr>
              <w:adjustRightInd w:val="0"/>
              <w:snapToGrid w:val="0"/>
              <w:spacing w:line="300" w:lineRule="exact"/>
              <w:jc w:val="center"/>
              <w:rPr>
                <w:strike w:val="0"/>
                <w:color w:val="auto"/>
                <w:spacing w:val="20"/>
                <w:szCs w:val="21"/>
              </w:rPr>
            </w:pPr>
          </w:p>
        </w:tc>
      </w:tr>
      <w:tr w14:paraId="290A515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52C67DE">
            <w:pPr>
              <w:adjustRightInd w:val="0"/>
              <w:snapToGrid w:val="0"/>
              <w:spacing w:line="300" w:lineRule="exact"/>
              <w:jc w:val="center"/>
              <w:rPr>
                <w:strike w:val="0"/>
                <w:color w:val="auto"/>
                <w:szCs w:val="21"/>
              </w:rPr>
            </w:pPr>
            <w:r>
              <w:rPr>
                <w:rFonts w:hint="eastAsia"/>
                <w:strike w:val="0"/>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1A32B2">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488C65B">
            <w:pPr>
              <w:adjustRightInd w:val="0"/>
              <w:snapToGrid w:val="0"/>
              <w:spacing w:line="300" w:lineRule="exact"/>
              <w:jc w:val="center"/>
              <w:rPr>
                <w:strike w:val="0"/>
                <w:color w:val="auto"/>
                <w:szCs w:val="21"/>
              </w:rPr>
            </w:pPr>
            <w:r>
              <w:rPr>
                <w:rFonts w:hint="eastAsia"/>
                <w:strike w:val="0"/>
                <w:color w:val="auto"/>
                <w:szCs w:val="21"/>
              </w:rPr>
              <w:t>通信地址</w:t>
            </w:r>
          </w:p>
        </w:tc>
        <w:tc>
          <w:tcPr>
            <w:tcW w:w="1259" w:type="pct"/>
            <w:tcBorders>
              <w:top w:val="single" w:color="auto" w:sz="2" w:space="0"/>
              <w:left w:val="single" w:color="auto" w:sz="2" w:space="0"/>
              <w:bottom w:val="single" w:color="auto" w:sz="2" w:space="0"/>
            </w:tcBorders>
            <w:noWrap w:val="0"/>
            <w:vAlign w:val="center"/>
          </w:tcPr>
          <w:p w14:paraId="2E68D9A1">
            <w:pPr>
              <w:adjustRightInd w:val="0"/>
              <w:snapToGrid w:val="0"/>
              <w:spacing w:line="300" w:lineRule="exact"/>
              <w:jc w:val="center"/>
              <w:rPr>
                <w:strike w:val="0"/>
                <w:color w:val="auto"/>
                <w:spacing w:val="20"/>
                <w:szCs w:val="21"/>
              </w:rPr>
            </w:pPr>
          </w:p>
        </w:tc>
      </w:tr>
      <w:tr w14:paraId="5B1931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AEA428F">
            <w:pPr>
              <w:adjustRightInd w:val="0"/>
              <w:snapToGrid w:val="0"/>
              <w:spacing w:line="300" w:lineRule="exact"/>
              <w:jc w:val="center"/>
              <w:rPr>
                <w:strike w:val="0"/>
                <w:color w:val="auto"/>
                <w:szCs w:val="21"/>
              </w:rPr>
            </w:pPr>
            <w:r>
              <w:rPr>
                <w:strike w:val="0"/>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83FCD0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9D9C6B">
            <w:pPr>
              <w:adjustRightInd w:val="0"/>
              <w:snapToGrid w:val="0"/>
              <w:spacing w:line="300" w:lineRule="exact"/>
              <w:jc w:val="center"/>
              <w:rPr>
                <w:strike w:val="0"/>
                <w:color w:val="auto"/>
                <w:szCs w:val="21"/>
              </w:rPr>
            </w:pPr>
            <w:r>
              <w:rPr>
                <w:strike w:val="0"/>
                <w:color w:val="auto"/>
                <w:szCs w:val="21"/>
              </w:rPr>
              <w:t>邮政编码</w:t>
            </w:r>
          </w:p>
        </w:tc>
        <w:tc>
          <w:tcPr>
            <w:tcW w:w="1259" w:type="pct"/>
            <w:tcBorders>
              <w:top w:val="single" w:color="auto" w:sz="2" w:space="0"/>
              <w:left w:val="single" w:color="auto" w:sz="2" w:space="0"/>
              <w:bottom w:val="single" w:color="auto" w:sz="2" w:space="0"/>
            </w:tcBorders>
            <w:noWrap w:val="0"/>
            <w:vAlign w:val="center"/>
          </w:tcPr>
          <w:p w14:paraId="6E8D1CC5">
            <w:pPr>
              <w:adjustRightInd w:val="0"/>
              <w:snapToGrid w:val="0"/>
              <w:spacing w:line="300" w:lineRule="exact"/>
              <w:jc w:val="center"/>
              <w:rPr>
                <w:strike w:val="0"/>
                <w:color w:val="auto"/>
                <w:spacing w:val="20"/>
                <w:szCs w:val="21"/>
              </w:rPr>
            </w:pPr>
          </w:p>
        </w:tc>
      </w:tr>
      <w:tr w14:paraId="4FC18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E8C6BD6">
            <w:pPr>
              <w:adjustRightInd w:val="0"/>
              <w:snapToGrid w:val="0"/>
              <w:spacing w:line="300" w:lineRule="exact"/>
              <w:jc w:val="center"/>
              <w:rPr>
                <w:strike w:val="0"/>
                <w:color w:val="auto"/>
                <w:szCs w:val="21"/>
              </w:rPr>
            </w:pPr>
            <w:r>
              <w:rPr>
                <w:rFonts w:hint="eastAsia"/>
                <w:strike w:val="0"/>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E6F350">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49CA881">
            <w:pPr>
              <w:adjustRightInd w:val="0"/>
              <w:snapToGrid w:val="0"/>
              <w:spacing w:line="300" w:lineRule="exact"/>
              <w:jc w:val="center"/>
              <w:rPr>
                <w:strike w:val="0"/>
                <w:color w:val="auto"/>
                <w:szCs w:val="21"/>
              </w:rPr>
            </w:pPr>
            <w:r>
              <w:rPr>
                <w:rFonts w:hint="eastAsia"/>
                <w:strike w:val="0"/>
                <w:color w:val="auto"/>
                <w:szCs w:val="21"/>
              </w:rPr>
              <w:t>电子邮箱</w:t>
            </w:r>
          </w:p>
        </w:tc>
        <w:tc>
          <w:tcPr>
            <w:tcW w:w="1259" w:type="pct"/>
            <w:tcBorders>
              <w:top w:val="single" w:color="auto" w:sz="2" w:space="0"/>
              <w:left w:val="single" w:color="auto" w:sz="2" w:space="0"/>
              <w:bottom w:val="single" w:color="auto" w:sz="2" w:space="0"/>
            </w:tcBorders>
            <w:noWrap w:val="0"/>
            <w:vAlign w:val="center"/>
          </w:tcPr>
          <w:p w14:paraId="2FD7E0DF">
            <w:pPr>
              <w:adjustRightInd w:val="0"/>
              <w:snapToGrid w:val="0"/>
              <w:spacing w:line="300" w:lineRule="exact"/>
              <w:jc w:val="center"/>
              <w:rPr>
                <w:strike w:val="0"/>
                <w:color w:val="auto"/>
                <w:spacing w:val="20"/>
                <w:szCs w:val="21"/>
              </w:rPr>
            </w:pPr>
          </w:p>
        </w:tc>
      </w:tr>
      <w:tr w14:paraId="68D74A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A78DBE">
            <w:pPr>
              <w:adjustRightInd w:val="0"/>
              <w:snapToGrid w:val="0"/>
              <w:spacing w:line="300" w:lineRule="exact"/>
              <w:jc w:val="center"/>
              <w:rPr>
                <w:strike w:val="0"/>
                <w:color w:val="auto"/>
                <w:szCs w:val="21"/>
              </w:rPr>
            </w:pPr>
            <w:r>
              <w:rPr>
                <w:rFonts w:hint="eastAsia"/>
                <w:strike w:val="0"/>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B42FE70">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51D331">
            <w:pPr>
              <w:adjustRightInd w:val="0"/>
              <w:snapToGrid w:val="0"/>
              <w:spacing w:line="300" w:lineRule="exact"/>
              <w:jc w:val="center"/>
              <w:rPr>
                <w:strike w:val="0"/>
                <w:color w:val="auto"/>
                <w:szCs w:val="21"/>
              </w:rPr>
            </w:pPr>
            <w:r>
              <w:rPr>
                <w:rFonts w:hint="eastAsia"/>
                <w:strike w:val="0"/>
                <w:color w:val="auto"/>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0497B648">
            <w:pPr>
              <w:adjustRightInd w:val="0"/>
              <w:snapToGrid w:val="0"/>
              <w:spacing w:line="300" w:lineRule="exact"/>
              <w:jc w:val="center"/>
              <w:rPr>
                <w:strike w:val="0"/>
                <w:color w:val="auto"/>
                <w:spacing w:val="20"/>
                <w:szCs w:val="21"/>
              </w:rPr>
            </w:pPr>
          </w:p>
        </w:tc>
      </w:tr>
      <w:tr w14:paraId="30F842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8EEB15">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3A33714">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E858F4">
            <w:pPr>
              <w:adjustRightInd w:val="0"/>
              <w:snapToGrid w:val="0"/>
              <w:spacing w:line="300" w:lineRule="exact"/>
              <w:jc w:val="center"/>
              <w:rPr>
                <w:strike w:val="0"/>
                <w:color w:val="auto"/>
                <w:szCs w:val="21"/>
              </w:rPr>
            </w:pPr>
            <w:r>
              <w:rPr>
                <w:strike w:val="0"/>
                <w:color w:val="auto"/>
                <w:szCs w:val="21"/>
              </w:rPr>
              <w:t>开户名称</w:t>
            </w:r>
          </w:p>
        </w:tc>
        <w:tc>
          <w:tcPr>
            <w:tcW w:w="1259" w:type="pct"/>
            <w:tcBorders>
              <w:top w:val="single" w:color="auto" w:sz="2" w:space="0"/>
              <w:left w:val="single" w:color="auto" w:sz="2" w:space="0"/>
              <w:bottom w:val="single" w:color="auto" w:sz="2" w:space="0"/>
            </w:tcBorders>
            <w:noWrap w:val="0"/>
            <w:vAlign w:val="center"/>
          </w:tcPr>
          <w:p w14:paraId="47DBB8C5">
            <w:pPr>
              <w:adjustRightInd w:val="0"/>
              <w:snapToGrid w:val="0"/>
              <w:spacing w:line="300" w:lineRule="exact"/>
              <w:jc w:val="center"/>
              <w:rPr>
                <w:strike w:val="0"/>
                <w:color w:val="auto"/>
                <w:spacing w:val="20"/>
                <w:szCs w:val="21"/>
              </w:rPr>
            </w:pPr>
          </w:p>
        </w:tc>
      </w:tr>
      <w:tr w14:paraId="003226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B41CA86">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477B1">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E99A040">
            <w:pPr>
              <w:adjustRightInd w:val="0"/>
              <w:snapToGrid w:val="0"/>
              <w:spacing w:line="300" w:lineRule="exact"/>
              <w:jc w:val="center"/>
              <w:rPr>
                <w:strike w:val="0"/>
                <w:color w:val="auto"/>
                <w:szCs w:val="21"/>
              </w:rPr>
            </w:pPr>
            <w:r>
              <w:rPr>
                <w:strike w:val="0"/>
                <w:color w:val="auto"/>
                <w:szCs w:val="21"/>
              </w:rPr>
              <w:t>开户银行</w:t>
            </w:r>
          </w:p>
        </w:tc>
        <w:tc>
          <w:tcPr>
            <w:tcW w:w="1259" w:type="pct"/>
            <w:tcBorders>
              <w:top w:val="single" w:color="auto" w:sz="2" w:space="0"/>
              <w:left w:val="single" w:color="auto" w:sz="2" w:space="0"/>
              <w:bottom w:val="single" w:color="auto" w:sz="2" w:space="0"/>
            </w:tcBorders>
            <w:noWrap w:val="0"/>
            <w:vAlign w:val="center"/>
          </w:tcPr>
          <w:p w14:paraId="008D6460">
            <w:pPr>
              <w:adjustRightInd w:val="0"/>
              <w:snapToGrid w:val="0"/>
              <w:spacing w:line="300" w:lineRule="exact"/>
              <w:jc w:val="center"/>
              <w:rPr>
                <w:strike w:val="0"/>
                <w:color w:val="auto"/>
                <w:spacing w:val="20"/>
                <w:szCs w:val="21"/>
              </w:rPr>
            </w:pPr>
          </w:p>
        </w:tc>
      </w:tr>
      <w:tr w14:paraId="07BDA5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CA507D">
            <w:pPr>
              <w:adjustRightInd w:val="0"/>
              <w:snapToGrid w:val="0"/>
              <w:spacing w:line="300" w:lineRule="exact"/>
              <w:jc w:val="center"/>
              <w:rPr>
                <w:strike w:val="0"/>
                <w:color w:val="auto"/>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EBADF2F">
            <w:pPr>
              <w:adjustRightInd w:val="0"/>
              <w:snapToGrid w:val="0"/>
              <w:spacing w:line="300" w:lineRule="exact"/>
              <w:jc w:val="center"/>
              <w:rPr>
                <w:strike w:val="0"/>
                <w:color w:val="auto"/>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91A09C3">
            <w:pPr>
              <w:adjustRightInd w:val="0"/>
              <w:snapToGrid w:val="0"/>
              <w:spacing w:line="300" w:lineRule="exact"/>
              <w:jc w:val="center"/>
              <w:rPr>
                <w:strike w:val="0"/>
                <w:color w:val="auto"/>
                <w:szCs w:val="21"/>
              </w:rPr>
            </w:pPr>
            <w:r>
              <w:rPr>
                <w:strike w:val="0"/>
                <w:color w:val="auto"/>
                <w:szCs w:val="21"/>
              </w:rPr>
              <w:t>银行账号</w:t>
            </w:r>
          </w:p>
        </w:tc>
        <w:tc>
          <w:tcPr>
            <w:tcW w:w="1259" w:type="pct"/>
            <w:tcBorders>
              <w:top w:val="single" w:color="auto" w:sz="2" w:space="0"/>
              <w:left w:val="single" w:color="auto" w:sz="2" w:space="0"/>
              <w:bottom w:val="single" w:color="auto" w:sz="2" w:space="0"/>
            </w:tcBorders>
            <w:noWrap w:val="0"/>
            <w:vAlign w:val="center"/>
          </w:tcPr>
          <w:p w14:paraId="35B99978">
            <w:pPr>
              <w:adjustRightInd w:val="0"/>
              <w:snapToGrid w:val="0"/>
              <w:spacing w:line="300" w:lineRule="exact"/>
              <w:jc w:val="center"/>
              <w:rPr>
                <w:strike w:val="0"/>
                <w:color w:val="auto"/>
                <w:spacing w:val="20"/>
                <w:szCs w:val="21"/>
              </w:rPr>
            </w:pPr>
          </w:p>
        </w:tc>
      </w:tr>
      <w:tr w14:paraId="63149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946C384">
            <w:pPr>
              <w:pStyle w:val="23"/>
              <w:adjustRightInd w:val="0"/>
              <w:snapToGrid w:val="0"/>
              <w:spacing w:before="156" w:beforeLines="50" w:line="360" w:lineRule="auto"/>
              <w:ind w:firstLine="1126"/>
              <w:jc w:val="left"/>
              <w:rPr>
                <w:strike w:val="0"/>
                <w:color w:val="auto"/>
                <w:spacing w:val="20"/>
                <w:szCs w:val="21"/>
              </w:rPr>
            </w:pPr>
            <w:r>
              <w:rPr>
                <w:rFonts w:hint="eastAsia" w:ascii="宋体" w:hAnsi="宋体"/>
                <w:strike w:val="0"/>
                <w:color w:val="auto"/>
                <w:szCs w:val="21"/>
              </w:rPr>
              <w:t>注：涉及联合体或其他合同主体的信息应按上表格式加列。</w:t>
            </w:r>
          </w:p>
        </w:tc>
      </w:tr>
    </w:tbl>
    <w:p w14:paraId="7E0B7D6B">
      <w:pPr>
        <w:pStyle w:val="3"/>
        <w:adjustRightInd w:val="0"/>
        <w:snapToGrid w:val="0"/>
        <w:spacing w:before="156" w:beforeLines="50"/>
        <w:jc w:val="center"/>
        <w:rPr>
          <w:rFonts w:hint="eastAsia" w:ascii="黑体" w:hAnsi="黑体"/>
          <w:strike w:val="0"/>
          <w:color w:val="auto"/>
          <w:sz w:val="28"/>
          <w:szCs w:val="28"/>
        </w:rPr>
      </w:pPr>
      <w:r>
        <w:rPr>
          <w:rFonts w:ascii="宋体" w:hAnsi="宋体"/>
          <w:strike w:val="0"/>
          <w:color w:val="auto"/>
          <w:sz w:val="21"/>
          <w:szCs w:val="21"/>
          <w:u w:val="single"/>
        </w:rPr>
        <w:br w:type="page"/>
      </w:r>
      <w:bookmarkStart w:id="224" w:name="_Toc27624"/>
      <w:r>
        <w:rPr>
          <w:rFonts w:hint="eastAsia" w:ascii="黑体" w:hAnsi="黑体"/>
          <w:b w:val="0"/>
          <w:bCs w:val="0"/>
          <w:strike w:val="0"/>
          <w:color w:val="auto"/>
          <w:sz w:val="28"/>
          <w:szCs w:val="28"/>
        </w:rPr>
        <w:t>第二节 政府采购合同通用条款</w:t>
      </w:r>
      <w:bookmarkEnd w:id="224"/>
    </w:p>
    <w:p w14:paraId="67994F8C">
      <w:pPr>
        <w:tabs>
          <w:tab w:val="left" w:pos="8820"/>
          <w:tab w:val="left" w:pos="9345"/>
          <w:tab w:val="left" w:pos="9765"/>
        </w:tabs>
        <w:adjustRightInd w:val="0"/>
        <w:snapToGrid w:val="0"/>
        <w:spacing w:line="400" w:lineRule="exact"/>
        <w:jc w:val="left"/>
        <w:rPr>
          <w:rFonts w:hint="eastAsia" w:ascii="宋体" w:hAnsi="宋体"/>
          <w:b/>
          <w:bCs/>
          <w:strike w:val="0"/>
          <w:color w:val="auto"/>
          <w:sz w:val="24"/>
        </w:rPr>
      </w:pPr>
      <w:r>
        <w:rPr>
          <w:rFonts w:hint="eastAsia" w:ascii="宋体" w:hAnsi="宋体"/>
          <w:b/>
          <w:strike w:val="0"/>
          <w:color w:val="auto"/>
          <w:sz w:val="24"/>
        </w:rPr>
        <w:t xml:space="preserve">1. </w:t>
      </w:r>
      <w:r>
        <w:rPr>
          <w:rFonts w:hint="eastAsia" w:ascii="宋体" w:hAnsi="宋体"/>
          <w:b/>
          <w:bCs/>
          <w:strike w:val="0"/>
          <w:color w:val="auto"/>
          <w:sz w:val="24"/>
        </w:rPr>
        <w:t>定义</w:t>
      </w:r>
    </w:p>
    <w:p w14:paraId="5DFD9CB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1.1合同当事人</w:t>
      </w:r>
    </w:p>
    <w:p w14:paraId="2D80750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（1）采购人（以下称甲方）是指使用财政性资金，通过政府采购方式向供应商购买货物及其相关服务的国家机关、事业单位、团体组织。</w:t>
      </w:r>
    </w:p>
    <w:p w14:paraId="55563E5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（2）供应商（以下称乙方）是指参加政府采购活动并且中标（成交），向采购人提供合同约定的货物及其相关服务的法人、非法人组织或者自然人。</w:t>
      </w:r>
    </w:p>
    <w:p w14:paraId="1686C0E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（3）其他合同主体是指除采购人和供应商以外，</w:t>
      </w:r>
      <w:r>
        <w:rPr>
          <w:rFonts w:hint="eastAsia" w:ascii="宋体" w:hAnsi="宋体" w:cs="宋体"/>
          <w:bCs/>
          <w:strike w:val="0"/>
          <w:color w:val="auto"/>
          <w:szCs w:val="21"/>
        </w:rPr>
        <w:t>依法参与合同缔结或履行，享有权利、承担义务的合同当事人</w:t>
      </w:r>
      <w:r>
        <w:rPr>
          <w:rFonts w:hint="eastAsia" w:ascii="宋体" w:hAnsi="宋体"/>
          <w:strike w:val="0"/>
          <w:color w:val="auto"/>
          <w:szCs w:val="21"/>
        </w:rPr>
        <w:t>。</w:t>
      </w:r>
    </w:p>
    <w:p w14:paraId="42832169">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1.2本合同下列术语应解释为：</w:t>
      </w:r>
    </w:p>
    <w:p w14:paraId="441E5440">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（1）“合同”系指</w:t>
      </w:r>
      <w:r>
        <w:rPr>
          <w:rFonts w:hint="eastAsia" w:ascii="宋体" w:hAnsi="宋体" w:cs="宋体"/>
          <w:bCs/>
          <w:strike w:val="0"/>
          <w:color w:val="auto"/>
          <w:szCs w:val="21"/>
        </w:rPr>
        <w:t>合同当事人意思表示达成一致的任何协议，包括签署的</w:t>
      </w:r>
      <w:r>
        <w:rPr>
          <w:rFonts w:hint="eastAsia" w:ascii="宋体" w:hAnsi="宋体"/>
          <w:strike w:val="0"/>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trike w:val="0"/>
          <w:color w:val="auto"/>
          <w:szCs w:val="21"/>
        </w:rPr>
        <w:t>国家法律、行政法规和规章制度规定或合同约定的作为合同组成部分的其他文件</w:t>
      </w:r>
      <w:r>
        <w:rPr>
          <w:rFonts w:hint="eastAsia" w:ascii="宋体" w:hAnsi="宋体"/>
          <w:strike w:val="0"/>
          <w:color w:val="auto"/>
          <w:szCs w:val="21"/>
        </w:rPr>
        <w:t>。</w:t>
      </w:r>
    </w:p>
    <w:p w14:paraId="2F6AEBFF">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（2）“合同价款”系指根据本合同规定乙方在全面履行合同义务后甲方应支付给乙方的价款。</w:t>
      </w:r>
    </w:p>
    <w:p w14:paraId="06482359">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（3）“货物”系指乙方根据本合同规定须向甲方提供的各种形态和种类的物品，包括原材料、设备、产品（包括软件）及相关的其备品备件、工具、手册及</w:t>
      </w:r>
      <w:r>
        <w:rPr>
          <w:rFonts w:ascii="宋体" w:hAnsi="宋体"/>
          <w:strike w:val="0"/>
          <w:color w:val="auto"/>
          <w:szCs w:val="21"/>
          <w:lang w:val="en"/>
        </w:rPr>
        <w:t>其他</w:t>
      </w:r>
      <w:r>
        <w:rPr>
          <w:rFonts w:hint="eastAsia" w:ascii="宋体" w:hAnsi="宋体"/>
          <w:strike w:val="0"/>
          <w:color w:val="auto"/>
          <w:szCs w:val="21"/>
        </w:rPr>
        <w:t>技术资料和材料等。</w:t>
      </w:r>
    </w:p>
    <w:p w14:paraId="6D149B7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（4）“相关服务”系指根据合同规定，乙方应提供的与货物有关的技术、管理和</w:t>
      </w:r>
      <w:r>
        <w:rPr>
          <w:rFonts w:ascii="宋体" w:hAnsi="宋体"/>
          <w:strike w:val="0"/>
          <w:color w:val="auto"/>
          <w:szCs w:val="21"/>
          <w:lang w:val="en"/>
        </w:rPr>
        <w:t>其他</w:t>
      </w:r>
      <w:r>
        <w:rPr>
          <w:rFonts w:hint="eastAsia" w:ascii="宋体" w:hAnsi="宋体"/>
          <w:strike w:val="0"/>
          <w:color w:val="auto"/>
          <w:szCs w:val="21"/>
        </w:rPr>
        <w:t>服务，包括但不限于：管理和质量保证、运输、保险、检验、现场准备、安装、集成、调试、培训、维修、废弃处置、技术支持等以及合同中规定乙方应承担的</w:t>
      </w:r>
      <w:r>
        <w:rPr>
          <w:rFonts w:ascii="宋体" w:hAnsi="宋体"/>
          <w:strike w:val="0"/>
          <w:color w:val="auto"/>
          <w:szCs w:val="21"/>
          <w:lang w:val="en"/>
        </w:rPr>
        <w:t>其他</w:t>
      </w:r>
      <w:r>
        <w:rPr>
          <w:rFonts w:hint="eastAsia" w:ascii="宋体" w:hAnsi="宋体"/>
          <w:strike w:val="0"/>
          <w:color w:val="auto"/>
          <w:szCs w:val="21"/>
        </w:rPr>
        <w:t>义务。</w:t>
      </w:r>
    </w:p>
    <w:p w14:paraId="74613D95">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（5）“分包”系指中标（成交）供应商按采购文件、投标（响应）文件的规定，根据分包意向协议，将中标（成交）项目中的部分履约内容，分给具有相应资质条件的供应商履行合同的行为。</w:t>
      </w:r>
    </w:p>
    <w:p w14:paraId="71C3731D">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trike w:val="0"/>
          <w:color w:val="auto"/>
          <w:szCs w:val="21"/>
        </w:rPr>
        <w:t>政府采购合同专用条款</w:t>
      </w:r>
      <w:r>
        <w:rPr>
          <w:rFonts w:hint="eastAsia" w:ascii="宋体" w:hAnsi="宋体"/>
          <w:strike w:val="0"/>
          <w:color w:val="auto"/>
          <w:szCs w:val="21"/>
        </w:rPr>
        <w:t>】。</w:t>
      </w:r>
    </w:p>
    <w:p w14:paraId="7DB563EA">
      <w:pPr>
        <w:tabs>
          <w:tab w:val="left" w:pos="570"/>
          <w:tab w:val="left" w:pos="9240"/>
          <w:tab w:val="left" w:pos="9555"/>
        </w:tabs>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（7）其他术语解释，见【</w:t>
      </w:r>
      <w:r>
        <w:rPr>
          <w:rFonts w:hint="eastAsia" w:ascii="宋体" w:hAnsi="宋体"/>
          <w:b/>
          <w:bCs/>
          <w:strike w:val="0"/>
          <w:color w:val="auto"/>
          <w:szCs w:val="21"/>
        </w:rPr>
        <w:t>政府采购合同专用条款</w:t>
      </w:r>
      <w:r>
        <w:rPr>
          <w:rFonts w:hint="eastAsia" w:ascii="宋体" w:hAnsi="宋体"/>
          <w:strike w:val="0"/>
          <w:color w:val="auto"/>
          <w:szCs w:val="21"/>
        </w:rPr>
        <w:t>】。</w:t>
      </w:r>
    </w:p>
    <w:p w14:paraId="14C65CD9">
      <w:pPr>
        <w:numPr>
          <w:ilvl w:val="0"/>
          <w:numId w:val="25"/>
        </w:num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strike w:val="0"/>
          <w:color w:val="auto"/>
          <w:sz w:val="24"/>
        </w:rPr>
        <w:t>合同标的及金额</w:t>
      </w:r>
    </w:p>
    <w:p w14:paraId="3445DEAF">
      <w:pPr>
        <w:autoSpaceDE w:val="0"/>
        <w:autoSpaceDN w:val="0"/>
        <w:adjustRightInd w:val="0"/>
        <w:snapToGrid w:val="0"/>
        <w:spacing w:line="400" w:lineRule="exact"/>
        <w:ind w:firstLine="420" w:firstLineChars="200"/>
        <w:jc w:val="left"/>
        <w:rPr>
          <w:rFonts w:hint="eastAsia" w:ascii="宋体" w:hAnsi="宋体"/>
          <w:b/>
          <w:bCs/>
          <w:i/>
          <w:iCs/>
          <w:strike w:val="0"/>
          <w:color w:val="auto"/>
          <w:szCs w:val="21"/>
        </w:rPr>
      </w:pPr>
      <w:r>
        <w:rPr>
          <w:rFonts w:hint="eastAsia" w:ascii="宋体" w:hAnsi="宋体"/>
          <w:strike w:val="0"/>
          <w:color w:val="auto"/>
          <w:szCs w:val="21"/>
        </w:rPr>
        <w:t>2.1 合同标的及金额应与中标（成交）结果一致。乙方为履行本合同而发生的所有费用均应包含在合同价款中，甲方不再另行支付</w:t>
      </w:r>
      <w:r>
        <w:rPr>
          <w:rFonts w:ascii="宋体" w:hAnsi="宋体"/>
          <w:strike w:val="0"/>
          <w:color w:val="auto"/>
          <w:szCs w:val="21"/>
          <w:lang w:val="en"/>
        </w:rPr>
        <w:t>其他</w:t>
      </w:r>
      <w:r>
        <w:rPr>
          <w:rFonts w:hint="eastAsia" w:ascii="宋体" w:hAnsi="宋体"/>
          <w:strike w:val="0"/>
          <w:color w:val="auto"/>
          <w:szCs w:val="21"/>
        </w:rPr>
        <w:t>任何费用。</w:t>
      </w:r>
    </w:p>
    <w:p w14:paraId="61DD37F5">
      <w:pPr>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3. 履行合同的时间、地点和方式</w:t>
      </w:r>
    </w:p>
    <w:p w14:paraId="0C8B9FC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3.1 </w:t>
      </w:r>
      <w:r>
        <w:rPr>
          <w:rFonts w:hint="eastAsia" w:ascii="宋体" w:hAnsi="宋体" w:cs="宋体"/>
          <w:strike w:val="0"/>
          <w:color w:val="auto"/>
          <w:szCs w:val="21"/>
        </w:rPr>
        <w:t>乙方应当在约定的时间、地点，按照约定方式履行合同。</w:t>
      </w:r>
    </w:p>
    <w:p w14:paraId="07758140">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4. 甲方的权利和义务</w:t>
      </w:r>
    </w:p>
    <w:p w14:paraId="246DBE8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4.1</w:t>
      </w:r>
      <w:r>
        <w:rPr>
          <w:rFonts w:ascii="宋体" w:hAnsi="宋体"/>
          <w:strike w:val="0"/>
          <w:color w:val="auto"/>
          <w:szCs w:val="21"/>
        </w:rPr>
        <w:t xml:space="preserve"> 签署合同后，甲方</w:t>
      </w:r>
      <w:r>
        <w:rPr>
          <w:rFonts w:hint="eastAsia" w:ascii="宋体" w:hAnsi="宋体"/>
          <w:strike w:val="0"/>
          <w:color w:val="auto"/>
          <w:szCs w:val="21"/>
        </w:rPr>
        <w:t>应</w:t>
      </w:r>
      <w:r>
        <w:rPr>
          <w:rFonts w:ascii="宋体" w:hAnsi="宋体"/>
          <w:strike w:val="0"/>
          <w:color w:val="auto"/>
          <w:szCs w:val="21"/>
        </w:rPr>
        <w:t>确定</w:t>
      </w:r>
      <w:r>
        <w:rPr>
          <w:rFonts w:hint="eastAsia" w:ascii="宋体" w:hAnsi="宋体"/>
          <w:strike w:val="0"/>
          <w:color w:val="auto"/>
          <w:szCs w:val="21"/>
        </w:rPr>
        <w:t>项目负责人（或项目联系人）</w:t>
      </w:r>
      <w:r>
        <w:rPr>
          <w:rFonts w:ascii="宋体" w:hAnsi="宋体"/>
          <w:strike w:val="0"/>
          <w:color w:val="auto"/>
          <w:szCs w:val="21"/>
        </w:rPr>
        <w:t>，负责与本合同有关的事务。</w:t>
      </w:r>
      <w:r>
        <w:rPr>
          <w:rFonts w:hint="eastAsia" w:ascii="宋体" w:hAnsi="宋体"/>
          <w:strike w:val="0"/>
          <w:color w:val="auto"/>
          <w:szCs w:val="21"/>
        </w:rPr>
        <w:t>甲方有权对乙方的履约行为进行检查，并</w:t>
      </w:r>
      <w:r>
        <w:rPr>
          <w:rFonts w:ascii="宋体" w:hAnsi="宋体"/>
          <w:strike w:val="0"/>
          <w:color w:val="auto"/>
          <w:szCs w:val="21"/>
        </w:rPr>
        <w:t>及时确认乙方提交的事项</w:t>
      </w:r>
      <w:r>
        <w:rPr>
          <w:rFonts w:hint="eastAsia" w:ascii="宋体" w:hAnsi="宋体"/>
          <w:strike w:val="0"/>
          <w:color w:val="auto"/>
          <w:szCs w:val="21"/>
        </w:rPr>
        <w:t>。甲方应当</w:t>
      </w:r>
      <w:r>
        <w:rPr>
          <w:rFonts w:ascii="宋体" w:hAnsi="宋体"/>
          <w:strike w:val="0"/>
          <w:color w:val="auto"/>
          <w:szCs w:val="21"/>
        </w:rPr>
        <w:t>配合乙方完成</w:t>
      </w:r>
      <w:r>
        <w:rPr>
          <w:rFonts w:hint="eastAsia" w:ascii="宋体" w:hAnsi="宋体"/>
          <w:strike w:val="0"/>
          <w:color w:val="auto"/>
          <w:szCs w:val="21"/>
        </w:rPr>
        <w:t>相关项目</w:t>
      </w:r>
      <w:r>
        <w:rPr>
          <w:rFonts w:ascii="宋体" w:hAnsi="宋体"/>
          <w:strike w:val="0"/>
          <w:color w:val="auto"/>
          <w:szCs w:val="21"/>
        </w:rPr>
        <w:t>实施工作。</w:t>
      </w:r>
    </w:p>
    <w:p w14:paraId="3AFA18D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4.2 </w:t>
      </w:r>
      <w:r>
        <w:rPr>
          <w:rFonts w:ascii="宋体" w:hAnsi="宋体"/>
          <w:strike w:val="0"/>
          <w:color w:val="auto"/>
          <w:szCs w:val="21"/>
        </w:rPr>
        <w:t>甲方有权要求乙方按时提交各阶段有关</w:t>
      </w:r>
      <w:r>
        <w:rPr>
          <w:rFonts w:hint="eastAsia" w:ascii="宋体" w:hAnsi="宋体"/>
          <w:strike w:val="0"/>
          <w:color w:val="auto"/>
          <w:szCs w:val="21"/>
        </w:rPr>
        <w:t>安排计划</w:t>
      </w:r>
      <w:r>
        <w:rPr>
          <w:rFonts w:ascii="宋体" w:hAnsi="宋体"/>
          <w:strike w:val="0"/>
          <w:color w:val="auto"/>
          <w:szCs w:val="21"/>
        </w:rPr>
        <w:t>，并有权</w:t>
      </w:r>
      <w:r>
        <w:rPr>
          <w:rFonts w:hint="eastAsia" w:ascii="宋体" w:hAnsi="宋体"/>
          <w:strike w:val="0"/>
          <w:color w:val="auto"/>
          <w:szCs w:val="21"/>
        </w:rPr>
        <w:t>定期核对乙方提供货物数量、规格、质量等内容。甲方</w:t>
      </w:r>
      <w:r>
        <w:rPr>
          <w:rFonts w:ascii="宋体" w:hAnsi="宋体"/>
          <w:strike w:val="0"/>
          <w:color w:val="auto"/>
          <w:szCs w:val="21"/>
        </w:rPr>
        <w:t>有权督促乙方工作并要求乙方</w:t>
      </w:r>
      <w:r>
        <w:rPr>
          <w:rFonts w:hint="eastAsia" w:ascii="宋体" w:hAnsi="宋体"/>
          <w:strike w:val="0"/>
          <w:color w:val="auto"/>
          <w:szCs w:val="21"/>
        </w:rPr>
        <w:t>更</w:t>
      </w:r>
      <w:r>
        <w:rPr>
          <w:rFonts w:ascii="宋体" w:hAnsi="宋体"/>
          <w:strike w:val="0"/>
          <w:color w:val="auto"/>
          <w:szCs w:val="21"/>
        </w:rPr>
        <w:t>换不符合要求的</w:t>
      </w:r>
      <w:r>
        <w:rPr>
          <w:rFonts w:hint="eastAsia" w:ascii="宋体" w:hAnsi="宋体"/>
          <w:strike w:val="0"/>
          <w:color w:val="auto"/>
          <w:szCs w:val="21"/>
        </w:rPr>
        <w:t>货物</w:t>
      </w:r>
      <w:r>
        <w:rPr>
          <w:rFonts w:ascii="宋体" w:hAnsi="宋体"/>
          <w:strike w:val="0"/>
          <w:color w:val="auto"/>
          <w:szCs w:val="21"/>
        </w:rPr>
        <w:t>。</w:t>
      </w:r>
    </w:p>
    <w:p w14:paraId="432CEE7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w:t>
      </w:r>
      <w:r>
        <w:rPr>
          <w:rFonts w:ascii="宋体" w:hAnsi="宋体"/>
          <w:strike w:val="0"/>
          <w:color w:val="auto"/>
          <w:szCs w:val="21"/>
        </w:rPr>
        <w:t>3</w:t>
      </w:r>
      <w:r>
        <w:rPr>
          <w:rFonts w:hint="eastAsia" w:ascii="宋体" w:hAnsi="宋体"/>
          <w:strike w:val="0"/>
          <w:color w:val="auto"/>
          <w:szCs w:val="21"/>
        </w:rPr>
        <w:t xml:space="preserve"> </w:t>
      </w:r>
      <w:r>
        <w:rPr>
          <w:rFonts w:ascii="宋体" w:hAnsi="宋体"/>
          <w:strike w:val="0"/>
          <w:color w:val="auto"/>
          <w:szCs w:val="21"/>
        </w:rPr>
        <w:t>甲方</w:t>
      </w:r>
      <w:r>
        <w:rPr>
          <w:rFonts w:hint="eastAsia" w:ascii="宋体" w:hAnsi="宋体"/>
          <w:strike w:val="0"/>
          <w:color w:val="auto"/>
          <w:szCs w:val="21"/>
        </w:rPr>
        <w:t>有权要求乙方对缺陷部分予以修复，并按合同约定享有货物保修及其他合同约定的权利。</w:t>
      </w:r>
    </w:p>
    <w:p w14:paraId="254DA5BE">
      <w:pPr>
        <w:snapToGrid w:val="0"/>
        <w:spacing w:line="400" w:lineRule="exact"/>
        <w:ind w:firstLine="420" w:firstLineChars="200"/>
        <w:rPr>
          <w:rFonts w:eastAsia="华文楷体"/>
          <w:strike w:val="0"/>
          <w:color w:val="auto"/>
        </w:rPr>
      </w:pPr>
      <w:r>
        <w:rPr>
          <w:rFonts w:ascii="宋体" w:hAnsi="宋体"/>
          <w:strike w:val="0"/>
          <w:color w:val="auto"/>
          <w:szCs w:val="21"/>
        </w:rPr>
        <w:t>4.4 甲方应当按照合同约定及时对交付的货物进行验收</w:t>
      </w:r>
      <w:r>
        <w:rPr>
          <w:rFonts w:hint="eastAsia" w:ascii="宋体" w:hAnsi="宋体"/>
          <w:strike w:val="0"/>
          <w:color w:val="auto"/>
          <w:szCs w:val="21"/>
        </w:rPr>
        <w:t>，</w:t>
      </w:r>
      <w:r>
        <w:rPr>
          <w:rFonts w:hint="eastAsia" w:ascii="宋体" w:hAnsi="宋体" w:cs="宋体"/>
          <w:strike w:val="0"/>
          <w:color w:val="auto"/>
          <w:szCs w:val="21"/>
        </w:rPr>
        <w:t>未</w:t>
      </w:r>
      <w:r>
        <w:rPr>
          <w:rFonts w:hint="eastAsia" w:ascii="宋体" w:hAnsi="宋体"/>
          <w:strike w:val="0"/>
          <w:color w:val="auto"/>
          <w:szCs w:val="21"/>
        </w:rPr>
        <w:t>在</w:t>
      </w:r>
      <w:r>
        <w:rPr>
          <w:rFonts w:hint="eastAsia" w:ascii="宋体" w:hAnsi="宋体" w:cs="宋体"/>
          <w:b/>
          <w:bCs/>
          <w:strike w:val="0"/>
          <w:color w:val="auto"/>
          <w:szCs w:val="21"/>
        </w:rPr>
        <w:t>【政府采购合同专用条款】</w:t>
      </w:r>
      <w:r>
        <w:rPr>
          <w:rFonts w:hint="eastAsia" w:ascii="宋体" w:hAnsi="宋体" w:cs="宋体"/>
          <w:strike w:val="0"/>
          <w:color w:val="auto"/>
          <w:szCs w:val="21"/>
        </w:rPr>
        <w:t>约定的期限内对乙方履约提出任何异议或者向乙方作出任何说明的，</w:t>
      </w:r>
      <w:r>
        <w:rPr>
          <w:rFonts w:hint="eastAsia" w:ascii="宋体" w:hAnsi="宋体"/>
          <w:strike w:val="0"/>
          <w:color w:val="auto"/>
          <w:szCs w:val="21"/>
        </w:rPr>
        <w:t>视为验收通过。</w:t>
      </w:r>
    </w:p>
    <w:p w14:paraId="67B5303B">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w:t>
      </w:r>
      <w:r>
        <w:rPr>
          <w:rFonts w:ascii="宋体" w:hAnsi="宋体"/>
          <w:strike w:val="0"/>
          <w:color w:val="auto"/>
          <w:szCs w:val="21"/>
        </w:rPr>
        <w:t xml:space="preserve">5 </w:t>
      </w:r>
      <w:r>
        <w:rPr>
          <w:rFonts w:hint="eastAsia" w:ascii="宋体" w:hAnsi="宋体"/>
          <w:strike w:val="0"/>
          <w:color w:val="auto"/>
          <w:szCs w:val="21"/>
        </w:rPr>
        <w:t>甲方应当根据合同约定及时向乙方支付合同价款</w:t>
      </w:r>
      <w:r>
        <w:rPr>
          <w:rFonts w:ascii="宋体" w:hAnsi="宋体"/>
          <w:strike w:val="0"/>
          <w:color w:val="auto"/>
          <w:szCs w:val="21"/>
        </w:rPr>
        <w:t>，不得以内部人员变更、履行内部付款流程等为由，拒绝或迟延支付。</w:t>
      </w:r>
    </w:p>
    <w:p w14:paraId="109C0A5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4.6</w:t>
      </w:r>
      <w:r>
        <w:rPr>
          <w:rFonts w:ascii="宋体" w:hAnsi="宋体"/>
          <w:strike w:val="0"/>
          <w:color w:val="auto"/>
          <w:szCs w:val="21"/>
        </w:rPr>
        <w:t xml:space="preserve"> </w:t>
      </w:r>
      <w:r>
        <w:rPr>
          <w:rFonts w:hint="eastAsia" w:ascii="宋体" w:hAnsi="宋体"/>
          <w:strike w:val="0"/>
          <w:color w:val="auto"/>
          <w:szCs w:val="21"/>
        </w:rPr>
        <w:t>国家法律法规规定及</w:t>
      </w:r>
      <w:r>
        <w:rPr>
          <w:rFonts w:hint="eastAsia" w:ascii="宋体" w:hAnsi="宋体" w:cs="宋体"/>
          <w:b/>
          <w:bCs/>
          <w:strike w:val="0"/>
          <w:color w:val="auto"/>
          <w:szCs w:val="21"/>
        </w:rPr>
        <w:t>【政府采购合同专用条款】</w:t>
      </w:r>
      <w:r>
        <w:rPr>
          <w:rFonts w:hint="eastAsia" w:ascii="宋体" w:hAnsi="宋体"/>
          <w:strike w:val="0"/>
          <w:color w:val="auto"/>
          <w:szCs w:val="21"/>
        </w:rPr>
        <w:t>约定应由甲方承担的其他义务和责任。</w:t>
      </w:r>
    </w:p>
    <w:p w14:paraId="379EB038">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5. 乙方的权利和义务</w:t>
      </w:r>
    </w:p>
    <w:p w14:paraId="063AE18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5.1 </w:t>
      </w:r>
      <w:r>
        <w:rPr>
          <w:rFonts w:ascii="宋体" w:hAnsi="宋体"/>
          <w:strike w:val="0"/>
          <w:color w:val="auto"/>
          <w:szCs w:val="21"/>
        </w:rPr>
        <w:t>签署合同后，乙方</w:t>
      </w:r>
      <w:r>
        <w:rPr>
          <w:rFonts w:hint="eastAsia" w:ascii="宋体" w:hAnsi="宋体"/>
          <w:strike w:val="0"/>
          <w:color w:val="auto"/>
          <w:szCs w:val="21"/>
        </w:rPr>
        <w:t>应</w:t>
      </w:r>
      <w:r>
        <w:rPr>
          <w:rFonts w:ascii="宋体" w:hAnsi="宋体"/>
          <w:strike w:val="0"/>
          <w:color w:val="auto"/>
          <w:szCs w:val="21"/>
        </w:rPr>
        <w:t>确定</w:t>
      </w:r>
      <w:r>
        <w:rPr>
          <w:rFonts w:hint="eastAsia" w:ascii="宋体" w:hAnsi="宋体"/>
          <w:strike w:val="0"/>
          <w:color w:val="auto"/>
          <w:szCs w:val="21"/>
        </w:rPr>
        <w:t>项目负责人（或项目联系人）</w:t>
      </w:r>
      <w:r>
        <w:rPr>
          <w:rFonts w:ascii="宋体" w:hAnsi="宋体"/>
          <w:strike w:val="0"/>
          <w:color w:val="auto"/>
          <w:szCs w:val="21"/>
        </w:rPr>
        <w:t>，负责与本合同有关的事务。</w:t>
      </w:r>
    </w:p>
    <w:p w14:paraId="5FC286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w:t>
      </w:r>
      <w:r>
        <w:rPr>
          <w:rFonts w:ascii="宋体" w:hAnsi="宋体"/>
          <w:strike w:val="0"/>
          <w:color w:val="auto"/>
          <w:szCs w:val="21"/>
        </w:rPr>
        <w:t>2 乙方应按照合同要求</w:t>
      </w:r>
      <w:r>
        <w:rPr>
          <w:rFonts w:hint="eastAsia" w:ascii="宋体" w:hAnsi="宋体"/>
          <w:strike w:val="0"/>
          <w:color w:val="auto"/>
          <w:szCs w:val="21"/>
        </w:rPr>
        <w:t>履约</w:t>
      </w:r>
      <w:r>
        <w:rPr>
          <w:rFonts w:ascii="宋体" w:hAnsi="宋体"/>
          <w:strike w:val="0"/>
          <w:color w:val="auto"/>
          <w:szCs w:val="21"/>
        </w:rPr>
        <w:t>，充分合理安排，确保</w:t>
      </w:r>
      <w:r>
        <w:rPr>
          <w:rFonts w:hint="eastAsia" w:ascii="宋体" w:hAnsi="宋体"/>
          <w:strike w:val="0"/>
          <w:color w:val="auto"/>
          <w:szCs w:val="21"/>
        </w:rPr>
        <w:t>提供的货物及相关服务符合合同有关</w:t>
      </w:r>
      <w:r>
        <w:rPr>
          <w:rFonts w:ascii="宋体" w:hAnsi="宋体"/>
          <w:strike w:val="0"/>
          <w:color w:val="auto"/>
          <w:szCs w:val="21"/>
        </w:rPr>
        <w:t>要求</w:t>
      </w:r>
      <w:r>
        <w:rPr>
          <w:rFonts w:hint="eastAsia" w:ascii="宋体" w:hAnsi="宋体"/>
          <w:strike w:val="0"/>
          <w:color w:val="auto"/>
          <w:szCs w:val="21"/>
        </w:rPr>
        <w:t>。接受项目行业管理部门及政府有关部门的指导，配合甲方的履约检查及验收，并</w:t>
      </w:r>
      <w:r>
        <w:rPr>
          <w:rFonts w:ascii="宋体" w:hAnsi="宋体"/>
          <w:strike w:val="0"/>
          <w:color w:val="auto"/>
          <w:szCs w:val="21"/>
        </w:rPr>
        <w:t>负责项目实施过程中的所有协调工作。</w:t>
      </w:r>
    </w:p>
    <w:p w14:paraId="1763DFB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5.3乙方有权根据合同约定向甲方收取合同价款。</w:t>
      </w:r>
    </w:p>
    <w:p w14:paraId="001B9ED5">
      <w:pPr>
        <w:pStyle w:val="20"/>
        <w:spacing w:line="400" w:lineRule="exact"/>
        <w:ind w:firstLine="422" w:firstLineChars="176"/>
        <w:rPr>
          <w:rFonts w:hint="eastAsia" w:ascii="宋体" w:hAnsi="宋体" w:cs="宋体"/>
          <w:strike w:val="0"/>
          <w:color w:val="auto"/>
          <w:szCs w:val="21"/>
        </w:rPr>
      </w:pPr>
      <w:r>
        <w:rPr>
          <w:rFonts w:hint="eastAsia" w:ascii="宋体" w:hAnsi="宋体"/>
          <w:strike w:val="0"/>
          <w:color w:val="auto"/>
          <w:szCs w:val="21"/>
        </w:rPr>
        <w:t>5.</w:t>
      </w:r>
      <w:r>
        <w:rPr>
          <w:rFonts w:ascii="宋体" w:hAnsi="宋体"/>
          <w:strike w:val="0"/>
          <w:color w:val="auto"/>
          <w:szCs w:val="21"/>
        </w:rPr>
        <w:t>4</w:t>
      </w:r>
      <w:r>
        <w:rPr>
          <w:rFonts w:hint="eastAsia" w:ascii="宋体" w:hAnsi="宋体" w:cs="宋体"/>
          <w:strike w:val="0"/>
          <w:color w:val="auto"/>
          <w:szCs w:val="21"/>
        </w:rPr>
        <w:t>国家法律法规规定</w:t>
      </w:r>
      <w:r>
        <w:rPr>
          <w:rFonts w:hint="eastAsia" w:ascii="宋体" w:hAnsi="宋体"/>
          <w:strike w:val="0"/>
          <w:color w:val="auto"/>
          <w:szCs w:val="21"/>
        </w:rPr>
        <w:t>及</w:t>
      </w:r>
      <w:r>
        <w:rPr>
          <w:rFonts w:hint="eastAsia" w:ascii="宋体" w:hAnsi="宋体" w:cs="宋体"/>
          <w:b/>
          <w:bCs/>
          <w:strike w:val="0"/>
          <w:color w:val="auto"/>
          <w:szCs w:val="21"/>
        </w:rPr>
        <w:t>【政府采购合同专用条款】</w:t>
      </w:r>
      <w:r>
        <w:rPr>
          <w:rFonts w:hint="eastAsia" w:ascii="宋体" w:hAnsi="宋体" w:cs="宋体"/>
          <w:strike w:val="0"/>
          <w:color w:val="auto"/>
          <w:szCs w:val="21"/>
        </w:rPr>
        <w:t>约定应由乙方承担的其他义务和责任。</w:t>
      </w:r>
    </w:p>
    <w:p w14:paraId="10204736">
      <w:pPr>
        <w:numPr>
          <w:ilvl w:val="0"/>
          <w:numId w:val="26"/>
        </w:num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合同履行</w:t>
      </w:r>
    </w:p>
    <w:p w14:paraId="176BAD2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6.1 甲乙双方应当按照</w:t>
      </w:r>
      <w:r>
        <w:rPr>
          <w:rFonts w:hint="eastAsia" w:ascii="宋体" w:hAnsi="宋体" w:cs="宋体"/>
          <w:b/>
          <w:bCs/>
          <w:strike w:val="0"/>
          <w:color w:val="auto"/>
          <w:szCs w:val="21"/>
        </w:rPr>
        <w:t>【政府采购合同专用条款】</w:t>
      </w:r>
      <w:r>
        <w:rPr>
          <w:rFonts w:hint="eastAsia" w:ascii="宋体" w:hAnsi="宋体"/>
          <w:strike w:val="0"/>
          <w:color w:val="auto"/>
          <w:szCs w:val="21"/>
        </w:rPr>
        <w:t>约定顺序履行合同义务；如果没有先后顺序的，应当同时履行。</w:t>
      </w:r>
    </w:p>
    <w:p w14:paraId="79E3FF06">
      <w:pPr>
        <w:autoSpaceDE w:val="0"/>
        <w:autoSpaceDN w:val="0"/>
        <w:adjustRightInd w:val="0"/>
        <w:snapToGrid w:val="0"/>
        <w:spacing w:line="400" w:lineRule="exact"/>
        <w:ind w:firstLine="420" w:firstLineChars="200"/>
        <w:jc w:val="left"/>
        <w:rPr>
          <w:strike w:val="0"/>
          <w:color w:val="auto"/>
        </w:rPr>
      </w:pPr>
      <w:r>
        <w:rPr>
          <w:rFonts w:hint="eastAsia" w:ascii="宋体" w:hAnsi="宋体"/>
          <w:strike w:val="0"/>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7B9FD7A">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7. 货物包装、运输、保险和交付要求</w:t>
      </w:r>
    </w:p>
    <w:p w14:paraId="54618A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7.1 本合同</w:t>
      </w:r>
      <w:r>
        <w:rPr>
          <w:rFonts w:hint="eastAsia" w:ascii="宋体" w:hAnsi="宋体"/>
          <w:bCs/>
          <w:strike w:val="0"/>
          <w:color w:val="auto"/>
          <w:szCs w:val="21"/>
        </w:rPr>
        <w:t>涉及商品包装、快递包装的，</w:t>
      </w:r>
      <w:r>
        <w:rPr>
          <w:rFonts w:hint="eastAsia" w:ascii="宋体" w:hAnsi="宋体"/>
          <w:strike w:val="0"/>
          <w:color w:val="auto"/>
          <w:szCs w:val="21"/>
        </w:rPr>
        <w:t>除</w:t>
      </w:r>
      <w:r>
        <w:rPr>
          <w:rFonts w:hint="eastAsia" w:ascii="宋体" w:hAnsi="宋体"/>
          <w:b/>
          <w:strike w:val="0"/>
          <w:color w:val="auto"/>
          <w:szCs w:val="21"/>
        </w:rPr>
        <w:t>【政府采购合同专用条款】</w:t>
      </w:r>
      <w:r>
        <w:rPr>
          <w:rFonts w:hint="eastAsia" w:ascii="宋体" w:hAnsi="宋体"/>
          <w:bCs/>
          <w:strike w:val="0"/>
          <w:color w:val="auto"/>
          <w:szCs w:val="21"/>
        </w:rPr>
        <w:t>另有约定外，</w:t>
      </w:r>
      <w:r>
        <w:rPr>
          <w:rFonts w:hint="eastAsia" w:ascii="宋体" w:hAnsi="宋体"/>
          <w:strike w:val="0"/>
          <w:color w:val="auto"/>
          <w:szCs w:val="21"/>
        </w:rPr>
        <w:t>包装应适应远距离运输、防潮、防震、防锈和防野蛮装卸等要求，确保货物安全无损地运抵</w:t>
      </w:r>
      <w:r>
        <w:rPr>
          <w:rFonts w:hint="eastAsia" w:ascii="宋体" w:hAnsi="宋体"/>
          <w:b/>
          <w:strike w:val="0"/>
          <w:color w:val="auto"/>
          <w:szCs w:val="21"/>
        </w:rPr>
        <w:t>【政府采购合同专用条款】</w:t>
      </w:r>
      <w:r>
        <w:rPr>
          <w:rFonts w:hint="eastAsia" w:ascii="宋体" w:hAnsi="宋体"/>
          <w:bCs/>
          <w:strike w:val="0"/>
          <w:color w:val="auto"/>
          <w:szCs w:val="21"/>
        </w:rPr>
        <w:t>约定的</w:t>
      </w:r>
      <w:r>
        <w:rPr>
          <w:rFonts w:hint="eastAsia" w:ascii="宋体" w:hAnsi="宋体"/>
          <w:strike w:val="0"/>
          <w:color w:val="auto"/>
          <w:szCs w:val="21"/>
        </w:rPr>
        <w:t>指定现场。</w:t>
      </w:r>
    </w:p>
    <w:p w14:paraId="04FCDB7C">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7.2 除</w:t>
      </w:r>
      <w:r>
        <w:rPr>
          <w:rFonts w:hint="eastAsia" w:ascii="宋体" w:hAnsi="宋体"/>
          <w:b/>
          <w:strike w:val="0"/>
          <w:color w:val="auto"/>
          <w:szCs w:val="21"/>
        </w:rPr>
        <w:t>【政府采购合同专用条款】</w:t>
      </w:r>
      <w:r>
        <w:rPr>
          <w:rFonts w:hint="eastAsia" w:ascii="宋体" w:hAnsi="宋体"/>
          <w:bCs/>
          <w:strike w:val="0"/>
          <w:color w:val="auto"/>
          <w:szCs w:val="21"/>
        </w:rPr>
        <w:t>另有约定外，</w:t>
      </w:r>
      <w:r>
        <w:rPr>
          <w:rFonts w:hint="eastAsia" w:ascii="宋体" w:hAnsi="宋体"/>
          <w:strike w:val="0"/>
          <w:color w:val="auto"/>
          <w:szCs w:val="21"/>
        </w:rPr>
        <w:t>乙方负责办理将货物运抵本合同规定的交货地点，并装卸、交付至甲方的一切运输事项，相关费用应包含在合同价款中。</w:t>
      </w:r>
    </w:p>
    <w:p w14:paraId="11DB9683">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7.3 货物保险要求按</w:t>
      </w:r>
      <w:r>
        <w:rPr>
          <w:rFonts w:hint="eastAsia" w:ascii="宋体" w:hAnsi="宋体"/>
          <w:b/>
          <w:strike w:val="0"/>
          <w:color w:val="auto"/>
          <w:szCs w:val="21"/>
        </w:rPr>
        <w:t>【政府采购合同专用条款】</w:t>
      </w:r>
      <w:r>
        <w:rPr>
          <w:rFonts w:hint="eastAsia" w:ascii="宋体" w:hAnsi="宋体"/>
          <w:bCs/>
          <w:strike w:val="0"/>
          <w:color w:val="auto"/>
          <w:szCs w:val="21"/>
        </w:rPr>
        <w:t>规定执行</w:t>
      </w:r>
      <w:r>
        <w:rPr>
          <w:rFonts w:hint="eastAsia" w:ascii="宋体" w:hAnsi="宋体"/>
          <w:strike w:val="0"/>
          <w:color w:val="auto"/>
          <w:szCs w:val="21"/>
        </w:rPr>
        <w:t>。</w:t>
      </w:r>
    </w:p>
    <w:p w14:paraId="2DEEBAF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F742A8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7.5 </w:t>
      </w:r>
      <w:r>
        <w:rPr>
          <w:rFonts w:hint="eastAsia" w:ascii="宋体" w:hAnsi="宋体" w:cs="宋体"/>
          <w:strike w:val="0"/>
          <w:color w:val="auto"/>
          <w:szCs w:val="21"/>
        </w:rPr>
        <w:t>乙方在运输到达之前应提前通知甲方，并提示货物运输装卸的注意事项，甲方配合乙方做好货物的接收工作。</w:t>
      </w:r>
    </w:p>
    <w:p w14:paraId="0E420C5D">
      <w:pPr>
        <w:pStyle w:val="311"/>
        <w:ind w:firstLine="420"/>
        <w:rPr>
          <w:rFonts w:hint="eastAsia"/>
          <w:strike w:val="0"/>
          <w:color w:val="auto"/>
          <w:sz w:val="21"/>
        </w:rPr>
      </w:pPr>
      <w:r>
        <w:rPr>
          <w:rFonts w:hint="eastAsia" w:ascii="宋体" w:hAnsi="宋体" w:eastAsia="宋体" w:cs="Times New Roman"/>
          <w:strike w:val="0"/>
          <w:color w:val="auto"/>
          <w:kern w:val="2"/>
          <w:sz w:val="21"/>
        </w:rPr>
        <w:t>7.6 如因包装、运输问题导致货物损毁、丢失或者品质下降，甲方有权要求降价、换货、拒收部分或整批货物，由此产生的费用和损失，均由乙方承担。</w:t>
      </w:r>
    </w:p>
    <w:p w14:paraId="33C73C4B">
      <w:pPr>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8. 质量标准和保证</w:t>
      </w:r>
    </w:p>
    <w:p w14:paraId="6425F7A0">
      <w:pPr>
        <w:pStyle w:val="28"/>
        <w:adjustRightInd w:val="0"/>
        <w:snapToGrid w:val="0"/>
        <w:spacing w:line="400" w:lineRule="exact"/>
        <w:ind w:firstLine="420" w:firstLineChars="200"/>
        <w:jc w:val="left"/>
        <w:rPr>
          <w:rFonts w:hint="eastAsia" w:hAnsi="宋体"/>
          <w:b/>
          <w:strike w:val="0"/>
          <w:color w:val="auto"/>
        </w:rPr>
      </w:pPr>
      <w:r>
        <w:rPr>
          <w:rFonts w:hint="eastAsia" w:hAnsi="宋体"/>
          <w:strike w:val="0"/>
          <w:color w:val="auto"/>
        </w:rPr>
        <w:t>8.1 质量标准</w:t>
      </w:r>
    </w:p>
    <w:p w14:paraId="555C3EB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（1）本合同下提供的货物应符合合同</w:t>
      </w:r>
      <w:r>
        <w:rPr>
          <w:rFonts w:hint="eastAsia" w:ascii="宋体" w:hAnsi="宋体" w:cs="宋体"/>
          <w:strike w:val="0"/>
          <w:color w:val="auto"/>
          <w:szCs w:val="21"/>
        </w:rPr>
        <w:t>约定的品牌、规格型号、技术性能、配置、质量、数量等要求。</w:t>
      </w:r>
      <w:r>
        <w:rPr>
          <w:rFonts w:hint="eastAsia" w:ascii="宋体" w:hAnsi="宋体"/>
          <w:strike w:val="0"/>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3F8571F">
      <w:pPr>
        <w:pStyle w:val="28"/>
        <w:adjustRightInd w:val="0"/>
        <w:snapToGrid w:val="0"/>
        <w:spacing w:line="400" w:lineRule="exact"/>
        <w:ind w:firstLine="420" w:firstLineChars="200"/>
        <w:jc w:val="left"/>
        <w:rPr>
          <w:rFonts w:hint="eastAsia" w:hAnsi="宋体"/>
          <w:strike w:val="0"/>
          <w:color w:val="auto"/>
        </w:rPr>
      </w:pPr>
      <w:r>
        <w:rPr>
          <w:rFonts w:hint="eastAsia" w:hAnsi="宋体"/>
          <w:strike w:val="0"/>
          <w:color w:val="auto"/>
        </w:rPr>
        <w:t>（2）采用中华人民共和国法定计量单位。</w:t>
      </w:r>
    </w:p>
    <w:p w14:paraId="6561400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（3）乙方所提供的货物应符合国家有关安全、环保、卫生的规定。</w:t>
      </w:r>
    </w:p>
    <w:p w14:paraId="0F28BA9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（4）乙方应向甲方提交所提供货物的技术文件，包括相应的中文技术文件，如：产品目录、图纸、操作手册、使用说明、维护手册或服务指南等。上述文件应包装好随货物一同发运。</w:t>
      </w:r>
    </w:p>
    <w:p w14:paraId="2AB76BF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8.2 保证</w:t>
      </w:r>
    </w:p>
    <w:p w14:paraId="3A7B15E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（1）乙方应保证提供的货物完全符合合同规定的质量、规格和性能要求。乙方应保证货物在正确安装、正常使用和保养条件下，</w:t>
      </w:r>
      <w:r>
        <w:rPr>
          <w:rFonts w:hint="eastAsia" w:ascii="宋体" w:hAnsi="宋体" w:cs="宋体"/>
          <w:strike w:val="0"/>
          <w:color w:val="auto"/>
          <w:szCs w:val="21"/>
        </w:rPr>
        <w:t>在其使用寿命期内具备合同约定的性能</w:t>
      </w:r>
      <w:r>
        <w:rPr>
          <w:rFonts w:hint="eastAsia" w:ascii="宋体" w:hAnsi="宋体"/>
          <w:strike w:val="0"/>
          <w:color w:val="auto"/>
          <w:szCs w:val="21"/>
        </w:rPr>
        <w:t>。存在质量保证期的，货物最终交付验收合格后在</w:t>
      </w:r>
      <w:r>
        <w:rPr>
          <w:rFonts w:hint="eastAsia" w:ascii="宋体" w:hAnsi="宋体"/>
          <w:b/>
          <w:strike w:val="0"/>
          <w:color w:val="auto"/>
          <w:szCs w:val="21"/>
        </w:rPr>
        <w:t>【政府采购合同专用条款】</w:t>
      </w:r>
      <w:r>
        <w:rPr>
          <w:rFonts w:hint="eastAsia" w:ascii="宋体" w:hAnsi="宋体"/>
          <w:strike w:val="0"/>
          <w:color w:val="auto"/>
          <w:szCs w:val="21"/>
        </w:rPr>
        <w:t>规定或乙方书面承诺（两者以较长的为准）的质量保证期内，本保证保持有效。</w:t>
      </w:r>
    </w:p>
    <w:p w14:paraId="272CEABA">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（2）在质量保证期内所发现的缺陷，甲方应尽快以书面形式通知乙方。</w:t>
      </w:r>
    </w:p>
    <w:p w14:paraId="63311CE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（3）乙方收到通知后，应在</w:t>
      </w:r>
      <w:r>
        <w:rPr>
          <w:rFonts w:hint="eastAsia" w:ascii="宋体" w:hAnsi="宋体"/>
          <w:b/>
          <w:strike w:val="0"/>
          <w:color w:val="auto"/>
          <w:szCs w:val="21"/>
        </w:rPr>
        <w:t>【政府采购合同专用条款】</w:t>
      </w:r>
      <w:r>
        <w:rPr>
          <w:rFonts w:hint="eastAsia" w:ascii="宋体" w:hAnsi="宋体"/>
          <w:strike w:val="0"/>
          <w:color w:val="auto"/>
          <w:szCs w:val="21"/>
        </w:rPr>
        <w:t>规定的响应时间内以合理的速度免费维修或更换有缺陷的货物或部件。</w:t>
      </w:r>
    </w:p>
    <w:p w14:paraId="1A6D464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6E774E9">
      <w:pPr>
        <w:adjustRightInd w:val="0"/>
        <w:snapToGrid w:val="0"/>
        <w:spacing w:line="400" w:lineRule="exact"/>
        <w:ind w:firstLine="420" w:firstLineChars="200"/>
        <w:jc w:val="left"/>
        <w:rPr>
          <w:strike w:val="0"/>
          <w:color w:val="auto"/>
        </w:rPr>
      </w:pPr>
      <w:r>
        <w:rPr>
          <w:rFonts w:hint="eastAsia" w:ascii="宋体" w:hAnsi="宋体"/>
          <w:strike w:val="0"/>
          <w:color w:val="auto"/>
          <w:szCs w:val="21"/>
        </w:rPr>
        <w:t>（5）乙方在约定的时间内未能弥补缺陷，甲方可采取必要的补救措施，但其风险和费用将由乙方承担，甲方根据合同约定对乙方行使的其他权利不受影响。</w:t>
      </w:r>
    </w:p>
    <w:p w14:paraId="53877B0D">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9. 权利瑕疵担保</w:t>
      </w:r>
    </w:p>
    <w:p w14:paraId="1352385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9.1 乙方保证对其出售的货物享有合法的权利。</w:t>
      </w:r>
    </w:p>
    <w:p w14:paraId="68D01FE2">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9.2 </w:t>
      </w:r>
      <w:r>
        <w:rPr>
          <w:rFonts w:hint="eastAsia" w:ascii="宋体" w:hAnsi="宋体" w:cs="宋体"/>
          <w:strike w:val="0"/>
          <w:color w:val="auto"/>
          <w:szCs w:val="15"/>
        </w:rPr>
        <w:t>乙方保证在交付的货物上不存在抵押权等担保物权。</w:t>
      </w:r>
    </w:p>
    <w:p w14:paraId="0E68A3F6">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9.3 如甲方使用上述货物构成对第三人侵权的，则由乙方承担全部责任。</w:t>
      </w:r>
    </w:p>
    <w:p w14:paraId="4869BCA5">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10. 知识产权保护</w:t>
      </w:r>
    </w:p>
    <w:p w14:paraId="4001485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10.1 乙方对其所销售的货物应当享有知识产权或经权利人合法授权，保证没有侵犯任何第三人的知识产权等权利。</w:t>
      </w:r>
      <w:bookmarkStart w:id="225" w:name="_Hlk163047038"/>
      <w:r>
        <w:rPr>
          <w:rFonts w:hint="eastAsia" w:ascii="宋体" w:hAnsi="宋体" w:cs="宋体"/>
          <w:strike w:val="0"/>
          <w:color w:val="auto"/>
          <w:szCs w:val="15"/>
        </w:rPr>
        <w:t>因违反前述约定对第三人构成侵权的，应当由乙方向第三人承担法律责任；甲方依法向第三人赔偿后，有权向乙方追偿。甲方有其他损失的，乙方应当赔偿</w:t>
      </w:r>
      <w:bookmarkEnd w:id="225"/>
      <w:r>
        <w:rPr>
          <w:rFonts w:hint="eastAsia" w:ascii="宋体" w:hAnsi="宋体"/>
          <w:strike w:val="0"/>
          <w:color w:val="auto"/>
          <w:szCs w:val="21"/>
        </w:rPr>
        <w:t>。</w:t>
      </w:r>
    </w:p>
    <w:p w14:paraId="59FD64B4">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11. 保密义务</w:t>
      </w:r>
    </w:p>
    <w:p w14:paraId="73435D79">
      <w:pPr>
        <w:autoSpaceDE w:val="0"/>
        <w:autoSpaceDN w:val="0"/>
        <w:adjustRightInd w:val="0"/>
        <w:snapToGrid w:val="0"/>
        <w:spacing w:line="400" w:lineRule="exact"/>
        <w:ind w:firstLine="420" w:firstLineChars="200"/>
        <w:jc w:val="left"/>
        <w:rPr>
          <w:rFonts w:hint="eastAsia" w:ascii="宋体" w:hAnsi="宋体" w:cs="宋体"/>
          <w:strike w:val="0"/>
          <w:color w:val="auto"/>
          <w:szCs w:val="15"/>
        </w:rPr>
      </w:pPr>
      <w:r>
        <w:rPr>
          <w:rFonts w:hint="eastAsia" w:ascii="宋体" w:hAnsi="宋体" w:cs="宋体"/>
          <w:strike w:val="0"/>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trike w:val="0"/>
          <w:color w:val="auto"/>
          <w:szCs w:val="15"/>
        </w:rPr>
        <w:t>【政府采购合同专用条款】</w:t>
      </w:r>
      <w:r>
        <w:rPr>
          <w:rFonts w:hint="eastAsia" w:ascii="宋体" w:hAnsi="宋体" w:cs="宋体"/>
          <w:strike w:val="0"/>
          <w:color w:val="auto"/>
          <w:szCs w:val="15"/>
        </w:rPr>
        <w:t>中约定。</w:t>
      </w:r>
    </w:p>
    <w:p w14:paraId="19F65ECA">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12. 合同价款支付</w:t>
      </w:r>
    </w:p>
    <w:p w14:paraId="4711B386">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12.1 合同价款支付按照国库集中支付制度及财政管理相关规定执行。</w:t>
      </w:r>
    </w:p>
    <w:p w14:paraId="7D6B5050">
      <w:pPr>
        <w:pStyle w:val="3"/>
        <w:ind w:firstLine="420" w:firstLineChars="200"/>
        <w:rPr>
          <w:rFonts w:eastAsia="宋体"/>
          <w:strike w:val="0"/>
          <w:color w:val="auto"/>
        </w:rPr>
      </w:pPr>
      <w:r>
        <w:rPr>
          <w:rFonts w:hint="eastAsia" w:ascii="宋体" w:hAnsi="宋体"/>
          <w:b w:val="0"/>
          <w:bCs w:val="0"/>
          <w:strike w:val="0"/>
          <w:color w:val="auto"/>
          <w:sz w:val="21"/>
          <w:szCs w:val="21"/>
        </w:rPr>
        <w:t xml:space="preserve">12.2 </w:t>
      </w:r>
      <w:r>
        <w:rPr>
          <w:rFonts w:hint="eastAsia" w:ascii="宋体" w:hAnsi="宋体" w:eastAsia="宋体"/>
          <w:b w:val="0"/>
          <w:bCs w:val="0"/>
          <w:strike w:val="0"/>
          <w:color w:val="auto"/>
          <w:sz w:val="21"/>
          <w:szCs w:val="21"/>
        </w:rPr>
        <w:t>对于满足合同约定支付条件的，甲方原则上应当自收到发票后10个工作日内将资金支付到合同约定的</w:t>
      </w:r>
      <w:r>
        <w:rPr>
          <w:rFonts w:hint="eastAsia" w:ascii="宋体" w:hAnsi="宋体"/>
          <w:b w:val="0"/>
          <w:bCs w:val="0"/>
          <w:strike w:val="0"/>
          <w:color w:val="auto"/>
          <w:sz w:val="21"/>
          <w:szCs w:val="21"/>
        </w:rPr>
        <w:t>乙方</w:t>
      </w:r>
      <w:r>
        <w:rPr>
          <w:rFonts w:hint="eastAsia" w:ascii="宋体" w:hAnsi="宋体" w:eastAsia="宋体"/>
          <w:b w:val="0"/>
          <w:bCs w:val="0"/>
          <w:strike w:val="0"/>
          <w:color w:val="auto"/>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trike w:val="0"/>
          <w:color w:val="auto"/>
          <w:sz w:val="21"/>
          <w:szCs w:val="21"/>
        </w:rPr>
        <w:t>政府采购合同专用条款</w:t>
      </w:r>
      <w:r>
        <w:rPr>
          <w:rFonts w:hint="eastAsia" w:ascii="宋体" w:hAnsi="宋体" w:eastAsia="宋体"/>
          <w:b w:val="0"/>
          <w:bCs w:val="0"/>
          <w:strike w:val="0"/>
          <w:color w:val="auto"/>
          <w:sz w:val="21"/>
          <w:szCs w:val="21"/>
        </w:rPr>
        <w:t>】中</w:t>
      </w:r>
      <w:r>
        <w:rPr>
          <w:rFonts w:hint="eastAsia" w:ascii="宋体" w:hAnsi="宋体"/>
          <w:b w:val="0"/>
          <w:bCs w:val="0"/>
          <w:strike w:val="0"/>
          <w:color w:val="auto"/>
          <w:sz w:val="21"/>
          <w:szCs w:val="21"/>
        </w:rPr>
        <w:t>约</w:t>
      </w:r>
      <w:r>
        <w:rPr>
          <w:rFonts w:hint="eastAsia" w:ascii="宋体" w:hAnsi="宋体" w:eastAsia="宋体"/>
          <w:b w:val="0"/>
          <w:bCs w:val="0"/>
          <w:strike w:val="0"/>
          <w:color w:val="auto"/>
          <w:sz w:val="21"/>
          <w:szCs w:val="21"/>
        </w:rPr>
        <w:t>定。</w:t>
      </w:r>
    </w:p>
    <w:p w14:paraId="673407C8">
      <w:pPr>
        <w:pStyle w:val="20"/>
        <w:spacing w:line="400" w:lineRule="exact"/>
        <w:rPr>
          <w:rFonts w:hint="eastAsia" w:ascii="宋体" w:hAnsi="宋体"/>
          <w:b/>
          <w:bCs/>
          <w:strike w:val="0"/>
          <w:color w:val="auto"/>
        </w:rPr>
      </w:pPr>
      <w:r>
        <w:rPr>
          <w:rFonts w:hint="eastAsia" w:ascii="宋体" w:hAnsi="宋体"/>
          <w:b/>
          <w:bCs/>
          <w:strike w:val="0"/>
          <w:color w:val="auto"/>
        </w:rPr>
        <w:t>13. 履约保证金</w:t>
      </w:r>
    </w:p>
    <w:p w14:paraId="05E293D2">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13.1 </w:t>
      </w:r>
      <w:r>
        <w:rPr>
          <w:rFonts w:hint="eastAsia" w:ascii="宋体" w:hAnsi="宋体" w:cs="宋体"/>
          <w:strike w:val="0"/>
          <w:color w:val="auto"/>
          <w:szCs w:val="15"/>
        </w:rPr>
        <w:t>乙方应当以支票、汇票、本票或者金融机构、担保机构出具的保函等非现金形式提交。</w:t>
      </w:r>
    </w:p>
    <w:p w14:paraId="777F8ED9">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13.2 如果乙方出现</w:t>
      </w:r>
      <w:r>
        <w:rPr>
          <w:rFonts w:hint="eastAsia" w:ascii="宋体" w:hAnsi="宋体" w:cs="宋体"/>
          <w:b/>
          <w:bCs/>
          <w:strike w:val="0"/>
          <w:color w:val="auto"/>
          <w:szCs w:val="15"/>
        </w:rPr>
        <w:t>【政府采购合同专用条款】</w:t>
      </w:r>
      <w:r>
        <w:rPr>
          <w:rFonts w:hint="eastAsia" w:ascii="宋体" w:hAnsi="宋体" w:cs="宋体"/>
          <w:strike w:val="0"/>
          <w:color w:val="auto"/>
          <w:szCs w:val="15"/>
        </w:rPr>
        <w:t>约定情形的</w:t>
      </w:r>
      <w:r>
        <w:rPr>
          <w:rFonts w:hint="eastAsia" w:ascii="宋体" w:hAnsi="宋体"/>
          <w:strike w:val="0"/>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124CFBB4">
      <w:pPr>
        <w:spacing w:line="400" w:lineRule="exact"/>
        <w:ind w:firstLine="420"/>
        <w:rPr>
          <w:strike w:val="0"/>
          <w:color w:val="auto"/>
        </w:rPr>
      </w:pPr>
      <w:r>
        <w:rPr>
          <w:rFonts w:hint="eastAsia" w:ascii="宋体" w:hAnsi="宋体"/>
          <w:strike w:val="0"/>
          <w:color w:val="auto"/>
          <w:szCs w:val="21"/>
        </w:rPr>
        <w:t>13.3 甲方在项目通过验收后按照</w:t>
      </w:r>
      <w:r>
        <w:rPr>
          <w:rFonts w:hint="eastAsia" w:ascii="宋体" w:hAnsi="宋体"/>
          <w:b/>
          <w:strike w:val="0"/>
          <w:color w:val="auto"/>
          <w:szCs w:val="21"/>
        </w:rPr>
        <w:t>【政府采购合同专用条款】</w:t>
      </w:r>
      <w:r>
        <w:rPr>
          <w:rFonts w:hint="eastAsia" w:ascii="宋体" w:hAnsi="宋体"/>
          <w:strike w:val="0"/>
          <w:color w:val="auto"/>
          <w:szCs w:val="21"/>
        </w:rPr>
        <w:t>规定的时间内将履约保证金退还乙方；逾期退还的，乙方可要求甲方支付违约金，违约金按照</w:t>
      </w:r>
      <w:r>
        <w:rPr>
          <w:rFonts w:hint="eastAsia" w:ascii="宋体" w:hAnsi="宋体"/>
          <w:b/>
          <w:strike w:val="0"/>
          <w:color w:val="auto"/>
          <w:szCs w:val="21"/>
        </w:rPr>
        <w:t>【政府采购合同专用条款】</w:t>
      </w:r>
      <w:r>
        <w:rPr>
          <w:rFonts w:hint="eastAsia" w:ascii="宋体" w:hAnsi="宋体"/>
          <w:strike w:val="0"/>
          <w:color w:val="auto"/>
          <w:szCs w:val="21"/>
        </w:rPr>
        <w:t>规定支付。</w:t>
      </w:r>
    </w:p>
    <w:p w14:paraId="24660DFC">
      <w:p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bCs/>
          <w:strike w:val="0"/>
          <w:color w:val="auto"/>
          <w:sz w:val="24"/>
        </w:rPr>
        <w:t xml:space="preserve">14. </w:t>
      </w:r>
      <w:r>
        <w:rPr>
          <w:rFonts w:hint="eastAsia"/>
          <w:b/>
          <w:strike w:val="0"/>
          <w:color w:val="auto"/>
          <w:sz w:val="24"/>
        </w:rPr>
        <w:t>售后</w:t>
      </w:r>
      <w:r>
        <w:rPr>
          <w:rFonts w:hint="eastAsia" w:ascii="宋体" w:hAnsi="宋体"/>
          <w:b/>
          <w:strike w:val="0"/>
          <w:color w:val="auto"/>
          <w:sz w:val="24"/>
        </w:rPr>
        <w:t>服务</w:t>
      </w:r>
    </w:p>
    <w:p w14:paraId="125DD638">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14.1 除项目不涉及或采购活动中明确约定无须承担外，乙方还应提供下列服务：</w:t>
      </w:r>
    </w:p>
    <w:p w14:paraId="4BCBA3F3">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（1）货物的现场移动、安装、调试、启动监督及技术支持；</w:t>
      </w:r>
    </w:p>
    <w:p w14:paraId="29D27CB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（2）提供货物组装和维修所需的专用工具和辅助材料；</w:t>
      </w:r>
    </w:p>
    <w:p w14:paraId="3A303F4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（3）在</w:t>
      </w:r>
      <w:r>
        <w:rPr>
          <w:rFonts w:hint="eastAsia" w:ascii="宋体" w:hAnsi="宋体" w:cs="宋体"/>
          <w:b/>
          <w:bCs/>
          <w:strike w:val="0"/>
          <w:color w:val="auto"/>
          <w:szCs w:val="15"/>
        </w:rPr>
        <w:t>【政府采购合同专用条款】</w:t>
      </w:r>
      <w:r>
        <w:rPr>
          <w:rFonts w:hint="eastAsia" w:ascii="宋体" w:hAnsi="宋体"/>
          <w:strike w:val="0"/>
          <w:color w:val="auto"/>
          <w:szCs w:val="21"/>
        </w:rPr>
        <w:t>约定的期限内对所有的货物实施运行监督、维修，但前提条件是该服务并不能免除乙方在质量保证期内所承担的义务；</w:t>
      </w:r>
    </w:p>
    <w:p w14:paraId="2EC4069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（4）在制造商所在地或指定现场就货物的安装、启动、运营、维护、废弃处置等对甲方操作人员进行培训</w:t>
      </w:r>
      <w:r>
        <w:rPr>
          <w:rFonts w:hint="eastAsia" w:ascii="宋体" w:hAnsi="宋体" w:cs="宋体"/>
          <w:strike w:val="0"/>
          <w:color w:val="auto"/>
          <w:szCs w:val="15"/>
        </w:rPr>
        <w:t>；</w:t>
      </w:r>
    </w:p>
    <w:p w14:paraId="71C08E32">
      <w:pPr>
        <w:pStyle w:val="311"/>
        <w:ind w:firstLine="420"/>
        <w:rPr>
          <w:rFonts w:hint="eastAsia" w:ascii="宋体" w:hAnsi="宋体" w:eastAsia="宋体" w:cs="宋体"/>
          <w:strike w:val="0"/>
          <w:color w:val="auto"/>
          <w:sz w:val="21"/>
        </w:rPr>
      </w:pPr>
      <w:r>
        <w:rPr>
          <w:rFonts w:hint="eastAsia" w:ascii="宋体" w:hAnsi="宋体" w:eastAsia="宋体" w:cs="宋体"/>
          <w:strike w:val="0"/>
          <w:color w:val="auto"/>
          <w:sz w:val="21"/>
        </w:rPr>
        <w:t>（5）依照法律、行政法规的规定或者按照</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约定，货物在有效使用年限届满后应予回收的，乙方负有自行或者委托第三人对货物予以回收的义务；</w:t>
      </w:r>
    </w:p>
    <w:p w14:paraId="1F9F9DE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（6）</w:t>
      </w:r>
      <w:r>
        <w:rPr>
          <w:rFonts w:hint="eastAsia" w:ascii="宋体" w:hAnsi="宋体"/>
          <w:b/>
          <w:strike w:val="0"/>
          <w:color w:val="auto"/>
          <w:szCs w:val="21"/>
        </w:rPr>
        <w:t>【政府采购合同专用条款】</w:t>
      </w:r>
      <w:r>
        <w:rPr>
          <w:rFonts w:hint="eastAsia" w:ascii="宋体" w:hAnsi="宋体"/>
          <w:strike w:val="0"/>
          <w:color w:val="auto"/>
          <w:szCs w:val="21"/>
        </w:rPr>
        <w:t>规定由乙方提供的其他服务。</w:t>
      </w:r>
    </w:p>
    <w:p w14:paraId="190B8DF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14.2 乙方提供的售后服务的费用已包含在合同价款中，甲方不再另行支付。</w:t>
      </w:r>
    </w:p>
    <w:p w14:paraId="3A25A689">
      <w:p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15. 违约责任</w:t>
      </w:r>
    </w:p>
    <w:p w14:paraId="7A9C2573">
      <w:pPr>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15.1质量瑕疵的违约责任</w:t>
      </w:r>
    </w:p>
    <w:p w14:paraId="51FB9BA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乙方提供的产品不符合合同约定的质量标准或存在产品质量缺陷，甲方有权要求乙方根据</w:t>
      </w:r>
      <w:r>
        <w:rPr>
          <w:rFonts w:hint="eastAsia" w:ascii="宋体" w:hAnsi="宋体"/>
          <w:b/>
          <w:strike w:val="0"/>
          <w:color w:val="auto"/>
          <w:szCs w:val="21"/>
        </w:rPr>
        <w:t>【政府采购合同专用条款】</w:t>
      </w:r>
      <w:r>
        <w:rPr>
          <w:rFonts w:hint="eastAsia" w:ascii="宋体" w:hAnsi="宋体"/>
          <w:bCs/>
          <w:strike w:val="0"/>
          <w:color w:val="auto"/>
          <w:szCs w:val="21"/>
        </w:rPr>
        <w:t>要求</w:t>
      </w:r>
      <w:r>
        <w:rPr>
          <w:rFonts w:hint="eastAsia" w:ascii="宋体" w:hAnsi="宋体"/>
          <w:strike w:val="0"/>
          <w:color w:val="auto"/>
          <w:szCs w:val="21"/>
        </w:rPr>
        <w:t>及时修理、重作、更换，并承担由此给甲方造成的损失。</w:t>
      </w:r>
    </w:p>
    <w:p w14:paraId="14C131DA">
      <w:pPr>
        <w:autoSpaceDE w:val="0"/>
        <w:autoSpaceDN w:val="0"/>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15.2 迟延交货的违约责任</w:t>
      </w:r>
    </w:p>
    <w:p w14:paraId="5F886C5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C55F68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（2）如果乙方没有按照合同规定的时间交货和提供相关服务，甲方有权从货款中扣除误期赔偿费而不影响合同项下的其他补救方法，赔偿费按</w:t>
      </w:r>
      <w:r>
        <w:rPr>
          <w:rFonts w:hint="eastAsia" w:ascii="宋体" w:hAnsi="宋体"/>
          <w:b/>
          <w:strike w:val="0"/>
          <w:color w:val="auto"/>
          <w:szCs w:val="21"/>
        </w:rPr>
        <w:t>【政府采购合同专用条款】</w:t>
      </w:r>
      <w:r>
        <w:rPr>
          <w:rFonts w:hint="eastAsia" w:ascii="宋体" w:hAnsi="宋体"/>
          <w:strike w:val="0"/>
          <w:color w:val="auto"/>
          <w:szCs w:val="21"/>
        </w:rPr>
        <w:t>规定执行。如果涉及公共利益，且赔偿金额无法弥补公共利益损失，甲方可要求继续履行或者采取其他补救措施。</w:t>
      </w:r>
    </w:p>
    <w:p w14:paraId="2347B2E7">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15.3 迟延支付的违约责任</w:t>
      </w:r>
    </w:p>
    <w:p w14:paraId="5327736F">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甲方存在迟延支付乙方合同款项的，应当承担</w:t>
      </w:r>
      <w:r>
        <w:rPr>
          <w:rFonts w:hint="eastAsia" w:ascii="宋体" w:hAnsi="宋体"/>
          <w:b/>
          <w:bCs/>
          <w:strike w:val="0"/>
          <w:color w:val="auto"/>
          <w:szCs w:val="21"/>
        </w:rPr>
        <w:t>【政府采购合同专用条款】</w:t>
      </w:r>
      <w:r>
        <w:rPr>
          <w:rFonts w:hint="eastAsia" w:ascii="宋体" w:hAnsi="宋体"/>
          <w:strike w:val="0"/>
          <w:color w:val="auto"/>
          <w:szCs w:val="21"/>
        </w:rPr>
        <w:t>规定的逾期付款利息。</w:t>
      </w:r>
    </w:p>
    <w:p w14:paraId="05ACAB4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bCs/>
          <w:strike w:val="0"/>
          <w:color w:val="auto"/>
          <w:szCs w:val="21"/>
        </w:rPr>
        <w:t>15.4其他违约责任根据项目实际需要按</w:t>
      </w:r>
      <w:r>
        <w:rPr>
          <w:rFonts w:hint="eastAsia" w:ascii="宋体" w:hAnsi="宋体"/>
          <w:b/>
          <w:bCs/>
          <w:strike w:val="0"/>
          <w:color w:val="auto"/>
          <w:szCs w:val="21"/>
        </w:rPr>
        <w:t>【政府采购合同专用条款】</w:t>
      </w:r>
      <w:r>
        <w:rPr>
          <w:rFonts w:hint="eastAsia" w:ascii="宋体" w:hAnsi="宋体"/>
          <w:strike w:val="0"/>
          <w:color w:val="auto"/>
          <w:szCs w:val="21"/>
        </w:rPr>
        <w:t>规定执行。</w:t>
      </w:r>
    </w:p>
    <w:p w14:paraId="4697F6FD">
      <w:pPr>
        <w:numPr>
          <w:ilvl w:val="0"/>
          <w:numId w:val="27"/>
        </w:num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合同变更、中止与终止</w:t>
      </w:r>
    </w:p>
    <w:p w14:paraId="76F79665">
      <w:pPr>
        <w:adjustRightInd w:val="0"/>
        <w:snapToGrid w:val="0"/>
        <w:spacing w:line="400" w:lineRule="exact"/>
        <w:jc w:val="left"/>
        <w:rPr>
          <w:rFonts w:hint="eastAsia" w:ascii="宋体" w:hAnsi="宋体"/>
          <w:strike w:val="0"/>
          <w:color w:val="auto"/>
          <w:szCs w:val="21"/>
        </w:rPr>
      </w:pPr>
      <w:r>
        <w:rPr>
          <w:rFonts w:hint="eastAsia" w:ascii="宋体" w:hAnsi="宋体"/>
          <w:strike w:val="0"/>
          <w:color w:val="auto"/>
          <w:szCs w:val="21"/>
        </w:rPr>
        <w:t xml:space="preserve">    16.1合同的变更</w:t>
      </w:r>
    </w:p>
    <w:p w14:paraId="3F51C4A4">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政府采购合同履行中，在不改变合同其他条款的前提下，甲方可以在合同价款10%的范围内追加与合同标的相同的货物，并就此与乙方协商一致后签订补充协议。</w:t>
      </w:r>
    </w:p>
    <w:p w14:paraId="68A6287B">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16.2合同的中止</w:t>
      </w:r>
    </w:p>
    <w:p w14:paraId="5D0F34E9">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（1）合同履行过程中因供应商就采购文件、采购过程或结果提起投诉的，甲方认为有必要的，可以中止合同的履行。</w:t>
      </w:r>
    </w:p>
    <w:p w14:paraId="51475060">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4D3AFE">
      <w:pPr>
        <w:pStyle w:val="311"/>
        <w:ind w:firstLine="420"/>
        <w:jc w:val="both"/>
        <w:rPr>
          <w:rFonts w:hint="eastAsia"/>
          <w:strike w:val="0"/>
          <w:color w:val="auto"/>
          <w:sz w:val="21"/>
        </w:rPr>
      </w:pPr>
      <w:r>
        <w:rPr>
          <w:rFonts w:hint="eastAsia" w:ascii="宋体" w:hAnsi="宋体" w:eastAsia="宋体" w:cs="宋体"/>
          <w:strike w:val="0"/>
          <w:color w:val="auto"/>
          <w:sz w:val="21"/>
        </w:rPr>
        <w:t>（3）乙方分立、合并或者变更住所的，应当及时以书面形式告知甲方。乙方没有及时告知甲方，致使合同履行发生困难的，甲方可以中止合同履行并要求乙方承担由此给甲方造成的损失。</w:t>
      </w:r>
    </w:p>
    <w:p w14:paraId="25B90D7B">
      <w:pPr>
        <w:snapToGrid w:val="0"/>
        <w:spacing w:line="400" w:lineRule="exact"/>
        <w:ind w:firstLine="420" w:firstLineChars="200"/>
        <w:jc w:val="left"/>
        <w:rPr>
          <w:strike w:val="0"/>
          <w:color w:val="auto"/>
        </w:rPr>
      </w:pPr>
      <w:r>
        <w:rPr>
          <w:rFonts w:hint="eastAsia" w:ascii="宋体" w:hAnsi="宋体"/>
          <w:strike w:val="0"/>
          <w:color w:val="auto"/>
          <w:szCs w:val="21"/>
        </w:rPr>
        <w:t>（4）甲方不得以行政区划调整、政府换届、机构或者职能调整以及相关责任人更替为由中止合同。</w:t>
      </w:r>
    </w:p>
    <w:p w14:paraId="2CD5A5EE">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16.3合同的终止</w:t>
      </w:r>
    </w:p>
    <w:p w14:paraId="24BC0302">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（1）合同因有效期限届满而终止；</w:t>
      </w:r>
    </w:p>
    <w:p w14:paraId="465B76A3">
      <w:pPr>
        <w:snapToGrid w:val="0"/>
        <w:spacing w:line="400" w:lineRule="exact"/>
        <w:ind w:firstLine="420" w:firstLineChars="200"/>
        <w:rPr>
          <w:rFonts w:hint="eastAsia" w:ascii="宋体" w:hAnsi="宋体" w:cs="宋体"/>
          <w:strike w:val="0"/>
          <w:color w:val="auto"/>
          <w:szCs w:val="21"/>
        </w:rPr>
      </w:pPr>
      <w:r>
        <w:rPr>
          <w:rFonts w:hint="eastAsia" w:ascii="宋体" w:hAnsi="宋体"/>
          <w:strike w:val="0"/>
          <w:color w:val="auto"/>
          <w:szCs w:val="21"/>
        </w:rPr>
        <w:t>（2）乙方未按合同约定履行，构成根本性违约的，甲方有权终止合同，</w:t>
      </w:r>
      <w:r>
        <w:rPr>
          <w:rFonts w:hint="eastAsia" w:ascii="宋体" w:hAnsi="宋体" w:cs="宋体"/>
          <w:strike w:val="0"/>
          <w:color w:val="auto"/>
          <w:szCs w:val="21"/>
        </w:rPr>
        <w:t>并追究乙方的违约责任</w:t>
      </w:r>
      <w:r>
        <w:rPr>
          <w:rFonts w:hint="eastAsia" w:ascii="宋体" w:hAnsi="宋体"/>
          <w:strike w:val="0"/>
          <w:color w:val="auto"/>
          <w:szCs w:val="21"/>
        </w:rPr>
        <w:t>。</w:t>
      </w:r>
    </w:p>
    <w:p w14:paraId="035BD1DC">
      <w:pPr>
        <w:pStyle w:val="311"/>
        <w:rPr>
          <w:rFonts w:hint="eastAsia" w:ascii="宋体" w:hAnsi="宋体"/>
          <w:strike w:val="0"/>
          <w:color w:val="auto"/>
        </w:rPr>
      </w:pPr>
      <w:r>
        <w:rPr>
          <w:rFonts w:hint="eastAsia" w:ascii="宋体" w:hAnsi="宋体"/>
          <w:strike w:val="0"/>
          <w:color w:val="auto"/>
        </w:rPr>
        <w:t xml:space="preserve">16.4 </w:t>
      </w:r>
      <w:r>
        <w:rPr>
          <w:rFonts w:hint="eastAsia" w:ascii="宋体" w:hAnsi="宋体" w:eastAsia="宋体" w:cs="Times New Roman"/>
          <w:strike w:val="0"/>
          <w:color w:val="auto"/>
          <w:kern w:val="2"/>
          <w:sz w:val="21"/>
        </w:rPr>
        <w:t>涉及国家利益、社会公共利益的情形</w:t>
      </w:r>
    </w:p>
    <w:p w14:paraId="162A7C4D">
      <w:pPr>
        <w:pStyle w:val="311"/>
        <w:ind w:firstLine="420"/>
        <w:jc w:val="both"/>
        <w:rPr>
          <w:rFonts w:hint="eastAsia"/>
          <w:strike w:val="0"/>
          <w:color w:val="auto"/>
          <w:sz w:val="21"/>
        </w:rPr>
      </w:pPr>
      <w:r>
        <w:rPr>
          <w:rFonts w:hint="eastAsia" w:ascii="宋体" w:hAnsi="宋体" w:eastAsia="宋体" w:cs="宋体"/>
          <w:strike w:val="0"/>
          <w:color w:val="auto"/>
          <w:sz w:val="21"/>
        </w:rPr>
        <w:t>政府采购合同继续履行将损害国家利益和社会公共利益的，双方当事人应当变更、中止或者终止合同。有过错的一方应当承担赔偿责任，双方都有过错的，各自承担相应的责任。</w:t>
      </w:r>
    </w:p>
    <w:p w14:paraId="39562C8B">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17. 合同分包</w:t>
      </w:r>
    </w:p>
    <w:p w14:paraId="5E97B97E">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17.1 乙方不得将合同转包给其他供应商。涉及合同分包的，乙方应根据采购文件和投标（响应）文件规定进行合同分包。</w:t>
      </w:r>
    </w:p>
    <w:p w14:paraId="2870B461">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17.2 乙方执行政府采购政策向中小企业依法分包的，乙方应当按采购文件和投标（响应）文件签订分包意向协议，分包意向协议属于本合同组成部分。</w:t>
      </w:r>
    </w:p>
    <w:p w14:paraId="034A36E1">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18. 不可抗力</w:t>
      </w:r>
    </w:p>
    <w:p w14:paraId="00CBD535">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18.1 不可抗力是指合同双方不能预见、不能避免且不能克服的客观情况。</w:t>
      </w:r>
    </w:p>
    <w:p w14:paraId="31324BB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18.2 任何一方对由于不可抗力造成的部分或全部不能履行合同不承担违约责任。但迟延履行后发生不可抗力的，不能免除责任。</w:t>
      </w:r>
    </w:p>
    <w:p w14:paraId="7BA2D8CD">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196E48D">
      <w:pPr>
        <w:autoSpaceDE w:val="0"/>
        <w:autoSpaceDN w:val="0"/>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19. 解决争议的方法</w:t>
      </w:r>
    </w:p>
    <w:p w14:paraId="623420B4">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1A7B9854">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19.2 选择仲裁的，应在</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中明确仲裁机构及仲裁地；通过诉讼方式解决的，可以在</w:t>
      </w:r>
      <w:r>
        <w:rPr>
          <w:rFonts w:hint="eastAsia" w:ascii="宋体" w:hAnsi="宋体" w:eastAsia="宋体" w:cs="宋体"/>
          <w:b/>
          <w:bCs/>
          <w:strike w:val="0"/>
          <w:color w:val="auto"/>
          <w:sz w:val="21"/>
        </w:rPr>
        <w:t>【政府采购合同专用条款】</w:t>
      </w:r>
      <w:r>
        <w:rPr>
          <w:rFonts w:hint="eastAsia" w:ascii="宋体" w:hAnsi="宋体" w:eastAsia="宋体" w:cs="宋体"/>
          <w:strike w:val="0"/>
          <w:color w:val="auto"/>
          <w:sz w:val="21"/>
        </w:rPr>
        <w:t>中进一步约定选择与争议有实际联系的地点的人民法院管辖，但管辖法院的约定不得违反级别管辖和专属管辖的规定。</w:t>
      </w:r>
    </w:p>
    <w:p w14:paraId="618866F3">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19.3 如甲乙双方有争议的事项不影响合同其他部分的履行，在争议解决期间，合同其他部分应当继续履行。</w:t>
      </w:r>
    </w:p>
    <w:p w14:paraId="5557E357">
      <w:pPr>
        <w:autoSpaceDE w:val="0"/>
        <w:autoSpaceDN w:val="0"/>
        <w:adjustRightInd w:val="0"/>
        <w:snapToGrid w:val="0"/>
        <w:spacing w:line="400" w:lineRule="exact"/>
        <w:jc w:val="left"/>
        <w:rPr>
          <w:rFonts w:hint="eastAsia" w:ascii="宋体" w:hAnsi="宋体"/>
          <w:strike w:val="0"/>
          <w:color w:val="auto"/>
          <w:sz w:val="24"/>
        </w:rPr>
      </w:pPr>
      <w:r>
        <w:rPr>
          <w:rFonts w:hint="eastAsia" w:ascii="宋体" w:hAnsi="宋体"/>
          <w:b/>
          <w:strike w:val="0"/>
          <w:color w:val="auto"/>
          <w:sz w:val="24"/>
        </w:rPr>
        <w:t>20. 政府采购政策</w:t>
      </w:r>
    </w:p>
    <w:p w14:paraId="240BDBAC">
      <w:pPr>
        <w:autoSpaceDE w:val="0"/>
        <w:autoSpaceDN w:val="0"/>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 xml:space="preserve">20.1 </w:t>
      </w:r>
      <w:r>
        <w:rPr>
          <w:rFonts w:hint="eastAsia" w:ascii="宋体" w:hAnsi="宋体" w:cs="宋体"/>
          <w:strike w:val="0"/>
          <w:color w:val="auto"/>
          <w:lang w:val="en-GB"/>
        </w:rPr>
        <w:t>本合同应当按照规定执行政府采购政策。</w:t>
      </w:r>
    </w:p>
    <w:p w14:paraId="33B89556">
      <w:pPr>
        <w:autoSpaceDE w:val="0"/>
        <w:autoSpaceDN w:val="0"/>
        <w:adjustRightInd w:val="0"/>
        <w:snapToGrid w:val="0"/>
        <w:spacing w:line="400" w:lineRule="exact"/>
        <w:ind w:firstLine="420" w:firstLineChars="200"/>
        <w:jc w:val="left"/>
        <w:rPr>
          <w:rFonts w:hint="eastAsia" w:ascii="宋体" w:hAnsi="宋体" w:eastAsia="宋体" w:cs="宋体"/>
          <w:strike w:val="0"/>
          <w:color w:val="auto"/>
          <w:lang w:val="en-GB"/>
        </w:rPr>
      </w:pPr>
      <w:r>
        <w:rPr>
          <w:rFonts w:ascii="宋体" w:hAnsi="宋体"/>
          <w:strike w:val="0"/>
          <w:color w:val="auto"/>
          <w:szCs w:val="21"/>
        </w:rPr>
        <w:t>2</w:t>
      </w:r>
      <w:r>
        <w:rPr>
          <w:rFonts w:hint="eastAsia" w:ascii="宋体" w:hAnsi="宋体"/>
          <w:strike w:val="0"/>
          <w:color w:val="auto"/>
          <w:szCs w:val="21"/>
        </w:rPr>
        <w:t>0.2 本合同依法执行政府采购政策的方式和内容，属于合同履约验收的范围。</w:t>
      </w:r>
      <w:r>
        <w:rPr>
          <w:rFonts w:hint="eastAsia" w:ascii="宋体" w:hAnsi="宋体" w:cs="宋体"/>
          <w:strike w:val="0"/>
          <w:color w:val="auto"/>
        </w:rPr>
        <w:t>甲乙双方</w:t>
      </w:r>
      <w:r>
        <w:rPr>
          <w:rFonts w:hint="eastAsia" w:ascii="宋体" w:hAnsi="宋体" w:cs="宋体"/>
          <w:strike w:val="0"/>
          <w:color w:val="auto"/>
          <w:lang w:val="en-GB"/>
        </w:rPr>
        <w:t>未按规定要求执行政</w:t>
      </w:r>
      <w:r>
        <w:rPr>
          <w:rFonts w:hint="eastAsia" w:ascii="宋体" w:hAnsi="宋体" w:eastAsia="宋体" w:cs="宋体"/>
          <w:strike w:val="0"/>
          <w:color w:val="auto"/>
          <w:lang w:val="en-GB"/>
        </w:rPr>
        <w:t>府采购政策造成损失的，有过错的一方应当承担赔偿责任，双方都有过错的，各自承担相应的责任。</w:t>
      </w:r>
    </w:p>
    <w:p w14:paraId="27341A0D">
      <w:pPr>
        <w:autoSpaceDE w:val="0"/>
        <w:autoSpaceDN w:val="0"/>
        <w:adjustRightInd w:val="0"/>
        <w:snapToGrid w:val="0"/>
        <w:spacing w:line="400" w:lineRule="exact"/>
        <w:ind w:firstLine="420" w:firstLineChars="200"/>
        <w:jc w:val="left"/>
        <w:rPr>
          <w:rFonts w:hint="eastAsia" w:ascii="宋体" w:hAnsi="宋体" w:eastAsia="宋体" w:cs="宋体"/>
          <w:strike w:val="0"/>
          <w:color w:val="auto"/>
          <w:lang w:val="en-GB"/>
        </w:rPr>
      </w:pPr>
      <w:r>
        <w:rPr>
          <w:rFonts w:hint="eastAsia" w:ascii="宋体" w:hAnsi="宋体" w:eastAsia="宋体" w:cs="宋体"/>
          <w:strike w:val="0"/>
          <w:color w:val="auto"/>
          <w:lang w:val="en-GB"/>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4865A94">
      <w:p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21. 法律适用</w:t>
      </w:r>
    </w:p>
    <w:p w14:paraId="36C1464B">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21.1 本合同的订立、生效、解释、履行及与本合同有关的争议解决，均适用法律、行政法规。</w:t>
      </w:r>
    </w:p>
    <w:p w14:paraId="67FA4A75">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21.2 本合同条款与法律、行政法规的强制性规定不一致的，双方当事人应按照法律、行政法规的强制性规定修改本合同的相关条款。</w:t>
      </w:r>
    </w:p>
    <w:p w14:paraId="0DDFE815">
      <w:pPr>
        <w:numPr>
          <w:ilvl w:val="0"/>
          <w:numId w:val="0"/>
        </w:numPr>
        <w:autoSpaceDE w:val="0"/>
        <w:autoSpaceDN w:val="0"/>
        <w:adjustRightInd w:val="0"/>
        <w:snapToGrid w:val="0"/>
        <w:spacing w:line="400" w:lineRule="exact"/>
        <w:jc w:val="left"/>
        <w:rPr>
          <w:rFonts w:hint="eastAsia" w:ascii="宋体" w:hAnsi="宋体"/>
          <w:b/>
          <w:strike w:val="0"/>
          <w:color w:val="auto"/>
          <w:sz w:val="24"/>
        </w:rPr>
      </w:pPr>
      <w:r>
        <w:rPr>
          <w:rFonts w:hint="eastAsia" w:ascii="宋体" w:hAnsi="宋体"/>
          <w:b/>
          <w:strike w:val="0"/>
          <w:color w:val="auto"/>
          <w:sz w:val="24"/>
        </w:rPr>
        <w:t>22. 通知</w:t>
      </w:r>
    </w:p>
    <w:p w14:paraId="15A19145">
      <w:pPr>
        <w:pStyle w:val="311"/>
        <w:ind w:firstLine="420"/>
        <w:jc w:val="both"/>
        <w:rPr>
          <w:rFonts w:hint="eastAsia" w:ascii="宋体" w:hAnsi="宋体" w:eastAsia="宋体" w:cs="宋体"/>
          <w:strike w:val="0"/>
          <w:color w:val="auto"/>
          <w:sz w:val="21"/>
        </w:rPr>
      </w:pPr>
      <w:r>
        <w:rPr>
          <w:rFonts w:hint="eastAsia" w:ascii="宋体" w:hAnsi="宋体" w:eastAsia="宋体" w:cs="宋体"/>
          <w:strike w:val="0"/>
          <w:color w:val="auto"/>
          <w:sz w:val="21"/>
        </w:rPr>
        <w:t>22.1 本合同任何一方向对方发出的通知、信件、数据电文等，应当发送至本合同第一部分《政府采购合同协议书》所约定的通讯地址、联系人、联系电话或电子邮箱。</w:t>
      </w:r>
    </w:p>
    <w:p w14:paraId="09D94CEE">
      <w:pPr>
        <w:pStyle w:val="311"/>
        <w:ind w:firstLine="0" w:firstLineChars="0"/>
        <w:jc w:val="both"/>
        <w:rPr>
          <w:rFonts w:hint="eastAsia"/>
          <w:strike w:val="0"/>
          <w:color w:val="auto"/>
          <w:sz w:val="21"/>
        </w:rPr>
      </w:pPr>
      <w:r>
        <w:rPr>
          <w:rFonts w:hint="eastAsia" w:ascii="宋体" w:hAnsi="宋体" w:eastAsia="宋体" w:cs="宋体"/>
          <w:strike w:val="0"/>
          <w:color w:val="auto"/>
          <w:sz w:val="21"/>
        </w:rPr>
        <w:t xml:space="preserve">    22.2 一方当事人变更名称、住所、联系人、联系电话或电子邮箱等信息的，应当在变更后3日内及时书面通知对方，对方实际收到变更通知前的送达仍为有效送达。</w:t>
      </w:r>
    </w:p>
    <w:p w14:paraId="50A45E6C">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22.3本合同一方给另一方的通知均应采用书面形式，传真或快递送到本合同中规定的对方的地址和办理签收手续。</w:t>
      </w:r>
    </w:p>
    <w:p w14:paraId="44C47AC2">
      <w:pPr>
        <w:adjustRightInd w:val="0"/>
        <w:snapToGrid w:val="0"/>
        <w:spacing w:line="400" w:lineRule="exact"/>
        <w:ind w:firstLine="420" w:firstLineChars="200"/>
        <w:jc w:val="left"/>
        <w:rPr>
          <w:rFonts w:hint="eastAsia" w:ascii="宋体" w:hAnsi="宋体"/>
          <w:strike w:val="0"/>
          <w:color w:val="auto"/>
          <w:szCs w:val="21"/>
        </w:rPr>
      </w:pPr>
      <w:r>
        <w:rPr>
          <w:rFonts w:hint="eastAsia" w:ascii="宋体" w:hAnsi="宋体"/>
          <w:strike w:val="0"/>
          <w:color w:val="auto"/>
          <w:szCs w:val="21"/>
        </w:rPr>
        <w:t>22.4通知以送达之日或通知书中规定的生效之日起生效，两者中以较迟之日为准。</w:t>
      </w:r>
    </w:p>
    <w:p w14:paraId="47B79C4A">
      <w:pPr>
        <w:numPr>
          <w:ilvl w:val="0"/>
          <w:numId w:val="28"/>
        </w:numPr>
        <w:adjustRightInd w:val="0"/>
        <w:snapToGrid w:val="0"/>
        <w:spacing w:line="400" w:lineRule="exact"/>
        <w:jc w:val="left"/>
        <w:rPr>
          <w:rFonts w:hint="eastAsia" w:ascii="宋体" w:hAnsi="宋体"/>
          <w:b/>
          <w:bCs/>
          <w:strike w:val="0"/>
          <w:color w:val="auto"/>
          <w:sz w:val="24"/>
        </w:rPr>
      </w:pPr>
      <w:r>
        <w:rPr>
          <w:rFonts w:hint="eastAsia" w:ascii="宋体" w:hAnsi="宋体"/>
          <w:b/>
          <w:bCs/>
          <w:strike w:val="0"/>
          <w:color w:val="auto"/>
          <w:sz w:val="24"/>
        </w:rPr>
        <w:t>合同未尽事项</w:t>
      </w:r>
    </w:p>
    <w:p w14:paraId="4B062667">
      <w:pPr>
        <w:adjustRightInd w:val="0"/>
        <w:snapToGrid w:val="0"/>
        <w:spacing w:line="400" w:lineRule="exact"/>
        <w:ind w:firstLine="420" w:firstLineChars="200"/>
        <w:jc w:val="left"/>
        <w:rPr>
          <w:rFonts w:hint="eastAsia" w:ascii="宋体" w:hAnsi="宋体"/>
          <w:bCs/>
          <w:strike w:val="0"/>
          <w:color w:val="auto"/>
          <w:szCs w:val="21"/>
        </w:rPr>
      </w:pPr>
      <w:r>
        <w:rPr>
          <w:rFonts w:hint="eastAsia" w:ascii="宋体" w:hAnsi="宋体"/>
          <w:bCs/>
          <w:strike w:val="0"/>
          <w:color w:val="auto"/>
          <w:szCs w:val="21"/>
        </w:rPr>
        <w:t>23.1合同未尽事项见</w:t>
      </w:r>
      <w:r>
        <w:rPr>
          <w:rFonts w:hint="eastAsia" w:ascii="宋体" w:hAnsi="宋体"/>
          <w:b/>
          <w:strike w:val="0"/>
          <w:color w:val="auto"/>
          <w:szCs w:val="21"/>
        </w:rPr>
        <w:t>【政府采购合同专用条款】</w:t>
      </w:r>
      <w:r>
        <w:rPr>
          <w:rFonts w:hint="eastAsia" w:ascii="宋体" w:hAnsi="宋体"/>
          <w:bCs/>
          <w:strike w:val="0"/>
          <w:color w:val="auto"/>
          <w:szCs w:val="21"/>
        </w:rPr>
        <w:t>。</w:t>
      </w:r>
    </w:p>
    <w:p w14:paraId="37CCA64F">
      <w:pPr>
        <w:adjustRightInd w:val="0"/>
        <w:snapToGrid w:val="0"/>
        <w:spacing w:line="400" w:lineRule="exact"/>
        <w:jc w:val="left"/>
        <w:rPr>
          <w:rFonts w:hint="eastAsia" w:ascii="黑体" w:hAnsi="华文中宋" w:eastAsia="黑体"/>
          <w:strike w:val="0"/>
          <w:color w:val="auto"/>
          <w:sz w:val="28"/>
          <w:szCs w:val="28"/>
        </w:rPr>
      </w:pPr>
      <w:r>
        <w:rPr>
          <w:rFonts w:hint="eastAsia" w:ascii="宋体" w:hAnsi="宋体"/>
          <w:bCs/>
          <w:strike w:val="0"/>
          <w:color w:val="auto"/>
          <w:szCs w:val="21"/>
        </w:rPr>
        <w:t>23.2 合同附件与合同正文具有同等的法律效力。</w:t>
      </w:r>
      <w:bookmarkStart w:id="226" w:name="_Toc20313"/>
    </w:p>
    <w:p w14:paraId="488844CC">
      <w:pPr>
        <w:adjustRightInd w:val="0"/>
        <w:snapToGrid w:val="0"/>
        <w:jc w:val="center"/>
        <w:rPr>
          <w:rFonts w:hint="eastAsia" w:ascii="黑体" w:hAnsi="华文中宋" w:eastAsia="黑体"/>
          <w:strike w:val="0"/>
          <w:color w:val="auto"/>
          <w:sz w:val="28"/>
          <w:szCs w:val="28"/>
        </w:rPr>
      </w:pPr>
      <w:r>
        <w:rPr>
          <w:rFonts w:hint="eastAsia" w:ascii="黑体" w:hAnsi="华文中宋" w:eastAsia="黑体"/>
          <w:strike w:val="0"/>
          <w:color w:val="auto"/>
          <w:sz w:val="28"/>
          <w:szCs w:val="28"/>
        </w:rPr>
        <w:br w:type="page"/>
      </w:r>
    </w:p>
    <w:p w14:paraId="621E5C92">
      <w:pPr>
        <w:pStyle w:val="3"/>
        <w:adjustRightInd w:val="0"/>
        <w:snapToGrid w:val="0"/>
        <w:jc w:val="center"/>
        <w:rPr>
          <w:rFonts w:hint="eastAsia" w:ascii="黑体" w:hAnsi="华文中宋"/>
          <w:b w:val="0"/>
          <w:bCs w:val="0"/>
          <w:strike w:val="0"/>
          <w:color w:val="auto"/>
          <w:sz w:val="28"/>
          <w:szCs w:val="28"/>
        </w:rPr>
      </w:pPr>
      <w:r>
        <w:rPr>
          <w:rFonts w:hint="eastAsia" w:ascii="黑体" w:hAnsi="华文中宋"/>
          <w:b w:val="0"/>
          <w:bCs w:val="0"/>
          <w:strike w:val="0"/>
          <w:color w:val="auto"/>
          <w:sz w:val="28"/>
          <w:szCs w:val="28"/>
        </w:rPr>
        <w:t>第三节 政府采购合同专用条款</w:t>
      </w:r>
      <w:bookmarkEnd w:id="226"/>
    </w:p>
    <w:tbl>
      <w:tblPr>
        <w:tblStyle w:val="5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210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4E26954">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05D02E9">
            <w:pPr>
              <w:adjustRightInd w:val="0"/>
              <w:snapToGrid w:val="0"/>
              <w:jc w:val="center"/>
              <w:rPr>
                <w:rFonts w:hint="eastAsia" w:ascii="宋体" w:hAnsi="宋体"/>
                <w:strike w:val="0"/>
                <w:color w:val="auto"/>
                <w:szCs w:val="21"/>
              </w:rPr>
            </w:pPr>
            <w:r>
              <w:rPr>
                <w:rFonts w:hint="eastAsia" w:ascii="宋体" w:hAnsi="宋体"/>
                <w:strike w:val="0"/>
                <w:color w:val="auto"/>
                <w:szCs w:val="21"/>
              </w:rPr>
              <w:t>第1.2（6）项</w:t>
            </w:r>
          </w:p>
        </w:tc>
        <w:tc>
          <w:tcPr>
            <w:tcW w:w="1742" w:type="dxa"/>
            <w:noWrap w:val="0"/>
            <w:vAlign w:val="center"/>
          </w:tcPr>
          <w:p w14:paraId="4442845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联合体具体要求</w:t>
            </w:r>
          </w:p>
        </w:tc>
        <w:tc>
          <w:tcPr>
            <w:tcW w:w="5170" w:type="dxa"/>
            <w:noWrap w:val="0"/>
            <w:vAlign w:val="center"/>
          </w:tcPr>
          <w:p w14:paraId="75382948">
            <w:pPr>
              <w:adjustRightInd w:val="0"/>
              <w:snapToGrid w:val="0"/>
              <w:jc w:val="left"/>
              <w:rPr>
                <w:rFonts w:hint="eastAsia" w:ascii="宋体" w:hAnsi="宋体"/>
                <w:strike w:val="0"/>
                <w:color w:val="auto"/>
                <w:szCs w:val="21"/>
              </w:rPr>
            </w:pPr>
          </w:p>
        </w:tc>
      </w:tr>
      <w:tr w14:paraId="470232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1699493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3272654">
            <w:pPr>
              <w:adjustRightInd w:val="0"/>
              <w:snapToGrid w:val="0"/>
              <w:jc w:val="center"/>
              <w:rPr>
                <w:rFonts w:hint="eastAsia" w:ascii="宋体" w:hAnsi="宋体"/>
                <w:strike w:val="0"/>
                <w:color w:val="auto"/>
                <w:szCs w:val="21"/>
              </w:rPr>
            </w:pPr>
            <w:r>
              <w:rPr>
                <w:rFonts w:hint="eastAsia" w:ascii="宋体" w:hAnsi="宋体"/>
                <w:strike w:val="0"/>
                <w:color w:val="auto"/>
                <w:szCs w:val="21"/>
              </w:rPr>
              <w:t>第1.2（7）项</w:t>
            </w:r>
          </w:p>
        </w:tc>
        <w:tc>
          <w:tcPr>
            <w:tcW w:w="1742" w:type="dxa"/>
            <w:noWrap w:val="0"/>
            <w:vAlign w:val="center"/>
          </w:tcPr>
          <w:p w14:paraId="05A95D52">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其他术语解释</w:t>
            </w:r>
          </w:p>
        </w:tc>
        <w:tc>
          <w:tcPr>
            <w:tcW w:w="5170" w:type="dxa"/>
            <w:noWrap w:val="0"/>
            <w:vAlign w:val="center"/>
          </w:tcPr>
          <w:p w14:paraId="4D85C819">
            <w:pPr>
              <w:adjustRightInd w:val="0"/>
              <w:snapToGrid w:val="0"/>
              <w:jc w:val="left"/>
              <w:rPr>
                <w:rFonts w:hint="eastAsia" w:ascii="宋体" w:hAnsi="宋体"/>
                <w:strike w:val="0"/>
                <w:color w:val="auto"/>
                <w:szCs w:val="21"/>
              </w:rPr>
            </w:pPr>
          </w:p>
        </w:tc>
      </w:tr>
      <w:tr w14:paraId="47B7FA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523D14">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A4F5543">
            <w:pPr>
              <w:adjustRightInd w:val="0"/>
              <w:snapToGrid w:val="0"/>
              <w:jc w:val="center"/>
              <w:rPr>
                <w:rFonts w:hint="eastAsia" w:ascii="宋体" w:hAnsi="宋体"/>
                <w:strike w:val="0"/>
                <w:color w:val="auto"/>
                <w:szCs w:val="21"/>
              </w:rPr>
            </w:pPr>
            <w:r>
              <w:rPr>
                <w:rFonts w:hint="eastAsia" w:ascii="宋体" w:hAnsi="宋体"/>
                <w:strike w:val="0"/>
                <w:color w:val="auto"/>
                <w:szCs w:val="21"/>
              </w:rPr>
              <w:t>第4.4款</w:t>
            </w:r>
          </w:p>
        </w:tc>
        <w:tc>
          <w:tcPr>
            <w:tcW w:w="1742" w:type="dxa"/>
            <w:noWrap w:val="0"/>
            <w:vAlign w:val="center"/>
          </w:tcPr>
          <w:p w14:paraId="2144B2AF">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履约验收中甲方提出异议或作出说明的期限</w:t>
            </w:r>
          </w:p>
        </w:tc>
        <w:tc>
          <w:tcPr>
            <w:tcW w:w="5170" w:type="dxa"/>
            <w:noWrap w:val="0"/>
            <w:vAlign w:val="center"/>
          </w:tcPr>
          <w:p w14:paraId="00326031">
            <w:pPr>
              <w:adjustRightInd w:val="0"/>
              <w:snapToGrid w:val="0"/>
              <w:jc w:val="left"/>
              <w:rPr>
                <w:rFonts w:hint="eastAsia" w:ascii="宋体" w:hAnsi="宋体"/>
                <w:strike w:val="0"/>
                <w:color w:val="auto"/>
                <w:szCs w:val="21"/>
              </w:rPr>
            </w:pPr>
          </w:p>
        </w:tc>
      </w:tr>
      <w:tr w14:paraId="6ADF24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3CFB17">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91B2BDA">
            <w:pPr>
              <w:adjustRightInd w:val="0"/>
              <w:snapToGrid w:val="0"/>
              <w:jc w:val="center"/>
              <w:rPr>
                <w:rFonts w:hint="eastAsia" w:ascii="宋体" w:hAnsi="宋体"/>
                <w:strike w:val="0"/>
                <w:color w:val="auto"/>
                <w:szCs w:val="21"/>
              </w:rPr>
            </w:pPr>
            <w:r>
              <w:rPr>
                <w:rFonts w:hint="eastAsia" w:ascii="宋体" w:hAnsi="宋体"/>
                <w:strike w:val="0"/>
                <w:color w:val="auto"/>
                <w:szCs w:val="21"/>
              </w:rPr>
              <w:t>第4.6款</w:t>
            </w:r>
          </w:p>
        </w:tc>
        <w:tc>
          <w:tcPr>
            <w:tcW w:w="1742" w:type="dxa"/>
            <w:noWrap w:val="0"/>
            <w:vAlign w:val="center"/>
          </w:tcPr>
          <w:p w14:paraId="63C0BAFC">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约定甲方承担的其他义务和责任</w:t>
            </w:r>
          </w:p>
        </w:tc>
        <w:tc>
          <w:tcPr>
            <w:tcW w:w="5170" w:type="dxa"/>
            <w:noWrap w:val="0"/>
            <w:vAlign w:val="center"/>
          </w:tcPr>
          <w:p w14:paraId="2A111D1F">
            <w:pPr>
              <w:adjustRightInd w:val="0"/>
              <w:snapToGrid w:val="0"/>
              <w:jc w:val="left"/>
              <w:rPr>
                <w:rFonts w:hint="eastAsia" w:ascii="宋体" w:hAnsi="宋体"/>
                <w:strike w:val="0"/>
                <w:color w:val="auto"/>
                <w:szCs w:val="21"/>
              </w:rPr>
            </w:pPr>
          </w:p>
        </w:tc>
      </w:tr>
      <w:tr w14:paraId="469D9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B46C4C">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88E44F4">
            <w:pPr>
              <w:snapToGrid w:val="0"/>
              <w:jc w:val="center"/>
              <w:rPr>
                <w:strike w:val="0"/>
                <w:color w:val="auto"/>
              </w:rPr>
            </w:pPr>
            <w:r>
              <w:rPr>
                <w:rFonts w:hint="eastAsia" w:ascii="宋体" w:hAnsi="宋体"/>
                <w:strike w:val="0"/>
                <w:color w:val="auto"/>
                <w:szCs w:val="21"/>
              </w:rPr>
              <w:t>第5.4款</w:t>
            </w:r>
          </w:p>
        </w:tc>
        <w:tc>
          <w:tcPr>
            <w:tcW w:w="1742" w:type="dxa"/>
            <w:noWrap w:val="0"/>
            <w:vAlign w:val="center"/>
          </w:tcPr>
          <w:p w14:paraId="33AECBB7">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约定乙方承担的其他义务和责任</w:t>
            </w:r>
          </w:p>
        </w:tc>
        <w:tc>
          <w:tcPr>
            <w:tcW w:w="5170" w:type="dxa"/>
            <w:noWrap w:val="0"/>
            <w:vAlign w:val="center"/>
          </w:tcPr>
          <w:p w14:paraId="4A099029">
            <w:pPr>
              <w:adjustRightInd w:val="0"/>
              <w:snapToGrid w:val="0"/>
              <w:jc w:val="left"/>
              <w:rPr>
                <w:rFonts w:hint="eastAsia" w:ascii="宋体" w:hAnsi="宋体"/>
                <w:strike w:val="0"/>
                <w:color w:val="auto"/>
                <w:szCs w:val="21"/>
              </w:rPr>
            </w:pPr>
          </w:p>
        </w:tc>
      </w:tr>
      <w:tr w14:paraId="7C912C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523756">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788597C">
            <w:pPr>
              <w:snapToGrid w:val="0"/>
              <w:jc w:val="center"/>
              <w:rPr>
                <w:rFonts w:hint="eastAsia" w:ascii="宋体" w:hAnsi="宋体"/>
                <w:strike w:val="0"/>
                <w:color w:val="auto"/>
                <w:szCs w:val="21"/>
              </w:rPr>
            </w:pPr>
            <w:r>
              <w:rPr>
                <w:rFonts w:hint="eastAsia" w:ascii="宋体" w:hAnsi="宋体"/>
                <w:strike w:val="0"/>
                <w:color w:val="auto"/>
                <w:szCs w:val="21"/>
              </w:rPr>
              <w:t>第6.1款</w:t>
            </w:r>
          </w:p>
        </w:tc>
        <w:tc>
          <w:tcPr>
            <w:tcW w:w="1742" w:type="dxa"/>
            <w:noWrap w:val="0"/>
            <w:vAlign w:val="center"/>
          </w:tcPr>
          <w:p w14:paraId="673945AC">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履行合同义务的顺序</w:t>
            </w:r>
          </w:p>
        </w:tc>
        <w:tc>
          <w:tcPr>
            <w:tcW w:w="5170" w:type="dxa"/>
            <w:noWrap w:val="0"/>
            <w:vAlign w:val="center"/>
          </w:tcPr>
          <w:p w14:paraId="101E21CD">
            <w:pPr>
              <w:adjustRightInd w:val="0"/>
              <w:snapToGrid w:val="0"/>
              <w:jc w:val="left"/>
              <w:rPr>
                <w:rFonts w:hint="eastAsia" w:ascii="宋体" w:hAnsi="宋体"/>
                <w:strike w:val="0"/>
                <w:color w:val="auto"/>
                <w:szCs w:val="21"/>
              </w:rPr>
            </w:pPr>
          </w:p>
        </w:tc>
      </w:tr>
      <w:tr w14:paraId="31A784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09E0749">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13738F0">
            <w:pPr>
              <w:adjustRightInd w:val="0"/>
              <w:snapToGrid w:val="0"/>
              <w:jc w:val="center"/>
              <w:rPr>
                <w:rFonts w:hint="eastAsia" w:ascii="宋体" w:hAnsi="宋体"/>
                <w:strike w:val="0"/>
                <w:color w:val="auto"/>
                <w:szCs w:val="21"/>
              </w:rPr>
            </w:pPr>
            <w:r>
              <w:rPr>
                <w:rFonts w:hint="eastAsia" w:ascii="宋体" w:hAnsi="宋体"/>
                <w:strike w:val="0"/>
                <w:color w:val="auto"/>
                <w:szCs w:val="21"/>
              </w:rPr>
              <w:t>第7.1款</w:t>
            </w:r>
          </w:p>
        </w:tc>
        <w:tc>
          <w:tcPr>
            <w:tcW w:w="1742" w:type="dxa"/>
            <w:noWrap w:val="0"/>
            <w:vAlign w:val="center"/>
          </w:tcPr>
          <w:p w14:paraId="0CE04CD2">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包装特殊要求</w:t>
            </w:r>
          </w:p>
        </w:tc>
        <w:tc>
          <w:tcPr>
            <w:tcW w:w="5170" w:type="dxa"/>
            <w:noWrap w:val="0"/>
            <w:vAlign w:val="center"/>
          </w:tcPr>
          <w:p w14:paraId="1CD18983">
            <w:pPr>
              <w:rPr>
                <w:strike w:val="0"/>
                <w:color w:val="auto"/>
              </w:rPr>
            </w:pPr>
          </w:p>
        </w:tc>
      </w:tr>
      <w:tr w14:paraId="2D0A5C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18456230">
            <w:pPr>
              <w:adjustRightInd w:val="0"/>
              <w:snapToGrid w:val="0"/>
              <w:jc w:val="center"/>
              <w:rPr>
                <w:rFonts w:hint="eastAsia" w:ascii="宋体" w:hAnsi="宋体"/>
                <w:strike w:val="0"/>
                <w:color w:val="auto"/>
                <w:szCs w:val="21"/>
              </w:rPr>
            </w:pPr>
          </w:p>
        </w:tc>
        <w:tc>
          <w:tcPr>
            <w:tcW w:w="1742" w:type="dxa"/>
            <w:noWrap w:val="0"/>
            <w:vAlign w:val="center"/>
          </w:tcPr>
          <w:p w14:paraId="1775BC31">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指定现场</w:t>
            </w:r>
          </w:p>
        </w:tc>
        <w:tc>
          <w:tcPr>
            <w:tcW w:w="5170" w:type="dxa"/>
            <w:noWrap w:val="0"/>
            <w:vAlign w:val="center"/>
          </w:tcPr>
          <w:p w14:paraId="353DB6B8">
            <w:pPr>
              <w:rPr>
                <w:strike w:val="0"/>
                <w:color w:val="auto"/>
              </w:rPr>
            </w:pPr>
          </w:p>
        </w:tc>
      </w:tr>
      <w:tr w14:paraId="02D16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0DCBAA7">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F26A464">
            <w:pPr>
              <w:adjustRightInd w:val="0"/>
              <w:snapToGrid w:val="0"/>
              <w:jc w:val="center"/>
              <w:rPr>
                <w:rFonts w:hint="eastAsia" w:ascii="宋体" w:hAnsi="宋体"/>
                <w:strike w:val="0"/>
                <w:color w:val="auto"/>
                <w:szCs w:val="21"/>
              </w:rPr>
            </w:pPr>
            <w:r>
              <w:rPr>
                <w:rFonts w:hint="eastAsia" w:ascii="宋体" w:hAnsi="宋体"/>
                <w:strike w:val="0"/>
                <w:color w:val="auto"/>
                <w:szCs w:val="21"/>
              </w:rPr>
              <w:t>第7.2款</w:t>
            </w:r>
          </w:p>
        </w:tc>
        <w:tc>
          <w:tcPr>
            <w:tcW w:w="1742" w:type="dxa"/>
            <w:noWrap w:val="0"/>
            <w:vAlign w:val="center"/>
          </w:tcPr>
          <w:p w14:paraId="277CE19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运输特殊要求</w:t>
            </w:r>
          </w:p>
        </w:tc>
        <w:tc>
          <w:tcPr>
            <w:tcW w:w="5170" w:type="dxa"/>
            <w:noWrap w:val="0"/>
            <w:vAlign w:val="center"/>
          </w:tcPr>
          <w:p w14:paraId="555B7F36">
            <w:pPr>
              <w:rPr>
                <w:strike w:val="0"/>
                <w:color w:val="auto"/>
              </w:rPr>
            </w:pPr>
          </w:p>
        </w:tc>
      </w:tr>
      <w:tr w14:paraId="382951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7D88258E">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585EDC0">
            <w:pPr>
              <w:adjustRightInd w:val="0"/>
              <w:snapToGrid w:val="0"/>
              <w:jc w:val="center"/>
              <w:rPr>
                <w:rFonts w:hint="eastAsia" w:ascii="宋体" w:hAnsi="宋体"/>
                <w:strike w:val="0"/>
                <w:color w:val="auto"/>
                <w:szCs w:val="21"/>
              </w:rPr>
            </w:pPr>
            <w:r>
              <w:rPr>
                <w:rFonts w:hint="eastAsia" w:ascii="宋体" w:hAnsi="宋体"/>
                <w:strike w:val="0"/>
                <w:color w:val="auto"/>
                <w:szCs w:val="21"/>
              </w:rPr>
              <w:t>第7.3款</w:t>
            </w:r>
          </w:p>
        </w:tc>
        <w:tc>
          <w:tcPr>
            <w:tcW w:w="1742" w:type="dxa"/>
            <w:noWrap w:val="0"/>
            <w:vAlign w:val="center"/>
          </w:tcPr>
          <w:p w14:paraId="1D0C6B9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保险要求</w:t>
            </w:r>
          </w:p>
        </w:tc>
        <w:tc>
          <w:tcPr>
            <w:tcW w:w="5170" w:type="dxa"/>
            <w:noWrap w:val="0"/>
            <w:vAlign w:val="center"/>
          </w:tcPr>
          <w:p w14:paraId="78F38359">
            <w:pPr>
              <w:rPr>
                <w:strike w:val="0"/>
                <w:color w:val="auto"/>
              </w:rPr>
            </w:pPr>
          </w:p>
        </w:tc>
      </w:tr>
      <w:tr w14:paraId="10350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27E87D">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CE6015C">
            <w:pPr>
              <w:adjustRightInd w:val="0"/>
              <w:snapToGrid w:val="0"/>
              <w:jc w:val="center"/>
              <w:rPr>
                <w:rFonts w:hint="eastAsia" w:ascii="宋体" w:hAnsi="宋体"/>
                <w:strike w:val="0"/>
                <w:color w:val="auto"/>
                <w:szCs w:val="21"/>
              </w:rPr>
            </w:pPr>
            <w:r>
              <w:rPr>
                <w:rFonts w:hint="eastAsia" w:ascii="宋体" w:hAnsi="宋体"/>
                <w:strike w:val="0"/>
                <w:color w:val="auto"/>
                <w:szCs w:val="21"/>
              </w:rPr>
              <w:t>第8.2（1）项</w:t>
            </w:r>
          </w:p>
        </w:tc>
        <w:tc>
          <w:tcPr>
            <w:tcW w:w="1742" w:type="dxa"/>
            <w:noWrap w:val="0"/>
            <w:vAlign w:val="center"/>
          </w:tcPr>
          <w:p w14:paraId="39AF6444">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质量保证期</w:t>
            </w:r>
          </w:p>
        </w:tc>
        <w:tc>
          <w:tcPr>
            <w:tcW w:w="5170" w:type="dxa"/>
            <w:noWrap w:val="0"/>
            <w:vAlign w:val="center"/>
          </w:tcPr>
          <w:p w14:paraId="3734FB0A">
            <w:pPr>
              <w:autoSpaceDE w:val="0"/>
              <w:autoSpaceDN w:val="0"/>
              <w:adjustRightInd w:val="0"/>
              <w:snapToGrid w:val="0"/>
              <w:ind w:firstLine="420" w:firstLineChars="200"/>
              <w:jc w:val="left"/>
              <w:rPr>
                <w:rFonts w:hint="eastAsia" w:ascii="宋体" w:hAnsi="宋体"/>
                <w:strike w:val="0"/>
                <w:color w:val="auto"/>
                <w:szCs w:val="21"/>
              </w:rPr>
            </w:pPr>
          </w:p>
        </w:tc>
      </w:tr>
      <w:tr w14:paraId="5C9E2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82658C9">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893571F">
            <w:pPr>
              <w:adjustRightInd w:val="0"/>
              <w:snapToGrid w:val="0"/>
              <w:jc w:val="center"/>
              <w:rPr>
                <w:rFonts w:hint="eastAsia" w:ascii="宋体" w:hAnsi="宋体"/>
                <w:strike w:val="0"/>
                <w:color w:val="auto"/>
                <w:szCs w:val="21"/>
              </w:rPr>
            </w:pPr>
            <w:r>
              <w:rPr>
                <w:rFonts w:hint="eastAsia" w:ascii="宋体" w:hAnsi="宋体"/>
                <w:strike w:val="0"/>
                <w:color w:val="auto"/>
                <w:szCs w:val="21"/>
              </w:rPr>
              <w:t>第8.2（3）项</w:t>
            </w:r>
          </w:p>
        </w:tc>
        <w:tc>
          <w:tcPr>
            <w:tcW w:w="1742" w:type="dxa"/>
            <w:noWrap w:val="0"/>
            <w:vAlign w:val="center"/>
          </w:tcPr>
          <w:p w14:paraId="26B5E60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货物质量缺陷</w:t>
            </w:r>
          </w:p>
          <w:p w14:paraId="3E9C406F">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响应时间</w:t>
            </w:r>
          </w:p>
        </w:tc>
        <w:tc>
          <w:tcPr>
            <w:tcW w:w="5170" w:type="dxa"/>
            <w:noWrap w:val="0"/>
            <w:vAlign w:val="center"/>
          </w:tcPr>
          <w:p w14:paraId="0883DAC9">
            <w:pPr>
              <w:adjustRightInd w:val="0"/>
              <w:snapToGrid w:val="0"/>
              <w:jc w:val="left"/>
              <w:rPr>
                <w:rFonts w:hint="eastAsia" w:ascii="宋体" w:hAnsi="宋体"/>
                <w:strike w:val="0"/>
                <w:color w:val="auto"/>
                <w:szCs w:val="21"/>
              </w:rPr>
            </w:pPr>
          </w:p>
        </w:tc>
      </w:tr>
      <w:tr w14:paraId="48493A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B506F0">
            <w:pPr>
              <w:snapToGrid w:val="0"/>
              <w:jc w:val="center"/>
              <w:rPr>
                <w:rFonts w:hint="eastAsia" w:ascii="宋体" w:hAnsi="宋体" w:cs="宋体"/>
                <w:strike w:val="0"/>
                <w:color w:val="auto"/>
                <w:szCs w:val="21"/>
              </w:rPr>
            </w:pPr>
            <w:r>
              <w:rPr>
                <w:rFonts w:hint="eastAsia" w:ascii="宋体" w:hAnsi="宋体" w:cs="宋体"/>
                <w:strike w:val="0"/>
                <w:color w:val="auto"/>
                <w:szCs w:val="21"/>
              </w:rPr>
              <w:t>第二节</w:t>
            </w:r>
          </w:p>
          <w:p w14:paraId="251AEA3D">
            <w:pPr>
              <w:pStyle w:val="311"/>
              <w:ind w:firstLine="0" w:firstLineChars="0"/>
              <w:jc w:val="center"/>
              <w:rPr>
                <w:rFonts w:hint="eastAsia"/>
                <w:strike w:val="0"/>
                <w:color w:val="auto"/>
              </w:rPr>
            </w:pPr>
            <w:r>
              <w:rPr>
                <w:rFonts w:hint="eastAsia" w:ascii="宋体" w:hAnsi="宋体" w:eastAsia="宋体" w:cs="宋体"/>
                <w:strike w:val="0"/>
                <w:color w:val="auto"/>
              </w:rPr>
              <w:t>第11.1款</w:t>
            </w:r>
          </w:p>
        </w:tc>
        <w:tc>
          <w:tcPr>
            <w:tcW w:w="1742" w:type="dxa"/>
            <w:noWrap w:val="0"/>
            <w:vAlign w:val="center"/>
          </w:tcPr>
          <w:p w14:paraId="35A76B26">
            <w:pPr>
              <w:keepNext w:val="0"/>
              <w:keepLines w:val="0"/>
              <w:pageBreakBefore w:val="0"/>
              <w:widowControl w:val="0"/>
              <w:kinsoku/>
              <w:wordWrap/>
              <w:overflowPunct/>
              <w:topLinePunct w:val="0"/>
              <w:bidi w:val="0"/>
              <w:adjustRightInd w:val="0"/>
              <w:snapToGrid w:val="0"/>
              <w:ind w:firstLine="0" w:firstLineChars="0"/>
              <w:textAlignment w:val="auto"/>
              <w:rPr>
                <w:rFonts w:hint="eastAsia" w:ascii="宋体" w:hAnsi="宋体"/>
                <w:strike w:val="0"/>
                <w:color w:val="auto"/>
                <w:szCs w:val="21"/>
              </w:rPr>
            </w:pPr>
            <w:r>
              <w:rPr>
                <w:rFonts w:hint="eastAsia" w:ascii="宋体" w:hAnsi="宋体"/>
                <w:strike w:val="0"/>
                <w:color w:val="auto"/>
                <w:szCs w:val="21"/>
              </w:rPr>
              <w:t>其他应当保密的信息</w:t>
            </w:r>
          </w:p>
        </w:tc>
        <w:tc>
          <w:tcPr>
            <w:tcW w:w="5170" w:type="dxa"/>
            <w:noWrap w:val="0"/>
            <w:vAlign w:val="center"/>
          </w:tcPr>
          <w:p w14:paraId="2FF9C0F1">
            <w:pPr>
              <w:adjustRightInd w:val="0"/>
              <w:snapToGrid w:val="0"/>
              <w:jc w:val="left"/>
              <w:rPr>
                <w:rFonts w:hint="eastAsia" w:ascii="宋体" w:hAnsi="宋体"/>
                <w:strike w:val="0"/>
                <w:color w:val="auto"/>
                <w:szCs w:val="21"/>
              </w:rPr>
            </w:pPr>
          </w:p>
        </w:tc>
      </w:tr>
      <w:tr w14:paraId="6AE48C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7D329C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7E69C3CE">
            <w:pPr>
              <w:adjustRightInd w:val="0"/>
              <w:snapToGrid w:val="0"/>
              <w:jc w:val="center"/>
              <w:rPr>
                <w:rFonts w:hint="eastAsia" w:ascii="宋体" w:hAnsi="宋体"/>
                <w:strike w:val="0"/>
                <w:color w:val="auto"/>
                <w:szCs w:val="21"/>
              </w:rPr>
            </w:pPr>
            <w:r>
              <w:rPr>
                <w:rFonts w:hint="eastAsia" w:ascii="宋体" w:hAnsi="宋体"/>
                <w:strike w:val="0"/>
                <w:color w:val="auto"/>
                <w:szCs w:val="21"/>
              </w:rPr>
              <w:t>第12.2款</w:t>
            </w:r>
          </w:p>
        </w:tc>
        <w:tc>
          <w:tcPr>
            <w:tcW w:w="1742" w:type="dxa"/>
            <w:noWrap w:val="0"/>
            <w:vAlign w:val="center"/>
          </w:tcPr>
          <w:p w14:paraId="44C12275">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合同价款支付时间</w:t>
            </w:r>
          </w:p>
        </w:tc>
        <w:tc>
          <w:tcPr>
            <w:tcW w:w="5170" w:type="dxa"/>
            <w:noWrap w:val="0"/>
            <w:vAlign w:val="center"/>
          </w:tcPr>
          <w:p w14:paraId="14754520">
            <w:pPr>
              <w:adjustRightInd w:val="0"/>
              <w:snapToGrid w:val="0"/>
              <w:jc w:val="left"/>
              <w:rPr>
                <w:rFonts w:hint="eastAsia" w:ascii="宋体" w:hAnsi="宋体"/>
                <w:strike w:val="0"/>
                <w:color w:val="auto"/>
                <w:szCs w:val="21"/>
              </w:rPr>
            </w:pPr>
          </w:p>
        </w:tc>
      </w:tr>
      <w:tr w14:paraId="23E211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D6F4A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E21539D">
            <w:pPr>
              <w:adjustRightInd w:val="0"/>
              <w:snapToGrid w:val="0"/>
              <w:jc w:val="center"/>
              <w:rPr>
                <w:rFonts w:hint="eastAsia" w:ascii="宋体" w:hAnsi="宋体"/>
                <w:strike w:val="0"/>
                <w:color w:val="auto"/>
                <w:szCs w:val="21"/>
              </w:rPr>
            </w:pPr>
            <w:r>
              <w:rPr>
                <w:rFonts w:hint="eastAsia" w:ascii="宋体" w:hAnsi="宋体"/>
                <w:strike w:val="0"/>
                <w:color w:val="auto"/>
                <w:szCs w:val="21"/>
              </w:rPr>
              <w:t>第13.2款</w:t>
            </w:r>
          </w:p>
        </w:tc>
        <w:tc>
          <w:tcPr>
            <w:tcW w:w="1742" w:type="dxa"/>
            <w:noWrap w:val="0"/>
            <w:vAlign w:val="center"/>
          </w:tcPr>
          <w:p w14:paraId="27342D1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履约保证金不予退还的情形</w:t>
            </w:r>
          </w:p>
        </w:tc>
        <w:tc>
          <w:tcPr>
            <w:tcW w:w="5170" w:type="dxa"/>
            <w:noWrap w:val="0"/>
            <w:vAlign w:val="center"/>
          </w:tcPr>
          <w:p w14:paraId="5380C5F9">
            <w:pPr>
              <w:adjustRightInd w:val="0"/>
              <w:snapToGrid w:val="0"/>
              <w:jc w:val="left"/>
              <w:rPr>
                <w:rFonts w:hint="eastAsia" w:ascii="宋体" w:hAnsi="宋体"/>
                <w:strike w:val="0"/>
                <w:color w:val="auto"/>
                <w:szCs w:val="21"/>
              </w:rPr>
            </w:pPr>
          </w:p>
        </w:tc>
      </w:tr>
      <w:tr w14:paraId="77DD5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C9187D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352780C3">
            <w:pPr>
              <w:adjustRightInd w:val="0"/>
              <w:snapToGrid w:val="0"/>
              <w:jc w:val="center"/>
              <w:rPr>
                <w:rFonts w:hint="eastAsia" w:ascii="宋体" w:hAnsi="宋体"/>
                <w:strike w:val="0"/>
                <w:color w:val="auto"/>
                <w:szCs w:val="21"/>
              </w:rPr>
            </w:pPr>
            <w:r>
              <w:rPr>
                <w:rFonts w:hint="eastAsia" w:ascii="宋体" w:hAnsi="宋体"/>
                <w:strike w:val="0"/>
                <w:color w:val="auto"/>
                <w:szCs w:val="21"/>
              </w:rPr>
              <w:t>第13.3款</w:t>
            </w:r>
          </w:p>
        </w:tc>
        <w:tc>
          <w:tcPr>
            <w:tcW w:w="1742" w:type="dxa"/>
            <w:noWrap w:val="0"/>
            <w:vAlign w:val="center"/>
          </w:tcPr>
          <w:p w14:paraId="53C03A5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履约保证金退还时间及逾期退还的违约金</w:t>
            </w:r>
          </w:p>
        </w:tc>
        <w:tc>
          <w:tcPr>
            <w:tcW w:w="5170" w:type="dxa"/>
            <w:noWrap w:val="0"/>
            <w:vAlign w:val="center"/>
          </w:tcPr>
          <w:p w14:paraId="30749C05">
            <w:pPr>
              <w:adjustRightInd w:val="0"/>
              <w:snapToGrid w:val="0"/>
              <w:jc w:val="left"/>
              <w:rPr>
                <w:rFonts w:hint="eastAsia" w:ascii="宋体" w:hAnsi="宋体"/>
                <w:strike w:val="0"/>
                <w:color w:val="auto"/>
                <w:szCs w:val="21"/>
              </w:rPr>
            </w:pPr>
          </w:p>
        </w:tc>
      </w:tr>
      <w:tr w14:paraId="417A2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0789C35">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745D127">
            <w:pPr>
              <w:adjustRightInd w:val="0"/>
              <w:snapToGrid w:val="0"/>
              <w:jc w:val="center"/>
              <w:rPr>
                <w:rFonts w:hint="eastAsia" w:ascii="宋体" w:hAnsi="宋体"/>
                <w:strike w:val="0"/>
                <w:color w:val="auto"/>
                <w:szCs w:val="21"/>
              </w:rPr>
            </w:pPr>
            <w:r>
              <w:rPr>
                <w:rFonts w:hint="eastAsia" w:ascii="宋体" w:hAnsi="宋体"/>
                <w:strike w:val="0"/>
                <w:color w:val="auto"/>
                <w:szCs w:val="21"/>
              </w:rPr>
              <w:t>第14.1（3）项</w:t>
            </w:r>
          </w:p>
        </w:tc>
        <w:tc>
          <w:tcPr>
            <w:tcW w:w="1742" w:type="dxa"/>
            <w:noWrap w:val="0"/>
            <w:vAlign w:val="center"/>
          </w:tcPr>
          <w:p w14:paraId="727E1A8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运行监督、维修期限</w:t>
            </w:r>
          </w:p>
        </w:tc>
        <w:tc>
          <w:tcPr>
            <w:tcW w:w="5170" w:type="dxa"/>
            <w:noWrap w:val="0"/>
            <w:vAlign w:val="center"/>
          </w:tcPr>
          <w:p w14:paraId="478FCFCC">
            <w:pPr>
              <w:adjustRightInd w:val="0"/>
              <w:snapToGrid w:val="0"/>
              <w:jc w:val="left"/>
              <w:rPr>
                <w:rFonts w:hint="eastAsia" w:ascii="宋体" w:hAnsi="宋体"/>
                <w:strike w:val="0"/>
                <w:color w:val="auto"/>
                <w:szCs w:val="21"/>
              </w:rPr>
            </w:pPr>
          </w:p>
        </w:tc>
      </w:tr>
      <w:tr w14:paraId="770392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76559B80">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2BE4521">
            <w:pPr>
              <w:adjustRightInd w:val="0"/>
              <w:snapToGrid w:val="0"/>
              <w:jc w:val="center"/>
              <w:rPr>
                <w:rFonts w:hint="eastAsia" w:ascii="宋体" w:hAnsi="宋体"/>
                <w:strike w:val="0"/>
                <w:color w:val="auto"/>
                <w:szCs w:val="21"/>
              </w:rPr>
            </w:pPr>
            <w:r>
              <w:rPr>
                <w:rFonts w:hint="eastAsia" w:ascii="宋体" w:hAnsi="宋体"/>
                <w:strike w:val="0"/>
                <w:color w:val="auto"/>
                <w:szCs w:val="21"/>
              </w:rPr>
              <w:t>第14.1（5）项</w:t>
            </w:r>
          </w:p>
        </w:tc>
        <w:tc>
          <w:tcPr>
            <w:tcW w:w="1742" w:type="dxa"/>
            <w:noWrap w:val="0"/>
            <w:vAlign w:val="center"/>
          </w:tcPr>
          <w:p w14:paraId="5D9174A4">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货物回收的约定</w:t>
            </w:r>
          </w:p>
        </w:tc>
        <w:tc>
          <w:tcPr>
            <w:tcW w:w="5170" w:type="dxa"/>
            <w:noWrap w:val="0"/>
            <w:vAlign w:val="center"/>
          </w:tcPr>
          <w:p w14:paraId="58FC6BC2">
            <w:pPr>
              <w:adjustRightInd w:val="0"/>
              <w:snapToGrid w:val="0"/>
              <w:jc w:val="left"/>
              <w:rPr>
                <w:rFonts w:hint="eastAsia" w:ascii="宋体" w:hAnsi="宋体"/>
                <w:strike w:val="0"/>
                <w:color w:val="auto"/>
                <w:szCs w:val="21"/>
              </w:rPr>
            </w:pPr>
          </w:p>
        </w:tc>
      </w:tr>
      <w:tr w14:paraId="22780C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DB5116">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5CA52676">
            <w:pPr>
              <w:adjustRightInd w:val="0"/>
              <w:snapToGrid w:val="0"/>
              <w:jc w:val="center"/>
              <w:rPr>
                <w:rFonts w:hint="eastAsia" w:ascii="宋体" w:hAnsi="宋体"/>
                <w:strike w:val="0"/>
                <w:color w:val="auto"/>
                <w:szCs w:val="21"/>
              </w:rPr>
            </w:pPr>
            <w:r>
              <w:rPr>
                <w:rFonts w:hint="eastAsia" w:ascii="宋体" w:hAnsi="宋体"/>
                <w:strike w:val="0"/>
                <w:color w:val="auto"/>
                <w:szCs w:val="21"/>
              </w:rPr>
              <w:t>第14.1（6）项</w:t>
            </w:r>
          </w:p>
        </w:tc>
        <w:tc>
          <w:tcPr>
            <w:tcW w:w="1742" w:type="dxa"/>
            <w:noWrap w:val="0"/>
            <w:vAlign w:val="center"/>
          </w:tcPr>
          <w:p w14:paraId="7ACF4C7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乙方提供的其他服务</w:t>
            </w:r>
          </w:p>
        </w:tc>
        <w:tc>
          <w:tcPr>
            <w:tcW w:w="5170" w:type="dxa"/>
            <w:noWrap w:val="0"/>
            <w:vAlign w:val="center"/>
          </w:tcPr>
          <w:p w14:paraId="78F4F402">
            <w:pPr>
              <w:adjustRightInd w:val="0"/>
              <w:snapToGrid w:val="0"/>
              <w:jc w:val="left"/>
              <w:rPr>
                <w:rFonts w:hint="eastAsia" w:ascii="宋体" w:hAnsi="宋体"/>
                <w:strike w:val="0"/>
                <w:color w:val="auto"/>
                <w:szCs w:val="21"/>
              </w:rPr>
            </w:pPr>
          </w:p>
        </w:tc>
      </w:tr>
      <w:tr w14:paraId="2BFBB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0BCEC8">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92A58EA">
            <w:pPr>
              <w:adjustRightInd w:val="0"/>
              <w:snapToGrid w:val="0"/>
              <w:jc w:val="center"/>
              <w:rPr>
                <w:rFonts w:hint="eastAsia" w:ascii="宋体" w:hAnsi="宋体"/>
                <w:strike w:val="0"/>
                <w:color w:val="auto"/>
                <w:szCs w:val="21"/>
              </w:rPr>
            </w:pPr>
            <w:r>
              <w:rPr>
                <w:rFonts w:hint="eastAsia" w:ascii="宋体" w:hAnsi="宋体"/>
                <w:strike w:val="0"/>
                <w:color w:val="auto"/>
                <w:szCs w:val="21"/>
              </w:rPr>
              <w:t>第15.1款</w:t>
            </w:r>
          </w:p>
        </w:tc>
        <w:tc>
          <w:tcPr>
            <w:tcW w:w="1742" w:type="dxa"/>
            <w:noWrap w:val="0"/>
            <w:vAlign w:val="center"/>
          </w:tcPr>
          <w:p w14:paraId="302DE4D9">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修理、重作、更换相关具体规定</w:t>
            </w:r>
          </w:p>
        </w:tc>
        <w:tc>
          <w:tcPr>
            <w:tcW w:w="5170" w:type="dxa"/>
            <w:noWrap w:val="0"/>
            <w:vAlign w:val="center"/>
          </w:tcPr>
          <w:p w14:paraId="01C61F6E">
            <w:pPr>
              <w:adjustRightInd w:val="0"/>
              <w:snapToGrid w:val="0"/>
              <w:jc w:val="left"/>
              <w:rPr>
                <w:rFonts w:hint="eastAsia" w:ascii="宋体" w:hAnsi="宋体"/>
                <w:strike w:val="0"/>
                <w:color w:val="auto"/>
                <w:szCs w:val="21"/>
              </w:rPr>
            </w:pPr>
          </w:p>
        </w:tc>
      </w:tr>
      <w:tr w14:paraId="033A5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006E1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0B50F760">
            <w:pPr>
              <w:adjustRightInd w:val="0"/>
              <w:snapToGrid w:val="0"/>
              <w:jc w:val="center"/>
              <w:rPr>
                <w:rFonts w:hint="eastAsia" w:ascii="宋体" w:hAnsi="宋体"/>
                <w:strike w:val="0"/>
                <w:color w:val="auto"/>
                <w:szCs w:val="21"/>
              </w:rPr>
            </w:pPr>
            <w:r>
              <w:rPr>
                <w:rFonts w:hint="eastAsia" w:ascii="宋体" w:hAnsi="宋体"/>
                <w:strike w:val="0"/>
                <w:color w:val="auto"/>
                <w:szCs w:val="21"/>
              </w:rPr>
              <w:t>第15.2（2）项</w:t>
            </w:r>
          </w:p>
        </w:tc>
        <w:tc>
          <w:tcPr>
            <w:tcW w:w="1742" w:type="dxa"/>
            <w:noWrap w:val="0"/>
            <w:vAlign w:val="center"/>
          </w:tcPr>
          <w:p w14:paraId="1C0EF75B">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迟延交货赔偿费</w:t>
            </w:r>
          </w:p>
        </w:tc>
        <w:tc>
          <w:tcPr>
            <w:tcW w:w="5170" w:type="dxa"/>
            <w:noWrap w:val="0"/>
            <w:vAlign w:val="center"/>
          </w:tcPr>
          <w:p w14:paraId="03156F9B">
            <w:pPr>
              <w:adjustRightInd w:val="0"/>
              <w:snapToGrid w:val="0"/>
              <w:jc w:val="left"/>
              <w:rPr>
                <w:rFonts w:hint="eastAsia" w:ascii="宋体" w:hAnsi="宋体"/>
                <w:strike w:val="0"/>
                <w:color w:val="auto"/>
                <w:szCs w:val="21"/>
                <w:u w:val="single"/>
              </w:rPr>
            </w:pPr>
          </w:p>
        </w:tc>
      </w:tr>
      <w:tr w14:paraId="06B07E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BC6BF82">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93B744E">
            <w:pPr>
              <w:adjustRightInd w:val="0"/>
              <w:snapToGrid w:val="0"/>
              <w:jc w:val="center"/>
              <w:rPr>
                <w:rFonts w:hint="eastAsia" w:ascii="宋体" w:hAnsi="宋体"/>
                <w:strike w:val="0"/>
                <w:color w:val="auto"/>
                <w:szCs w:val="21"/>
              </w:rPr>
            </w:pPr>
            <w:r>
              <w:rPr>
                <w:rFonts w:hint="eastAsia" w:ascii="宋体" w:hAnsi="宋体"/>
                <w:strike w:val="0"/>
                <w:color w:val="auto"/>
                <w:szCs w:val="21"/>
              </w:rPr>
              <w:t>第15.3款</w:t>
            </w:r>
          </w:p>
        </w:tc>
        <w:tc>
          <w:tcPr>
            <w:tcW w:w="1742" w:type="dxa"/>
            <w:noWrap w:val="0"/>
            <w:vAlign w:val="center"/>
          </w:tcPr>
          <w:p w14:paraId="106292F3">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逾期付款利息</w:t>
            </w:r>
          </w:p>
        </w:tc>
        <w:tc>
          <w:tcPr>
            <w:tcW w:w="5170" w:type="dxa"/>
            <w:noWrap w:val="0"/>
            <w:vAlign w:val="center"/>
          </w:tcPr>
          <w:p w14:paraId="737CEF3F">
            <w:pPr>
              <w:adjustRightInd w:val="0"/>
              <w:snapToGrid w:val="0"/>
              <w:jc w:val="left"/>
              <w:rPr>
                <w:rFonts w:hint="eastAsia" w:ascii="宋体" w:hAnsi="宋体"/>
                <w:strike w:val="0"/>
                <w:color w:val="auto"/>
                <w:szCs w:val="21"/>
                <w:u w:val="single"/>
              </w:rPr>
            </w:pPr>
          </w:p>
        </w:tc>
      </w:tr>
      <w:tr w14:paraId="0B2FA7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4231713F">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61A3BC05">
            <w:pPr>
              <w:adjustRightInd w:val="0"/>
              <w:snapToGrid w:val="0"/>
              <w:jc w:val="center"/>
              <w:rPr>
                <w:rFonts w:hint="eastAsia" w:ascii="宋体" w:hAnsi="宋体"/>
                <w:strike w:val="0"/>
                <w:color w:val="auto"/>
                <w:szCs w:val="21"/>
              </w:rPr>
            </w:pPr>
            <w:r>
              <w:rPr>
                <w:rFonts w:hint="eastAsia" w:ascii="宋体" w:hAnsi="宋体"/>
                <w:strike w:val="0"/>
                <w:color w:val="auto"/>
                <w:szCs w:val="21"/>
              </w:rPr>
              <w:t>第15.4款</w:t>
            </w:r>
          </w:p>
        </w:tc>
        <w:tc>
          <w:tcPr>
            <w:tcW w:w="1742" w:type="dxa"/>
            <w:tcBorders>
              <w:left w:val="single" w:color="auto" w:sz="2" w:space="0"/>
              <w:bottom w:val="single" w:color="auto" w:sz="2" w:space="0"/>
              <w:right w:val="single" w:color="auto" w:sz="2" w:space="0"/>
            </w:tcBorders>
            <w:noWrap w:val="0"/>
            <w:vAlign w:val="center"/>
          </w:tcPr>
          <w:p w14:paraId="01519FBE">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其他违约责任</w:t>
            </w:r>
          </w:p>
        </w:tc>
        <w:tc>
          <w:tcPr>
            <w:tcW w:w="5170" w:type="dxa"/>
            <w:tcBorders>
              <w:left w:val="single" w:color="auto" w:sz="2" w:space="0"/>
              <w:bottom w:val="single" w:color="auto" w:sz="2" w:space="0"/>
            </w:tcBorders>
            <w:noWrap w:val="0"/>
            <w:vAlign w:val="center"/>
          </w:tcPr>
          <w:p w14:paraId="44EE4706">
            <w:pPr>
              <w:adjustRightInd w:val="0"/>
              <w:snapToGrid w:val="0"/>
              <w:jc w:val="left"/>
              <w:rPr>
                <w:rFonts w:hint="eastAsia" w:ascii="宋体" w:hAnsi="宋体"/>
                <w:strike w:val="0"/>
                <w:color w:val="auto"/>
                <w:szCs w:val="21"/>
                <w:u w:val="single"/>
              </w:rPr>
            </w:pPr>
          </w:p>
        </w:tc>
      </w:tr>
      <w:tr w14:paraId="09FFF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07180FE">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5866D62E">
            <w:pPr>
              <w:adjustRightInd w:val="0"/>
              <w:snapToGrid w:val="0"/>
              <w:jc w:val="center"/>
              <w:rPr>
                <w:rFonts w:hint="eastAsia" w:ascii="宋体" w:hAnsi="宋体"/>
                <w:strike w:val="0"/>
                <w:color w:val="auto"/>
                <w:szCs w:val="21"/>
              </w:rPr>
            </w:pPr>
            <w:r>
              <w:rPr>
                <w:rFonts w:hint="eastAsia" w:ascii="宋体" w:hAnsi="宋体"/>
                <w:strike w:val="0"/>
                <w:color w:val="auto"/>
                <w:szCs w:val="21"/>
              </w:rPr>
              <w:t>第19.2款</w:t>
            </w:r>
          </w:p>
        </w:tc>
        <w:tc>
          <w:tcPr>
            <w:tcW w:w="1742" w:type="dxa"/>
            <w:tcBorders>
              <w:top w:val="single" w:color="auto" w:sz="2" w:space="0"/>
              <w:left w:val="single" w:color="auto" w:sz="2" w:space="0"/>
              <w:right w:val="single" w:color="auto" w:sz="2" w:space="0"/>
            </w:tcBorders>
            <w:noWrap w:val="0"/>
            <w:vAlign w:val="center"/>
          </w:tcPr>
          <w:p w14:paraId="0B8FE11A">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strike w:val="0"/>
                <w:color w:val="auto"/>
                <w:szCs w:val="21"/>
              </w:rPr>
              <w:t>解决争议的方法</w:t>
            </w:r>
          </w:p>
        </w:tc>
        <w:tc>
          <w:tcPr>
            <w:tcW w:w="5170" w:type="dxa"/>
            <w:tcBorders>
              <w:top w:val="single" w:color="auto" w:sz="2" w:space="0"/>
              <w:left w:val="single" w:color="auto" w:sz="2" w:space="0"/>
            </w:tcBorders>
            <w:noWrap w:val="0"/>
            <w:vAlign w:val="center"/>
          </w:tcPr>
          <w:p w14:paraId="70EF585E">
            <w:pPr>
              <w:autoSpaceDE w:val="0"/>
              <w:autoSpaceDN w:val="0"/>
              <w:adjustRightInd w:val="0"/>
              <w:snapToGrid w:val="0"/>
              <w:spacing w:line="400" w:lineRule="exact"/>
              <w:jc w:val="left"/>
              <w:rPr>
                <w:rFonts w:hint="eastAsia" w:ascii="宋体" w:hAnsi="宋体" w:cs="宋体"/>
                <w:iCs/>
                <w:strike w:val="0"/>
                <w:color w:val="auto"/>
                <w:szCs w:val="21"/>
              </w:rPr>
            </w:pPr>
            <w:r>
              <w:rPr>
                <w:rFonts w:hint="eastAsia" w:ascii="宋体" w:hAnsi="宋体" w:cs="宋体"/>
                <w:iCs/>
                <w:strike w:val="0"/>
                <w:color w:val="auto"/>
                <w:szCs w:val="21"/>
              </w:rPr>
              <w:t>因本合同及合同有关事项发生的争议，按下列第</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种方式解决：</w:t>
            </w:r>
          </w:p>
          <w:p w14:paraId="1F0E8967">
            <w:pPr>
              <w:autoSpaceDE w:val="0"/>
              <w:autoSpaceDN w:val="0"/>
              <w:adjustRightInd w:val="0"/>
              <w:snapToGrid w:val="0"/>
              <w:spacing w:line="400" w:lineRule="exact"/>
              <w:jc w:val="left"/>
              <w:rPr>
                <w:rFonts w:hint="eastAsia" w:ascii="宋体" w:hAnsi="宋体" w:cs="宋体"/>
                <w:iCs/>
                <w:strike w:val="0"/>
                <w:color w:val="auto"/>
                <w:szCs w:val="21"/>
              </w:rPr>
            </w:pPr>
            <w:r>
              <w:rPr>
                <w:rFonts w:hint="eastAsia" w:ascii="宋体" w:hAnsi="宋体" w:cs="宋体"/>
                <w:iCs/>
                <w:strike w:val="0"/>
                <w:color w:val="auto"/>
                <w:szCs w:val="21"/>
              </w:rPr>
              <w:t>（1）向</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仲裁委员会申请仲裁，仲裁地点为</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w:t>
            </w:r>
          </w:p>
          <w:p w14:paraId="7E3FC5D1">
            <w:pPr>
              <w:adjustRightInd w:val="0"/>
              <w:snapToGrid w:val="0"/>
              <w:jc w:val="left"/>
              <w:rPr>
                <w:rFonts w:hint="eastAsia" w:ascii="宋体" w:hAnsi="宋体"/>
                <w:strike w:val="0"/>
                <w:color w:val="auto"/>
                <w:szCs w:val="21"/>
                <w:u w:val="single"/>
              </w:rPr>
            </w:pPr>
            <w:r>
              <w:rPr>
                <w:rFonts w:hint="eastAsia" w:ascii="宋体" w:hAnsi="宋体" w:cs="宋体"/>
                <w:iCs/>
                <w:strike w:val="0"/>
                <w:color w:val="auto"/>
                <w:szCs w:val="21"/>
              </w:rPr>
              <w:t>（2）向</w:t>
            </w:r>
            <w:r>
              <w:rPr>
                <w:rFonts w:hint="eastAsia" w:ascii="宋体" w:hAnsi="宋体" w:cs="宋体"/>
                <w:iCs/>
                <w:strike w:val="0"/>
                <w:color w:val="auto"/>
                <w:szCs w:val="21"/>
                <w:u w:val="single"/>
              </w:rPr>
              <w:t xml:space="preserve">                    </w:t>
            </w:r>
            <w:r>
              <w:rPr>
                <w:rFonts w:hint="eastAsia" w:ascii="宋体" w:hAnsi="宋体" w:cs="宋体"/>
                <w:iCs/>
                <w:strike w:val="0"/>
                <w:color w:val="auto"/>
                <w:szCs w:val="21"/>
              </w:rPr>
              <w:t>人民法院起诉。</w:t>
            </w:r>
          </w:p>
        </w:tc>
      </w:tr>
      <w:tr w14:paraId="68DCC3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7CB68F81">
            <w:pPr>
              <w:adjustRightInd w:val="0"/>
              <w:snapToGrid w:val="0"/>
              <w:jc w:val="center"/>
              <w:rPr>
                <w:rFonts w:hint="eastAsia" w:ascii="宋体" w:hAnsi="宋体"/>
                <w:strike w:val="0"/>
                <w:color w:val="auto"/>
                <w:szCs w:val="21"/>
              </w:rPr>
            </w:pPr>
            <w:r>
              <w:rPr>
                <w:rFonts w:hint="eastAsia" w:ascii="宋体" w:hAnsi="宋体"/>
                <w:strike w:val="0"/>
                <w:color w:val="auto"/>
                <w:szCs w:val="21"/>
              </w:rPr>
              <w:t>第二节</w:t>
            </w:r>
          </w:p>
          <w:p w14:paraId="160B319C">
            <w:pPr>
              <w:adjustRightInd w:val="0"/>
              <w:snapToGrid w:val="0"/>
              <w:jc w:val="center"/>
              <w:rPr>
                <w:rFonts w:hint="eastAsia" w:ascii="宋体" w:hAnsi="宋体"/>
                <w:strike w:val="0"/>
                <w:color w:val="auto"/>
                <w:szCs w:val="21"/>
              </w:rPr>
            </w:pPr>
            <w:r>
              <w:rPr>
                <w:rFonts w:hint="eastAsia" w:ascii="宋体" w:hAnsi="宋体"/>
                <w:strike w:val="0"/>
                <w:color w:val="auto"/>
                <w:szCs w:val="21"/>
              </w:rPr>
              <w:t>第23.1款</w:t>
            </w:r>
          </w:p>
        </w:tc>
        <w:tc>
          <w:tcPr>
            <w:tcW w:w="1742" w:type="dxa"/>
            <w:noWrap w:val="0"/>
            <w:vAlign w:val="center"/>
          </w:tcPr>
          <w:p w14:paraId="4D511E30">
            <w:pPr>
              <w:keepNext w:val="0"/>
              <w:keepLines w:val="0"/>
              <w:pageBreakBefore w:val="0"/>
              <w:widowControl w:val="0"/>
              <w:kinsoku/>
              <w:wordWrap/>
              <w:overflowPunct/>
              <w:topLinePunct w:val="0"/>
              <w:bidi w:val="0"/>
              <w:adjustRightInd w:val="0"/>
              <w:snapToGrid w:val="0"/>
              <w:ind w:firstLine="0" w:firstLineChars="0"/>
              <w:jc w:val="left"/>
              <w:textAlignment w:val="auto"/>
              <w:rPr>
                <w:rFonts w:hint="eastAsia" w:ascii="宋体" w:hAnsi="宋体"/>
                <w:strike w:val="0"/>
                <w:color w:val="auto"/>
                <w:szCs w:val="21"/>
              </w:rPr>
            </w:pPr>
            <w:r>
              <w:rPr>
                <w:rFonts w:hint="eastAsia" w:ascii="宋体" w:hAnsi="宋体"/>
                <w:bCs/>
                <w:strike w:val="0"/>
                <w:color w:val="auto"/>
                <w:szCs w:val="21"/>
              </w:rPr>
              <w:t>其他专用条款</w:t>
            </w:r>
          </w:p>
        </w:tc>
        <w:tc>
          <w:tcPr>
            <w:tcW w:w="5170" w:type="dxa"/>
            <w:noWrap w:val="0"/>
            <w:vAlign w:val="center"/>
          </w:tcPr>
          <w:p w14:paraId="5DB4928D">
            <w:pPr>
              <w:adjustRightInd w:val="0"/>
              <w:snapToGrid w:val="0"/>
              <w:jc w:val="left"/>
              <w:rPr>
                <w:rFonts w:hint="eastAsia" w:ascii="宋体" w:hAnsi="宋体"/>
                <w:strike w:val="0"/>
                <w:color w:val="auto"/>
                <w:szCs w:val="21"/>
              </w:rPr>
            </w:pPr>
          </w:p>
        </w:tc>
      </w:tr>
    </w:tbl>
    <w:p w14:paraId="0E79F8A2">
      <w:pPr>
        <w:rPr>
          <w:strike w:val="0"/>
          <w:color w:val="auto"/>
        </w:rPr>
      </w:pPr>
    </w:p>
    <w:p w14:paraId="169D37CD">
      <w:pPr>
        <w:rPr>
          <w:strike w:val="0"/>
          <w:color w:val="auto"/>
        </w:rPr>
      </w:pPr>
    </w:p>
    <w:p w14:paraId="6F158601">
      <w:pPr>
        <w:ind w:firstLine="0" w:firstLineChars="0"/>
        <w:rPr>
          <w:rFonts w:hint="eastAsia"/>
          <w:strike w:val="0"/>
          <w:color w:val="auto"/>
        </w:rPr>
      </w:pPr>
    </w:p>
    <w:bookmarkEnd w:id="223"/>
    <w:p w14:paraId="6903CE31">
      <w:pPr>
        <w:ind w:firstLine="0" w:firstLineChars="0"/>
        <w:rPr>
          <w:strike w:val="0"/>
          <w:color w:val="auto"/>
        </w:rPr>
      </w:pPr>
    </w:p>
    <w:p w14:paraId="47A04E76">
      <w:pPr>
        <w:ind w:firstLine="0" w:firstLineChars="0"/>
        <w:rPr>
          <w:strike w:val="0"/>
          <w:color w:val="auto"/>
        </w:rPr>
      </w:pPr>
    </w:p>
    <w:p w14:paraId="2EBBF9E1">
      <w:pPr>
        <w:ind w:firstLine="0" w:firstLineChars="0"/>
        <w:rPr>
          <w:strike w:val="0"/>
          <w:color w:val="auto"/>
        </w:rPr>
      </w:pPr>
    </w:p>
    <w:p w14:paraId="0815A22A">
      <w:pPr>
        <w:ind w:firstLine="0" w:firstLineChars="0"/>
        <w:rPr>
          <w:strike w:val="0"/>
          <w:color w:val="auto"/>
        </w:rPr>
      </w:pPr>
    </w:p>
    <w:p w14:paraId="1F5AD55C">
      <w:pPr>
        <w:ind w:firstLine="0" w:firstLineChars="0"/>
        <w:rPr>
          <w:strike w:val="0"/>
          <w:color w:val="auto"/>
        </w:rPr>
      </w:pPr>
    </w:p>
    <w:p w14:paraId="1B153FD5">
      <w:pPr>
        <w:ind w:firstLine="0" w:firstLineChars="0"/>
        <w:rPr>
          <w:strike w:val="0"/>
          <w:color w:val="auto"/>
        </w:rPr>
      </w:pPr>
    </w:p>
    <w:p w14:paraId="13E2D1B7">
      <w:pPr>
        <w:ind w:firstLine="0" w:firstLineChars="0"/>
        <w:rPr>
          <w:rFonts w:hint="eastAsia"/>
          <w:strike w:val="0"/>
          <w:color w:val="auto"/>
        </w:rPr>
      </w:pPr>
    </w:p>
    <w:p w14:paraId="13FA5DCC">
      <w:pPr>
        <w:pStyle w:val="48"/>
        <w:ind w:left="0" w:leftChars="0" w:right="0" w:rightChars="0" w:firstLine="0" w:firstLineChars="0"/>
        <w:jc w:val="center"/>
        <w:rPr>
          <w:rFonts w:hint="eastAsia"/>
          <w:strike w:val="0"/>
          <w:color w:val="auto"/>
        </w:rPr>
      </w:pPr>
      <w:bookmarkStart w:id="227" w:name="_Toc352700352"/>
      <w:bookmarkStart w:id="228" w:name="_Toc352700448"/>
      <w:bookmarkStart w:id="229" w:name="_Toc91512288"/>
    </w:p>
    <w:p w14:paraId="1C3D5F75">
      <w:pPr>
        <w:pStyle w:val="48"/>
        <w:ind w:left="0" w:leftChars="0" w:right="0" w:rightChars="0" w:firstLine="0" w:firstLineChars="0"/>
        <w:jc w:val="center"/>
        <w:rPr>
          <w:rFonts w:hint="eastAsia"/>
          <w:strike w:val="0"/>
          <w:color w:val="auto"/>
        </w:rPr>
      </w:pPr>
    </w:p>
    <w:p w14:paraId="5D36398C">
      <w:pPr>
        <w:pStyle w:val="48"/>
        <w:ind w:left="0" w:leftChars="0" w:right="0" w:rightChars="0" w:firstLine="0" w:firstLineChars="0"/>
        <w:jc w:val="center"/>
        <w:rPr>
          <w:rFonts w:hint="eastAsia"/>
          <w:strike w:val="0"/>
          <w:color w:val="auto"/>
        </w:rPr>
      </w:pPr>
    </w:p>
    <w:p w14:paraId="6743DF28">
      <w:pPr>
        <w:pStyle w:val="48"/>
        <w:ind w:left="0" w:leftChars="0" w:right="0" w:rightChars="0" w:firstLine="0" w:firstLineChars="0"/>
        <w:jc w:val="center"/>
        <w:rPr>
          <w:rFonts w:hint="eastAsia"/>
          <w:strike w:val="0"/>
          <w:color w:val="auto"/>
        </w:rPr>
      </w:pPr>
    </w:p>
    <w:p w14:paraId="45FBF5F1">
      <w:pPr>
        <w:pStyle w:val="48"/>
        <w:ind w:left="0" w:leftChars="0" w:right="0" w:rightChars="0" w:firstLine="0" w:firstLineChars="0"/>
        <w:jc w:val="center"/>
        <w:rPr>
          <w:rFonts w:hint="eastAsia"/>
          <w:strike w:val="0"/>
          <w:color w:val="auto"/>
        </w:rPr>
      </w:pPr>
    </w:p>
    <w:p w14:paraId="347B3C24">
      <w:pPr>
        <w:pStyle w:val="48"/>
        <w:ind w:left="0" w:leftChars="0" w:right="0" w:rightChars="0" w:firstLine="0" w:firstLineChars="0"/>
        <w:jc w:val="center"/>
        <w:rPr>
          <w:rFonts w:hint="eastAsia"/>
          <w:strike w:val="0"/>
          <w:color w:val="auto"/>
        </w:rPr>
      </w:pPr>
    </w:p>
    <w:p w14:paraId="1AB4474C">
      <w:pPr>
        <w:pStyle w:val="48"/>
        <w:ind w:left="0" w:leftChars="0" w:right="0" w:rightChars="0" w:firstLine="0" w:firstLineChars="0"/>
        <w:jc w:val="center"/>
        <w:rPr>
          <w:rFonts w:hint="eastAsia"/>
          <w:strike w:val="0"/>
          <w:color w:val="auto"/>
        </w:rPr>
      </w:pPr>
    </w:p>
    <w:p w14:paraId="59BEFE80">
      <w:pPr>
        <w:pStyle w:val="48"/>
        <w:ind w:left="0" w:leftChars="0" w:right="0" w:rightChars="0" w:firstLine="0" w:firstLineChars="0"/>
        <w:jc w:val="center"/>
        <w:rPr>
          <w:strike w:val="0"/>
          <w:color w:val="auto"/>
        </w:rPr>
      </w:pPr>
      <w:r>
        <w:rPr>
          <w:rFonts w:hint="eastAsia"/>
          <w:strike w:val="0"/>
          <w:color w:val="auto"/>
        </w:rPr>
        <w:t>第六章　投标文件格式</w:t>
      </w:r>
      <w:bookmarkEnd w:id="227"/>
      <w:bookmarkEnd w:id="228"/>
      <w:bookmarkEnd w:id="229"/>
    </w:p>
    <w:p w14:paraId="1F3DC2DE">
      <w:pPr>
        <w:pStyle w:val="28"/>
        <w:ind w:firstLine="0" w:firstLineChars="0"/>
        <w:rPr>
          <w:rFonts w:hAnsi="宋体"/>
          <w:b/>
          <w:strike w:val="0"/>
          <w:color w:val="auto"/>
          <w:sz w:val="32"/>
          <w:szCs w:val="32"/>
        </w:rPr>
      </w:pPr>
      <w:r>
        <w:rPr>
          <w:rFonts w:hAnsi="宋体"/>
          <w:strike w:val="0"/>
          <w:color w:val="auto"/>
        </w:rPr>
        <w:br w:type="page"/>
      </w:r>
      <w:r>
        <w:rPr>
          <w:rFonts w:hAnsi="宋体"/>
          <w:strike w:val="0"/>
          <w:color w:val="auto"/>
        </w:rPr>
        <w:t xml:space="preserve"> </w:t>
      </w:r>
      <w:r>
        <w:rPr>
          <w:rFonts w:hint="eastAsia" w:hAnsi="宋体"/>
          <w:b/>
          <w:strike w:val="0"/>
          <w:color w:val="auto"/>
          <w:sz w:val="32"/>
          <w:szCs w:val="32"/>
        </w:rPr>
        <w:t>一、资格文件</w:t>
      </w:r>
    </w:p>
    <w:p w14:paraId="5E925926">
      <w:pPr>
        <w:tabs>
          <w:tab w:val="left" w:pos="3402"/>
        </w:tabs>
        <w:spacing w:line="320" w:lineRule="exact"/>
        <w:ind w:firstLine="0" w:firstLineChars="0"/>
        <w:jc w:val="left"/>
        <w:rPr>
          <w:rFonts w:hint="eastAsia" w:ascii="仿宋_GB2312" w:hAnsi="Adobe 仿宋 Std R" w:eastAsia="仿宋_GB2312"/>
          <w:b/>
          <w:strike w:val="0"/>
          <w:color w:val="auto"/>
          <w:spacing w:val="10"/>
          <w:sz w:val="32"/>
          <w:szCs w:val="32"/>
        </w:rPr>
      </w:pPr>
    </w:p>
    <w:p w14:paraId="338E3256">
      <w:pPr>
        <w:tabs>
          <w:tab w:val="left" w:pos="3402"/>
        </w:tabs>
        <w:spacing w:line="240" w:lineRule="auto"/>
        <w:ind w:firstLine="602" w:firstLineChars="0"/>
        <w:jc w:val="center"/>
        <w:rPr>
          <w:rFonts w:ascii="仿宋_GB2312" w:hAnsi="Adobe 仿宋 Std R" w:eastAsia="仿宋_GB2312"/>
          <w:b/>
          <w:strike w:val="0"/>
          <w:color w:val="auto"/>
          <w:spacing w:val="10"/>
          <w:sz w:val="32"/>
          <w:szCs w:val="32"/>
        </w:rPr>
      </w:pPr>
      <w:r>
        <w:rPr>
          <w:rFonts w:hint="eastAsia" w:ascii="仿宋_GB2312" w:hAnsi="Adobe 仿宋 Std R" w:eastAsia="仿宋_GB2312"/>
          <w:b/>
          <w:strike w:val="0"/>
          <w:color w:val="auto"/>
          <w:spacing w:val="10"/>
          <w:sz w:val="32"/>
          <w:szCs w:val="32"/>
        </w:rPr>
        <w:t>投标人具备参加政府采购活动条件的承诺书</w:t>
      </w:r>
      <w:r>
        <w:rPr>
          <w:rFonts w:hint="eastAsia" w:ascii="仿宋_GB2312" w:hAnsi="Adobe 仿宋 Std R" w:eastAsia="仿宋_GB2312" w:cs="黑体"/>
          <w:bCs/>
          <w:strike w:val="0"/>
          <w:color w:val="auto"/>
          <w:sz w:val="24"/>
        </w:rPr>
        <w:t>(格式)</w:t>
      </w:r>
    </w:p>
    <w:p w14:paraId="3BD69E3D">
      <w:pPr>
        <w:tabs>
          <w:tab w:val="left" w:pos="3402"/>
        </w:tabs>
        <w:spacing w:line="240" w:lineRule="auto"/>
        <w:ind w:firstLine="0" w:firstLineChars="0"/>
        <w:jc w:val="left"/>
        <w:rPr>
          <w:rFonts w:ascii="仿宋_GB2312" w:hAnsi="仿宋" w:eastAsia="仿宋_GB2312"/>
          <w:b/>
          <w:strike w:val="0"/>
          <w:color w:val="auto"/>
          <w:spacing w:val="10"/>
          <w:szCs w:val="21"/>
        </w:rPr>
      </w:pPr>
    </w:p>
    <w:p w14:paraId="5D731B1C">
      <w:pPr>
        <w:spacing w:line="520" w:lineRule="exact"/>
        <w:ind w:firstLine="0" w:firstLineChars="0"/>
        <w:rPr>
          <w:rFonts w:ascii="宋体" w:hAnsi="宋体"/>
          <w:bCs/>
          <w:strike w:val="0"/>
          <w:color w:val="auto"/>
          <w:szCs w:val="22"/>
        </w:rPr>
      </w:pPr>
      <w:r>
        <w:rPr>
          <w:rFonts w:hint="eastAsia" w:ascii="宋体" w:hAnsi="宋体"/>
          <w:bCs/>
          <w:strike w:val="0"/>
          <w:color w:val="auto"/>
          <w:szCs w:val="22"/>
        </w:rPr>
        <w:t>钦州市政府采购中心：</w:t>
      </w:r>
    </w:p>
    <w:p w14:paraId="79E67180">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根据《中华人民共和国政府采购法》实施条例第十七条的规定，现郑重承诺：</w:t>
      </w:r>
    </w:p>
    <w:p w14:paraId="2B8EAEF9">
      <w:pPr>
        <w:spacing w:line="520" w:lineRule="exact"/>
        <w:ind w:firstLine="420" w:firstLineChars="0"/>
        <w:rPr>
          <w:rFonts w:ascii="宋体" w:hAnsi="宋体"/>
          <w:bCs/>
          <w:strike w:val="0"/>
          <w:color w:val="auto"/>
          <w:szCs w:val="22"/>
        </w:rPr>
      </w:pPr>
      <w:r>
        <w:rPr>
          <w:rFonts w:ascii="宋体" w:hAnsi="宋体"/>
          <w:bCs/>
          <w:strike w:val="0"/>
          <w:color w:val="auto"/>
          <w:szCs w:val="22"/>
          <w:u w:val="single"/>
        </w:rPr>
        <w:t>(</w:t>
      </w:r>
      <w:r>
        <w:rPr>
          <w:rFonts w:hint="eastAsia" w:ascii="宋体" w:hAnsi="宋体"/>
          <w:bCs/>
          <w:strike w:val="0"/>
          <w:color w:val="auto"/>
          <w:szCs w:val="22"/>
          <w:u w:val="single"/>
        </w:rPr>
        <w:t>投标人名称)</w:t>
      </w:r>
      <w:r>
        <w:rPr>
          <w:rFonts w:hint="eastAsia" w:ascii="宋体" w:hAnsi="宋体"/>
          <w:bCs/>
          <w:strike w:val="0"/>
          <w:color w:val="auto"/>
          <w:szCs w:val="22"/>
        </w:rPr>
        <w:t>具有良好的商业信誉和健全的财务会计制度，具有履行合同所必需的设备和专业技术能力，有依法缴纳税收和社会保障资金的良好记录。</w:t>
      </w:r>
    </w:p>
    <w:p w14:paraId="50D45597">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本单位对上述承诺内容事项真实性负责，如有虚假，由我单位承担相关法律责任。</w:t>
      </w:r>
    </w:p>
    <w:p w14:paraId="58FDD14C">
      <w:pPr>
        <w:spacing w:line="520" w:lineRule="exact"/>
        <w:ind w:firstLine="420" w:firstLineChars="0"/>
        <w:rPr>
          <w:rFonts w:ascii="宋体" w:hAnsi="宋体"/>
          <w:bCs/>
          <w:strike w:val="0"/>
          <w:color w:val="auto"/>
          <w:szCs w:val="22"/>
        </w:rPr>
      </w:pPr>
      <w:r>
        <w:rPr>
          <w:rFonts w:hint="eastAsia" w:ascii="宋体" w:hAnsi="宋体"/>
          <w:bCs/>
          <w:strike w:val="0"/>
          <w:color w:val="auto"/>
          <w:szCs w:val="22"/>
        </w:rPr>
        <w:t>特此承诺。</w:t>
      </w:r>
    </w:p>
    <w:p w14:paraId="4EF365FF">
      <w:pPr>
        <w:spacing w:line="240" w:lineRule="auto"/>
        <w:ind w:firstLine="420" w:firstLineChars="0"/>
        <w:rPr>
          <w:rFonts w:ascii="宋体" w:hAnsi="宋体"/>
          <w:bCs/>
          <w:strike w:val="0"/>
          <w:color w:val="auto"/>
          <w:szCs w:val="22"/>
        </w:rPr>
      </w:pPr>
    </w:p>
    <w:p w14:paraId="6E85CD9B">
      <w:pPr>
        <w:spacing w:line="240" w:lineRule="auto"/>
        <w:ind w:firstLine="420" w:firstLineChars="0"/>
        <w:rPr>
          <w:rFonts w:ascii="宋体" w:hAnsi="宋体"/>
          <w:bCs/>
          <w:strike w:val="0"/>
          <w:color w:val="auto"/>
          <w:szCs w:val="22"/>
        </w:rPr>
      </w:pPr>
    </w:p>
    <w:p w14:paraId="00EDE76A">
      <w:pPr>
        <w:spacing w:line="240" w:lineRule="auto"/>
        <w:ind w:firstLine="420" w:firstLineChars="0"/>
        <w:rPr>
          <w:rFonts w:hint="eastAsia" w:ascii="宋体" w:hAnsi="宋体"/>
          <w:bCs/>
          <w:strike w:val="0"/>
          <w:color w:val="auto"/>
          <w:szCs w:val="22"/>
        </w:rPr>
      </w:pPr>
    </w:p>
    <w:p w14:paraId="77DF9393">
      <w:pPr>
        <w:spacing w:line="440" w:lineRule="exact"/>
        <w:ind w:right="1050" w:rightChars="500" w:firstLine="5250" w:firstLineChars="2500"/>
        <w:jc w:val="left"/>
        <w:rPr>
          <w:rFonts w:hint="eastAsia" w:ascii="宋体" w:hAnsi="宋体"/>
          <w:bCs/>
          <w:strike w:val="0"/>
          <w:color w:val="auto"/>
        </w:rPr>
      </w:pPr>
      <w:r>
        <w:rPr>
          <w:rFonts w:hint="eastAsia" w:ascii="宋体" w:hAnsi="宋体"/>
          <w:bCs/>
          <w:strike w:val="0"/>
          <w:color w:val="auto"/>
          <w:szCs w:val="22"/>
        </w:rPr>
        <w:t xml:space="preserve"> </w:t>
      </w:r>
      <w:r>
        <w:rPr>
          <w:rFonts w:ascii="宋体" w:hAnsi="宋体"/>
          <w:bCs/>
          <w:strike w:val="0"/>
          <w:color w:val="auto"/>
          <w:szCs w:val="22"/>
        </w:rPr>
        <w:t xml:space="preserve">   </w:t>
      </w:r>
      <w:r>
        <w:rPr>
          <w:rFonts w:hint="eastAsia" w:ascii="宋体" w:hAnsi="宋体"/>
          <w:bCs/>
          <w:strike w:val="0"/>
          <w:color w:val="auto"/>
        </w:rPr>
        <w:t>投标人（盖章）：</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p>
    <w:p w14:paraId="4DC21F46">
      <w:pPr>
        <w:spacing w:line="440" w:lineRule="exact"/>
        <w:ind w:right="420" w:firstLine="0" w:firstLineChars="0"/>
        <w:jc w:val="center"/>
        <w:rPr>
          <w:rFonts w:ascii="宋体" w:hAnsi="宋体"/>
          <w:bCs/>
          <w:strike w:val="0"/>
          <w:color w:val="auto"/>
        </w:rPr>
      </w:pPr>
      <w:r>
        <w:rPr>
          <w:rFonts w:hint="eastAsia" w:ascii="宋体" w:hAnsi="宋体"/>
          <w:bCs/>
          <w:strike w:val="0"/>
          <w:color w:val="auto"/>
        </w:rPr>
        <w:t xml:space="preserve"> </w:t>
      </w:r>
      <w:r>
        <w:rPr>
          <w:rFonts w:ascii="宋体" w:hAnsi="宋体"/>
          <w:bCs/>
          <w:strike w:val="0"/>
          <w:color w:val="auto"/>
        </w:rPr>
        <w:t xml:space="preserve">                                              </w:t>
      </w:r>
      <w:r>
        <w:rPr>
          <w:rFonts w:hint="eastAsia" w:ascii="宋体" w:hAnsi="宋体"/>
          <w:bCs/>
          <w:strike w:val="0"/>
          <w:color w:val="auto"/>
        </w:rPr>
        <w:t>日期：</w:t>
      </w:r>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p>
    <w:p w14:paraId="064BD59F">
      <w:pPr>
        <w:ind w:firstLine="0" w:firstLineChars="0"/>
        <w:rPr>
          <w:strike w:val="0"/>
          <w:color w:val="auto"/>
        </w:rPr>
      </w:pPr>
    </w:p>
    <w:p w14:paraId="26FB6D5E">
      <w:pPr>
        <w:ind w:firstLine="0" w:firstLineChars="0"/>
        <w:rPr>
          <w:strike w:val="0"/>
          <w:color w:val="auto"/>
        </w:rPr>
      </w:pPr>
    </w:p>
    <w:p w14:paraId="1FD525C1">
      <w:pPr>
        <w:ind w:firstLine="0" w:firstLineChars="0"/>
        <w:rPr>
          <w:rFonts w:hint="eastAsia"/>
          <w:strike w:val="0"/>
          <w:color w:val="auto"/>
        </w:rPr>
      </w:pPr>
    </w:p>
    <w:p w14:paraId="43ADC93C">
      <w:pPr>
        <w:tabs>
          <w:tab w:val="left" w:pos="3402"/>
        </w:tabs>
        <w:ind w:firstLine="683"/>
        <w:jc w:val="center"/>
        <w:rPr>
          <w:rFonts w:ascii="仿宋_GB2312" w:hAnsi="仿宋" w:eastAsia="仿宋_GB2312"/>
          <w:b/>
          <w:strike w:val="0"/>
          <w:color w:val="auto"/>
          <w:spacing w:val="10"/>
          <w:sz w:val="28"/>
          <w:szCs w:val="28"/>
        </w:rPr>
      </w:pPr>
      <w:r>
        <w:rPr>
          <w:rFonts w:hint="eastAsia" w:ascii="仿宋_GB2312" w:hAnsi="仿宋" w:eastAsia="仿宋_GB2312"/>
          <w:b/>
          <w:strike w:val="0"/>
          <w:color w:val="auto"/>
          <w:spacing w:val="10"/>
          <w:sz w:val="32"/>
          <w:szCs w:val="32"/>
        </w:rPr>
        <w:t>无重大违法记录的书面声明</w:t>
      </w:r>
      <w:r>
        <w:rPr>
          <w:rFonts w:hint="eastAsia" w:ascii="仿宋_GB2312" w:hAnsi="仿宋" w:eastAsia="仿宋_GB2312"/>
          <w:bCs/>
          <w:strike w:val="0"/>
          <w:color w:val="auto"/>
          <w:spacing w:val="10"/>
          <w:sz w:val="24"/>
        </w:rPr>
        <w:t>（格式）</w:t>
      </w:r>
    </w:p>
    <w:p w14:paraId="2BC82CEE">
      <w:pPr>
        <w:tabs>
          <w:tab w:val="left" w:pos="3402"/>
        </w:tabs>
        <w:ind w:firstLine="0" w:firstLineChars="0"/>
        <w:jc w:val="left"/>
        <w:rPr>
          <w:rFonts w:hint="eastAsia" w:ascii="仿宋_GB2312" w:hAnsi="仿宋" w:eastAsia="仿宋_GB2312"/>
          <w:b/>
          <w:strike w:val="0"/>
          <w:color w:val="auto"/>
          <w:spacing w:val="10"/>
          <w:szCs w:val="21"/>
        </w:rPr>
      </w:pPr>
    </w:p>
    <w:p w14:paraId="5F28597B">
      <w:pPr>
        <w:spacing w:line="440" w:lineRule="exact"/>
        <w:ind w:firstLine="0" w:firstLineChars="0"/>
        <w:rPr>
          <w:rFonts w:hint="eastAsia" w:ascii="宋体" w:hAnsi="宋体"/>
          <w:bCs/>
          <w:strike w:val="0"/>
          <w:color w:val="auto"/>
        </w:rPr>
      </w:pPr>
      <w:r>
        <w:rPr>
          <w:rFonts w:hint="eastAsia" w:ascii="宋体" w:hAnsi="宋体"/>
          <w:bCs/>
          <w:strike w:val="0"/>
          <w:color w:val="auto"/>
        </w:rPr>
        <w:t>钦州市政府采购中心：</w:t>
      </w:r>
    </w:p>
    <w:p w14:paraId="31F52C9F">
      <w:pPr>
        <w:spacing w:line="440" w:lineRule="exact"/>
        <w:ind w:firstLine="420"/>
        <w:rPr>
          <w:rFonts w:hint="eastAsia" w:ascii="宋体" w:hAnsi="宋体"/>
          <w:bCs/>
          <w:strike w:val="0"/>
          <w:color w:val="auto"/>
        </w:rPr>
      </w:pPr>
      <w:r>
        <w:rPr>
          <w:rFonts w:hint="eastAsia" w:ascii="宋体" w:hAnsi="宋体"/>
          <w:bCs/>
          <w:strike w:val="0"/>
          <w:color w:val="auto"/>
        </w:rPr>
        <w:t>根据《中华人民共和国政府采购法实施条例》第十七条第一款第(四</w:t>
      </w:r>
      <w:r>
        <w:rPr>
          <w:rFonts w:ascii="宋体" w:hAnsi="宋体"/>
          <w:bCs/>
          <w:strike w:val="0"/>
          <w:color w:val="auto"/>
        </w:rPr>
        <w:t>）</w:t>
      </w:r>
      <w:r>
        <w:rPr>
          <w:rFonts w:hint="eastAsia" w:ascii="宋体" w:hAnsi="宋体"/>
          <w:bCs/>
          <w:strike w:val="0"/>
          <w:color w:val="auto"/>
        </w:rPr>
        <w:t>项的规定，</w:t>
      </w:r>
      <w:r>
        <w:rPr>
          <w:rFonts w:hint="eastAsia" w:ascii="宋体" w:hAnsi="宋体"/>
          <w:bCs/>
          <w:strike w:val="0"/>
          <w:color w:val="auto"/>
          <w:u w:val="single"/>
        </w:rPr>
        <w:t>（投标人名称）</w:t>
      </w:r>
      <w:r>
        <w:rPr>
          <w:rFonts w:hint="eastAsia" w:ascii="宋体" w:hAnsi="宋体"/>
          <w:bCs/>
          <w:strike w:val="0"/>
          <w:color w:val="auto"/>
        </w:rPr>
        <w:t>郑重声明：</w:t>
      </w:r>
    </w:p>
    <w:p w14:paraId="28B0D5C8">
      <w:pPr>
        <w:spacing w:line="440" w:lineRule="exact"/>
        <w:ind w:firstLine="420"/>
        <w:rPr>
          <w:rFonts w:hint="eastAsia" w:ascii="宋体" w:hAnsi="宋体"/>
          <w:bCs/>
          <w:strike w:val="0"/>
          <w:color w:val="auto"/>
        </w:rPr>
      </w:pPr>
      <w:r>
        <w:rPr>
          <w:rFonts w:ascii="宋体" w:hAnsi="宋体"/>
          <w:bCs/>
          <w:strike w:val="0"/>
          <w:color w:val="auto"/>
          <w:u w:val="single"/>
        </w:rPr>
        <w:t>(</w:t>
      </w:r>
      <w:r>
        <w:rPr>
          <w:rFonts w:hint="eastAsia" w:ascii="宋体" w:hAnsi="宋体"/>
          <w:bCs/>
          <w:strike w:val="0"/>
          <w:color w:val="auto"/>
          <w:u w:val="single"/>
        </w:rPr>
        <w:t>投标人名称)</w:t>
      </w:r>
      <w:r>
        <w:rPr>
          <w:rFonts w:hint="eastAsia" w:ascii="宋体" w:hAnsi="宋体"/>
          <w:bCs/>
          <w:strike w:val="0"/>
          <w:color w:val="auto"/>
        </w:rPr>
        <w:t>在参加本次政府采购活动前3年内在经营活动中没有重大违法记录（</w:t>
      </w:r>
      <w:r>
        <w:rPr>
          <w:rFonts w:hint="eastAsia" w:ascii="宋体" w:hAnsi="宋体"/>
          <w:bCs/>
          <w:strike w:val="0"/>
          <w:color w:val="auto"/>
          <w:u w:val="single"/>
        </w:rPr>
        <w:t>即因违法经营受到刑事处罚或者责令停产停业、吊销许可证或者执照、较大数额罚款等行政处罚的行为</w:t>
      </w:r>
      <w:r>
        <w:rPr>
          <w:rFonts w:hint="eastAsia" w:ascii="宋体" w:hAnsi="宋体"/>
          <w:bCs/>
          <w:strike w:val="0"/>
          <w:color w:val="auto"/>
        </w:rPr>
        <w:t>）。</w:t>
      </w:r>
    </w:p>
    <w:p w14:paraId="18DE0A39">
      <w:pPr>
        <w:spacing w:line="440" w:lineRule="exact"/>
        <w:ind w:firstLine="420"/>
        <w:rPr>
          <w:rFonts w:hint="eastAsia" w:ascii="宋体" w:hAnsi="宋体"/>
          <w:bCs/>
          <w:strike w:val="0"/>
          <w:color w:val="auto"/>
        </w:rPr>
      </w:pPr>
      <w:r>
        <w:rPr>
          <w:rFonts w:hint="eastAsia" w:ascii="宋体" w:hAnsi="宋体"/>
          <w:bCs/>
          <w:strike w:val="0"/>
          <w:color w:val="auto"/>
        </w:rPr>
        <w:t>本单位对上述声明内容事项真实性负责，如有虚假，由我单位承担相关法律责任。</w:t>
      </w:r>
    </w:p>
    <w:p w14:paraId="093E3478">
      <w:pPr>
        <w:ind w:firstLine="420"/>
        <w:rPr>
          <w:rFonts w:hint="eastAsia" w:ascii="宋体" w:hAnsi="宋体"/>
          <w:bCs/>
          <w:strike w:val="0"/>
          <w:color w:val="auto"/>
        </w:rPr>
      </w:pPr>
      <w:r>
        <w:rPr>
          <w:rFonts w:hint="eastAsia" w:ascii="宋体" w:hAnsi="宋体"/>
          <w:bCs/>
          <w:strike w:val="0"/>
          <w:color w:val="auto"/>
        </w:rPr>
        <w:t>特此声明。</w:t>
      </w:r>
    </w:p>
    <w:p w14:paraId="114053CA">
      <w:pPr>
        <w:ind w:firstLine="420"/>
        <w:rPr>
          <w:rFonts w:ascii="宋体" w:hAnsi="宋体"/>
          <w:bCs/>
          <w:strike w:val="0"/>
          <w:color w:val="auto"/>
        </w:rPr>
      </w:pPr>
    </w:p>
    <w:p w14:paraId="6B4624AE">
      <w:pPr>
        <w:ind w:firstLine="420"/>
        <w:rPr>
          <w:rFonts w:ascii="宋体" w:hAnsi="宋体"/>
          <w:bCs/>
          <w:strike w:val="0"/>
          <w:color w:val="auto"/>
        </w:rPr>
      </w:pPr>
    </w:p>
    <w:p w14:paraId="386DD9BB">
      <w:pPr>
        <w:ind w:firstLine="420"/>
        <w:rPr>
          <w:rFonts w:hint="eastAsia" w:ascii="宋体" w:hAnsi="宋体"/>
          <w:bCs/>
          <w:strike w:val="0"/>
          <w:color w:val="auto"/>
        </w:rPr>
      </w:pPr>
    </w:p>
    <w:p w14:paraId="6FD093DA">
      <w:pPr>
        <w:ind w:right="1050" w:rightChars="500" w:firstLine="4819" w:firstLineChars="2295"/>
        <w:jc w:val="left"/>
        <w:rPr>
          <w:rFonts w:hint="eastAsia" w:ascii="宋体" w:hAnsi="宋体"/>
          <w:bCs/>
          <w:strike w:val="0"/>
          <w:color w:val="auto"/>
        </w:rPr>
      </w:pPr>
      <w:r>
        <w:rPr>
          <w:rFonts w:hint="eastAsia" w:ascii="宋体" w:hAnsi="宋体"/>
          <w:bCs/>
          <w:strike w:val="0"/>
          <w:color w:val="auto"/>
        </w:rPr>
        <w:t xml:space="preserve"> </w:t>
      </w:r>
      <w:r>
        <w:rPr>
          <w:rFonts w:ascii="宋体" w:hAnsi="宋体"/>
          <w:bCs/>
          <w:strike w:val="0"/>
          <w:color w:val="auto"/>
        </w:rPr>
        <w:t xml:space="preserve">          </w:t>
      </w:r>
      <w:r>
        <w:rPr>
          <w:rFonts w:hint="eastAsia" w:ascii="宋体" w:hAnsi="宋体"/>
          <w:bCs/>
          <w:strike w:val="0"/>
          <w:color w:val="auto"/>
        </w:rPr>
        <w:t>投标人（盖章）：</w:t>
      </w:r>
      <w:r>
        <w:rPr>
          <w:rFonts w:hint="eastAsia" w:ascii="宋体" w:hAnsi="宋体"/>
          <w:bCs/>
          <w:strike w:val="0"/>
          <w:color w:val="auto"/>
          <w:u w:val="single"/>
        </w:rPr>
        <w:t xml:space="preserve">          </w:t>
      </w:r>
      <w:r>
        <w:rPr>
          <w:rFonts w:ascii="宋体" w:hAnsi="宋体"/>
          <w:bCs/>
          <w:strike w:val="0"/>
          <w:color w:val="auto"/>
          <w:u w:val="single"/>
        </w:rPr>
        <w:t xml:space="preserve"> </w:t>
      </w:r>
    </w:p>
    <w:p w14:paraId="6B3BB93C">
      <w:pPr>
        <w:ind w:right="1050" w:rightChars="500" w:firstLine="420"/>
        <w:jc w:val="right"/>
        <w:rPr>
          <w:rFonts w:hint="eastAsia" w:ascii="宋体" w:hAnsi="宋体"/>
          <w:bCs/>
          <w:strike w:val="0"/>
          <w:color w:val="auto"/>
        </w:rPr>
      </w:pPr>
      <w:r>
        <w:rPr>
          <w:rFonts w:hint="eastAsia" w:ascii="宋体" w:hAnsi="宋体"/>
          <w:bCs/>
          <w:strike w:val="0"/>
          <w:color w:val="auto"/>
        </w:rPr>
        <w:t>日期：</w:t>
      </w:r>
      <w:bookmarkStart w:id="230" w:name="_Hlk112336125"/>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bookmarkEnd w:id="230"/>
    </w:p>
    <w:p w14:paraId="1E54B5B4">
      <w:pPr>
        <w:pStyle w:val="4"/>
        <w:rPr>
          <w:rFonts w:hint="eastAsia"/>
          <w:strike w:val="0"/>
          <w:color w:val="auto"/>
        </w:rPr>
      </w:pPr>
    </w:p>
    <w:p w14:paraId="3D0E2EEB">
      <w:pPr>
        <w:snapToGrid w:val="0"/>
        <w:spacing w:before="156" w:beforeLines="50" w:after="50" w:line="360" w:lineRule="exact"/>
        <w:ind w:firstLine="0" w:firstLineChars="0"/>
        <w:jc w:val="left"/>
        <w:rPr>
          <w:rFonts w:hint="eastAsia" w:ascii="宋体" w:hAnsi="宋体"/>
          <w:b/>
          <w:strike w:val="0"/>
          <w:color w:val="auto"/>
          <w:sz w:val="32"/>
          <w:szCs w:val="32"/>
        </w:rPr>
      </w:pPr>
      <w:r>
        <w:rPr>
          <w:rFonts w:hint="eastAsia" w:ascii="宋体" w:hAnsi="宋体"/>
          <w:b/>
          <w:strike w:val="0"/>
          <w:color w:val="auto"/>
          <w:sz w:val="32"/>
          <w:szCs w:val="32"/>
        </w:rPr>
        <w:t>二、资信技术文件</w:t>
      </w:r>
    </w:p>
    <w:p w14:paraId="08C9B6C8">
      <w:pPr>
        <w:snapToGrid w:val="0"/>
        <w:spacing w:before="156" w:beforeLines="50" w:after="50" w:line="360" w:lineRule="exact"/>
        <w:ind w:firstLine="0" w:firstLineChars="0"/>
        <w:jc w:val="center"/>
        <w:rPr>
          <w:rFonts w:hint="eastAsia" w:ascii="仿宋_GB2312" w:hAnsi="宋体" w:eastAsia="仿宋_GB2312"/>
          <w:b/>
          <w:strike w:val="0"/>
          <w:color w:val="auto"/>
          <w:sz w:val="28"/>
          <w:szCs w:val="28"/>
        </w:rPr>
      </w:pPr>
      <w:r>
        <w:rPr>
          <w:rFonts w:hint="eastAsia" w:ascii="仿宋_GB2312" w:hAnsi="宋体" w:eastAsia="仿宋_GB2312"/>
          <w:b/>
          <w:strike w:val="0"/>
          <w:color w:val="auto"/>
          <w:sz w:val="28"/>
          <w:szCs w:val="28"/>
        </w:rPr>
        <w:t>投 标 函</w:t>
      </w:r>
      <w:r>
        <w:rPr>
          <w:rFonts w:hint="eastAsia" w:ascii="仿宋_GB2312" w:hAnsi="宋体" w:eastAsia="仿宋_GB2312"/>
          <w:bCs/>
          <w:strike w:val="0"/>
          <w:color w:val="auto"/>
          <w:sz w:val="24"/>
        </w:rPr>
        <w:t>（格式）</w:t>
      </w:r>
    </w:p>
    <w:p w14:paraId="798384C4">
      <w:pPr>
        <w:ind w:firstLine="0" w:firstLineChars="0"/>
        <w:rPr>
          <w:rFonts w:ascii="宋体" w:hAnsi="宋体"/>
          <w:strike w:val="0"/>
          <w:color w:val="auto"/>
          <w:szCs w:val="21"/>
        </w:rPr>
      </w:pPr>
      <w:r>
        <w:rPr>
          <w:rFonts w:hint="eastAsia" w:ascii="宋体" w:hAnsi="宋体"/>
          <w:strike w:val="0"/>
          <w:color w:val="auto"/>
          <w:szCs w:val="21"/>
        </w:rPr>
        <w:t>致：钦州市政府采购中心：</w:t>
      </w:r>
    </w:p>
    <w:p w14:paraId="3BEEF144">
      <w:pPr>
        <w:ind w:firstLine="0" w:firstLineChars="0"/>
        <w:rPr>
          <w:rFonts w:ascii="宋体" w:hAnsi="宋体"/>
          <w:strike w:val="0"/>
          <w:color w:val="auto"/>
          <w:szCs w:val="21"/>
        </w:rPr>
      </w:pPr>
    </w:p>
    <w:p w14:paraId="1A6B83EF">
      <w:pPr>
        <w:ind w:firstLine="0" w:firstLineChars="0"/>
        <w:jc w:val="left"/>
        <w:rPr>
          <w:rFonts w:hint="eastAsia"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根据贵方为</w:t>
      </w:r>
      <w:r>
        <w:rPr>
          <w:rFonts w:hint="eastAsia" w:ascii="宋体" w:hAnsi="宋体"/>
          <w:strike w:val="0"/>
          <w:color w:val="auto"/>
          <w:szCs w:val="21"/>
          <w:u w:val="single"/>
        </w:rPr>
        <w:t xml:space="preserve">   （项目名称）</w:t>
      </w:r>
      <w:r>
        <w:rPr>
          <w:rFonts w:ascii="宋体" w:hAnsi="宋体"/>
          <w:strike w:val="0"/>
          <w:color w:val="auto"/>
          <w:szCs w:val="21"/>
          <w:u w:val="single"/>
        </w:rPr>
        <w:t xml:space="preserve">   </w:t>
      </w:r>
      <w:r>
        <w:rPr>
          <w:rFonts w:hint="eastAsia" w:ascii="宋体" w:hAnsi="宋体"/>
          <w:strike w:val="0"/>
          <w:color w:val="auto"/>
          <w:szCs w:val="21"/>
        </w:rPr>
        <w:t>招标文件</w:t>
      </w:r>
      <w:r>
        <w:rPr>
          <w:rFonts w:hint="eastAsia" w:ascii="宋体" w:hAnsi="宋体"/>
          <w:strike w:val="0"/>
          <w:color w:val="auto"/>
          <w:szCs w:val="21"/>
          <w:u w:val="single"/>
        </w:rPr>
        <w:t xml:space="preserve"> （项目编号及分标号）</w:t>
      </w:r>
      <w:r>
        <w:rPr>
          <w:rFonts w:ascii="宋体" w:hAnsi="宋体"/>
          <w:strike w:val="0"/>
          <w:color w:val="auto"/>
          <w:szCs w:val="21"/>
          <w:u w:val="single"/>
        </w:rPr>
        <w:t xml:space="preserve"> </w:t>
      </w:r>
      <w:r>
        <w:rPr>
          <w:rFonts w:hint="eastAsia" w:ascii="宋体" w:hAnsi="宋体"/>
          <w:strike w:val="0"/>
          <w:color w:val="auto"/>
          <w:szCs w:val="21"/>
        </w:rPr>
        <w:t>，</w:t>
      </w:r>
      <w:bookmarkStart w:id="231" w:name="_Hlk92702218"/>
      <w:r>
        <w:rPr>
          <w:rFonts w:hint="eastAsia" w:ascii="宋体" w:hAnsi="宋体"/>
          <w:strike w:val="0"/>
          <w:color w:val="auto"/>
          <w:szCs w:val="21"/>
        </w:rPr>
        <w:t>我方</w:t>
      </w:r>
      <w:r>
        <w:rPr>
          <w:rFonts w:hint="eastAsia" w:ascii="宋体" w:hAnsi="宋体"/>
          <w:strike w:val="0"/>
          <w:color w:val="auto"/>
          <w:szCs w:val="21"/>
          <w:u w:val="single"/>
        </w:rPr>
        <w:t xml:space="preserve">  （投标人名称）  </w:t>
      </w:r>
      <w:r>
        <w:rPr>
          <w:rFonts w:hint="eastAsia" w:ascii="宋体" w:hAnsi="宋体"/>
          <w:strike w:val="0"/>
          <w:color w:val="auto"/>
          <w:szCs w:val="21"/>
        </w:rPr>
        <w:t>经正式授权代表</w:t>
      </w:r>
      <w:r>
        <w:rPr>
          <w:rFonts w:hint="eastAsia" w:ascii="宋体" w:hAnsi="宋体"/>
          <w:strike w:val="0"/>
          <w:color w:val="auto"/>
          <w:szCs w:val="21"/>
          <w:u w:val="single"/>
        </w:rPr>
        <w:t xml:space="preserve">   （被授权人）   </w:t>
      </w:r>
      <w:r>
        <w:rPr>
          <w:rFonts w:hint="eastAsia" w:ascii="宋体" w:hAnsi="宋体"/>
          <w:strike w:val="0"/>
          <w:color w:val="auto"/>
          <w:szCs w:val="21"/>
        </w:rPr>
        <w:t>提交</w:t>
      </w:r>
      <w:bookmarkEnd w:id="231"/>
      <w:r>
        <w:rPr>
          <w:rFonts w:hint="eastAsia" w:ascii="宋体" w:hAnsi="宋体"/>
          <w:strike w:val="0"/>
          <w:color w:val="auto"/>
          <w:szCs w:val="21"/>
        </w:rPr>
        <w:t>投标文件：</w:t>
      </w:r>
    </w:p>
    <w:p w14:paraId="2F7630EB">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据此函，投标人承诺：</w:t>
      </w:r>
    </w:p>
    <w:p w14:paraId="5C448C08">
      <w:pPr>
        <w:snapToGrid w:val="0"/>
        <w:spacing w:line="360" w:lineRule="exact"/>
        <w:ind w:firstLine="420"/>
        <w:rPr>
          <w:rFonts w:hint="eastAsia" w:ascii="宋体" w:hAnsi="宋体"/>
          <w:strike w:val="0"/>
          <w:color w:val="auto"/>
          <w:szCs w:val="21"/>
        </w:rPr>
      </w:pPr>
      <w:r>
        <w:rPr>
          <w:rFonts w:ascii="宋体" w:hAnsi="宋体"/>
          <w:strike w:val="0"/>
          <w:color w:val="auto"/>
          <w:szCs w:val="21"/>
        </w:rPr>
        <w:t>1.</w:t>
      </w:r>
      <w:r>
        <w:rPr>
          <w:rFonts w:hint="eastAsia" w:ascii="宋体" w:hAnsi="宋体"/>
          <w:strike w:val="0"/>
          <w:color w:val="auto"/>
          <w:szCs w:val="21"/>
        </w:rPr>
        <w:t>我方已详细审阅招标文件（包括澄清或者修改文件），已经了解我方对于招标文件、采购过程、采购结果有依法进行询问、质疑、投诉的权利及相关渠道和要求。</w:t>
      </w:r>
    </w:p>
    <w:p w14:paraId="27FB17C1">
      <w:pPr>
        <w:snapToGrid w:val="0"/>
        <w:spacing w:line="360" w:lineRule="exact"/>
        <w:ind w:firstLine="420"/>
        <w:rPr>
          <w:rFonts w:ascii="宋体" w:hAnsi="宋体"/>
          <w:strike w:val="0"/>
          <w:color w:val="auto"/>
          <w:szCs w:val="21"/>
        </w:rPr>
      </w:pPr>
      <w:r>
        <w:rPr>
          <w:rFonts w:hint="eastAsia" w:ascii="宋体" w:hAnsi="宋体"/>
          <w:strike w:val="0"/>
          <w:color w:val="auto"/>
          <w:szCs w:val="21"/>
        </w:rPr>
        <w:t>2.我方不是采购人的附属机构；在获知本项目采购信息后，与采购人聘请的为此项目提供咨询服务的公司及其附属机构没有任何联系。</w:t>
      </w:r>
    </w:p>
    <w:p w14:paraId="03BC7280">
      <w:pPr>
        <w:snapToGrid w:val="0"/>
        <w:spacing w:line="360" w:lineRule="exact"/>
        <w:ind w:firstLine="420"/>
        <w:rPr>
          <w:rFonts w:ascii="宋体" w:hAnsi="宋体"/>
          <w:strike w:val="0"/>
          <w:color w:val="auto"/>
          <w:szCs w:val="21"/>
        </w:rPr>
      </w:pPr>
      <w:r>
        <w:rPr>
          <w:rFonts w:ascii="宋体" w:hAnsi="宋体"/>
          <w:strike w:val="0"/>
          <w:color w:val="auto"/>
          <w:szCs w:val="21"/>
        </w:rPr>
        <w:t>3.</w:t>
      </w:r>
      <w:r>
        <w:rPr>
          <w:rFonts w:hint="eastAsia" w:ascii="宋体" w:hAnsi="宋体"/>
          <w:strike w:val="0"/>
          <w:color w:val="auto"/>
          <w:szCs w:val="21"/>
        </w:rPr>
        <w:t>我方在投标之前已经与贵方进行了充分的沟通，完全理解并接受招标文件的各项规定和要求，对招标文件的合理性、合法性不再有异议。</w:t>
      </w:r>
    </w:p>
    <w:p w14:paraId="10E68AB4">
      <w:pPr>
        <w:snapToGrid w:val="0"/>
        <w:spacing w:line="360" w:lineRule="exact"/>
        <w:ind w:firstLine="420"/>
        <w:rPr>
          <w:rFonts w:ascii="宋体" w:hAnsi="宋体"/>
          <w:strike w:val="0"/>
          <w:color w:val="auto"/>
          <w:szCs w:val="21"/>
        </w:rPr>
      </w:pPr>
      <w:r>
        <w:rPr>
          <w:rFonts w:ascii="宋体" w:hAnsi="宋体"/>
          <w:strike w:val="0"/>
          <w:color w:val="auto"/>
          <w:szCs w:val="21"/>
        </w:rPr>
        <w:t>4.</w:t>
      </w:r>
      <w:r>
        <w:rPr>
          <w:rFonts w:hint="eastAsia" w:ascii="宋体" w:hAnsi="宋体"/>
          <w:strike w:val="0"/>
          <w:color w:val="auto"/>
          <w:szCs w:val="21"/>
        </w:rPr>
        <w:t>我方同意在开标日期起遵循本投标文件，并在投标有效期9</w:t>
      </w:r>
      <w:r>
        <w:rPr>
          <w:rFonts w:ascii="宋体" w:hAnsi="宋体"/>
          <w:strike w:val="0"/>
          <w:color w:val="auto"/>
          <w:szCs w:val="21"/>
        </w:rPr>
        <w:t>0</w:t>
      </w:r>
      <w:r>
        <w:rPr>
          <w:rFonts w:hint="eastAsia" w:ascii="宋体" w:hAnsi="宋体"/>
          <w:strike w:val="0"/>
          <w:color w:val="auto"/>
          <w:szCs w:val="21"/>
        </w:rPr>
        <w:t>天内均具有约束力。</w:t>
      </w:r>
    </w:p>
    <w:p w14:paraId="0C822AD1">
      <w:pPr>
        <w:ind w:firstLine="0" w:firstLineChars="0"/>
        <w:rPr>
          <w:rFonts w:hint="eastAsia" w:ascii="宋体" w:hAnsi="宋体"/>
          <w:strike w:val="0"/>
          <w:color w:val="auto"/>
          <w:szCs w:val="21"/>
        </w:rPr>
      </w:pPr>
      <w:r>
        <w:rPr>
          <w:rFonts w:ascii="宋体" w:hAnsi="宋体"/>
          <w:strike w:val="0"/>
          <w:color w:val="auto"/>
          <w:szCs w:val="21"/>
        </w:rPr>
        <w:tab/>
      </w:r>
      <w:r>
        <w:rPr>
          <w:rFonts w:ascii="宋体" w:hAnsi="宋体"/>
          <w:strike w:val="0"/>
          <w:color w:val="auto"/>
          <w:szCs w:val="21"/>
        </w:rPr>
        <w:t>5</w:t>
      </w:r>
      <w:r>
        <w:rPr>
          <w:rFonts w:hint="eastAsia" w:ascii="宋体" w:hAnsi="宋体"/>
          <w:strike w:val="0"/>
          <w:color w:val="auto"/>
          <w:szCs w:val="21"/>
        </w:rPr>
        <w:t>.我方承诺具备《中华人民共和国政府采购法》中规定的参加政府采购活动供应商应当具备的条件。</w:t>
      </w:r>
    </w:p>
    <w:p w14:paraId="47204FF4">
      <w:pPr>
        <w:ind w:firstLine="0" w:firstLineChars="0"/>
        <w:rPr>
          <w:rFonts w:hint="eastAsia" w:ascii="宋体" w:hAnsi="宋体"/>
          <w:strike w:val="0"/>
          <w:color w:val="auto"/>
          <w:szCs w:val="21"/>
        </w:rPr>
      </w:pPr>
      <w:r>
        <w:rPr>
          <w:rFonts w:ascii="宋体" w:hAnsi="宋体"/>
          <w:strike w:val="0"/>
          <w:color w:val="auto"/>
          <w:szCs w:val="21"/>
        </w:rPr>
        <w:tab/>
      </w:r>
      <w:r>
        <w:rPr>
          <w:rFonts w:ascii="宋体" w:hAnsi="宋体"/>
          <w:strike w:val="0"/>
          <w:color w:val="auto"/>
          <w:szCs w:val="21"/>
        </w:rPr>
        <w:t>6</w:t>
      </w:r>
      <w:r>
        <w:rPr>
          <w:rFonts w:hint="eastAsia" w:ascii="宋体" w:hAnsi="宋体"/>
          <w:strike w:val="0"/>
          <w:color w:val="auto"/>
          <w:szCs w:val="21"/>
        </w:rPr>
        <w:t>.我方根据招标文件的规定，承担完成合同的责任和义务。</w:t>
      </w:r>
    </w:p>
    <w:p w14:paraId="0429A657">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7</w:t>
      </w:r>
      <w:r>
        <w:rPr>
          <w:rFonts w:hint="eastAsia" w:ascii="宋体" w:hAnsi="宋体"/>
          <w:strike w:val="0"/>
          <w:color w:val="auto"/>
          <w:szCs w:val="21"/>
        </w:rPr>
        <w:t>.如果在投标截止时间后的投标有效期内撤回投标或者有其他违约行为，我方的投标保证金可被贵方全部没收。</w:t>
      </w:r>
    </w:p>
    <w:p w14:paraId="6D137393">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8</w:t>
      </w:r>
      <w:r>
        <w:rPr>
          <w:rFonts w:hint="eastAsia" w:ascii="宋体" w:hAnsi="宋体"/>
          <w:strike w:val="0"/>
          <w:color w:val="auto"/>
          <w:szCs w:val="21"/>
        </w:rPr>
        <w:t>.同意向贵方提供贵方可能要求的与本投标有关的人员、数据和资料。</w:t>
      </w:r>
    </w:p>
    <w:p w14:paraId="31CA2F0F">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9</w:t>
      </w:r>
      <w:r>
        <w:rPr>
          <w:rFonts w:hint="eastAsia" w:ascii="宋体" w:hAnsi="宋体"/>
          <w:strike w:val="0"/>
          <w:color w:val="auto"/>
          <w:szCs w:val="21"/>
        </w:rPr>
        <w:t>.我方完全理解贵方不一定要接受最低报价的投标人为中标人。</w:t>
      </w:r>
    </w:p>
    <w:p w14:paraId="2271CF04">
      <w:pPr>
        <w:ind w:firstLine="424" w:firstLineChars="202"/>
        <w:rPr>
          <w:rFonts w:hint="eastAsia" w:ascii="宋体" w:hAnsi="宋体"/>
          <w:strike w:val="0"/>
          <w:color w:val="auto"/>
          <w:szCs w:val="21"/>
        </w:rPr>
      </w:pPr>
      <w:r>
        <w:rPr>
          <w:rFonts w:ascii="宋体" w:hAnsi="宋体"/>
          <w:strike w:val="0"/>
          <w:color w:val="auto"/>
          <w:szCs w:val="21"/>
        </w:rPr>
        <w:t>10.</w:t>
      </w:r>
      <w:r>
        <w:rPr>
          <w:rFonts w:hint="eastAsia" w:ascii="宋体" w:hAnsi="宋体"/>
          <w:strike w:val="0"/>
          <w:color w:val="auto"/>
          <w:szCs w:val="21"/>
        </w:rPr>
        <w:t>我方向贵方提交的所有投标文件、资料都是准确的和真实的。</w:t>
      </w:r>
    </w:p>
    <w:p w14:paraId="23E5A345">
      <w:pPr>
        <w:ind w:firstLine="0" w:firstLineChars="0"/>
        <w:rPr>
          <w:rFonts w:ascii="宋体" w:hAnsi="宋体"/>
          <w:strike w:val="0"/>
          <w:color w:val="auto"/>
          <w:szCs w:val="21"/>
        </w:rPr>
      </w:pPr>
    </w:p>
    <w:p w14:paraId="004AD1E0">
      <w:pPr>
        <w:ind w:firstLine="426" w:firstLineChars="0"/>
        <w:rPr>
          <w:rFonts w:ascii="宋体" w:hAnsi="宋体"/>
          <w:strike w:val="0"/>
          <w:color w:val="auto"/>
          <w:szCs w:val="21"/>
        </w:rPr>
      </w:pPr>
      <w:r>
        <w:rPr>
          <w:rFonts w:hint="eastAsia" w:ascii="宋体" w:hAnsi="宋体"/>
          <w:strike w:val="0"/>
          <w:color w:val="auto"/>
          <w:szCs w:val="21"/>
        </w:rPr>
        <w:t>与我公司有关的正式通讯方式：</w:t>
      </w:r>
    </w:p>
    <w:p w14:paraId="67A2C2EB">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地址：</w:t>
      </w:r>
      <w:r>
        <w:rPr>
          <w:rFonts w:hint="eastAsia" w:ascii="宋体" w:hAnsi="宋体"/>
          <w:strike w:val="0"/>
          <w:color w:val="auto"/>
          <w:szCs w:val="21"/>
          <w:u w:val="single"/>
        </w:rPr>
        <w:t xml:space="preserve">                                   </w:t>
      </w:r>
    </w:p>
    <w:p w14:paraId="3EE58DC3">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邮政编码：</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14EE629">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电话、电报、传真或电传：</w:t>
      </w:r>
      <w:r>
        <w:rPr>
          <w:rFonts w:hint="eastAsia" w:ascii="宋体" w:hAnsi="宋体"/>
          <w:strike w:val="0"/>
          <w:color w:val="auto"/>
          <w:szCs w:val="21"/>
          <w:u w:val="single"/>
        </w:rPr>
        <w:t xml:space="preserve">                 </w:t>
      </w:r>
    </w:p>
    <w:p w14:paraId="60946B49">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开户名称：</w:t>
      </w:r>
      <w:r>
        <w:rPr>
          <w:rFonts w:hint="eastAsia" w:ascii="宋体" w:hAnsi="宋体"/>
          <w:strike w:val="0"/>
          <w:color w:val="auto"/>
          <w:szCs w:val="21"/>
          <w:u w:val="single"/>
        </w:rPr>
        <w:t xml:space="preserve">                               </w:t>
      </w:r>
    </w:p>
    <w:p w14:paraId="2297E6C4">
      <w:pPr>
        <w:ind w:firstLine="0" w:firstLineChars="0"/>
        <w:rPr>
          <w:rFonts w:ascii="宋体" w:hAnsi="宋体"/>
          <w:strike w:val="0"/>
          <w:color w:val="auto"/>
          <w:szCs w:val="21"/>
        </w:rPr>
      </w:pPr>
      <w:r>
        <w:rPr>
          <w:rFonts w:ascii="宋体" w:hAnsi="宋体"/>
          <w:strike w:val="0"/>
          <w:color w:val="auto"/>
          <w:szCs w:val="21"/>
        </w:rPr>
        <w:tab/>
      </w:r>
      <w:r>
        <w:rPr>
          <w:rFonts w:hint="eastAsia" w:ascii="宋体" w:hAnsi="宋体"/>
          <w:strike w:val="0"/>
          <w:color w:val="auto"/>
          <w:szCs w:val="21"/>
        </w:rPr>
        <w:t>开户银行：</w:t>
      </w:r>
      <w:r>
        <w:rPr>
          <w:rFonts w:hint="eastAsia" w:ascii="宋体" w:hAnsi="宋体"/>
          <w:strike w:val="0"/>
          <w:color w:val="auto"/>
          <w:szCs w:val="21"/>
          <w:u w:val="single"/>
        </w:rPr>
        <w:t xml:space="preserve">                               </w:t>
      </w:r>
    </w:p>
    <w:p w14:paraId="66AA3085">
      <w:pPr>
        <w:ind w:firstLine="0" w:firstLineChars="0"/>
        <w:rPr>
          <w:rFonts w:ascii="宋体" w:hAnsi="宋体"/>
          <w:strike w:val="0"/>
          <w:color w:val="auto"/>
          <w:szCs w:val="21"/>
          <w:u w:val="single"/>
        </w:rPr>
      </w:pPr>
      <w:r>
        <w:rPr>
          <w:rFonts w:ascii="宋体" w:hAnsi="宋体"/>
          <w:strike w:val="0"/>
          <w:color w:val="auto"/>
          <w:szCs w:val="21"/>
        </w:rPr>
        <w:tab/>
      </w:r>
      <w:r>
        <w:rPr>
          <w:rFonts w:hint="eastAsia" w:ascii="宋体" w:hAnsi="宋体"/>
          <w:strike w:val="0"/>
          <w:color w:val="auto"/>
          <w:szCs w:val="21"/>
        </w:rPr>
        <w:t>账    号：</w:t>
      </w:r>
      <w:r>
        <w:rPr>
          <w:rFonts w:hint="eastAsia" w:ascii="宋体" w:hAnsi="宋体"/>
          <w:strike w:val="0"/>
          <w:color w:val="auto"/>
          <w:szCs w:val="21"/>
          <w:u w:val="single"/>
        </w:rPr>
        <w:t xml:space="preserve">                               </w:t>
      </w:r>
    </w:p>
    <w:p w14:paraId="389E8782">
      <w:pPr>
        <w:ind w:firstLine="0" w:firstLineChars="0"/>
        <w:rPr>
          <w:rFonts w:hint="eastAsia" w:ascii="宋体" w:hAnsi="宋体"/>
          <w:strike w:val="0"/>
          <w:color w:val="auto"/>
          <w:szCs w:val="21"/>
        </w:rPr>
      </w:pPr>
    </w:p>
    <w:p w14:paraId="51A0FF8C">
      <w:pPr>
        <w:ind w:firstLine="0" w:firstLineChars="0"/>
        <w:rPr>
          <w:rFonts w:ascii="宋体" w:hAnsi="宋体"/>
          <w:strike w:val="0"/>
          <w:color w:val="auto"/>
          <w:szCs w:val="21"/>
          <w:u w:val="single"/>
        </w:rPr>
      </w:pPr>
      <w:r>
        <w:rPr>
          <w:rFonts w:ascii="宋体" w:hAnsi="宋体"/>
          <w:strike w:val="0"/>
          <w:color w:val="auto"/>
          <w:szCs w:val="21"/>
        </w:rPr>
        <w:tab/>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AA40660">
      <w:pPr>
        <w:ind w:firstLine="0" w:firstLineChars="0"/>
        <w:rPr>
          <w:rFonts w:ascii="宋体" w:hAnsi="宋体"/>
          <w:strike w:val="0"/>
          <w:color w:val="auto"/>
          <w:szCs w:val="21"/>
        </w:rPr>
      </w:pPr>
      <w:r>
        <w:rPr>
          <w:rFonts w:ascii="宋体" w:hAnsi="宋体"/>
          <w:strike w:val="0"/>
          <w:color w:val="auto"/>
          <w:szCs w:val="21"/>
        </w:rPr>
        <w:tab/>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bCs/>
          <w:strike w:val="0"/>
          <w:color w:val="auto"/>
          <w:u w:val="single"/>
        </w:rPr>
        <w:t xml:space="preserve">    </w:t>
      </w:r>
      <w:r>
        <w:rPr>
          <w:rFonts w:ascii="宋体" w:hAnsi="宋体"/>
          <w:bCs/>
          <w:strike w:val="0"/>
          <w:color w:val="auto"/>
          <w:u w:val="single"/>
        </w:rPr>
        <w:t xml:space="preserve">  </w:t>
      </w:r>
      <w:r>
        <w:rPr>
          <w:rFonts w:hint="eastAsia" w:ascii="宋体" w:hAnsi="宋体"/>
          <w:bCs/>
          <w:strike w:val="0"/>
          <w:color w:val="auto"/>
          <w:u w:val="single"/>
        </w:rPr>
        <w:t xml:space="preserve">  </w:t>
      </w:r>
      <w:r>
        <w:rPr>
          <w:rFonts w:hint="eastAsia" w:ascii="宋体" w:hAnsi="宋体"/>
          <w:bCs/>
          <w:strike w:val="0"/>
          <w:color w:val="auto"/>
        </w:rPr>
        <w:t>年</w:t>
      </w:r>
      <w:r>
        <w:rPr>
          <w:rFonts w:hint="eastAsia" w:ascii="宋体" w:hAnsi="宋体"/>
          <w:bCs/>
          <w:strike w:val="0"/>
          <w:color w:val="auto"/>
          <w:u w:val="single"/>
        </w:rPr>
        <w:t xml:space="preserve">    </w:t>
      </w:r>
      <w:r>
        <w:rPr>
          <w:rFonts w:hint="eastAsia" w:ascii="宋体" w:hAnsi="宋体"/>
          <w:bCs/>
          <w:strike w:val="0"/>
          <w:color w:val="auto"/>
        </w:rPr>
        <w:t>月</w:t>
      </w:r>
      <w:r>
        <w:rPr>
          <w:rFonts w:hint="eastAsia" w:ascii="宋体" w:hAnsi="宋体"/>
          <w:bCs/>
          <w:strike w:val="0"/>
          <w:color w:val="auto"/>
          <w:u w:val="single"/>
        </w:rPr>
        <w:t xml:space="preserve">    </w:t>
      </w:r>
      <w:r>
        <w:rPr>
          <w:rFonts w:hint="eastAsia" w:ascii="宋体" w:hAnsi="宋体"/>
          <w:bCs/>
          <w:strike w:val="0"/>
          <w:color w:val="auto"/>
        </w:rPr>
        <w:t>日</w:t>
      </w:r>
    </w:p>
    <w:p w14:paraId="4CFA76F1">
      <w:pPr>
        <w:ind w:firstLine="0" w:firstLineChars="0"/>
        <w:rPr>
          <w:rFonts w:hint="eastAsia"/>
          <w:strike w:val="0"/>
          <w:color w:val="auto"/>
        </w:rPr>
      </w:pPr>
    </w:p>
    <w:p w14:paraId="6FAEB7D9">
      <w:pPr>
        <w:snapToGrid w:val="0"/>
        <w:spacing w:before="156" w:beforeLines="50" w:after="50" w:line="360" w:lineRule="exact"/>
        <w:ind w:left="0" w:leftChars="0" w:firstLine="3213" w:firstLineChars="1000"/>
        <w:jc w:val="both"/>
        <w:rPr>
          <w:rFonts w:hint="eastAsia" w:ascii="仿宋_GB2312" w:hAnsi="Times New Roman" w:eastAsia="仿宋_GB2312" w:cs="Times New Roman"/>
          <w:b/>
          <w:bCs w:val="0"/>
          <w:strike w:val="0"/>
          <w:color w:val="auto"/>
          <w:sz w:val="24"/>
          <w:lang w:val="en-US" w:eastAsia="zh-CN"/>
        </w:rPr>
      </w:pPr>
      <w:bookmarkStart w:id="232" w:name="_Hlk92702580"/>
      <w:r>
        <w:rPr>
          <w:rFonts w:hint="eastAsia" w:ascii="仿宋_GB2312" w:hAnsi="宋体" w:eastAsia="仿宋_GB2312"/>
          <w:b/>
          <w:strike w:val="0"/>
          <w:dstrike w:val="0"/>
          <w:color w:val="auto"/>
          <w:sz w:val="32"/>
          <w:szCs w:val="32"/>
        </w:rPr>
        <w:t>授权委托书</w:t>
      </w:r>
    </w:p>
    <w:p w14:paraId="037077DE">
      <w:pPr>
        <w:snapToGrid w:val="0"/>
        <w:spacing w:before="156" w:beforeLines="50" w:after="50" w:line="360" w:lineRule="exact"/>
        <w:ind w:left="0" w:leftChars="0" w:firstLine="2409" w:firstLineChars="1000"/>
        <w:jc w:val="both"/>
        <w:rPr>
          <w:rFonts w:hint="eastAsia" w:ascii="仿宋_GB2312" w:hAnsi="Times New Roman" w:eastAsia="仿宋_GB2312" w:cs="Times New Roman"/>
          <w:b/>
          <w:bCs w:val="0"/>
          <w:strike w:val="0"/>
          <w:color w:val="auto"/>
          <w:sz w:val="24"/>
          <w:lang w:val="en-US" w:eastAsia="zh-CN"/>
        </w:rPr>
      </w:pPr>
    </w:p>
    <w:p w14:paraId="5C043023">
      <w:pPr>
        <w:snapToGrid w:val="0"/>
        <w:spacing w:before="156" w:beforeLines="50" w:after="50"/>
        <w:ind w:firstLine="0" w:firstLineChars="0"/>
        <w:rPr>
          <w:rFonts w:hint="eastAsia" w:ascii="宋体" w:hAnsi="宋体"/>
          <w:b/>
          <w:bCs/>
          <w:strike w:val="0"/>
          <w:dstrike w:val="0"/>
          <w:color w:val="auto"/>
          <w:szCs w:val="21"/>
        </w:rPr>
      </w:pPr>
      <w:r>
        <w:rPr>
          <w:rFonts w:hint="eastAsia" w:ascii="宋体" w:hAnsi="宋体"/>
          <w:bCs/>
          <w:strike w:val="0"/>
          <w:dstrike w:val="0"/>
          <w:color w:val="auto"/>
          <w:szCs w:val="21"/>
        </w:rPr>
        <w:t>致：</w:t>
      </w:r>
      <w:r>
        <w:rPr>
          <w:rFonts w:hint="eastAsia"/>
          <w:strike w:val="0"/>
          <w:dstrike w:val="0"/>
          <w:color w:val="auto"/>
        </w:rPr>
        <w:t>钦州市政府采购中心</w:t>
      </w:r>
    </w:p>
    <w:p w14:paraId="17CD6FA3">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我</w:t>
      </w:r>
      <w:r>
        <w:rPr>
          <w:rFonts w:hint="eastAsia" w:ascii="宋体" w:hAnsi="宋体"/>
          <w:strike w:val="0"/>
          <w:dstrike w:val="0"/>
          <w:color w:val="auto"/>
          <w:szCs w:val="21"/>
          <w:u w:val="single"/>
        </w:rPr>
        <w:t>（姓名）</w:t>
      </w:r>
      <w:r>
        <w:rPr>
          <w:rFonts w:hint="eastAsia" w:ascii="宋体" w:hAnsi="宋体"/>
          <w:strike w:val="0"/>
          <w:dstrike w:val="0"/>
          <w:color w:val="auto"/>
          <w:szCs w:val="21"/>
        </w:rPr>
        <w:t>系</w:t>
      </w:r>
      <w:r>
        <w:rPr>
          <w:rFonts w:hint="eastAsia" w:ascii="宋体" w:hAnsi="宋体"/>
          <w:strike w:val="0"/>
          <w:dstrike w:val="0"/>
          <w:color w:val="auto"/>
          <w:szCs w:val="21"/>
          <w:u w:val="single"/>
        </w:rPr>
        <w:t>（投标人名称）</w:t>
      </w:r>
      <w:r>
        <w:rPr>
          <w:rFonts w:hint="eastAsia" w:ascii="宋体" w:hAnsi="宋体"/>
          <w:strike w:val="0"/>
          <w:dstrike w:val="0"/>
          <w:color w:val="auto"/>
          <w:szCs w:val="21"/>
        </w:rPr>
        <w:t>的法定代表人，现授权委托本单位在职职工</w:t>
      </w:r>
      <w:r>
        <w:rPr>
          <w:rFonts w:hint="eastAsia" w:ascii="宋体" w:hAnsi="宋体"/>
          <w:strike w:val="0"/>
          <w:dstrike w:val="0"/>
          <w:color w:val="auto"/>
          <w:szCs w:val="21"/>
          <w:u w:val="single"/>
        </w:rPr>
        <w:t>（姓名）</w:t>
      </w:r>
      <w:r>
        <w:rPr>
          <w:rFonts w:hint="eastAsia" w:ascii="宋体" w:hAnsi="宋体"/>
          <w:strike w:val="0"/>
          <w:dstrike w:val="0"/>
          <w:color w:val="auto"/>
          <w:szCs w:val="21"/>
        </w:rPr>
        <w:t>以我方的名义参加</w:t>
      </w:r>
      <w:r>
        <w:rPr>
          <w:rFonts w:hint="eastAsia" w:ascii="宋体" w:hAnsi="宋体"/>
          <w:strike w:val="0"/>
          <w:dstrike w:val="0"/>
          <w:color w:val="auto"/>
          <w:szCs w:val="21"/>
          <w:u w:val="single"/>
        </w:rPr>
        <w:t>（项目名称/项目编号）</w:t>
      </w:r>
      <w:r>
        <w:rPr>
          <w:rFonts w:hint="eastAsia" w:ascii="宋体" w:hAnsi="宋体"/>
          <w:strike w:val="0"/>
          <w:dstrike w:val="0"/>
          <w:color w:val="auto"/>
          <w:szCs w:val="21"/>
        </w:rPr>
        <w:t>的投标活动，并代表我方全权办理针对上述项目的投标、开标、评标、签约等具体事务和签署相关文件。</w:t>
      </w:r>
    </w:p>
    <w:p w14:paraId="7B9BC1A6">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我方对被授权人的签名事项负全部责任。</w:t>
      </w:r>
    </w:p>
    <w:p w14:paraId="366AE1F2">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u w:val="single"/>
        </w:rPr>
        <w:t>在撤销授权的书面通知以前，本授权书一直有效</w:t>
      </w:r>
      <w:r>
        <w:rPr>
          <w:rFonts w:hint="eastAsia" w:ascii="宋体" w:hAnsi="宋体"/>
          <w:strike w:val="0"/>
          <w:dstrike w:val="0"/>
          <w:color w:val="auto"/>
          <w:szCs w:val="21"/>
        </w:rPr>
        <w:t>。被授权人在授权书有效期内签署的所有文件不因授权的撤销而失效。</w:t>
      </w:r>
    </w:p>
    <w:p w14:paraId="5367EF29">
      <w:pPr>
        <w:snapToGrid w:val="0"/>
        <w:spacing w:before="156" w:beforeLines="50" w:after="50"/>
        <w:ind w:firstLine="420"/>
        <w:rPr>
          <w:rFonts w:hint="eastAsia" w:ascii="宋体" w:hAnsi="宋体"/>
          <w:strike w:val="0"/>
          <w:dstrike w:val="0"/>
          <w:color w:val="auto"/>
          <w:szCs w:val="21"/>
        </w:rPr>
      </w:pPr>
      <w:r>
        <w:rPr>
          <w:rFonts w:hint="eastAsia" w:ascii="宋体" w:hAnsi="宋体"/>
          <w:strike w:val="0"/>
          <w:dstrike w:val="0"/>
          <w:color w:val="auto"/>
          <w:szCs w:val="21"/>
        </w:rPr>
        <w:t>被授权人无转委托权，特此委托。</w:t>
      </w:r>
    </w:p>
    <w:p w14:paraId="6E17A228">
      <w:pPr>
        <w:snapToGrid w:val="0"/>
        <w:spacing w:before="156" w:beforeLines="50" w:after="50" w:line="300" w:lineRule="exact"/>
        <w:ind w:firstLine="525" w:firstLineChars="250"/>
        <w:rPr>
          <w:rFonts w:hint="eastAsia" w:ascii="宋体" w:hAnsi="宋体"/>
          <w:strike w:val="0"/>
          <w:dstrike w:val="0"/>
          <w:color w:val="auto"/>
          <w:szCs w:val="21"/>
        </w:rPr>
      </w:pPr>
    </w:p>
    <w:p w14:paraId="7BBBED68">
      <w:pPr>
        <w:snapToGrid w:val="0"/>
        <w:spacing w:before="156" w:beforeLines="50" w:after="50" w:line="300" w:lineRule="exact"/>
        <w:ind w:firstLine="420"/>
        <w:rPr>
          <w:rFonts w:hint="eastAsia" w:ascii="宋体" w:hAnsi="宋体"/>
          <w:strike w:val="0"/>
          <w:dstrike w:val="0"/>
          <w:color w:val="auto"/>
          <w:szCs w:val="21"/>
        </w:rPr>
      </w:pPr>
      <w:r>
        <w:rPr>
          <w:rFonts w:hint="eastAsia" w:ascii="宋体" w:hAnsi="宋体"/>
          <w:strike w:val="0"/>
          <w:dstrike w:val="0"/>
          <w:color w:val="auto"/>
          <w:szCs w:val="21"/>
        </w:rPr>
        <w:t>所在部门职务：</w:t>
      </w:r>
      <w:r>
        <w:rPr>
          <w:rFonts w:hint="eastAsia" w:ascii="宋体" w:hAnsi="宋体"/>
          <w:strike w:val="0"/>
          <w:dstrike w:val="0"/>
          <w:color w:val="auto"/>
          <w:szCs w:val="21"/>
          <w:u w:val="single"/>
        </w:rPr>
        <w:t xml:space="preserve">                        </w:t>
      </w:r>
    </w:p>
    <w:p w14:paraId="66A3698A">
      <w:pPr>
        <w:snapToGrid w:val="0"/>
        <w:spacing w:before="156" w:beforeLines="50" w:after="50" w:line="300" w:lineRule="exact"/>
        <w:ind w:firstLine="420"/>
        <w:rPr>
          <w:rFonts w:hint="eastAsia" w:ascii="宋体" w:hAnsi="宋体"/>
          <w:strike w:val="0"/>
          <w:dstrike w:val="0"/>
          <w:color w:val="auto"/>
          <w:szCs w:val="21"/>
          <w:u w:val="single"/>
        </w:rPr>
      </w:pPr>
      <w:r>
        <w:rPr>
          <w:rFonts w:hint="eastAsia" w:ascii="宋体" w:hAnsi="宋体"/>
          <w:strike w:val="0"/>
          <w:dstrike w:val="0"/>
          <w:color w:val="auto"/>
          <w:szCs w:val="21"/>
        </w:rPr>
        <w:t>职务：</w:t>
      </w:r>
      <w:r>
        <w:rPr>
          <w:rFonts w:hint="eastAsia" w:ascii="宋体" w:hAnsi="宋体"/>
          <w:strike w:val="0"/>
          <w:dstrike w:val="0"/>
          <w:color w:val="auto"/>
          <w:szCs w:val="21"/>
          <w:u w:val="single"/>
        </w:rPr>
        <w:t xml:space="preserve">                                </w:t>
      </w:r>
    </w:p>
    <w:p w14:paraId="49EC7DD5">
      <w:pPr>
        <w:snapToGrid w:val="0"/>
        <w:spacing w:before="156" w:beforeLines="50" w:after="50" w:line="300" w:lineRule="exact"/>
        <w:ind w:firstLine="420"/>
        <w:rPr>
          <w:rFonts w:hint="eastAsia" w:ascii="宋体" w:hAnsi="宋体"/>
          <w:strike w:val="0"/>
          <w:dstrike w:val="0"/>
          <w:color w:val="auto"/>
          <w:szCs w:val="21"/>
        </w:rPr>
      </w:pPr>
      <w:r>
        <w:rPr>
          <w:rFonts w:hint="eastAsia" w:ascii="宋体" w:hAnsi="宋体"/>
          <w:strike w:val="0"/>
          <w:dstrike w:val="0"/>
          <w:color w:val="auto"/>
          <w:szCs w:val="21"/>
        </w:rPr>
        <w:t>被授权人身份证号码：</w:t>
      </w:r>
      <w:r>
        <w:rPr>
          <w:rFonts w:hint="eastAsia" w:ascii="宋体" w:hAnsi="宋体"/>
          <w:strike w:val="0"/>
          <w:dstrike w:val="0"/>
          <w:color w:val="auto"/>
          <w:szCs w:val="21"/>
          <w:u w:val="single"/>
        </w:rPr>
        <w:t xml:space="preserve">                  </w:t>
      </w:r>
    </w:p>
    <w:p w14:paraId="4627B0DE">
      <w:pPr>
        <w:snapToGrid w:val="0"/>
        <w:spacing w:before="156" w:beforeLines="50" w:after="50" w:line="300" w:lineRule="exact"/>
        <w:ind w:firstLine="420"/>
        <w:rPr>
          <w:rFonts w:hint="eastAsia" w:hAnsi="宋体"/>
          <w:strike w:val="0"/>
          <w:dstrike w:val="0"/>
          <w:color w:val="auto"/>
        </w:rPr>
      </w:pPr>
      <w:r>
        <w:rPr>
          <w:rFonts w:hint="eastAsia" w:hAnsi="宋体"/>
          <w:strike w:val="0"/>
          <w:dstrike w:val="0"/>
          <w:color w:val="auto"/>
        </w:rPr>
        <w:t>附：委托代理人身份证扫描件(正反面</w:t>
      </w:r>
      <w:r>
        <w:rPr>
          <w:rFonts w:hAnsi="宋体"/>
          <w:strike w:val="0"/>
          <w:dstrike w:val="0"/>
          <w:color w:val="auto"/>
        </w:rPr>
        <w:t>)</w:t>
      </w:r>
    </w:p>
    <w:p w14:paraId="253FC3EF">
      <w:pPr>
        <w:ind w:left="420" w:firstLine="0" w:firstLineChars="0"/>
        <w:rPr>
          <w:rFonts w:ascii="宋体" w:hAnsi="宋体"/>
          <w:strike w:val="0"/>
          <w:dstrike w:val="0"/>
          <w:color w:val="auto"/>
        </w:rPr>
      </w:pPr>
    </w:p>
    <w:p w14:paraId="36429A98">
      <w:pPr>
        <w:ind w:left="420" w:firstLine="0" w:firstLineChars="0"/>
        <w:rPr>
          <w:rFonts w:ascii="宋体" w:hAnsi="宋体"/>
          <w:strike w:val="0"/>
          <w:dstrike w:val="0"/>
          <w:color w:val="auto"/>
        </w:rPr>
      </w:pPr>
    </w:p>
    <w:p w14:paraId="73D2E173">
      <w:pPr>
        <w:ind w:left="420" w:firstLine="0" w:firstLineChars="0"/>
        <w:rPr>
          <w:rFonts w:hint="eastAsia" w:ascii="宋体" w:hAnsi="宋体"/>
          <w:strike w:val="0"/>
          <w:dstrike w:val="0"/>
          <w:color w:val="auto"/>
        </w:rPr>
      </w:pPr>
    </w:p>
    <w:p w14:paraId="057CFBAF">
      <w:pPr>
        <w:snapToGrid w:val="0"/>
        <w:spacing w:before="156" w:beforeLines="50" w:after="50" w:line="200" w:lineRule="exact"/>
        <w:ind w:firstLine="4620" w:firstLineChars="2200"/>
        <w:rPr>
          <w:rFonts w:hint="eastAsia" w:ascii="宋体" w:hAnsi="宋体"/>
          <w:strike w:val="0"/>
          <w:dstrike w:val="0"/>
          <w:color w:val="auto"/>
          <w:szCs w:val="21"/>
          <w:u w:val="single"/>
        </w:rPr>
      </w:pPr>
      <w:r>
        <w:rPr>
          <w:rFonts w:hint="eastAsia" w:ascii="宋体" w:hAnsi="宋体"/>
          <w:strike w:val="0"/>
          <w:dstrike w:val="0"/>
          <w:color w:val="auto"/>
          <w:szCs w:val="21"/>
        </w:rPr>
        <w:t xml:space="preserve">       投标人（盖章）：</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p>
    <w:p w14:paraId="3455C1C8">
      <w:pPr>
        <w:snapToGrid w:val="0"/>
        <w:spacing w:before="156" w:beforeLines="50" w:after="50" w:line="200" w:lineRule="exact"/>
        <w:ind w:firstLine="5355" w:firstLineChars="2550"/>
        <w:rPr>
          <w:rFonts w:ascii="宋体" w:hAnsi="宋体"/>
          <w:strike w:val="0"/>
          <w:dstrike w:val="0"/>
          <w:color w:val="auto"/>
          <w:szCs w:val="21"/>
        </w:rPr>
      </w:pPr>
      <w:r>
        <w:rPr>
          <w:rFonts w:hint="eastAsia" w:ascii="宋体" w:hAnsi="宋体"/>
          <w:strike w:val="0"/>
          <w:dstrike w:val="0"/>
          <w:color w:val="auto"/>
          <w:szCs w:val="21"/>
        </w:rPr>
        <w:t>法定代表人</w:t>
      </w:r>
      <w:r>
        <w:rPr>
          <w:rFonts w:hint="eastAsia" w:ascii="宋体" w:hAnsi="宋体"/>
          <w:strike w:val="0"/>
          <w:dstrike w:val="0"/>
          <w:color w:val="auto"/>
          <w:szCs w:val="21"/>
          <w:lang w:eastAsia="zh-CN"/>
        </w:rPr>
        <w:t>（</w:t>
      </w:r>
      <w:r>
        <w:rPr>
          <w:rFonts w:hint="eastAsia" w:ascii="宋体" w:hAnsi="宋体"/>
          <w:strike w:val="0"/>
          <w:dstrike w:val="0"/>
          <w:color w:val="auto"/>
          <w:szCs w:val="21"/>
        </w:rPr>
        <w:t>签名</w:t>
      </w:r>
      <w:r>
        <w:rPr>
          <w:rFonts w:hint="eastAsia" w:ascii="宋体" w:hAnsi="宋体"/>
          <w:strike w:val="0"/>
          <w:dstrike w:val="0"/>
          <w:color w:val="auto"/>
          <w:szCs w:val="21"/>
          <w:lang w:eastAsia="zh-CN"/>
        </w:rPr>
        <w:t>）</w:t>
      </w:r>
      <w:r>
        <w:rPr>
          <w:rFonts w:hint="eastAsia" w:ascii="宋体" w:hAnsi="宋体"/>
          <w:strike w:val="0"/>
          <w:dstrike w:val="0"/>
          <w:color w:val="auto"/>
          <w:szCs w:val="21"/>
        </w:rPr>
        <w:t>：</w:t>
      </w:r>
      <w:r>
        <w:rPr>
          <w:rFonts w:hint="eastAsia" w:ascii="宋体" w:hAnsi="宋体"/>
          <w:strike w:val="0"/>
          <w:dstrike w:val="0"/>
          <w:color w:val="auto"/>
          <w:szCs w:val="21"/>
          <w:u w:val="single"/>
        </w:rPr>
        <w:t xml:space="preserve">           </w:t>
      </w:r>
    </w:p>
    <w:p w14:paraId="7EEEF013">
      <w:pPr>
        <w:snapToGrid w:val="0"/>
        <w:spacing w:before="156" w:beforeLines="50" w:after="50" w:line="200" w:lineRule="exact"/>
        <w:ind w:firstLine="5355" w:firstLineChars="2550"/>
        <w:rPr>
          <w:rFonts w:hint="eastAsia" w:ascii="宋体" w:hAnsi="宋体"/>
          <w:strike w:val="0"/>
          <w:dstrike w:val="0"/>
          <w:color w:val="auto"/>
          <w:szCs w:val="21"/>
        </w:rPr>
      </w:pPr>
      <w:r>
        <w:rPr>
          <w:rFonts w:hint="eastAsia" w:ascii="宋体" w:hAnsi="宋体"/>
          <w:strike w:val="0"/>
          <w:dstrike w:val="0"/>
          <w:color w:val="auto"/>
          <w:szCs w:val="21"/>
        </w:rPr>
        <w:t>日期：</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年</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月</w:t>
      </w:r>
      <w:r>
        <w:rPr>
          <w:rFonts w:hint="eastAsia" w:ascii="宋体" w:hAnsi="宋体"/>
          <w:strike w:val="0"/>
          <w:dstrike w:val="0"/>
          <w:color w:val="auto"/>
          <w:szCs w:val="21"/>
          <w:u w:val="single"/>
        </w:rPr>
        <w:t xml:space="preserve">   </w:t>
      </w:r>
      <w:r>
        <w:rPr>
          <w:rFonts w:ascii="宋体" w:hAnsi="宋体"/>
          <w:strike w:val="0"/>
          <w:dstrike w:val="0"/>
          <w:color w:val="auto"/>
          <w:szCs w:val="21"/>
          <w:u w:val="single"/>
        </w:rPr>
        <w:t xml:space="preserve"> </w:t>
      </w:r>
      <w:r>
        <w:rPr>
          <w:rFonts w:hint="eastAsia" w:ascii="宋体" w:hAnsi="宋体"/>
          <w:strike w:val="0"/>
          <w:dstrike w:val="0"/>
          <w:color w:val="auto"/>
          <w:szCs w:val="21"/>
          <w:u w:val="single"/>
        </w:rPr>
        <w:t xml:space="preserve">  </w:t>
      </w:r>
      <w:r>
        <w:rPr>
          <w:rFonts w:hint="eastAsia" w:ascii="宋体" w:hAnsi="宋体"/>
          <w:strike w:val="0"/>
          <w:dstrike w:val="0"/>
          <w:color w:val="auto"/>
          <w:szCs w:val="21"/>
        </w:rPr>
        <w:t>日</w:t>
      </w:r>
    </w:p>
    <w:bookmarkEnd w:id="232"/>
    <w:p w14:paraId="3312906F">
      <w:pPr>
        <w:spacing w:line="360" w:lineRule="exact"/>
        <w:ind w:firstLine="0" w:firstLineChars="0"/>
        <w:rPr>
          <w:strike w:val="0"/>
          <w:dstrike w:val="0"/>
          <w:color w:val="auto"/>
        </w:rPr>
      </w:pPr>
    </w:p>
    <w:p w14:paraId="72A8B46E">
      <w:pPr>
        <w:spacing w:line="360" w:lineRule="exact"/>
        <w:ind w:firstLine="0" w:firstLineChars="0"/>
        <w:rPr>
          <w:strike w:val="0"/>
          <w:dstrike w:val="0"/>
          <w:color w:val="auto"/>
        </w:rPr>
      </w:pPr>
    </w:p>
    <w:p w14:paraId="1303C475">
      <w:pPr>
        <w:spacing w:line="360" w:lineRule="exact"/>
        <w:ind w:firstLine="0" w:firstLineChars="0"/>
        <w:rPr>
          <w:strike w:val="0"/>
          <w:dstrike w:val="0"/>
          <w:color w:val="auto"/>
        </w:rPr>
      </w:pPr>
    </w:p>
    <w:p w14:paraId="57D5BC71">
      <w:pPr>
        <w:spacing w:line="360" w:lineRule="exact"/>
        <w:ind w:firstLine="0" w:firstLineChars="0"/>
        <w:rPr>
          <w:strike w:val="0"/>
          <w:dstrike w:val="0"/>
          <w:color w:val="auto"/>
        </w:rPr>
      </w:pPr>
    </w:p>
    <w:p w14:paraId="1B97930D">
      <w:pPr>
        <w:spacing w:line="360" w:lineRule="exact"/>
        <w:ind w:firstLine="0" w:firstLineChars="0"/>
        <w:rPr>
          <w:strike w:val="0"/>
          <w:dstrike w:val="0"/>
          <w:color w:val="auto"/>
        </w:rPr>
      </w:pPr>
    </w:p>
    <w:p w14:paraId="747C4162">
      <w:pPr>
        <w:spacing w:line="360" w:lineRule="exact"/>
        <w:ind w:firstLine="0" w:firstLineChars="0"/>
        <w:rPr>
          <w:strike w:val="0"/>
          <w:dstrike w:val="0"/>
          <w:color w:val="auto"/>
        </w:rPr>
      </w:pPr>
    </w:p>
    <w:p w14:paraId="4DC83078">
      <w:pPr>
        <w:spacing w:line="360" w:lineRule="exact"/>
        <w:ind w:firstLine="0" w:firstLineChars="0"/>
        <w:rPr>
          <w:strike w:val="0"/>
          <w:dstrike w:val="0"/>
          <w:color w:val="auto"/>
        </w:rPr>
      </w:pPr>
    </w:p>
    <w:p w14:paraId="2B3F1717">
      <w:pPr>
        <w:keepNext w:val="0"/>
        <w:keepLines w:val="0"/>
        <w:widowControl/>
        <w:suppressLineNumbers w:val="0"/>
        <w:ind w:left="0" w:leftChars="0" w:firstLine="0" w:firstLineChars="0"/>
        <w:jc w:val="left"/>
        <w:rPr>
          <w:rFonts w:hint="eastAsia" w:ascii="方正小标宋简体" w:hAnsi="方正小标宋简体" w:eastAsia="方正小标宋简体" w:cs="方正小标宋简体"/>
          <w:strike w:val="0"/>
          <w:color w:val="auto"/>
          <w:kern w:val="0"/>
          <w:sz w:val="43"/>
          <w:szCs w:val="43"/>
          <w:lang w:val="en-US" w:eastAsia="zh-CN" w:bidi="ar"/>
        </w:rPr>
      </w:pPr>
    </w:p>
    <w:p w14:paraId="594416EF">
      <w:pPr>
        <w:spacing w:line="360" w:lineRule="exact"/>
        <w:ind w:firstLine="0" w:firstLineChars="0"/>
        <w:rPr>
          <w:strike w:val="0"/>
          <w:color w:val="auto"/>
        </w:rPr>
      </w:pPr>
    </w:p>
    <w:p w14:paraId="12AD3FDE">
      <w:pPr>
        <w:snapToGrid w:val="0"/>
        <w:spacing w:before="156" w:beforeLines="50" w:after="50" w:line="360" w:lineRule="exact"/>
        <w:ind w:firstLine="0" w:firstLineChars="0"/>
        <w:jc w:val="center"/>
        <w:rPr>
          <w:rFonts w:ascii="仿宋_GB2312" w:eastAsia="仿宋_GB2312"/>
          <w:b/>
          <w:strike w:val="0"/>
          <w:color w:val="auto"/>
          <w:sz w:val="28"/>
          <w:szCs w:val="28"/>
        </w:rPr>
      </w:pPr>
      <w:bookmarkStart w:id="233" w:name="_Hlk92702799"/>
      <w:r>
        <w:rPr>
          <w:rFonts w:hint="eastAsia" w:ascii="仿宋_GB2312" w:hAnsi="宋体" w:eastAsia="仿宋_GB2312"/>
          <w:b/>
          <w:strike w:val="0"/>
          <w:color w:val="auto"/>
          <w:sz w:val="32"/>
          <w:szCs w:val="32"/>
        </w:rPr>
        <w:t>商务响应</w:t>
      </w:r>
      <w:r>
        <w:rPr>
          <w:rFonts w:hint="eastAsia" w:ascii="仿宋_GB2312" w:eastAsia="仿宋_GB2312"/>
          <w:b/>
          <w:strike w:val="0"/>
          <w:color w:val="auto"/>
          <w:sz w:val="32"/>
          <w:szCs w:val="32"/>
        </w:rPr>
        <w:t>表</w:t>
      </w:r>
      <w:bookmarkStart w:id="234" w:name="_Hlk111728555"/>
      <w:r>
        <w:rPr>
          <w:rFonts w:hint="eastAsia" w:ascii="仿宋_GB2312" w:eastAsia="仿宋_GB2312"/>
          <w:bCs/>
          <w:strike w:val="0"/>
          <w:color w:val="auto"/>
          <w:sz w:val="24"/>
        </w:rPr>
        <w:t>（格式）</w:t>
      </w:r>
      <w:bookmarkEnd w:id="234"/>
    </w:p>
    <w:p w14:paraId="11C2BB96">
      <w:pPr>
        <w:ind w:firstLine="0" w:firstLineChars="0"/>
        <w:rPr>
          <w:rFonts w:hint="eastAsia"/>
          <w:strike w:val="0"/>
          <w:color w:val="auto"/>
        </w:rPr>
      </w:pP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57A96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7330AB1">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FB1B1DD">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招标文件要求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1DD79E9">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C1D5837">
            <w:pPr>
              <w:snapToGrid w:val="0"/>
              <w:spacing w:before="156" w:beforeLines="50" w:line="360" w:lineRule="exact"/>
              <w:ind w:firstLine="0" w:firstLineChars="0"/>
              <w:jc w:val="center"/>
              <w:rPr>
                <w:rFonts w:ascii="宋体" w:hAnsi="宋体"/>
                <w:b/>
                <w:strike w:val="0"/>
                <w:color w:val="auto"/>
                <w:szCs w:val="21"/>
              </w:rPr>
            </w:pPr>
            <w:r>
              <w:rPr>
                <w:rFonts w:hint="eastAsia" w:ascii="宋体" w:hAnsi="宋体"/>
                <w:b/>
                <w:strike w:val="0"/>
                <w:color w:val="auto"/>
                <w:szCs w:val="21"/>
              </w:rPr>
              <w:t>投标人的承诺或说明</w:t>
            </w:r>
          </w:p>
        </w:tc>
      </w:tr>
      <w:tr w14:paraId="27CE2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F90E37">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投标报价</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4F7685B">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2EC26FD">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E5BC159">
            <w:pPr>
              <w:snapToGrid w:val="0"/>
              <w:spacing w:before="156" w:beforeLines="50" w:line="360" w:lineRule="exact"/>
              <w:ind w:firstLine="0" w:firstLineChars="0"/>
              <w:jc w:val="center"/>
              <w:rPr>
                <w:rFonts w:ascii="宋体" w:hAnsi="宋体"/>
                <w:strike w:val="0"/>
                <w:color w:val="auto"/>
                <w:szCs w:val="21"/>
              </w:rPr>
            </w:pPr>
          </w:p>
        </w:tc>
      </w:tr>
      <w:tr w14:paraId="2A1C9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02C313A">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验收要求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53EDAD80">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0E5D133">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555CB81">
            <w:pPr>
              <w:snapToGrid w:val="0"/>
              <w:spacing w:before="156" w:beforeLines="50" w:line="360" w:lineRule="exact"/>
              <w:ind w:firstLine="0" w:firstLineChars="0"/>
              <w:jc w:val="center"/>
              <w:rPr>
                <w:rFonts w:ascii="宋体" w:hAnsi="宋体"/>
                <w:strike w:val="0"/>
                <w:color w:val="auto"/>
                <w:szCs w:val="21"/>
              </w:rPr>
            </w:pPr>
          </w:p>
        </w:tc>
      </w:tr>
      <w:tr w14:paraId="0357DA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C056D2C">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售后服务</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11C4ECC1">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E83926">
            <w:pPr>
              <w:snapToGrid w:val="0"/>
              <w:spacing w:before="156" w:beforeLines="50" w:line="360" w:lineRule="exact"/>
              <w:ind w:left="43"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B3976D8">
            <w:pPr>
              <w:snapToGrid w:val="0"/>
              <w:spacing w:before="156" w:beforeLines="50" w:line="360" w:lineRule="exact"/>
              <w:ind w:left="43" w:firstLine="0" w:firstLineChars="0"/>
              <w:jc w:val="center"/>
              <w:rPr>
                <w:rFonts w:ascii="宋体" w:hAnsi="宋体"/>
                <w:strike w:val="0"/>
                <w:color w:val="auto"/>
                <w:szCs w:val="21"/>
              </w:rPr>
            </w:pPr>
          </w:p>
        </w:tc>
      </w:tr>
      <w:tr w14:paraId="022F5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880E697">
            <w:pPr>
              <w:snapToGrid w:val="0"/>
              <w:spacing w:before="156" w:beforeLines="50" w:line="360" w:lineRule="exact"/>
              <w:ind w:firstLine="0" w:firstLineChars="0"/>
              <w:jc w:val="center"/>
              <w:rPr>
                <w:rFonts w:ascii="宋体" w:hAnsi="宋体"/>
                <w:b w:val="0"/>
                <w:bCs/>
                <w:strike w:val="0"/>
                <w:color w:val="auto"/>
                <w:szCs w:val="21"/>
              </w:rPr>
            </w:pPr>
            <w:r>
              <w:rPr>
                <w:rFonts w:hint="eastAsia" w:ascii="宋体" w:hAnsi="宋体" w:eastAsia="宋体" w:cs="宋体"/>
                <w:b w:val="0"/>
                <w:bCs/>
                <w:strike w:val="0"/>
                <w:color w:val="auto"/>
                <w:sz w:val="21"/>
                <w:szCs w:val="21"/>
              </w:rPr>
              <w:t>时间及地点要求</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657E16A">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4245FA0">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51CF473">
            <w:pPr>
              <w:snapToGrid w:val="0"/>
              <w:spacing w:before="156" w:beforeLines="50" w:line="360" w:lineRule="exact"/>
              <w:ind w:firstLine="0" w:firstLineChars="0"/>
              <w:jc w:val="center"/>
              <w:rPr>
                <w:rFonts w:ascii="宋体" w:hAnsi="宋体"/>
                <w:strike w:val="0"/>
                <w:color w:val="auto"/>
                <w:szCs w:val="21"/>
              </w:rPr>
            </w:pPr>
          </w:p>
        </w:tc>
      </w:tr>
      <w:tr w14:paraId="1E617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5384519">
            <w:pPr>
              <w:snapToGrid w:val="0"/>
              <w:spacing w:before="156" w:beforeLines="50" w:line="360" w:lineRule="exact"/>
              <w:ind w:firstLine="0" w:firstLineChars="0"/>
              <w:jc w:val="center"/>
              <w:rPr>
                <w:rFonts w:hint="default" w:ascii="宋体" w:hAnsi="宋体" w:eastAsia="宋体" w:cs="宋体"/>
                <w:b w:val="0"/>
                <w:bCs/>
                <w:strike w:val="0"/>
                <w:color w:val="auto"/>
                <w:sz w:val="21"/>
                <w:szCs w:val="21"/>
                <w:lang w:val="en-US" w:eastAsia="zh-CN"/>
              </w:rPr>
            </w:pPr>
            <w:r>
              <w:rPr>
                <w:rFonts w:hint="eastAsia" w:ascii="宋体" w:hAnsi="宋体" w:cs="宋体"/>
                <w:b w:val="0"/>
                <w:bCs/>
                <w:strike w:val="0"/>
                <w:color w:val="auto"/>
                <w:sz w:val="21"/>
                <w:szCs w:val="21"/>
                <w:lang w:val="en-US" w:eastAsia="zh-CN"/>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EEA33B3">
            <w:pPr>
              <w:snapToGrid w:val="0"/>
              <w:spacing w:before="156" w:beforeLines="50" w:line="360" w:lineRule="exact"/>
              <w:ind w:firstLine="0" w:firstLineChars="0"/>
              <w:jc w:val="center"/>
              <w:rPr>
                <w:rFonts w:ascii="宋体" w:hAnsi="宋体"/>
                <w:strike w:val="0"/>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D4B71DF">
            <w:pPr>
              <w:snapToGrid w:val="0"/>
              <w:spacing w:before="156" w:beforeLines="50" w:line="360" w:lineRule="exact"/>
              <w:ind w:firstLine="0" w:firstLineChars="0"/>
              <w:jc w:val="center"/>
              <w:rPr>
                <w:rFonts w:ascii="宋体" w:hAnsi="宋体"/>
                <w:strike w:val="0"/>
                <w:color w:val="auto"/>
                <w:szCs w:val="21"/>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B3FE199">
            <w:pPr>
              <w:snapToGrid w:val="0"/>
              <w:spacing w:before="156" w:beforeLines="50" w:line="360" w:lineRule="exact"/>
              <w:ind w:firstLine="0" w:firstLineChars="0"/>
              <w:jc w:val="center"/>
              <w:rPr>
                <w:rFonts w:ascii="宋体" w:hAnsi="宋体"/>
                <w:strike w:val="0"/>
                <w:color w:val="auto"/>
                <w:szCs w:val="21"/>
              </w:rPr>
            </w:pPr>
          </w:p>
        </w:tc>
      </w:tr>
    </w:tbl>
    <w:p w14:paraId="7DA0C8B6">
      <w:pPr>
        <w:tabs>
          <w:tab w:val="left" w:pos="3870"/>
          <w:tab w:val="left" w:pos="4085"/>
        </w:tabs>
        <w:snapToGrid w:val="0"/>
        <w:spacing w:line="360" w:lineRule="exact"/>
        <w:ind w:firstLine="0" w:firstLineChars="0"/>
        <w:rPr>
          <w:rFonts w:hint="eastAsia" w:ascii="宋体" w:hAnsi="宋体"/>
          <w:b/>
          <w:strike w:val="0"/>
          <w:color w:val="auto"/>
          <w:szCs w:val="21"/>
        </w:rPr>
      </w:pPr>
    </w:p>
    <w:p w14:paraId="71EEBA33">
      <w:pPr>
        <w:rPr>
          <w:rFonts w:hint="eastAsia"/>
          <w:strike w:val="0"/>
          <w:color w:val="auto"/>
          <w:szCs w:val="21"/>
        </w:rPr>
      </w:pPr>
      <w:r>
        <w:rPr>
          <w:rFonts w:hint="eastAsia" w:ascii="宋体" w:hAnsi="宋体"/>
          <w:strike w:val="0"/>
          <w:color w:val="auto"/>
          <w:szCs w:val="21"/>
        </w:rPr>
        <w:t xml:space="preserve"> </w:t>
      </w:r>
      <w:r>
        <w:rPr>
          <w:rFonts w:hint="eastAsia"/>
          <w:strike w:val="0"/>
          <w:color w:val="auto"/>
        </w:rPr>
        <w:t>注：</w:t>
      </w:r>
      <w:r>
        <w:rPr>
          <w:rFonts w:hint="eastAsia"/>
          <w:strike w:val="0"/>
          <w:color w:val="auto"/>
          <w:szCs w:val="21"/>
        </w:rPr>
        <w:t>应按采购文件“第二章 项目需求”中的商务要求具体条款修改并逐条作明确的</w:t>
      </w:r>
      <w:r>
        <w:rPr>
          <w:rFonts w:hint="eastAsia"/>
          <w:strike w:val="0"/>
          <w:color w:val="auto"/>
          <w:szCs w:val="21"/>
          <w:lang w:val="en-US" w:eastAsia="zh-CN"/>
        </w:rPr>
        <w:t>投标</w:t>
      </w:r>
      <w:r>
        <w:rPr>
          <w:rFonts w:hint="eastAsia"/>
          <w:strike w:val="0"/>
          <w:color w:val="auto"/>
          <w:szCs w:val="21"/>
        </w:rPr>
        <w:t>响应。</w:t>
      </w:r>
    </w:p>
    <w:p w14:paraId="0712CF26">
      <w:pPr>
        <w:pStyle w:val="4"/>
        <w:rPr>
          <w:strike w:val="0"/>
          <w:color w:val="auto"/>
        </w:rPr>
      </w:pPr>
    </w:p>
    <w:p w14:paraId="298E4C9C">
      <w:pPr>
        <w:snapToGrid w:val="0"/>
        <w:spacing w:before="50" w:after="50" w:line="350" w:lineRule="exact"/>
        <w:ind w:right="-817" w:rightChars="-389" w:firstLine="0" w:firstLineChars="0"/>
        <w:rPr>
          <w:rFonts w:ascii="宋体" w:hAnsi="宋体"/>
          <w:strike w:val="0"/>
          <w:color w:val="auto"/>
          <w:szCs w:val="21"/>
        </w:rPr>
      </w:pP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4F25ACF1">
      <w:pPr>
        <w:snapToGrid w:val="0"/>
        <w:spacing w:before="50" w:after="50" w:line="350" w:lineRule="exact"/>
        <w:ind w:right="-817" w:rightChars="-389"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hint="eastAsia" w:ascii="宋体" w:hAnsi="宋体"/>
          <w:strike w:val="0"/>
          <w:color w:val="auto"/>
          <w:szCs w:val="21"/>
        </w:rPr>
        <w:t>日</w:t>
      </w:r>
    </w:p>
    <w:bookmarkEnd w:id="233"/>
    <w:p w14:paraId="6D9AB7A2">
      <w:pPr>
        <w:snapToGrid w:val="0"/>
        <w:spacing w:line="360" w:lineRule="exact"/>
        <w:ind w:firstLine="0" w:firstLineChars="0"/>
        <w:rPr>
          <w:rFonts w:hint="eastAsia" w:ascii="宋体" w:hAnsi="宋体"/>
          <w:b/>
          <w:strike w:val="0"/>
          <w:color w:val="auto"/>
          <w:szCs w:val="21"/>
        </w:rPr>
      </w:pPr>
    </w:p>
    <w:p w14:paraId="1AB47285">
      <w:pPr>
        <w:snapToGrid w:val="0"/>
        <w:spacing w:line="360" w:lineRule="exact"/>
        <w:ind w:firstLine="0" w:firstLineChars="0"/>
        <w:rPr>
          <w:rFonts w:hint="eastAsia" w:ascii="宋体" w:hAnsi="宋体"/>
          <w:b/>
          <w:strike w:val="0"/>
          <w:color w:val="auto"/>
          <w:szCs w:val="21"/>
        </w:rPr>
      </w:pPr>
    </w:p>
    <w:p w14:paraId="786EE020">
      <w:pPr>
        <w:snapToGrid w:val="0"/>
        <w:spacing w:line="360" w:lineRule="exact"/>
        <w:ind w:firstLine="0" w:firstLineChars="0"/>
        <w:rPr>
          <w:rFonts w:hint="eastAsia" w:ascii="宋体" w:hAnsi="宋体"/>
          <w:b/>
          <w:strike w:val="0"/>
          <w:color w:val="auto"/>
          <w:szCs w:val="21"/>
        </w:rPr>
      </w:pPr>
    </w:p>
    <w:p w14:paraId="01B5310D">
      <w:pPr>
        <w:snapToGrid w:val="0"/>
        <w:spacing w:line="360" w:lineRule="exact"/>
        <w:ind w:firstLine="0" w:firstLineChars="0"/>
        <w:rPr>
          <w:rFonts w:hint="eastAsia" w:ascii="宋体" w:hAnsi="宋体"/>
          <w:b/>
          <w:strike w:val="0"/>
          <w:color w:val="auto"/>
          <w:szCs w:val="21"/>
        </w:rPr>
      </w:pPr>
    </w:p>
    <w:p w14:paraId="6DE53F09">
      <w:pPr>
        <w:snapToGrid w:val="0"/>
        <w:spacing w:line="360" w:lineRule="exact"/>
        <w:ind w:firstLine="0" w:firstLineChars="0"/>
        <w:rPr>
          <w:rFonts w:hint="eastAsia" w:ascii="宋体" w:hAnsi="宋体"/>
          <w:b/>
          <w:strike w:val="0"/>
          <w:color w:val="auto"/>
          <w:szCs w:val="21"/>
        </w:rPr>
      </w:pPr>
    </w:p>
    <w:p w14:paraId="2F8F71A5">
      <w:pPr>
        <w:snapToGrid w:val="0"/>
        <w:spacing w:line="360" w:lineRule="exact"/>
        <w:ind w:firstLine="0" w:firstLineChars="0"/>
        <w:rPr>
          <w:rFonts w:hint="eastAsia" w:ascii="宋体" w:hAnsi="宋体"/>
          <w:b/>
          <w:strike w:val="0"/>
          <w:color w:val="auto"/>
          <w:szCs w:val="21"/>
        </w:rPr>
      </w:pPr>
    </w:p>
    <w:p w14:paraId="19BA2FCB">
      <w:pPr>
        <w:snapToGrid w:val="0"/>
        <w:spacing w:line="360" w:lineRule="exact"/>
        <w:ind w:firstLine="0" w:firstLineChars="0"/>
        <w:rPr>
          <w:rFonts w:hint="eastAsia" w:ascii="宋体" w:hAnsi="宋体"/>
          <w:b/>
          <w:strike w:val="0"/>
          <w:color w:val="auto"/>
          <w:szCs w:val="21"/>
        </w:rPr>
      </w:pPr>
    </w:p>
    <w:p w14:paraId="586327AC">
      <w:pPr>
        <w:snapToGrid w:val="0"/>
        <w:spacing w:line="360" w:lineRule="exact"/>
        <w:ind w:firstLine="0" w:firstLineChars="0"/>
        <w:rPr>
          <w:rFonts w:hint="eastAsia" w:ascii="宋体" w:hAnsi="宋体"/>
          <w:b/>
          <w:strike w:val="0"/>
          <w:color w:val="auto"/>
          <w:szCs w:val="21"/>
        </w:rPr>
      </w:pPr>
    </w:p>
    <w:p w14:paraId="37A3C35F">
      <w:pPr>
        <w:snapToGrid w:val="0"/>
        <w:spacing w:line="360" w:lineRule="exact"/>
        <w:ind w:firstLine="0" w:firstLineChars="0"/>
        <w:rPr>
          <w:rFonts w:hint="eastAsia" w:ascii="宋体" w:hAnsi="宋体"/>
          <w:b/>
          <w:strike w:val="0"/>
          <w:color w:val="auto"/>
          <w:szCs w:val="21"/>
        </w:rPr>
      </w:pPr>
    </w:p>
    <w:p w14:paraId="44ECC848">
      <w:pPr>
        <w:snapToGrid w:val="0"/>
        <w:spacing w:line="360" w:lineRule="exact"/>
        <w:ind w:firstLine="0" w:firstLineChars="0"/>
        <w:rPr>
          <w:rFonts w:hint="eastAsia" w:ascii="宋体" w:hAnsi="宋体"/>
          <w:b/>
          <w:strike w:val="0"/>
          <w:color w:val="auto"/>
          <w:szCs w:val="21"/>
        </w:rPr>
      </w:pPr>
    </w:p>
    <w:p w14:paraId="0C55580C">
      <w:pPr>
        <w:snapToGrid w:val="0"/>
        <w:spacing w:line="360" w:lineRule="exact"/>
        <w:ind w:firstLine="0" w:firstLineChars="0"/>
        <w:rPr>
          <w:rFonts w:hint="eastAsia" w:ascii="宋体" w:hAnsi="宋体"/>
          <w:b/>
          <w:strike w:val="0"/>
          <w:color w:val="auto"/>
          <w:szCs w:val="21"/>
        </w:rPr>
      </w:pPr>
    </w:p>
    <w:p w14:paraId="3460CE29">
      <w:pPr>
        <w:snapToGrid w:val="0"/>
        <w:spacing w:line="360" w:lineRule="exact"/>
        <w:ind w:firstLine="0" w:firstLineChars="0"/>
        <w:rPr>
          <w:rFonts w:hint="eastAsia" w:ascii="宋体" w:hAnsi="宋体"/>
          <w:b/>
          <w:strike w:val="0"/>
          <w:color w:val="auto"/>
          <w:szCs w:val="21"/>
        </w:rPr>
      </w:pPr>
    </w:p>
    <w:p w14:paraId="5037DD74">
      <w:pPr>
        <w:snapToGrid w:val="0"/>
        <w:spacing w:line="360" w:lineRule="exact"/>
        <w:ind w:firstLine="0" w:firstLineChars="0"/>
        <w:rPr>
          <w:rFonts w:hint="eastAsia" w:ascii="宋体" w:hAnsi="宋体"/>
          <w:b/>
          <w:strike w:val="0"/>
          <w:color w:val="auto"/>
          <w:szCs w:val="21"/>
        </w:rPr>
      </w:pPr>
    </w:p>
    <w:p w14:paraId="58C870AC">
      <w:pPr>
        <w:snapToGrid w:val="0"/>
        <w:spacing w:line="360" w:lineRule="exact"/>
        <w:ind w:firstLine="0" w:firstLineChars="0"/>
        <w:rPr>
          <w:rFonts w:hint="eastAsia" w:ascii="宋体" w:hAnsi="宋体"/>
          <w:b/>
          <w:strike w:val="0"/>
          <w:color w:val="auto"/>
          <w:szCs w:val="21"/>
        </w:rPr>
      </w:pPr>
    </w:p>
    <w:p w14:paraId="48279F64">
      <w:pPr>
        <w:snapToGrid w:val="0"/>
        <w:spacing w:line="360" w:lineRule="exact"/>
        <w:ind w:firstLine="0" w:firstLineChars="0"/>
        <w:rPr>
          <w:rFonts w:hint="eastAsia" w:ascii="宋体" w:hAnsi="宋体"/>
          <w:b/>
          <w:strike w:val="0"/>
          <w:color w:val="auto"/>
          <w:szCs w:val="21"/>
        </w:rPr>
      </w:pPr>
    </w:p>
    <w:p w14:paraId="7C28AE1C">
      <w:pPr>
        <w:snapToGrid w:val="0"/>
        <w:spacing w:line="360" w:lineRule="exact"/>
        <w:ind w:firstLine="0" w:firstLineChars="0"/>
        <w:rPr>
          <w:rFonts w:hint="eastAsia" w:ascii="宋体" w:hAnsi="宋体"/>
          <w:b/>
          <w:strike w:val="0"/>
          <w:color w:val="auto"/>
          <w:szCs w:val="21"/>
        </w:rPr>
      </w:pPr>
    </w:p>
    <w:p w14:paraId="6118059C">
      <w:pPr>
        <w:snapToGrid w:val="0"/>
        <w:spacing w:line="360" w:lineRule="exact"/>
        <w:ind w:firstLine="0" w:firstLineChars="0"/>
        <w:rPr>
          <w:rFonts w:hint="eastAsia" w:ascii="宋体" w:hAnsi="宋体"/>
          <w:b/>
          <w:strike w:val="0"/>
          <w:color w:val="auto"/>
          <w:szCs w:val="21"/>
        </w:rPr>
      </w:pPr>
    </w:p>
    <w:p w14:paraId="49BAF9A6">
      <w:pPr>
        <w:snapToGrid w:val="0"/>
        <w:spacing w:line="700" w:lineRule="exact"/>
        <w:ind w:firstLine="0" w:firstLineChars="0"/>
        <w:jc w:val="center"/>
        <w:rPr>
          <w:rFonts w:hint="eastAsia" w:ascii="宋体" w:hAnsi="宋体"/>
          <w:b/>
          <w:strike w:val="0"/>
          <w:color w:val="auto"/>
          <w:sz w:val="32"/>
          <w:szCs w:val="32"/>
        </w:rPr>
      </w:pPr>
      <w:r>
        <w:rPr>
          <w:rFonts w:hint="eastAsia" w:ascii="仿宋_GB2312" w:hAnsi="宋体" w:eastAsia="仿宋_GB2312"/>
          <w:b/>
          <w:strike w:val="0"/>
          <w:color w:val="auto"/>
          <w:sz w:val="32"/>
          <w:szCs w:val="32"/>
        </w:rPr>
        <w:t>技术响应表</w:t>
      </w:r>
      <w:bookmarkStart w:id="235" w:name="_Hlk111728645"/>
      <w:r>
        <w:rPr>
          <w:rFonts w:hint="eastAsia" w:ascii="仿宋_GB2312" w:eastAsia="仿宋_GB2312"/>
          <w:bCs/>
          <w:strike w:val="0"/>
          <w:color w:val="auto"/>
          <w:sz w:val="24"/>
        </w:rPr>
        <w:t>（格式）</w:t>
      </w:r>
      <w:bookmarkEnd w:id="235"/>
    </w:p>
    <w:p w14:paraId="416109C4">
      <w:pPr>
        <w:snapToGrid w:val="0"/>
        <w:spacing w:line="160" w:lineRule="exact"/>
        <w:ind w:firstLine="0" w:firstLineChars="0"/>
        <w:jc w:val="center"/>
        <w:rPr>
          <w:rFonts w:ascii="宋体" w:hAnsi="宋体"/>
          <w:b/>
          <w:strike w:val="0"/>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14:paraId="36227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vMerge w:val="restart"/>
            <w:tcBorders>
              <w:top w:val="single" w:color="auto" w:sz="4" w:space="0"/>
              <w:left w:val="single" w:color="auto" w:sz="4" w:space="0"/>
              <w:right w:val="single" w:color="auto" w:sz="4" w:space="0"/>
            </w:tcBorders>
            <w:noWrap w:val="0"/>
            <w:vAlign w:val="center"/>
          </w:tcPr>
          <w:p w14:paraId="7B02B7E6">
            <w:pPr>
              <w:ind w:firstLine="0" w:firstLineChars="0"/>
              <w:rPr>
                <w:strike w:val="0"/>
                <w:color w:val="auto"/>
              </w:rPr>
            </w:pPr>
            <w:r>
              <w:rPr>
                <w:rFonts w:hint="eastAsia"/>
                <w:strike w:val="0"/>
                <w:color w:val="auto"/>
              </w:rPr>
              <w:t>序号</w:t>
            </w:r>
          </w:p>
        </w:tc>
        <w:tc>
          <w:tcPr>
            <w:tcW w:w="3550" w:type="dxa"/>
            <w:gridSpan w:val="2"/>
            <w:tcBorders>
              <w:top w:val="single" w:color="auto" w:sz="4" w:space="0"/>
              <w:left w:val="single" w:color="auto" w:sz="4" w:space="0"/>
              <w:bottom w:val="single" w:color="auto" w:sz="4" w:space="0"/>
              <w:right w:val="single" w:color="auto" w:sz="4" w:space="0"/>
            </w:tcBorders>
            <w:noWrap w:val="0"/>
            <w:vAlign w:val="center"/>
          </w:tcPr>
          <w:p w14:paraId="27836B1D">
            <w:pPr>
              <w:ind w:firstLine="0" w:firstLineChars="0"/>
              <w:jc w:val="center"/>
              <w:rPr>
                <w:strike w:val="0"/>
                <w:color w:val="auto"/>
              </w:rPr>
            </w:pPr>
            <w:r>
              <w:rPr>
                <w:rFonts w:hint="eastAsia"/>
                <w:strike w:val="0"/>
                <w:color w:val="auto"/>
              </w:rPr>
              <w:t>招标文件要求</w:t>
            </w:r>
          </w:p>
        </w:tc>
        <w:tc>
          <w:tcPr>
            <w:tcW w:w="3600" w:type="dxa"/>
            <w:vMerge w:val="restart"/>
            <w:tcBorders>
              <w:top w:val="single" w:color="auto" w:sz="4" w:space="0"/>
              <w:left w:val="single" w:color="auto" w:sz="4" w:space="0"/>
              <w:right w:val="single" w:color="auto" w:sz="4" w:space="0"/>
            </w:tcBorders>
            <w:noWrap w:val="0"/>
            <w:vAlign w:val="center"/>
          </w:tcPr>
          <w:p w14:paraId="50172E22">
            <w:pPr>
              <w:ind w:firstLine="23" w:firstLineChars="11"/>
              <w:jc w:val="center"/>
              <w:rPr>
                <w:rFonts w:hint="eastAsia"/>
                <w:strike w:val="0"/>
                <w:color w:val="auto"/>
              </w:rPr>
            </w:pPr>
            <w:r>
              <w:rPr>
                <w:rFonts w:hint="eastAsia"/>
                <w:strike w:val="0"/>
                <w:color w:val="auto"/>
              </w:rPr>
              <w:t>投标文件响应</w:t>
            </w:r>
          </w:p>
        </w:tc>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6782FDBA">
            <w:pPr>
              <w:ind w:firstLine="0" w:firstLineChars="0"/>
              <w:jc w:val="center"/>
              <w:rPr>
                <w:strike w:val="0"/>
                <w:color w:val="auto"/>
              </w:rPr>
            </w:pPr>
            <w:r>
              <w:rPr>
                <w:rFonts w:hint="eastAsia"/>
                <w:strike w:val="0"/>
                <w:color w:val="auto"/>
              </w:rPr>
              <w:t>偏离情况</w:t>
            </w:r>
          </w:p>
        </w:tc>
      </w:tr>
      <w:tr w14:paraId="11FE6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720" w:type="dxa"/>
            <w:vMerge w:val="continue"/>
            <w:tcBorders>
              <w:left w:val="single" w:color="auto" w:sz="4" w:space="0"/>
              <w:bottom w:val="single" w:color="auto" w:sz="4" w:space="0"/>
              <w:right w:val="single" w:color="auto" w:sz="4" w:space="0"/>
            </w:tcBorders>
            <w:noWrap w:val="0"/>
            <w:vAlign w:val="center"/>
          </w:tcPr>
          <w:p w14:paraId="5715BFCD">
            <w:pPr>
              <w:pStyle w:val="28"/>
              <w:snapToGrid w:val="0"/>
              <w:spacing w:line="360" w:lineRule="exact"/>
              <w:ind w:firstLine="0" w:firstLineChars="0"/>
              <w:jc w:val="center"/>
              <w:outlineLvl w:val="0"/>
              <w:rPr>
                <w:rFonts w:hAnsi="宋体"/>
                <w:strike w:val="0"/>
                <w:color w:val="auto"/>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8A97106">
            <w:pPr>
              <w:ind w:firstLine="0" w:firstLineChars="0"/>
              <w:jc w:val="center"/>
              <w:rPr>
                <w:strike w:val="0"/>
                <w:color w:val="auto"/>
              </w:rPr>
            </w:pPr>
            <w:r>
              <w:rPr>
                <w:rFonts w:hint="eastAsia"/>
                <w:strike w:val="0"/>
                <w:color w:val="auto"/>
              </w:rPr>
              <w:t>标的名称</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9FFA9A2">
            <w:pPr>
              <w:ind w:firstLine="0" w:firstLineChars="0"/>
              <w:jc w:val="center"/>
              <w:rPr>
                <w:strike w:val="0"/>
                <w:color w:val="auto"/>
              </w:rPr>
            </w:pPr>
            <w:r>
              <w:rPr>
                <w:rFonts w:hint="eastAsia"/>
                <w:strike w:val="0"/>
                <w:color w:val="auto"/>
              </w:rPr>
              <w:t>招标要求</w:t>
            </w:r>
          </w:p>
        </w:tc>
        <w:tc>
          <w:tcPr>
            <w:tcW w:w="3600" w:type="dxa"/>
            <w:vMerge w:val="continue"/>
            <w:tcBorders>
              <w:left w:val="single" w:color="auto" w:sz="4" w:space="0"/>
              <w:bottom w:val="single" w:color="auto" w:sz="4" w:space="0"/>
              <w:right w:val="single" w:color="auto" w:sz="4" w:space="0"/>
            </w:tcBorders>
            <w:noWrap w:val="0"/>
            <w:vAlign w:val="center"/>
          </w:tcPr>
          <w:p w14:paraId="42669DB9">
            <w:pPr>
              <w:ind w:firstLine="0" w:firstLineChars="0"/>
              <w:jc w:val="center"/>
              <w:rPr>
                <w:strike w:val="0"/>
                <w:color w:val="auto"/>
              </w:rPr>
            </w:pPr>
          </w:p>
        </w:tc>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67A7E4A4">
            <w:pPr>
              <w:widowControl/>
              <w:spacing w:line="360" w:lineRule="exact"/>
              <w:ind w:firstLine="0" w:firstLineChars="0"/>
              <w:jc w:val="center"/>
              <w:rPr>
                <w:rFonts w:ascii="宋体" w:hAnsi="宋体"/>
                <w:strike w:val="0"/>
                <w:color w:val="auto"/>
                <w:szCs w:val="21"/>
              </w:rPr>
            </w:pPr>
          </w:p>
        </w:tc>
      </w:tr>
      <w:tr w14:paraId="021CE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15C0E9">
            <w:pPr>
              <w:ind w:firstLine="0" w:firstLineChars="0"/>
              <w:jc w:val="center"/>
              <w:rPr>
                <w:strike w:val="0"/>
                <w:color w:val="auto"/>
              </w:rPr>
            </w:pPr>
            <w:r>
              <w:rPr>
                <w:rFonts w:hint="eastAsia"/>
                <w:strike w:val="0"/>
                <w:color w:val="auto"/>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3D2934C">
            <w:pPr>
              <w:ind w:right="-15" w:rightChars="-7" w:firstLine="0" w:firstLineChars="0"/>
              <w:jc w:val="center"/>
              <w:rPr>
                <w:rFonts w:hint="eastAsia"/>
                <w:strike w:val="0"/>
                <w:color w:val="auto"/>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634486E">
            <w:pPr>
              <w:ind w:left="-2" w:leftChars="-1" w:firstLine="0" w:firstLineChars="0"/>
              <w:jc w:val="center"/>
              <w:rPr>
                <w:strike w:val="0"/>
                <w:color w:val="auto"/>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B701CFB">
            <w:pPr>
              <w:ind w:left="-2" w:leftChars="-1" w:firstLine="0" w:firstLineChars="0"/>
              <w:jc w:val="center"/>
              <w:rPr>
                <w:rFonts w:hint="eastAsia"/>
                <w:strike w:val="0"/>
                <w:color w:val="auto"/>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007907C">
            <w:pPr>
              <w:widowControl/>
              <w:spacing w:line="360" w:lineRule="exact"/>
              <w:ind w:firstLine="0" w:firstLineChars="0"/>
              <w:jc w:val="center"/>
              <w:rPr>
                <w:rFonts w:ascii="宋体" w:hAnsi="宋体"/>
                <w:strike w:val="0"/>
                <w:color w:val="auto"/>
                <w:szCs w:val="21"/>
              </w:rPr>
            </w:pPr>
          </w:p>
        </w:tc>
      </w:tr>
      <w:tr w14:paraId="7818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B3A76F2">
            <w:pPr>
              <w:ind w:firstLine="0" w:firstLineChars="0"/>
              <w:jc w:val="center"/>
              <w:rPr>
                <w:strike w:val="0"/>
                <w:color w:val="auto"/>
              </w:rPr>
            </w:pPr>
            <w:r>
              <w:rPr>
                <w:rFonts w:hint="eastAsia"/>
                <w:strike w:val="0"/>
                <w:color w:val="auto"/>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718DDD">
            <w:pPr>
              <w:pStyle w:val="28"/>
              <w:snapToGrid w:val="0"/>
              <w:spacing w:line="320" w:lineRule="exact"/>
              <w:ind w:right="-15" w:rightChars="-7" w:firstLine="0" w:firstLineChars="0"/>
              <w:jc w:val="center"/>
              <w:outlineLvl w:val="0"/>
              <w:rPr>
                <w:rFonts w:hint="eastAsia"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2452325">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7716B6">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6AF66B2">
            <w:pPr>
              <w:widowControl/>
              <w:spacing w:line="360" w:lineRule="exact"/>
              <w:ind w:firstLine="0" w:firstLineChars="0"/>
              <w:jc w:val="center"/>
              <w:rPr>
                <w:rFonts w:ascii="宋体" w:hAnsi="宋体"/>
                <w:strike w:val="0"/>
                <w:color w:val="auto"/>
                <w:szCs w:val="21"/>
              </w:rPr>
            </w:pPr>
          </w:p>
        </w:tc>
      </w:tr>
      <w:tr w14:paraId="66DCA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1A3E9B2">
            <w:pPr>
              <w:ind w:firstLine="0" w:firstLineChars="0"/>
              <w:jc w:val="center"/>
              <w:rPr>
                <w:rFonts w:hint="eastAsia"/>
                <w:strike w:val="0"/>
                <w:color w:val="auto"/>
              </w:rPr>
            </w:pPr>
            <w:r>
              <w:rPr>
                <w:rFonts w:hint="eastAsia"/>
                <w:strike w:val="0"/>
                <w:color w:val="auto"/>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0FFBB2">
            <w:pPr>
              <w:pStyle w:val="28"/>
              <w:snapToGrid w:val="0"/>
              <w:spacing w:line="320" w:lineRule="exact"/>
              <w:ind w:right="-15" w:rightChars="-7" w:firstLine="0" w:firstLineChars="0"/>
              <w:jc w:val="center"/>
              <w:outlineLvl w:val="0"/>
              <w:rPr>
                <w:rFonts w:hint="eastAsia"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5DCC61C">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E2922E">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1C395C0">
            <w:pPr>
              <w:widowControl/>
              <w:spacing w:line="360" w:lineRule="exact"/>
              <w:ind w:firstLine="0" w:firstLineChars="0"/>
              <w:jc w:val="center"/>
              <w:rPr>
                <w:rFonts w:ascii="宋体" w:hAnsi="宋体"/>
                <w:strike w:val="0"/>
                <w:color w:val="auto"/>
                <w:szCs w:val="21"/>
              </w:rPr>
            </w:pPr>
          </w:p>
        </w:tc>
      </w:tr>
      <w:tr w14:paraId="7E638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F135D7A">
            <w:pPr>
              <w:ind w:firstLine="0" w:firstLineChars="0"/>
              <w:jc w:val="center"/>
              <w:rPr>
                <w:strike w:val="0"/>
                <w:color w:val="auto"/>
              </w:rPr>
            </w:pPr>
            <w:r>
              <w:rPr>
                <w:rFonts w:hint="eastAsia"/>
                <w:strike w:val="0"/>
                <w:color w:val="auto"/>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867F819">
            <w:pPr>
              <w:pStyle w:val="28"/>
              <w:snapToGrid w:val="0"/>
              <w:spacing w:line="320" w:lineRule="exact"/>
              <w:ind w:right="-15" w:rightChars="-7" w:firstLine="0" w:firstLineChars="0"/>
              <w:jc w:val="center"/>
              <w:outlineLvl w:val="0"/>
              <w:rPr>
                <w:rFonts w:ascii="仿宋_GB2312" w:hAnsi="宋体" w:eastAsia="仿宋_GB2312"/>
                <w:strike w:val="0"/>
                <w:color w:val="auto"/>
                <w:sz w:val="24"/>
                <w:szCs w:val="24"/>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BB8CA4D">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57A296C">
            <w:pPr>
              <w:pStyle w:val="28"/>
              <w:snapToGrid w:val="0"/>
              <w:spacing w:line="320" w:lineRule="exact"/>
              <w:ind w:firstLine="0" w:firstLineChars="0"/>
              <w:jc w:val="center"/>
              <w:outlineLvl w:val="0"/>
              <w:rPr>
                <w:rFonts w:ascii="仿宋_GB2312" w:hAnsi="宋体" w:eastAsia="仿宋_GB2312"/>
                <w:strike w:val="0"/>
                <w:color w:val="auto"/>
                <w:sz w:val="24"/>
                <w:szCs w:val="24"/>
              </w:rPr>
            </w:pP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006F7FC">
            <w:pPr>
              <w:widowControl/>
              <w:spacing w:line="360" w:lineRule="exact"/>
              <w:ind w:firstLine="0" w:firstLineChars="0"/>
              <w:jc w:val="center"/>
              <w:rPr>
                <w:rFonts w:ascii="宋体" w:hAnsi="宋体"/>
                <w:strike w:val="0"/>
                <w:color w:val="auto"/>
                <w:szCs w:val="21"/>
              </w:rPr>
            </w:pPr>
          </w:p>
        </w:tc>
      </w:tr>
    </w:tbl>
    <w:p w14:paraId="3CCFAA5F">
      <w:pPr>
        <w:pStyle w:val="19"/>
        <w:spacing w:line="380" w:lineRule="exact"/>
        <w:ind w:firstLine="0" w:firstLineChars="0"/>
        <w:rPr>
          <w:strike w:val="0"/>
          <w:color w:val="auto"/>
          <w:sz w:val="21"/>
          <w:szCs w:val="21"/>
        </w:rPr>
      </w:pPr>
      <w:r>
        <w:rPr>
          <w:rFonts w:hint="eastAsia"/>
          <w:strike w:val="0"/>
          <w:color w:val="auto"/>
          <w:sz w:val="21"/>
          <w:szCs w:val="21"/>
        </w:rPr>
        <w:t>注：</w:t>
      </w:r>
      <w:r>
        <w:rPr>
          <w:rFonts w:hint="eastAsia"/>
          <w:b w:val="0"/>
          <w:bCs w:val="0"/>
          <w:strike w:val="0"/>
          <w:color w:val="auto"/>
          <w:sz w:val="21"/>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14:paraId="18A4E6BB">
      <w:pPr>
        <w:pStyle w:val="19"/>
        <w:spacing w:line="360" w:lineRule="exact"/>
        <w:ind w:firstLine="0" w:firstLineChars="0"/>
        <w:rPr>
          <w:rFonts w:hint="eastAsia"/>
          <w:strike w:val="0"/>
          <w:color w:val="auto"/>
          <w:sz w:val="21"/>
          <w:szCs w:val="21"/>
        </w:rPr>
      </w:pPr>
    </w:p>
    <w:p w14:paraId="3A13A3EB">
      <w:pPr>
        <w:pStyle w:val="19"/>
        <w:spacing w:line="360" w:lineRule="exact"/>
        <w:ind w:firstLine="0" w:firstLineChars="0"/>
        <w:rPr>
          <w:rFonts w:ascii="宋体" w:hAnsi="宋体"/>
          <w:b w:val="0"/>
          <w:strike w:val="0"/>
          <w:color w:val="auto"/>
          <w:sz w:val="21"/>
          <w:szCs w:val="21"/>
        </w:rPr>
      </w:pPr>
    </w:p>
    <w:p w14:paraId="0C82B695">
      <w:pPr>
        <w:snapToGrid w:val="0"/>
        <w:spacing w:before="50" w:after="50" w:line="350" w:lineRule="exact"/>
        <w:ind w:right="-817" w:rightChars="-389"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59F01ED7">
      <w:pPr>
        <w:spacing w:line="380" w:lineRule="atLeast"/>
        <w:ind w:firstLine="0" w:firstLineChars="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日期：</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7E58BE18">
      <w:pPr>
        <w:snapToGrid w:val="0"/>
        <w:spacing w:before="50" w:after="50" w:line="360" w:lineRule="exact"/>
        <w:ind w:right="-817" w:rightChars="-389" w:firstLine="0" w:firstLineChars="0"/>
        <w:rPr>
          <w:rFonts w:ascii="宋体" w:hAnsi="宋体"/>
          <w:b/>
          <w:bCs/>
          <w:strike w:val="0"/>
          <w:color w:val="auto"/>
          <w:sz w:val="32"/>
          <w:szCs w:val="32"/>
        </w:rPr>
      </w:pPr>
      <w:r>
        <w:rPr>
          <w:rFonts w:ascii="宋体" w:hAnsi="宋体"/>
          <w:strike w:val="0"/>
          <w:color w:val="auto"/>
          <w:szCs w:val="21"/>
        </w:rPr>
        <w:br w:type="page"/>
      </w:r>
      <w:r>
        <w:rPr>
          <w:rFonts w:hint="eastAsia" w:ascii="宋体" w:hAnsi="宋体"/>
          <w:b/>
          <w:bCs/>
          <w:strike w:val="0"/>
          <w:color w:val="auto"/>
          <w:sz w:val="32"/>
          <w:szCs w:val="32"/>
        </w:rPr>
        <w:t>三、报价文件</w:t>
      </w:r>
    </w:p>
    <w:p w14:paraId="311F40AD">
      <w:pPr>
        <w:ind w:firstLine="0" w:firstLineChars="0"/>
        <w:rPr>
          <w:rFonts w:hint="eastAsia"/>
          <w:strike w:val="0"/>
          <w:color w:val="auto"/>
        </w:rPr>
      </w:pPr>
    </w:p>
    <w:p w14:paraId="60E9BA7D">
      <w:pPr>
        <w:snapToGrid w:val="0"/>
        <w:spacing w:before="50" w:after="50" w:line="360" w:lineRule="exact"/>
        <w:ind w:firstLine="0" w:firstLineChars="0"/>
        <w:jc w:val="center"/>
        <w:rPr>
          <w:rFonts w:hint="eastAsia" w:ascii="仿宋_GB2312" w:hAnsi="宋体" w:eastAsia="仿宋_GB2312"/>
          <w:b/>
          <w:strike w:val="0"/>
          <w:color w:val="auto"/>
          <w:sz w:val="28"/>
          <w:szCs w:val="28"/>
        </w:rPr>
      </w:pPr>
      <w:r>
        <w:rPr>
          <w:rFonts w:hint="eastAsia" w:ascii="仿宋_GB2312" w:hAnsi="宋体" w:eastAsia="仿宋_GB2312"/>
          <w:b/>
          <w:strike w:val="0"/>
          <w:color w:val="auto"/>
          <w:sz w:val="32"/>
          <w:szCs w:val="32"/>
        </w:rPr>
        <w:t>开标一览表</w:t>
      </w:r>
      <w:bookmarkStart w:id="236" w:name="_Hlk111729075"/>
      <w:r>
        <w:rPr>
          <w:rFonts w:hint="eastAsia" w:ascii="仿宋_GB2312" w:eastAsia="仿宋_GB2312"/>
          <w:bCs/>
          <w:strike w:val="0"/>
          <w:color w:val="auto"/>
          <w:sz w:val="24"/>
        </w:rPr>
        <w:t>（格式）</w:t>
      </w:r>
      <w:bookmarkEnd w:id="236"/>
    </w:p>
    <w:p w14:paraId="2C76025E">
      <w:pPr>
        <w:snapToGrid w:val="0"/>
        <w:spacing w:before="50" w:after="50"/>
        <w:ind w:firstLine="420"/>
        <w:rPr>
          <w:rFonts w:ascii="宋体" w:hAnsi="宋体"/>
          <w:strike w:val="0"/>
          <w:color w:val="auto"/>
          <w:szCs w:val="21"/>
          <w:u w:val="single"/>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p>
    <w:p w14:paraId="4C7D24EF">
      <w:pPr>
        <w:snapToGrid w:val="0"/>
        <w:spacing w:before="50" w:after="50"/>
        <w:ind w:firstLine="420" w:firstLineChars="0"/>
        <w:rPr>
          <w:rFonts w:hint="eastAsia" w:ascii="宋体" w:hAnsi="宋体"/>
          <w:strike w:val="0"/>
          <w:color w:val="auto"/>
          <w:szCs w:val="21"/>
          <w:u w:val="single"/>
        </w:rPr>
      </w:pPr>
      <w:r>
        <w:rPr>
          <w:rFonts w:hint="eastAsia" w:ascii="宋体" w:hAnsi="宋体"/>
          <w:strike w:val="0"/>
          <w:color w:val="auto"/>
          <w:szCs w:val="21"/>
        </w:rPr>
        <w:t>项目编号：</w:t>
      </w:r>
      <w:r>
        <w:rPr>
          <w:rFonts w:hint="eastAsia" w:ascii="宋体" w:hAnsi="宋体"/>
          <w:strike w:val="0"/>
          <w:color w:val="auto"/>
          <w:szCs w:val="21"/>
          <w:u w:val="single"/>
        </w:rPr>
        <w:t xml:space="preserve">                          </w:t>
      </w:r>
    </w:p>
    <w:p w14:paraId="50675DD2">
      <w:pPr>
        <w:snapToGrid w:val="0"/>
        <w:spacing w:before="50" w:after="50"/>
        <w:ind w:firstLine="420" w:firstLineChars="0"/>
        <w:rPr>
          <w:rFonts w:hint="eastAsia" w:ascii="宋体" w:hAnsi="宋体"/>
          <w:strike w:val="0"/>
          <w:color w:val="auto"/>
          <w:szCs w:val="21"/>
          <w:u w:val="single"/>
        </w:rPr>
      </w:pPr>
      <w:r>
        <w:rPr>
          <w:rFonts w:hint="eastAsia" w:ascii="宋体" w:hAnsi="宋体"/>
          <w:strike w:val="0"/>
          <w:color w:val="auto"/>
          <w:szCs w:val="21"/>
          <w:lang w:val="en-US" w:eastAsia="zh-CN"/>
        </w:rPr>
        <w:t>标项：</w:t>
      </w:r>
      <w:r>
        <w:rPr>
          <w:rFonts w:hint="eastAsia" w:ascii="宋体" w:hAnsi="宋体"/>
          <w:strike w:val="0"/>
          <w:color w:val="auto"/>
          <w:szCs w:val="21"/>
          <w:u w:val="single"/>
          <w:lang w:val="en-US" w:eastAsia="zh-CN"/>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31A29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655B1B9E">
            <w:pPr>
              <w:snapToGrid w:val="0"/>
              <w:spacing w:before="50" w:after="50" w:line="360" w:lineRule="exact"/>
              <w:ind w:firstLine="0" w:firstLineChars="0"/>
              <w:jc w:val="center"/>
              <w:rPr>
                <w:rFonts w:ascii="宋体" w:hAnsi="宋体"/>
                <w:strike w:val="0"/>
                <w:color w:val="auto"/>
                <w:szCs w:val="21"/>
              </w:rPr>
            </w:pPr>
            <w:r>
              <w:rPr>
                <w:rFonts w:hint="eastAsia" w:ascii="宋体" w:hAnsi="宋体"/>
                <w:strike w:val="0"/>
                <w:color w:val="auto"/>
                <w:szCs w:val="21"/>
              </w:rPr>
              <w:t>报价（总价、元）</w:t>
            </w:r>
          </w:p>
        </w:tc>
      </w:tr>
      <w:tr w14:paraId="5F936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6C3E95F1">
            <w:pPr>
              <w:snapToGrid w:val="0"/>
              <w:spacing w:before="50" w:after="50" w:line="360" w:lineRule="exact"/>
              <w:ind w:firstLine="19" w:firstLineChars="10"/>
              <w:jc w:val="left"/>
              <w:rPr>
                <w:rFonts w:hint="eastAsia" w:ascii="宋体" w:hAnsi="宋体"/>
                <w:bCs/>
                <w:strike w:val="0"/>
                <w:color w:val="auto"/>
                <w:szCs w:val="21"/>
                <w:u w:val="single"/>
              </w:rPr>
            </w:pPr>
            <w:r>
              <w:rPr>
                <w:rFonts w:hint="eastAsia" w:ascii="宋体" w:hAnsi="宋体" w:cs="Courier New"/>
                <w:strike w:val="0"/>
                <w:color w:val="auto"/>
                <w:spacing w:val="-6"/>
                <w:szCs w:val="21"/>
              </w:rPr>
              <w:t>人民币大写：</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u w:val="single"/>
              </w:rPr>
              <w:t xml:space="preserve">    </w:t>
            </w:r>
            <w:r>
              <w:rPr>
                <w:rFonts w:ascii="宋体" w:hAnsi="宋体" w:cs="Courier New"/>
                <w:strike w:val="0"/>
                <w:color w:val="auto"/>
                <w:spacing w:val="-6"/>
                <w:szCs w:val="21"/>
                <w:u w:val="single"/>
              </w:rPr>
              <w:t xml:space="preserve">   </w:t>
            </w:r>
            <w:r>
              <w:rPr>
                <w:rFonts w:hint="eastAsia" w:ascii="宋体" w:hAnsi="宋体" w:cs="Courier New"/>
                <w:strike w:val="0"/>
                <w:color w:val="auto"/>
                <w:spacing w:val="-6"/>
                <w:szCs w:val="21"/>
              </w:rPr>
              <w:t>（￥</w:t>
            </w:r>
            <w:r>
              <w:rPr>
                <w:rFonts w:hint="eastAsia" w:ascii="宋体" w:hAnsi="宋体" w:cs="Courier New"/>
                <w:strike w:val="0"/>
                <w:color w:val="auto"/>
                <w:spacing w:val="-6"/>
                <w:szCs w:val="21"/>
                <w:u w:val="single"/>
              </w:rPr>
              <w:t xml:space="preserve">                 元</w:t>
            </w:r>
            <w:r>
              <w:rPr>
                <w:rFonts w:hint="eastAsia" w:ascii="宋体" w:hAnsi="宋体" w:cs="Courier New"/>
                <w:strike w:val="0"/>
                <w:color w:val="auto"/>
                <w:spacing w:val="-6"/>
                <w:szCs w:val="21"/>
              </w:rPr>
              <w:t>）</w:t>
            </w:r>
          </w:p>
        </w:tc>
      </w:tr>
    </w:tbl>
    <w:p w14:paraId="0C1C8AC4">
      <w:pPr>
        <w:snapToGrid w:val="0"/>
        <w:spacing w:before="50" w:after="50"/>
        <w:ind w:left="105" w:leftChars="50" w:firstLine="315" w:firstLineChars="150"/>
        <w:jc w:val="left"/>
        <w:rPr>
          <w:rFonts w:ascii="宋体" w:hAnsi="宋体"/>
          <w:strike w:val="0"/>
          <w:color w:val="auto"/>
          <w:szCs w:val="21"/>
        </w:rPr>
      </w:pPr>
      <w:r>
        <w:rPr>
          <w:rFonts w:hint="eastAsia" w:ascii="宋体" w:hAnsi="宋体"/>
          <w:strike w:val="0"/>
          <w:color w:val="auto"/>
          <w:szCs w:val="21"/>
        </w:rPr>
        <w:t>1.所有价格均用人民币表示，单位为元，精确到个数位。</w:t>
      </w:r>
    </w:p>
    <w:p w14:paraId="0B2CE0ED">
      <w:pPr>
        <w:snapToGrid w:val="0"/>
        <w:spacing w:before="50" w:after="50"/>
        <w:ind w:left="105" w:leftChars="50" w:firstLine="315" w:firstLineChars="150"/>
        <w:jc w:val="left"/>
        <w:rPr>
          <w:rFonts w:hint="eastAsia" w:ascii="宋体" w:hAnsi="宋体"/>
          <w:strike w:val="0"/>
          <w:color w:val="auto"/>
          <w:szCs w:val="21"/>
        </w:rPr>
      </w:pPr>
      <w:r>
        <w:rPr>
          <w:rFonts w:hint="eastAsia" w:ascii="宋体" w:hAnsi="宋体"/>
          <w:strike w:val="0"/>
          <w:color w:val="auto"/>
          <w:szCs w:val="21"/>
        </w:rPr>
        <w:t>2</w:t>
      </w:r>
      <w:r>
        <w:rPr>
          <w:rFonts w:ascii="宋体" w:hAnsi="宋体"/>
          <w:strike w:val="0"/>
          <w:color w:val="auto"/>
          <w:szCs w:val="21"/>
        </w:rPr>
        <w:t>.</w:t>
      </w:r>
      <w:r>
        <w:rPr>
          <w:rFonts w:hint="eastAsia" w:ascii="宋体" w:hAnsi="宋体"/>
          <w:strike w:val="0"/>
          <w:color w:val="auto"/>
          <w:szCs w:val="21"/>
        </w:rPr>
        <w:t>报价一经涂改，应在涂改处加盖公章或者由法定代表人或授权委托人签名或盖章，否则视为无效投标文件。</w:t>
      </w:r>
    </w:p>
    <w:p w14:paraId="751BDE6A">
      <w:pPr>
        <w:snapToGrid w:val="0"/>
        <w:spacing w:before="50" w:after="50" w:line="350" w:lineRule="exact"/>
        <w:ind w:right="-817" w:rightChars="-389" w:firstLine="0" w:firstLineChars="0"/>
        <w:rPr>
          <w:rFonts w:ascii="宋体" w:hAnsi="宋体"/>
          <w:strike w:val="0"/>
          <w:color w:val="auto"/>
          <w:szCs w:val="21"/>
        </w:rPr>
      </w:pPr>
    </w:p>
    <w:p w14:paraId="3C35ED35">
      <w:pPr>
        <w:snapToGrid w:val="0"/>
        <w:spacing w:before="50" w:after="50" w:line="350" w:lineRule="exact"/>
        <w:ind w:right="-817" w:rightChars="-389" w:firstLine="0" w:firstLineChars="0"/>
        <w:rPr>
          <w:rFonts w:hint="eastAsia" w:ascii="宋体" w:hAnsi="宋体"/>
          <w:strike w:val="0"/>
          <w:color w:val="auto"/>
          <w:szCs w:val="21"/>
        </w:rPr>
      </w:pPr>
    </w:p>
    <w:p w14:paraId="61DC5C75">
      <w:pPr>
        <w:snapToGrid w:val="0"/>
        <w:spacing w:before="50" w:after="50" w:line="350" w:lineRule="exact"/>
        <w:ind w:left="-2" w:leftChars="-1" w:right="-817" w:rightChars="-389" w:firstLine="3465" w:firstLineChars="1650"/>
        <w:rPr>
          <w:rFonts w:ascii="宋体" w:hAnsi="宋体"/>
          <w:strike w:val="0"/>
          <w:color w:val="auto"/>
          <w:szCs w:val="21"/>
        </w:rPr>
      </w:pPr>
      <w:r>
        <w:rPr>
          <w:rFonts w:hint="eastAsia" w:ascii="宋体" w:hAnsi="宋体"/>
          <w:strike w:val="0"/>
          <w:color w:val="auto"/>
          <w:szCs w:val="21"/>
        </w:rPr>
        <w:t>法定代表人或授权代表（签名）：</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7742EE5E">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77D45144">
      <w:pPr>
        <w:snapToGrid w:val="0"/>
        <w:spacing w:before="50" w:after="50" w:line="350" w:lineRule="exact"/>
        <w:ind w:right="-817" w:rightChars="-389" w:firstLine="3255" w:firstLineChars="15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 xml:space="preserve"> 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16215132">
      <w:pPr>
        <w:snapToGrid w:val="0"/>
        <w:spacing w:before="50" w:after="50" w:line="350" w:lineRule="exact"/>
        <w:ind w:right="-817" w:rightChars="-389" w:firstLine="0" w:firstLineChars="0"/>
        <w:rPr>
          <w:rFonts w:hint="eastAsia" w:ascii="宋体" w:hAnsi="宋体"/>
          <w:strike w:val="0"/>
          <w:color w:val="auto"/>
          <w:szCs w:val="21"/>
        </w:rPr>
      </w:pPr>
      <w:r>
        <w:rPr>
          <w:rFonts w:ascii="宋体" w:hAnsi="宋体"/>
          <w:strike w:val="0"/>
          <w:color w:val="auto"/>
          <w:szCs w:val="21"/>
        </w:rPr>
        <w:br w:type="page"/>
      </w:r>
    </w:p>
    <w:p w14:paraId="558B27BB">
      <w:pPr>
        <w:ind w:firstLine="0" w:firstLineChars="0"/>
        <w:jc w:val="center"/>
        <w:rPr>
          <w:rFonts w:hint="eastAsia" w:ascii="仿宋_GB2312" w:eastAsia="仿宋_GB2312"/>
          <w:b/>
          <w:bCs/>
          <w:strike w:val="0"/>
          <w:color w:val="auto"/>
          <w:sz w:val="28"/>
          <w:szCs w:val="28"/>
        </w:rPr>
      </w:pPr>
      <w:r>
        <w:rPr>
          <w:rFonts w:hint="eastAsia" w:ascii="仿宋_GB2312" w:eastAsia="仿宋_GB2312"/>
          <w:b/>
          <w:bCs/>
          <w:strike w:val="0"/>
          <w:color w:val="auto"/>
          <w:sz w:val="32"/>
          <w:szCs w:val="32"/>
        </w:rPr>
        <w:t>报价明细表</w:t>
      </w:r>
      <w:r>
        <w:rPr>
          <w:rFonts w:hint="eastAsia" w:ascii="仿宋_GB2312" w:eastAsia="仿宋_GB2312"/>
          <w:bCs/>
          <w:strike w:val="0"/>
          <w:color w:val="auto"/>
          <w:sz w:val="24"/>
        </w:rPr>
        <w:t>（格式）</w:t>
      </w:r>
    </w:p>
    <w:p w14:paraId="12B90322">
      <w:pPr>
        <w:ind w:firstLine="0" w:firstLineChars="0"/>
        <w:rPr>
          <w:rFonts w:ascii="宋体" w:hAnsi="宋体"/>
          <w:strike w:val="0"/>
          <w:color w:val="auto"/>
          <w:szCs w:val="21"/>
          <w:u w:val="single"/>
        </w:rPr>
      </w:pPr>
      <w:r>
        <w:rPr>
          <w:rFonts w:hint="eastAsia" w:ascii="宋体" w:hAnsi="宋体"/>
          <w:strike w:val="0"/>
          <w:color w:val="auto"/>
          <w:szCs w:val="21"/>
        </w:rPr>
        <w:t xml:space="preserve"> </w:t>
      </w:r>
      <w:r>
        <w:rPr>
          <w:rFonts w:ascii="宋体" w:hAnsi="宋体"/>
          <w:strike w:val="0"/>
          <w:color w:val="auto"/>
          <w:szCs w:val="21"/>
        </w:rPr>
        <w:t xml:space="preserve">  </w:t>
      </w:r>
      <w:bookmarkStart w:id="237" w:name="_Hlk94191840"/>
      <w:r>
        <w:rPr>
          <w:rFonts w:ascii="宋体" w:hAnsi="宋体"/>
          <w:strike w:val="0"/>
          <w:color w:val="auto"/>
          <w:szCs w:val="21"/>
        </w:rPr>
        <w:t xml:space="preserve"> </w:t>
      </w:r>
      <w:r>
        <w:rPr>
          <w:rFonts w:hint="eastAsia" w:ascii="宋体" w:hAnsi="宋体"/>
          <w:strike w:val="0"/>
          <w:color w:val="auto"/>
          <w:szCs w:val="21"/>
        </w:rPr>
        <w:t>项目编号：</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p>
    <w:p w14:paraId="5CA33F1C">
      <w:pPr>
        <w:ind w:firstLine="420" w:firstLineChars="0"/>
        <w:rPr>
          <w:rFonts w:hint="eastAsia" w:ascii="宋体" w:hAnsi="宋体"/>
          <w:strike w:val="0"/>
          <w:color w:val="auto"/>
          <w:szCs w:val="21"/>
        </w:rPr>
      </w:pPr>
      <w:r>
        <w:rPr>
          <w:rFonts w:hint="eastAsia" w:ascii="宋体" w:hAnsi="宋体"/>
          <w:strike w:val="0"/>
          <w:color w:val="auto"/>
          <w:szCs w:val="21"/>
        </w:rPr>
        <w:t>项目名称：</w:t>
      </w:r>
      <w:r>
        <w:rPr>
          <w:rFonts w:hint="eastAsia" w:ascii="宋体" w:hAnsi="宋体"/>
          <w:strike w:val="0"/>
          <w:color w:val="auto"/>
          <w:szCs w:val="21"/>
          <w:u w:val="single"/>
        </w:rPr>
        <w:t xml:space="preserve">              </w:t>
      </w:r>
      <w:r>
        <w:rPr>
          <w:rFonts w:ascii="宋体" w:hAnsi="宋体"/>
          <w:strike w:val="0"/>
          <w:color w:val="auto"/>
          <w:szCs w:val="21"/>
          <w:u w:val="single"/>
        </w:rPr>
        <w:t xml:space="preserve">           </w:t>
      </w:r>
      <w:r>
        <w:rPr>
          <w:rFonts w:hint="eastAsia" w:ascii="宋体" w:hAnsi="宋体"/>
          <w:strike w:val="0"/>
          <w:color w:val="auto"/>
          <w:szCs w:val="21"/>
          <w:u w:val="single"/>
        </w:rPr>
        <w:t xml:space="preserve">  </w:t>
      </w:r>
      <w:r>
        <w:rPr>
          <w:rFonts w:ascii="宋体" w:hAnsi="宋体"/>
          <w:strike w:val="0"/>
          <w:color w:val="auto"/>
          <w:szCs w:val="21"/>
        </w:rPr>
        <w:t xml:space="preserve">                                          </w:t>
      </w:r>
      <w:r>
        <w:rPr>
          <w:rFonts w:hint="eastAsia" w:ascii="宋体" w:hAnsi="宋体"/>
          <w:strike w:val="0"/>
          <w:color w:val="auto"/>
          <w:szCs w:val="21"/>
        </w:rPr>
        <w:t>单位：元</w:t>
      </w:r>
    </w:p>
    <w:p w14:paraId="6318666C">
      <w:pPr>
        <w:ind w:firstLine="420" w:firstLineChars="0"/>
        <w:rPr>
          <w:rFonts w:hint="default" w:ascii="宋体" w:hAnsi="宋体" w:eastAsia="宋体"/>
          <w:strike w:val="0"/>
          <w:color w:val="auto"/>
          <w:szCs w:val="21"/>
          <w:u w:val="single"/>
          <w:lang w:val="en-US" w:eastAsia="zh-CN"/>
        </w:rPr>
      </w:pPr>
      <w:r>
        <w:rPr>
          <w:rFonts w:hint="eastAsia" w:ascii="宋体" w:hAnsi="宋体"/>
          <w:strike w:val="0"/>
          <w:color w:val="auto"/>
          <w:szCs w:val="21"/>
          <w:lang w:val="en-US" w:eastAsia="zh-CN"/>
        </w:rPr>
        <w:t>标项：</w:t>
      </w:r>
      <w:r>
        <w:rPr>
          <w:rFonts w:hint="eastAsia" w:ascii="宋体" w:hAnsi="宋体"/>
          <w:strike w:val="0"/>
          <w:color w:val="auto"/>
          <w:szCs w:val="21"/>
          <w:u w:val="single"/>
          <w:lang w:val="en-US" w:eastAsia="zh-CN"/>
        </w:rPr>
        <w:t xml:space="preserve">                               </w:t>
      </w:r>
    </w:p>
    <w:bookmarkEnd w:id="237"/>
    <w:tbl>
      <w:tblPr>
        <w:tblStyle w:val="5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7F4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07" w:hRule="atLeast"/>
          <w:jc w:val="center"/>
        </w:trPr>
        <w:tc>
          <w:tcPr>
            <w:tcW w:w="704" w:type="dxa"/>
            <w:tcBorders>
              <w:bottom w:val="single" w:color="auto" w:sz="4" w:space="0"/>
            </w:tcBorders>
            <w:noWrap w:val="0"/>
            <w:vAlign w:val="center"/>
          </w:tcPr>
          <w:p w14:paraId="40110536">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序号</w:t>
            </w:r>
          </w:p>
        </w:tc>
        <w:tc>
          <w:tcPr>
            <w:tcW w:w="1145" w:type="dxa"/>
            <w:tcBorders>
              <w:bottom w:val="single" w:color="auto" w:sz="4" w:space="0"/>
            </w:tcBorders>
            <w:noWrap w:val="0"/>
            <w:vAlign w:val="center"/>
          </w:tcPr>
          <w:p w14:paraId="5DC4CE4F">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货物名称</w:t>
            </w:r>
          </w:p>
        </w:tc>
        <w:tc>
          <w:tcPr>
            <w:tcW w:w="698" w:type="dxa"/>
            <w:tcBorders>
              <w:bottom w:val="single" w:color="auto" w:sz="4" w:space="0"/>
            </w:tcBorders>
            <w:noWrap w:val="0"/>
            <w:vAlign w:val="center"/>
          </w:tcPr>
          <w:p w14:paraId="0CDADD26">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品牌</w:t>
            </w:r>
          </w:p>
        </w:tc>
        <w:tc>
          <w:tcPr>
            <w:tcW w:w="709" w:type="dxa"/>
            <w:tcBorders>
              <w:bottom w:val="single" w:color="auto" w:sz="4" w:space="0"/>
            </w:tcBorders>
            <w:noWrap w:val="0"/>
            <w:vAlign w:val="center"/>
          </w:tcPr>
          <w:p w14:paraId="655D91D4">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型号</w:t>
            </w:r>
          </w:p>
        </w:tc>
        <w:tc>
          <w:tcPr>
            <w:tcW w:w="708" w:type="dxa"/>
            <w:tcBorders>
              <w:bottom w:val="single" w:color="auto" w:sz="4" w:space="0"/>
            </w:tcBorders>
            <w:noWrap w:val="0"/>
            <w:vAlign w:val="center"/>
          </w:tcPr>
          <w:p w14:paraId="6FB90D61">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产地</w:t>
            </w:r>
          </w:p>
        </w:tc>
        <w:tc>
          <w:tcPr>
            <w:tcW w:w="1701" w:type="dxa"/>
            <w:tcBorders>
              <w:bottom w:val="single" w:color="auto" w:sz="4" w:space="0"/>
            </w:tcBorders>
            <w:noWrap w:val="0"/>
            <w:vAlign w:val="center"/>
          </w:tcPr>
          <w:p w14:paraId="7F9877EE">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技术参数及性能（规格）</w:t>
            </w:r>
          </w:p>
        </w:tc>
        <w:tc>
          <w:tcPr>
            <w:tcW w:w="1701" w:type="dxa"/>
            <w:tcBorders>
              <w:bottom w:val="single" w:color="auto" w:sz="4" w:space="0"/>
            </w:tcBorders>
            <w:noWrap w:val="0"/>
            <w:vAlign w:val="center"/>
          </w:tcPr>
          <w:p w14:paraId="20DF4697">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数量、单位</w:t>
            </w:r>
            <w:r>
              <w:rPr>
                <w:rFonts w:hint="eastAsia" w:hAnsi="宋体"/>
                <w:color w:val="auto"/>
              </w:rPr>
              <w:t>①</w:t>
            </w:r>
          </w:p>
        </w:tc>
        <w:tc>
          <w:tcPr>
            <w:tcW w:w="851" w:type="dxa"/>
            <w:tcBorders>
              <w:bottom w:val="single" w:color="auto" w:sz="4" w:space="0"/>
            </w:tcBorders>
            <w:noWrap w:val="0"/>
            <w:vAlign w:val="center"/>
          </w:tcPr>
          <w:p w14:paraId="05F321CB">
            <w:pPr>
              <w:tabs>
                <w:tab w:val="left" w:pos="180"/>
                <w:tab w:val="left" w:pos="1620"/>
              </w:tabs>
              <w:spacing w:line="300" w:lineRule="exact"/>
              <w:ind w:firstLine="0" w:firstLineChars="0"/>
              <w:jc w:val="center"/>
              <w:rPr>
                <w:rFonts w:ascii="宋体" w:hAnsi="宋体"/>
                <w:color w:val="auto"/>
                <w:szCs w:val="21"/>
              </w:rPr>
            </w:pPr>
            <w:r>
              <w:rPr>
                <w:rFonts w:hint="eastAsia" w:ascii="宋体" w:hAnsi="宋体"/>
                <w:color w:val="auto"/>
                <w:szCs w:val="21"/>
              </w:rPr>
              <w:t>单价</w:t>
            </w:r>
            <w:r>
              <w:rPr>
                <w:rFonts w:hint="eastAsia" w:hAnsi="宋体"/>
                <w:color w:val="auto"/>
              </w:rPr>
              <w:t>②</w:t>
            </w:r>
          </w:p>
        </w:tc>
        <w:tc>
          <w:tcPr>
            <w:tcW w:w="1340" w:type="dxa"/>
            <w:tcBorders>
              <w:bottom w:val="single" w:color="auto" w:sz="4" w:space="0"/>
            </w:tcBorders>
            <w:noWrap w:val="0"/>
            <w:vAlign w:val="center"/>
          </w:tcPr>
          <w:p w14:paraId="6621496A">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单项合价</w:t>
            </w:r>
          </w:p>
          <w:p w14:paraId="04A5492D">
            <w:pPr>
              <w:spacing w:line="300" w:lineRule="exact"/>
              <w:ind w:firstLine="0" w:firstLineChars="0"/>
              <w:jc w:val="center"/>
              <w:rPr>
                <w:rFonts w:ascii="宋体" w:hAnsi="宋体" w:cs="Courier New"/>
                <w:color w:val="auto"/>
                <w:szCs w:val="21"/>
              </w:rPr>
            </w:pPr>
            <w:r>
              <w:rPr>
                <w:rFonts w:hint="eastAsia" w:ascii="宋体" w:hAnsi="宋体" w:cs="Courier New"/>
                <w:color w:val="auto"/>
                <w:szCs w:val="21"/>
              </w:rPr>
              <w:t>③</w:t>
            </w:r>
            <w:r>
              <w:rPr>
                <w:rFonts w:ascii="宋体" w:hAnsi="宋体" w:cs="Courier New"/>
                <w:color w:val="auto"/>
                <w:szCs w:val="21"/>
              </w:rPr>
              <w:t>=</w:t>
            </w:r>
            <w:r>
              <w:rPr>
                <w:rFonts w:hint="eastAsia" w:ascii="宋体" w:hAnsi="宋体" w:cs="Courier New"/>
                <w:color w:val="auto"/>
                <w:szCs w:val="21"/>
              </w:rPr>
              <w:t>①×②</w:t>
            </w:r>
          </w:p>
        </w:tc>
      </w:tr>
      <w:tr w14:paraId="5FC0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3CBD5DE9">
            <w:pPr>
              <w:spacing w:line="440" w:lineRule="exact"/>
              <w:ind w:right="-34" w:rightChars="-16" w:firstLine="0" w:firstLineChars="0"/>
              <w:jc w:val="center"/>
              <w:rPr>
                <w:rFonts w:ascii="宋体" w:hAnsi="宋体"/>
                <w:color w:val="auto"/>
                <w:sz w:val="24"/>
              </w:rPr>
            </w:pPr>
            <w:r>
              <w:rPr>
                <w:rFonts w:hint="eastAsia" w:ascii="宋体" w:hAnsi="宋体"/>
                <w:color w:val="auto"/>
                <w:sz w:val="24"/>
              </w:rPr>
              <w:t>1</w:t>
            </w:r>
          </w:p>
        </w:tc>
        <w:tc>
          <w:tcPr>
            <w:tcW w:w="1145" w:type="dxa"/>
            <w:noWrap w:val="0"/>
            <w:vAlign w:val="center"/>
          </w:tcPr>
          <w:p w14:paraId="2865DD49">
            <w:pPr>
              <w:spacing w:line="440" w:lineRule="exact"/>
              <w:ind w:firstLine="0" w:firstLineChars="0"/>
              <w:jc w:val="center"/>
              <w:rPr>
                <w:rFonts w:ascii="宋体" w:hAnsi="宋体"/>
                <w:color w:val="auto"/>
              </w:rPr>
            </w:pPr>
          </w:p>
        </w:tc>
        <w:tc>
          <w:tcPr>
            <w:tcW w:w="698" w:type="dxa"/>
            <w:noWrap w:val="0"/>
            <w:vAlign w:val="center"/>
          </w:tcPr>
          <w:p w14:paraId="368C445C">
            <w:pPr>
              <w:spacing w:line="440" w:lineRule="exact"/>
              <w:ind w:firstLine="0" w:firstLineChars="0"/>
              <w:jc w:val="center"/>
              <w:rPr>
                <w:rFonts w:ascii="宋体" w:hAnsi="宋体"/>
                <w:color w:val="auto"/>
              </w:rPr>
            </w:pPr>
          </w:p>
        </w:tc>
        <w:tc>
          <w:tcPr>
            <w:tcW w:w="709" w:type="dxa"/>
            <w:noWrap w:val="0"/>
            <w:vAlign w:val="center"/>
          </w:tcPr>
          <w:p w14:paraId="51CA12A6">
            <w:pPr>
              <w:spacing w:line="440" w:lineRule="exact"/>
              <w:ind w:firstLine="0" w:firstLineChars="0"/>
              <w:jc w:val="center"/>
              <w:rPr>
                <w:rFonts w:ascii="宋体" w:hAnsi="宋体"/>
                <w:color w:val="auto"/>
              </w:rPr>
            </w:pPr>
          </w:p>
        </w:tc>
        <w:tc>
          <w:tcPr>
            <w:tcW w:w="708" w:type="dxa"/>
            <w:noWrap w:val="0"/>
            <w:vAlign w:val="center"/>
          </w:tcPr>
          <w:p w14:paraId="2216AADD">
            <w:pPr>
              <w:spacing w:line="440" w:lineRule="exact"/>
              <w:ind w:firstLine="0" w:firstLineChars="0"/>
              <w:jc w:val="center"/>
              <w:rPr>
                <w:rFonts w:ascii="宋体" w:hAnsi="宋体"/>
                <w:color w:val="auto"/>
              </w:rPr>
            </w:pPr>
          </w:p>
        </w:tc>
        <w:tc>
          <w:tcPr>
            <w:tcW w:w="1701" w:type="dxa"/>
            <w:noWrap w:val="0"/>
            <w:vAlign w:val="center"/>
          </w:tcPr>
          <w:p w14:paraId="1DE0A7C1">
            <w:pPr>
              <w:spacing w:line="440" w:lineRule="exact"/>
              <w:ind w:firstLine="0" w:firstLineChars="0"/>
              <w:jc w:val="center"/>
              <w:rPr>
                <w:rFonts w:ascii="宋体" w:hAnsi="宋体"/>
                <w:color w:val="auto"/>
              </w:rPr>
            </w:pPr>
          </w:p>
        </w:tc>
        <w:tc>
          <w:tcPr>
            <w:tcW w:w="1701" w:type="dxa"/>
            <w:noWrap w:val="0"/>
            <w:vAlign w:val="center"/>
          </w:tcPr>
          <w:p w14:paraId="6EAB7AFA">
            <w:pPr>
              <w:spacing w:line="440" w:lineRule="exact"/>
              <w:ind w:firstLine="0" w:firstLineChars="0"/>
              <w:jc w:val="center"/>
              <w:rPr>
                <w:rFonts w:ascii="宋体" w:hAnsi="宋体"/>
                <w:color w:val="auto"/>
              </w:rPr>
            </w:pPr>
          </w:p>
        </w:tc>
        <w:tc>
          <w:tcPr>
            <w:tcW w:w="851" w:type="dxa"/>
            <w:noWrap w:val="0"/>
            <w:vAlign w:val="center"/>
          </w:tcPr>
          <w:p w14:paraId="38AE9FBC">
            <w:pPr>
              <w:spacing w:line="440" w:lineRule="exact"/>
              <w:ind w:firstLine="0" w:firstLineChars="0"/>
              <w:jc w:val="center"/>
              <w:rPr>
                <w:rFonts w:ascii="宋体" w:hAnsi="宋体"/>
                <w:color w:val="auto"/>
              </w:rPr>
            </w:pPr>
          </w:p>
        </w:tc>
        <w:tc>
          <w:tcPr>
            <w:tcW w:w="1340" w:type="dxa"/>
            <w:noWrap w:val="0"/>
            <w:vAlign w:val="center"/>
          </w:tcPr>
          <w:p w14:paraId="00FDD69B">
            <w:pPr>
              <w:spacing w:line="440" w:lineRule="exact"/>
              <w:ind w:firstLine="0" w:firstLineChars="0"/>
              <w:jc w:val="center"/>
              <w:rPr>
                <w:rFonts w:ascii="宋体" w:hAnsi="宋体"/>
                <w:color w:val="auto"/>
              </w:rPr>
            </w:pPr>
          </w:p>
        </w:tc>
      </w:tr>
      <w:tr w14:paraId="0FCB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4E0A475F">
            <w:pPr>
              <w:spacing w:line="440" w:lineRule="exact"/>
              <w:ind w:firstLine="0" w:firstLineChars="0"/>
              <w:jc w:val="center"/>
              <w:rPr>
                <w:rFonts w:ascii="宋体" w:hAnsi="宋体"/>
                <w:color w:val="auto"/>
                <w:sz w:val="24"/>
              </w:rPr>
            </w:pPr>
            <w:r>
              <w:rPr>
                <w:rFonts w:hint="eastAsia" w:ascii="宋体" w:hAnsi="宋体"/>
                <w:color w:val="auto"/>
                <w:sz w:val="24"/>
              </w:rPr>
              <w:t>2</w:t>
            </w:r>
          </w:p>
        </w:tc>
        <w:tc>
          <w:tcPr>
            <w:tcW w:w="1145" w:type="dxa"/>
            <w:noWrap w:val="0"/>
            <w:vAlign w:val="center"/>
          </w:tcPr>
          <w:p w14:paraId="4CCD6AA0">
            <w:pPr>
              <w:spacing w:line="440" w:lineRule="exact"/>
              <w:ind w:firstLine="0" w:firstLineChars="0"/>
              <w:jc w:val="center"/>
              <w:rPr>
                <w:rFonts w:ascii="宋体" w:hAnsi="宋体"/>
                <w:color w:val="auto"/>
              </w:rPr>
            </w:pPr>
          </w:p>
        </w:tc>
        <w:tc>
          <w:tcPr>
            <w:tcW w:w="698" w:type="dxa"/>
            <w:noWrap w:val="0"/>
            <w:vAlign w:val="center"/>
          </w:tcPr>
          <w:p w14:paraId="6D188214">
            <w:pPr>
              <w:spacing w:line="440" w:lineRule="exact"/>
              <w:ind w:firstLine="0" w:firstLineChars="0"/>
              <w:jc w:val="center"/>
              <w:rPr>
                <w:rFonts w:ascii="宋体" w:hAnsi="宋体"/>
                <w:color w:val="auto"/>
              </w:rPr>
            </w:pPr>
          </w:p>
        </w:tc>
        <w:tc>
          <w:tcPr>
            <w:tcW w:w="709" w:type="dxa"/>
            <w:noWrap w:val="0"/>
            <w:vAlign w:val="center"/>
          </w:tcPr>
          <w:p w14:paraId="26B4BCF7">
            <w:pPr>
              <w:spacing w:line="440" w:lineRule="exact"/>
              <w:ind w:firstLine="0" w:firstLineChars="0"/>
              <w:jc w:val="center"/>
              <w:rPr>
                <w:rFonts w:ascii="宋体" w:hAnsi="宋体"/>
                <w:color w:val="auto"/>
              </w:rPr>
            </w:pPr>
          </w:p>
        </w:tc>
        <w:tc>
          <w:tcPr>
            <w:tcW w:w="708" w:type="dxa"/>
            <w:noWrap w:val="0"/>
            <w:vAlign w:val="center"/>
          </w:tcPr>
          <w:p w14:paraId="2E00DF34">
            <w:pPr>
              <w:spacing w:line="440" w:lineRule="exact"/>
              <w:ind w:firstLine="0" w:firstLineChars="0"/>
              <w:jc w:val="center"/>
              <w:rPr>
                <w:rFonts w:ascii="宋体" w:hAnsi="宋体"/>
                <w:color w:val="auto"/>
              </w:rPr>
            </w:pPr>
          </w:p>
        </w:tc>
        <w:tc>
          <w:tcPr>
            <w:tcW w:w="1701" w:type="dxa"/>
            <w:noWrap w:val="0"/>
            <w:vAlign w:val="center"/>
          </w:tcPr>
          <w:p w14:paraId="5ACA8306">
            <w:pPr>
              <w:spacing w:line="440" w:lineRule="exact"/>
              <w:ind w:firstLine="0" w:firstLineChars="0"/>
              <w:jc w:val="center"/>
              <w:rPr>
                <w:rFonts w:ascii="宋体" w:hAnsi="宋体"/>
                <w:color w:val="auto"/>
              </w:rPr>
            </w:pPr>
          </w:p>
        </w:tc>
        <w:tc>
          <w:tcPr>
            <w:tcW w:w="1701" w:type="dxa"/>
            <w:noWrap w:val="0"/>
            <w:vAlign w:val="center"/>
          </w:tcPr>
          <w:p w14:paraId="3A8CEBDE">
            <w:pPr>
              <w:spacing w:line="440" w:lineRule="exact"/>
              <w:ind w:firstLine="0" w:firstLineChars="0"/>
              <w:jc w:val="center"/>
              <w:rPr>
                <w:rFonts w:ascii="宋体" w:hAnsi="宋体"/>
                <w:color w:val="auto"/>
              </w:rPr>
            </w:pPr>
          </w:p>
        </w:tc>
        <w:tc>
          <w:tcPr>
            <w:tcW w:w="851" w:type="dxa"/>
            <w:noWrap w:val="0"/>
            <w:vAlign w:val="center"/>
          </w:tcPr>
          <w:p w14:paraId="3D1E218C">
            <w:pPr>
              <w:spacing w:line="440" w:lineRule="exact"/>
              <w:ind w:firstLine="0" w:firstLineChars="0"/>
              <w:jc w:val="center"/>
              <w:rPr>
                <w:rFonts w:ascii="宋体" w:hAnsi="宋体"/>
                <w:color w:val="auto"/>
              </w:rPr>
            </w:pPr>
          </w:p>
        </w:tc>
        <w:tc>
          <w:tcPr>
            <w:tcW w:w="1340" w:type="dxa"/>
            <w:noWrap w:val="0"/>
            <w:vAlign w:val="center"/>
          </w:tcPr>
          <w:p w14:paraId="4BD50B5D">
            <w:pPr>
              <w:spacing w:line="440" w:lineRule="exact"/>
              <w:ind w:firstLine="0" w:firstLineChars="0"/>
              <w:jc w:val="center"/>
              <w:rPr>
                <w:rFonts w:ascii="宋体" w:hAnsi="宋体"/>
                <w:color w:val="auto"/>
              </w:rPr>
            </w:pPr>
          </w:p>
        </w:tc>
      </w:tr>
      <w:tr w14:paraId="06B1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49D046FD">
            <w:pPr>
              <w:spacing w:line="440" w:lineRule="exact"/>
              <w:ind w:firstLine="0" w:firstLineChars="0"/>
              <w:jc w:val="center"/>
              <w:rPr>
                <w:rFonts w:ascii="宋体" w:hAnsi="宋体"/>
                <w:color w:val="auto"/>
                <w:sz w:val="24"/>
              </w:rPr>
            </w:pPr>
            <w:r>
              <w:rPr>
                <w:rFonts w:hint="eastAsia" w:ascii="宋体" w:hAnsi="宋体"/>
                <w:color w:val="auto"/>
                <w:sz w:val="24"/>
              </w:rPr>
              <w:t>3</w:t>
            </w:r>
          </w:p>
        </w:tc>
        <w:tc>
          <w:tcPr>
            <w:tcW w:w="1145" w:type="dxa"/>
            <w:noWrap w:val="0"/>
            <w:vAlign w:val="center"/>
          </w:tcPr>
          <w:p w14:paraId="3FF6F035">
            <w:pPr>
              <w:spacing w:line="440" w:lineRule="exact"/>
              <w:ind w:firstLine="0" w:firstLineChars="0"/>
              <w:jc w:val="center"/>
              <w:rPr>
                <w:rFonts w:ascii="宋体" w:hAnsi="宋体"/>
                <w:color w:val="auto"/>
              </w:rPr>
            </w:pPr>
          </w:p>
        </w:tc>
        <w:tc>
          <w:tcPr>
            <w:tcW w:w="698" w:type="dxa"/>
            <w:noWrap w:val="0"/>
            <w:vAlign w:val="center"/>
          </w:tcPr>
          <w:p w14:paraId="047EB0E9">
            <w:pPr>
              <w:spacing w:line="440" w:lineRule="exact"/>
              <w:ind w:firstLine="0" w:firstLineChars="0"/>
              <w:jc w:val="center"/>
              <w:rPr>
                <w:rFonts w:ascii="宋体" w:hAnsi="宋体"/>
                <w:color w:val="auto"/>
              </w:rPr>
            </w:pPr>
          </w:p>
        </w:tc>
        <w:tc>
          <w:tcPr>
            <w:tcW w:w="709" w:type="dxa"/>
            <w:noWrap w:val="0"/>
            <w:vAlign w:val="center"/>
          </w:tcPr>
          <w:p w14:paraId="0A2B1F16">
            <w:pPr>
              <w:spacing w:line="440" w:lineRule="exact"/>
              <w:ind w:firstLine="0" w:firstLineChars="0"/>
              <w:jc w:val="center"/>
              <w:rPr>
                <w:rFonts w:ascii="宋体" w:hAnsi="宋体"/>
                <w:color w:val="auto"/>
              </w:rPr>
            </w:pPr>
          </w:p>
        </w:tc>
        <w:tc>
          <w:tcPr>
            <w:tcW w:w="708" w:type="dxa"/>
            <w:noWrap w:val="0"/>
            <w:vAlign w:val="center"/>
          </w:tcPr>
          <w:p w14:paraId="7741E05D">
            <w:pPr>
              <w:spacing w:line="440" w:lineRule="exact"/>
              <w:ind w:firstLine="0" w:firstLineChars="0"/>
              <w:jc w:val="center"/>
              <w:rPr>
                <w:rFonts w:ascii="宋体" w:hAnsi="宋体"/>
                <w:color w:val="auto"/>
              </w:rPr>
            </w:pPr>
          </w:p>
        </w:tc>
        <w:tc>
          <w:tcPr>
            <w:tcW w:w="1701" w:type="dxa"/>
            <w:noWrap w:val="0"/>
            <w:vAlign w:val="center"/>
          </w:tcPr>
          <w:p w14:paraId="7CD76D6B">
            <w:pPr>
              <w:spacing w:line="440" w:lineRule="exact"/>
              <w:ind w:firstLine="0" w:firstLineChars="0"/>
              <w:jc w:val="center"/>
              <w:rPr>
                <w:rFonts w:ascii="宋体" w:hAnsi="宋体"/>
                <w:color w:val="auto"/>
              </w:rPr>
            </w:pPr>
          </w:p>
        </w:tc>
        <w:tc>
          <w:tcPr>
            <w:tcW w:w="1701" w:type="dxa"/>
            <w:noWrap w:val="0"/>
            <w:vAlign w:val="center"/>
          </w:tcPr>
          <w:p w14:paraId="4EE15F4F">
            <w:pPr>
              <w:spacing w:line="440" w:lineRule="exact"/>
              <w:ind w:firstLine="0" w:firstLineChars="0"/>
              <w:jc w:val="center"/>
              <w:rPr>
                <w:rFonts w:ascii="宋体" w:hAnsi="宋体"/>
                <w:color w:val="auto"/>
              </w:rPr>
            </w:pPr>
          </w:p>
        </w:tc>
        <w:tc>
          <w:tcPr>
            <w:tcW w:w="851" w:type="dxa"/>
            <w:noWrap w:val="0"/>
            <w:vAlign w:val="center"/>
          </w:tcPr>
          <w:p w14:paraId="326EE486">
            <w:pPr>
              <w:spacing w:line="440" w:lineRule="exact"/>
              <w:ind w:firstLine="0" w:firstLineChars="0"/>
              <w:jc w:val="center"/>
              <w:rPr>
                <w:rFonts w:ascii="宋体" w:hAnsi="宋体"/>
                <w:color w:val="auto"/>
              </w:rPr>
            </w:pPr>
          </w:p>
        </w:tc>
        <w:tc>
          <w:tcPr>
            <w:tcW w:w="1340" w:type="dxa"/>
            <w:noWrap w:val="0"/>
            <w:vAlign w:val="center"/>
          </w:tcPr>
          <w:p w14:paraId="6E0B294D">
            <w:pPr>
              <w:spacing w:line="440" w:lineRule="exact"/>
              <w:ind w:firstLine="0" w:firstLineChars="0"/>
              <w:jc w:val="center"/>
              <w:rPr>
                <w:rFonts w:ascii="宋体" w:hAnsi="宋体"/>
                <w:color w:val="auto"/>
              </w:rPr>
            </w:pPr>
          </w:p>
        </w:tc>
      </w:tr>
      <w:tr w14:paraId="4CA7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noWrap w:val="0"/>
            <w:vAlign w:val="center"/>
          </w:tcPr>
          <w:p w14:paraId="5621112C">
            <w:pPr>
              <w:spacing w:line="440" w:lineRule="exact"/>
              <w:ind w:firstLine="0" w:firstLineChars="0"/>
              <w:jc w:val="center"/>
              <w:rPr>
                <w:rFonts w:ascii="宋体" w:hAnsi="宋体"/>
                <w:color w:val="auto"/>
                <w:sz w:val="24"/>
              </w:rPr>
            </w:pPr>
            <w:r>
              <w:rPr>
                <w:rFonts w:ascii="宋体" w:hAnsi="宋体"/>
                <w:color w:val="auto"/>
                <w:sz w:val="24"/>
              </w:rPr>
              <w:t>…</w:t>
            </w:r>
          </w:p>
        </w:tc>
        <w:tc>
          <w:tcPr>
            <w:tcW w:w="1145" w:type="dxa"/>
            <w:noWrap w:val="0"/>
            <w:vAlign w:val="center"/>
          </w:tcPr>
          <w:p w14:paraId="23AF06A5">
            <w:pPr>
              <w:spacing w:line="440" w:lineRule="exact"/>
              <w:ind w:firstLine="0" w:firstLineChars="0"/>
              <w:jc w:val="center"/>
              <w:rPr>
                <w:rFonts w:ascii="宋体" w:hAnsi="宋体"/>
                <w:color w:val="auto"/>
              </w:rPr>
            </w:pPr>
          </w:p>
        </w:tc>
        <w:tc>
          <w:tcPr>
            <w:tcW w:w="698" w:type="dxa"/>
            <w:noWrap w:val="0"/>
            <w:vAlign w:val="center"/>
          </w:tcPr>
          <w:p w14:paraId="7D7C932D">
            <w:pPr>
              <w:spacing w:line="440" w:lineRule="exact"/>
              <w:ind w:firstLine="0" w:firstLineChars="0"/>
              <w:jc w:val="center"/>
              <w:rPr>
                <w:rFonts w:ascii="宋体" w:hAnsi="宋体"/>
                <w:color w:val="auto"/>
              </w:rPr>
            </w:pPr>
          </w:p>
        </w:tc>
        <w:tc>
          <w:tcPr>
            <w:tcW w:w="709" w:type="dxa"/>
            <w:noWrap w:val="0"/>
            <w:vAlign w:val="center"/>
          </w:tcPr>
          <w:p w14:paraId="0439A8A0">
            <w:pPr>
              <w:spacing w:line="440" w:lineRule="exact"/>
              <w:ind w:firstLine="0" w:firstLineChars="0"/>
              <w:jc w:val="center"/>
              <w:rPr>
                <w:rFonts w:ascii="宋体" w:hAnsi="宋体"/>
                <w:color w:val="auto"/>
              </w:rPr>
            </w:pPr>
          </w:p>
        </w:tc>
        <w:tc>
          <w:tcPr>
            <w:tcW w:w="708" w:type="dxa"/>
            <w:noWrap w:val="0"/>
            <w:vAlign w:val="center"/>
          </w:tcPr>
          <w:p w14:paraId="38E81AB7">
            <w:pPr>
              <w:spacing w:line="440" w:lineRule="exact"/>
              <w:ind w:firstLine="0" w:firstLineChars="0"/>
              <w:jc w:val="center"/>
              <w:rPr>
                <w:rFonts w:ascii="宋体" w:hAnsi="宋体"/>
                <w:color w:val="auto"/>
              </w:rPr>
            </w:pPr>
          </w:p>
        </w:tc>
        <w:tc>
          <w:tcPr>
            <w:tcW w:w="1701" w:type="dxa"/>
            <w:noWrap w:val="0"/>
            <w:vAlign w:val="center"/>
          </w:tcPr>
          <w:p w14:paraId="07162D70">
            <w:pPr>
              <w:spacing w:line="440" w:lineRule="exact"/>
              <w:ind w:firstLine="0" w:firstLineChars="0"/>
              <w:jc w:val="center"/>
              <w:rPr>
                <w:rFonts w:ascii="宋体" w:hAnsi="宋体"/>
                <w:color w:val="auto"/>
              </w:rPr>
            </w:pPr>
          </w:p>
        </w:tc>
        <w:tc>
          <w:tcPr>
            <w:tcW w:w="1701" w:type="dxa"/>
            <w:noWrap w:val="0"/>
            <w:vAlign w:val="center"/>
          </w:tcPr>
          <w:p w14:paraId="680B589E">
            <w:pPr>
              <w:spacing w:line="440" w:lineRule="exact"/>
              <w:ind w:firstLine="0" w:firstLineChars="0"/>
              <w:jc w:val="center"/>
              <w:rPr>
                <w:rFonts w:ascii="宋体" w:hAnsi="宋体"/>
                <w:color w:val="auto"/>
              </w:rPr>
            </w:pPr>
          </w:p>
        </w:tc>
        <w:tc>
          <w:tcPr>
            <w:tcW w:w="851" w:type="dxa"/>
            <w:noWrap w:val="0"/>
            <w:vAlign w:val="center"/>
          </w:tcPr>
          <w:p w14:paraId="4ABA5D22">
            <w:pPr>
              <w:spacing w:line="440" w:lineRule="exact"/>
              <w:ind w:firstLine="0" w:firstLineChars="0"/>
              <w:jc w:val="center"/>
              <w:rPr>
                <w:rFonts w:ascii="宋体" w:hAnsi="宋体"/>
                <w:color w:val="auto"/>
              </w:rPr>
            </w:pPr>
          </w:p>
        </w:tc>
        <w:tc>
          <w:tcPr>
            <w:tcW w:w="1340" w:type="dxa"/>
            <w:noWrap w:val="0"/>
            <w:vAlign w:val="center"/>
          </w:tcPr>
          <w:p w14:paraId="3331809A">
            <w:pPr>
              <w:spacing w:line="440" w:lineRule="exact"/>
              <w:ind w:firstLine="0" w:firstLineChars="0"/>
              <w:jc w:val="center"/>
              <w:rPr>
                <w:rFonts w:ascii="宋体" w:hAnsi="宋体"/>
                <w:color w:val="auto"/>
              </w:rPr>
            </w:pPr>
          </w:p>
        </w:tc>
      </w:tr>
      <w:tr w14:paraId="321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64" w:type="dxa"/>
            <w:gridSpan w:val="9"/>
            <w:noWrap w:val="0"/>
            <w:vAlign w:val="center"/>
          </w:tcPr>
          <w:p w14:paraId="602990AE">
            <w:pPr>
              <w:spacing w:line="440" w:lineRule="exact"/>
              <w:ind w:firstLine="27" w:firstLineChars="14"/>
              <w:rPr>
                <w:rFonts w:ascii="宋体" w:hAnsi="宋体" w:cs="Courier New"/>
                <w:color w:val="auto"/>
                <w:spacing w:val="-6"/>
                <w:szCs w:val="21"/>
              </w:rPr>
            </w:pPr>
            <w:r>
              <w:rPr>
                <w:rFonts w:hint="eastAsia" w:ascii="宋体" w:hAnsi="宋体" w:cs="Courier New"/>
                <w:color w:val="auto"/>
                <w:spacing w:val="-6"/>
                <w:szCs w:val="21"/>
              </w:rPr>
              <w:t>总报价（人民币大写）：</w:t>
            </w:r>
            <w:r>
              <w:rPr>
                <w:rFonts w:hint="eastAsia" w:ascii="宋体" w:hAnsi="宋体" w:cs="Courier New"/>
                <w:color w:val="auto"/>
                <w:spacing w:val="-6"/>
                <w:szCs w:val="21"/>
                <w:u w:val="single"/>
              </w:rPr>
              <w:t xml:space="preserve">                                       </w:t>
            </w:r>
            <w:r>
              <w:rPr>
                <w:rFonts w:hint="eastAsia" w:ascii="宋体" w:hAnsi="宋体" w:cs="Courier New"/>
                <w:color w:val="auto"/>
                <w:spacing w:val="-6"/>
                <w:szCs w:val="21"/>
              </w:rPr>
              <w:t>（￥</w:t>
            </w:r>
            <w:r>
              <w:rPr>
                <w:rFonts w:hint="eastAsia" w:ascii="宋体" w:hAnsi="宋体" w:cs="Courier New"/>
                <w:color w:val="auto"/>
                <w:spacing w:val="-6"/>
                <w:szCs w:val="21"/>
                <w:u w:val="single"/>
              </w:rPr>
              <w:t xml:space="preserve">                       元</w:t>
            </w:r>
            <w:r>
              <w:rPr>
                <w:rFonts w:hint="eastAsia" w:ascii="宋体" w:hAnsi="宋体" w:cs="Courier New"/>
                <w:color w:val="auto"/>
                <w:spacing w:val="-6"/>
                <w:szCs w:val="21"/>
              </w:rPr>
              <w:t>）</w:t>
            </w:r>
          </w:p>
        </w:tc>
      </w:tr>
    </w:tbl>
    <w:p w14:paraId="7A90C0F4">
      <w:pPr>
        <w:spacing w:line="440" w:lineRule="exact"/>
        <w:ind w:firstLine="210" w:firstLineChars="100"/>
        <w:rPr>
          <w:rFonts w:ascii="宋体" w:hAnsi="宋体"/>
          <w:color w:val="auto"/>
          <w:szCs w:val="21"/>
        </w:rPr>
      </w:pPr>
      <w:r>
        <w:rPr>
          <w:rFonts w:hint="eastAsia" w:ascii="宋体" w:hAnsi="宋体"/>
          <w:color w:val="auto"/>
          <w:szCs w:val="21"/>
        </w:rPr>
        <w:t>注：1.所有价格均用人民币表示，单位为元，精确到个数位。</w:t>
      </w:r>
    </w:p>
    <w:p w14:paraId="62763E41">
      <w:pPr>
        <w:spacing w:line="440" w:lineRule="exact"/>
        <w:ind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.报价一经涂改，应在涂改处加盖公章或者由法定代表人或授权委托人签名或盖章，否则视为无效投标文件。</w:t>
      </w:r>
    </w:p>
    <w:p w14:paraId="7B79C5E0">
      <w:pPr>
        <w:ind w:firstLine="210" w:firstLineChars="100"/>
        <w:rPr>
          <w:rFonts w:hint="default" w:eastAsia="宋体"/>
          <w:strike w:val="0"/>
          <w:color w:val="auto"/>
          <w:lang w:val="en-US" w:eastAsia="zh-CN"/>
        </w:rPr>
      </w:pPr>
    </w:p>
    <w:p w14:paraId="746CEF5D">
      <w:pPr>
        <w:ind w:firstLine="0" w:firstLineChars="0"/>
        <w:rPr>
          <w:strike w:val="0"/>
          <w:color w:val="auto"/>
        </w:rPr>
      </w:pPr>
    </w:p>
    <w:p w14:paraId="1C957882">
      <w:pPr>
        <w:ind w:firstLine="0" w:firstLineChars="0"/>
        <w:rPr>
          <w:rFonts w:hint="eastAsia"/>
          <w:strike w:val="0"/>
          <w:color w:val="auto"/>
        </w:rPr>
      </w:pPr>
    </w:p>
    <w:p w14:paraId="1A7B2CDE">
      <w:pPr>
        <w:snapToGrid w:val="0"/>
        <w:spacing w:before="50" w:after="50" w:line="350" w:lineRule="exact"/>
        <w:ind w:right="-817" w:rightChars="-389" w:firstLine="3465" w:firstLineChars="1650"/>
        <w:rPr>
          <w:rFonts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投标人（盖章）：</w:t>
      </w:r>
      <w:r>
        <w:rPr>
          <w:rFonts w:hint="eastAsia" w:ascii="宋体" w:hAnsi="宋体"/>
          <w:strike w:val="0"/>
          <w:color w:val="auto"/>
          <w:szCs w:val="21"/>
          <w:u w:val="single"/>
        </w:rPr>
        <w:t xml:space="preserve">                        </w:t>
      </w:r>
    </w:p>
    <w:p w14:paraId="4966A691">
      <w:pPr>
        <w:snapToGrid w:val="0"/>
        <w:spacing w:before="50" w:after="50" w:line="350" w:lineRule="exact"/>
        <w:ind w:right="-817" w:rightChars="-389" w:firstLine="3465" w:firstLineChars="1650"/>
        <w:rPr>
          <w:rFonts w:hint="eastAsia" w:ascii="宋体" w:hAnsi="宋体"/>
          <w:strike w:val="0"/>
          <w:color w:val="auto"/>
          <w:szCs w:val="21"/>
        </w:rPr>
      </w:pPr>
      <w:r>
        <w:rPr>
          <w:rFonts w:hint="eastAsia" w:ascii="宋体" w:hAnsi="宋体"/>
          <w:strike w:val="0"/>
          <w:color w:val="auto"/>
          <w:szCs w:val="21"/>
        </w:rPr>
        <w:t xml:space="preserve"> </w:t>
      </w:r>
      <w:r>
        <w:rPr>
          <w:rFonts w:ascii="宋体" w:hAnsi="宋体"/>
          <w:strike w:val="0"/>
          <w:color w:val="auto"/>
          <w:szCs w:val="21"/>
        </w:rPr>
        <w:t xml:space="preserve">                    </w:t>
      </w:r>
      <w:r>
        <w:rPr>
          <w:rFonts w:hint="eastAsia" w:ascii="宋体" w:hAnsi="宋体"/>
          <w:strike w:val="0"/>
          <w:color w:val="auto"/>
          <w:szCs w:val="21"/>
        </w:rPr>
        <w:t>日期：</w:t>
      </w:r>
      <w:r>
        <w:rPr>
          <w:rFonts w:hint="eastAsia" w:ascii="宋体" w:hAnsi="宋体"/>
          <w:strike w:val="0"/>
          <w:color w:val="auto"/>
          <w:szCs w:val="21"/>
          <w:u w:val="single"/>
        </w:rPr>
        <w:t xml:space="preserve">       </w:t>
      </w:r>
      <w:r>
        <w:rPr>
          <w:rFonts w:hint="eastAsia" w:ascii="宋体" w:hAnsi="宋体"/>
          <w:strike w:val="0"/>
          <w:color w:val="auto"/>
          <w:szCs w:val="21"/>
        </w:rPr>
        <w:t>年</w:t>
      </w:r>
      <w:r>
        <w:rPr>
          <w:rFonts w:hint="eastAsia" w:ascii="宋体" w:hAnsi="宋体"/>
          <w:strike w:val="0"/>
          <w:color w:val="auto"/>
          <w:szCs w:val="21"/>
          <w:u w:val="single"/>
        </w:rPr>
        <w:t xml:space="preserve">    </w:t>
      </w:r>
      <w:r>
        <w:rPr>
          <w:rFonts w:hint="eastAsia" w:ascii="宋体" w:hAnsi="宋体"/>
          <w:strike w:val="0"/>
          <w:color w:val="auto"/>
          <w:szCs w:val="21"/>
        </w:rPr>
        <w:t>月</w:t>
      </w:r>
      <w:r>
        <w:rPr>
          <w:rFonts w:hint="eastAsia" w:ascii="宋体" w:hAnsi="宋体"/>
          <w:strike w:val="0"/>
          <w:color w:val="auto"/>
          <w:szCs w:val="21"/>
          <w:u w:val="single"/>
        </w:rPr>
        <w:t xml:space="preserve">    </w:t>
      </w:r>
      <w:r>
        <w:rPr>
          <w:rFonts w:hint="eastAsia" w:ascii="宋体" w:hAnsi="宋体"/>
          <w:strike w:val="0"/>
          <w:color w:val="auto"/>
          <w:szCs w:val="21"/>
        </w:rPr>
        <w:t>日</w:t>
      </w:r>
    </w:p>
    <w:p w14:paraId="6516B666">
      <w:pPr>
        <w:snapToGrid w:val="0"/>
        <w:spacing w:before="50" w:after="50" w:line="350" w:lineRule="exact"/>
        <w:ind w:right="-817" w:rightChars="-389" w:firstLine="3465" w:firstLineChars="1650"/>
        <w:rPr>
          <w:rFonts w:hint="eastAsia" w:ascii="宋体" w:hAnsi="宋体"/>
          <w:strike w:val="0"/>
          <w:color w:val="auto"/>
          <w:szCs w:val="21"/>
        </w:rPr>
      </w:pPr>
    </w:p>
    <w:p w14:paraId="6C5AF0A5">
      <w:pPr>
        <w:snapToGrid w:val="0"/>
        <w:spacing w:before="50" w:after="50" w:line="350" w:lineRule="exact"/>
        <w:ind w:right="-817" w:rightChars="-389" w:firstLine="3465" w:firstLineChars="1650"/>
        <w:rPr>
          <w:rFonts w:hint="eastAsia" w:ascii="宋体" w:hAnsi="宋体"/>
          <w:strike w:val="0"/>
          <w:color w:val="auto"/>
          <w:szCs w:val="21"/>
        </w:rPr>
      </w:pPr>
    </w:p>
    <w:p w14:paraId="5147D36B">
      <w:pPr>
        <w:snapToGrid w:val="0"/>
        <w:spacing w:before="50" w:after="50" w:line="350" w:lineRule="exact"/>
        <w:ind w:right="-817" w:rightChars="-389" w:firstLine="3465" w:firstLineChars="1650"/>
        <w:rPr>
          <w:rFonts w:hint="eastAsia" w:ascii="宋体" w:hAnsi="宋体"/>
          <w:strike w:val="0"/>
          <w:color w:val="auto"/>
          <w:szCs w:val="21"/>
        </w:rPr>
      </w:pPr>
    </w:p>
    <w:p w14:paraId="469526D2">
      <w:pPr>
        <w:snapToGrid w:val="0"/>
        <w:spacing w:before="50" w:after="50" w:line="350" w:lineRule="exact"/>
        <w:ind w:right="-817" w:rightChars="-389" w:firstLine="3465" w:firstLineChars="1650"/>
        <w:rPr>
          <w:rFonts w:hint="eastAsia" w:ascii="宋体" w:hAnsi="宋体"/>
          <w:strike w:val="0"/>
          <w:color w:val="auto"/>
          <w:szCs w:val="21"/>
        </w:rPr>
      </w:pPr>
    </w:p>
    <w:p w14:paraId="02CB137B">
      <w:pPr>
        <w:snapToGrid w:val="0"/>
        <w:spacing w:before="50" w:after="50" w:line="350" w:lineRule="exact"/>
        <w:ind w:right="-817" w:rightChars="-389" w:firstLine="3465" w:firstLineChars="1650"/>
        <w:rPr>
          <w:rFonts w:hint="eastAsia" w:ascii="宋体" w:hAnsi="宋体"/>
          <w:strike w:val="0"/>
          <w:color w:val="auto"/>
          <w:szCs w:val="21"/>
        </w:rPr>
      </w:pPr>
    </w:p>
    <w:p w14:paraId="45D2C09F">
      <w:pPr>
        <w:snapToGrid w:val="0"/>
        <w:spacing w:before="50" w:after="50" w:line="350" w:lineRule="exact"/>
        <w:ind w:right="-817" w:rightChars="-389" w:firstLine="3465" w:firstLineChars="1650"/>
        <w:rPr>
          <w:rFonts w:hint="eastAsia" w:ascii="宋体" w:hAnsi="宋体"/>
          <w:strike w:val="0"/>
          <w:color w:val="auto"/>
          <w:szCs w:val="21"/>
        </w:rPr>
      </w:pPr>
    </w:p>
    <w:p w14:paraId="15A25EA7">
      <w:pPr>
        <w:snapToGrid w:val="0"/>
        <w:spacing w:before="50" w:after="50" w:line="350" w:lineRule="exact"/>
        <w:ind w:right="-817" w:rightChars="-389" w:firstLine="3465" w:firstLineChars="1650"/>
        <w:rPr>
          <w:rFonts w:hint="eastAsia" w:ascii="宋体" w:hAnsi="宋体"/>
          <w:strike w:val="0"/>
          <w:color w:val="auto"/>
          <w:szCs w:val="21"/>
        </w:rPr>
      </w:pPr>
    </w:p>
    <w:p w14:paraId="26E0C8BC">
      <w:pPr>
        <w:snapToGrid w:val="0"/>
        <w:spacing w:before="50" w:after="50" w:line="350" w:lineRule="exact"/>
        <w:ind w:right="-817" w:rightChars="-389" w:firstLine="3465" w:firstLineChars="1650"/>
        <w:rPr>
          <w:rFonts w:hint="eastAsia" w:ascii="宋体" w:hAnsi="宋体"/>
          <w:strike w:val="0"/>
          <w:color w:val="auto"/>
          <w:szCs w:val="21"/>
        </w:rPr>
      </w:pPr>
    </w:p>
    <w:p w14:paraId="4D6F8386">
      <w:pPr>
        <w:snapToGrid w:val="0"/>
        <w:spacing w:before="50" w:after="50" w:line="350" w:lineRule="exact"/>
        <w:ind w:right="-817" w:rightChars="-389" w:firstLine="3465" w:firstLineChars="1650"/>
        <w:rPr>
          <w:rFonts w:hint="eastAsia" w:ascii="宋体" w:hAnsi="宋体"/>
          <w:strike w:val="0"/>
          <w:color w:val="auto"/>
          <w:szCs w:val="21"/>
        </w:rPr>
      </w:pPr>
    </w:p>
    <w:p w14:paraId="40CB5401">
      <w:pPr>
        <w:snapToGrid w:val="0"/>
        <w:spacing w:before="50" w:after="50" w:line="350" w:lineRule="exact"/>
        <w:ind w:right="-817" w:rightChars="-389" w:firstLine="3465" w:firstLineChars="1650"/>
        <w:rPr>
          <w:rFonts w:hint="eastAsia" w:ascii="宋体" w:hAnsi="宋体"/>
          <w:strike w:val="0"/>
          <w:color w:val="auto"/>
          <w:szCs w:val="21"/>
        </w:rPr>
      </w:pPr>
    </w:p>
    <w:p w14:paraId="043BFC8C">
      <w:pPr>
        <w:pStyle w:val="20"/>
        <w:ind w:left="0" w:leftChars="0" w:firstLine="0" w:firstLineChars="0"/>
        <w:rPr>
          <w:rFonts w:hint="eastAsia" w:ascii="宋体" w:hAnsi="宋体"/>
          <w:strike w:val="0"/>
          <w:color w:val="auto"/>
          <w:szCs w:val="21"/>
        </w:rPr>
      </w:pPr>
    </w:p>
    <w:p w14:paraId="1C278BDE">
      <w:pPr>
        <w:pStyle w:val="20"/>
        <w:ind w:left="0" w:leftChars="0" w:firstLine="0" w:firstLineChars="0"/>
        <w:rPr>
          <w:rFonts w:hint="eastAsia" w:ascii="宋体" w:hAnsi="宋体"/>
          <w:strike w:val="0"/>
          <w:color w:val="auto"/>
          <w:szCs w:val="21"/>
        </w:rPr>
      </w:pPr>
    </w:p>
    <w:p w14:paraId="203BA2A6">
      <w:pPr>
        <w:spacing w:line="440" w:lineRule="exact"/>
        <w:ind w:left="-47" w:leftChars="-200" w:hanging="373" w:hangingChars="116"/>
        <w:jc w:val="center"/>
        <w:rPr>
          <w:rFonts w:hint="eastAsia" w:ascii="仿宋_GB2312" w:hAnsi="宋体" w:eastAsia="仿宋_GB2312" w:cs="Times New Roman"/>
          <w:b/>
          <w:strike w:val="0"/>
          <w:color w:val="auto"/>
          <w:sz w:val="32"/>
          <w:szCs w:val="32"/>
        </w:rPr>
      </w:pPr>
      <w:r>
        <w:rPr>
          <w:rFonts w:hint="eastAsia" w:ascii="仿宋_GB2312" w:hAnsi="宋体" w:eastAsia="仿宋_GB2312"/>
          <w:b/>
          <w:strike w:val="0"/>
          <w:color w:val="auto"/>
          <w:sz w:val="32"/>
          <w:szCs w:val="32"/>
        </w:rPr>
        <w:t>中小企业</w:t>
      </w:r>
      <w:r>
        <w:rPr>
          <w:rFonts w:hint="eastAsia" w:ascii="仿宋_GB2312" w:hAnsi="宋体" w:eastAsia="仿宋_GB2312" w:cs="Times New Roman"/>
          <w:b/>
          <w:strike w:val="0"/>
          <w:color w:val="auto"/>
          <w:sz w:val="32"/>
          <w:szCs w:val="32"/>
        </w:rPr>
        <w:t>声明函（</w:t>
      </w:r>
      <w:r>
        <w:rPr>
          <w:rFonts w:hint="eastAsia" w:ascii="仿宋_GB2312" w:hAnsi="宋体" w:eastAsia="仿宋_GB2312" w:cs="Times New Roman"/>
          <w:b/>
          <w:strike w:val="0"/>
          <w:color w:val="auto"/>
          <w:sz w:val="32"/>
          <w:szCs w:val="32"/>
          <w:lang w:val="en-US" w:eastAsia="zh-CN"/>
        </w:rPr>
        <w:t>货物</w:t>
      </w:r>
      <w:r>
        <w:rPr>
          <w:rFonts w:hint="eastAsia" w:ascii="仿宋_GB2312" w:hAnsi="宋体" w:eastAsia="仿宋_GB2312" w:cs="Times New Roman"/>
          <w:b/>
          <w:strike w:val="0"/>
          <w:color w:val="auto"/>
          <w:sz w:val="32"/>
          <w:szCs w:val="32"/>
        </w:rPr>
        <w:t>）</w:t>
      </w:r>
    </w:p>
    <w:p w14:paraId="015F73B4">
      <w:pPr>
        <w:spacing w:line="440" w:lineRule="exact"/>
        <w:ind w:left="2" w:hanging="2" w:firstLineChars="0"/>
        <w:jc w:val="left"/>
        <w:rPr>
          <w:rFonts w:hint="eastAsia" w:ascii="仿宋_GB2312" w:hAnsi="宋体" w:eastAsia="仿宋_GB2312"/>
          <w:b/>
          <w:strike w:val="0"/>
          <w:color w:val="auto"/>
          <w:szCs w:val="21"/>
        </w:rPr>
      </w:pPr>
    </w:p>
    <w:p w14:paraId="7DA0E96F">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本公司郑重声明，根据</w:t>
      </w:r>
      <w:r>
        <w:rPr>
          <w:rFonts w:ascii="宋体" w:hAnsi="宋体"/>
          <w:bCs/>
          <w:strike w:val="0"/>
          <w:color w:val="auto"/>
          <w:szCs w:val="21"/>
        </w:rPr>
        <w:fldChar w:fldCharType="begin"/>
      </w:r>
      <w:r>
        <w:rPr>
          <w:rFonts w:ascii="宋体" w:hAnsi="宋体"/>
          <w:bCs/>
          <w:strike w:val="0"/>
          <w:color w:val="auto"/>
          <w:szCs w:val="21"/>
        </w:rPr>
        <w:instrText xml:space="preserve"> </w:instrText>
      </w:r>
      <w:r>
        <w:rPr>
          <w:rFonts w:hint="eastAsia" w:ascii="宋体" w:hAnsi="宋体"/>
          <w:bCs/>
          <w:strike w:val="0"/>
          <w:color w:val="auto"/>
          <w:szCs w:val="21"/>
        </w:rPr>
        <w:instrText xml:space="preserve">HYPERLINK "http://www.gov.cn/zhengce/zhengceku/2020-12/29/content_5574611.htm"</w:instrText>
      </w:r>
      <w:r>
        <w:rPr>
          <w:rFonts w:ascii="宋体" w:hAnsi="宋体"/>
          <w:bCs/>
          <w:strike w:val="0"/>
          <w:color w:val="auto"/>
          <w:szCs w:val="21"/>
        </w:rPr>
        <w:instrText xml:space="preserve"> </w:instrText>
      </w:r>
      <w:r>
        <w:rPr>
          <w:rFonts w:ascii="宋体" w:hAnsi="宋体"/>
          <w:bCs/>
          <w:strike w:val="0"/>
          <w:color w:val="auto"/>
          <w:szCs w:val="21"/>
        </w:rPr>
        <w:fldChar w:fldCharType="separate"/>
      </w:r>
      <w:r>
        <w:rPr>
          <w:rStyle w:val="60"/>
          <w:rFonts w:hint="eastAsia" w:ascii="宋体" w:hAnsi="宋体"/>
          <w:bCs/>
          <w:strike w:val="0"/>
          <w:color w:val="auto"/>
          <w:szCs w:val="21"/>
          <w:u w:val="none"/>
        </w:rPr>
        <w:t>《政府采购促进中小企业发展管理办法》（财库﹝2020﹞46号）</w:t>
      </w:r>
      <w:r>
        <w:rPr>
          <w:rFonts w:ascii="宋体" w:hAnsi="宋体"/>
          <w:bCs/>
          <w:strike w:val="0"/>
          <w:color w:val="auto"/>
          <w:szCs w:val="21"/>
        </w:rPr>
        <w:fldChar w:fldCharType="end"/>
      </w:r>
      <w:r>
        <w:rPr>
          <w:rFonts w:hint="eastAsia" w:ascii="宋体" w:hAnsi="宋体"/>
          <w:bCs/>
          <w:strike w:val="0"/>
          <w:color w:val="auto"/>
          <w:szCs w:val="21"/>
        </w:rPr>
        <w:t>的规定，本公司参加（</w:t>
      </w:r>
      <w:r>
        <w:rPr>
          <w:rFonts w:hint="eastAsia" w:ascii="宋体" w:hAnsi="宋体"/>
          <w:bCs/>
          <w:strike w:val="0"/>
          <w:color w:val="auto"/>
          <w:szCs w:val="21"/>
          <w:u w:val="single"/>
        </w:rPr>
        <w:t>单位名称</w:t>
      </w:r>
      <w:r>
        <w:rPr>
          <w:rFonts w:hint="eastAsia" w:ascii="宋体" w:hAnsi="宋体"/>
          <w:bCs/>
          <w:strike w:val="0"/>
          <w:color w:val="auto"/>
          <w:szCs w:val="21"/>
        </w:rPr>
        <w:t>）的（</w:t>
      </w:r>
      <w:r>
        <w:rPr>
          <w:rFonts w:hint="eastAsia" w:ascii="宋体" w:hAnsi="宋体"/>
          <w:bCs/>
          <w:strike w:val="0"/>
          <w:color w:val="auto"/>
          <w:szCs w:val="21"/>
          <w:u w:val="single"/>
        </w:rPr>
        <w:t>项目名称</w:t>
      </w:r>
      <w:r>
        <w:rPr>
          <w:rFonts w:hint="eastAsia" w:ascii="宋体" w:hAnsi="宋体"/>
          <w:bCs/>
          <w:strike w:val="0"/>
          <w:color w:val="auto"/>
          <w:szCs w:val="21"/>
        </w:rPr>
        <w:t>）采购活动，提供的货物全部由符合政策要求的中小企业制造。相关企业</w:t>
      </w:r>
      <w:r>
        <w:rPr>
          <w:rFonts w:hint="eastAsia" w:ascii="宋体" w:hAnsi="宋体"/>
          <w:bCs/>
          <w:strike w:val="0"/>
          <w:color w:val="auto"/>
          <w:szCs w:val="21"/>
          <w:lang w:eastAsia="zh-CN"/>
        </w:rPr>
        <w:t>（</w:t>
      </w:r>
      <w:r>
        <w:rPr>
          <w:rFonts w:hint="eastAsia" w:ascii="宋体" w:hAnsi="宋体"/>
          <w:bCs/>
          <w:strike w:val="0"/>
          <w:color w:val="auto"/>
          <w:szCs w:val="21"/>
          <w:lang w:val="en-US" w:eastAsia="zh-CN"/>
        </w:rPr>
        <w:t>含联合体中的中小企业、签订分包意向协议的中小企业</w:t>
      </w:r>
      <w:r>
        <w:rPr>
          <w:rFonts w:hint="eastAsia" w:ascii="宋体" w:hAnsi="宋体"/>
          <w:bCs/>
          <w:strike w:val="0"/>
          <w:color w:val="auto"/>
          <w:szCs w:val="21"/>
          <w:lang w:eastAsia="zh-CN"/>
        </w:rPr>
        <w:t>）</w:t>
      </w:r>
      <w:r>
        <w:rPr>
          <w:rFonts w:hint="eastAsia" w:ascii="宋体" w:hAnsi="宋体"/>
          <w:bCs/>
          <w:strike w:val="0"/>
          <w:color w:val="auto"/>
          <w:szCs w:val="21"/>
        </w:rPr>
        <w:t>的具体情况如下：</w:t>
      </w:r>
    </w:p>
    <w:p w14:paraId="2B6EC994">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1.（</w:t>
      </w:r>
      <w:r>
        <w:rPr>
          <w:rFonts w:hint="eastAsia" w:ascii="宋体" w:hAnsi="宋体"/>
          <w:bCs/>
          <w:strike w:val="0"/>
          <w:color w:val="auto"/>
          <w:szCs w:val="21"/>
          <w:u w:val="single"/>
        </w:rPr>
        <w:t>标的名称</w:t>
      </w:r>
      <w:r>
        <w:rPr>
          <w:rFonts w:hint="eastAsia" w:ascii="宋体" w:hAnsi="宋体"/>
          <w:bCs/>
          <w:strike w:val="0"/>
          <w:color w:val="auto"/>
          <w:szCs w:val="21"/>
        </w:rPr>
        <w:t>），属于（</w:t>
      </w:r>
      <w:r>
        <w:rPr>
          <w:rFonts w:hint="eastAsia" w:ascii="宋体" w:hAnsi="宋体"/>
          <w:bCs/>
          <w:strike w:val="0"/>
          <w:color w:val="auto"/>
          <w:szCs w:val="21"/>
          <w:u w:val="single"/>
        </w:rPr>
        <w:t>采购文件中明确的所属行业</w:t>
      </w:r>
      <w:r>
        <w:rPr>
          <w:rFonts w:hint="eastAsia" w:ascii="宋体" w:hAnsi="宋体"/>
          <w:bCs/>
          <w:strike w:val="0"/>
          <w:color w:val="auto"/>
          <w:szCs w:val="21"/>
        </w:rPr>
        <w:t>）行业；制造商为（</w:t>
      </w:r>
      <w:r>
        <w:rPr>
          <w:rFonts w:hint="eastAsia" w:ascii="宋体" w:hAnsi="宋体"/>
          <w:bCs/>
          <w:strike w:val="0"/>
          <w:color w:val="auto"/>
          <w:szCs w:val="21"/>
          <w:u w:val="single"/>
        </w:rPr>
        <w:t>企业名称</w:t>
      </w:r>
      <w:r>
        <w:rPr>
          <w:rFonts w:hint="eastAsia" w:ascii="宋体" w:hAnsi="宋体"/>
          <w:bCs/>
          <w:strike w:val="0"/>
          <w:color w:val="auto"/>
          <w:szCs w:val="21"/>
        </w:rPr>
        <w:t>），从业人员人，营业收入为万元，资产总额为万元，属于（</w:t>
      </w:r>
      <w:r>
        <w:rPr>
          <w:rFonts w:hint="eastAsia" w:ascii="宋体" w:hAnsi="宋体"/>
          <w:bCs/>
          <w:strike w:val="0"/>
          <w:color w:val="auto"/>
          <w:szCs w:val="21"/>
          <w:u w:val="single"/>
        </w:rPr>
        <w:t>中型企业、小型企业、微型企业</w:t>
      </w:r>
      <w:r>
        <w:rPr>
          <w:rFonts w:hint="eastAsia" w:ascii="宋体" w:hAnsi="宋体"/>
          <w:bCs/>
          <w:strike w:val="0"/>
          <w:color w:val="auto"/>
          <w:szCs w:val="21"/>
        </w:rPr>
        <w:t>）；</w:t>
      </w:r>
    </w:p>
    <w:p w14:paraId="282937F2">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2.（</w:t>
      </w:r>
      <w:r>
        <w:rPr>
          <w:rFonts w:hint="eastAsia" w:ascii="宋体" w:hAnsi="宋体"/>
          <w:bCs/>
          <w:strike w:val="0"/>
          <w:color w:val="auto"/>
          <w:szCs w:val="21"/>
          <w:u w:val="single"/>
        </w:rPr>
        <w:t>标的名称</w:t>
      </w:r>
      <w:r>
        <w:rPr>
          <w:rFonts w:hint="eastAsia" w:ascii="宋体" w:hAnsi="宋体"/>
          <w:bCs/>
          <w:strike w:val="0"/>
          <w:color w:val="auto"/>
          <w:szCs w:val="21"/>
        </w:rPr>
        <w:t>），属于（</w:t>
      </w:r>
      <w:r>
        <w:rPr>
          <w:rFonts w:hint="eastAsia" w:ascii="宋体" w:hAnsi="宋体"/>
          <w:bCs/>
          <w:strike w:val="0"/>
          <w:color w:val="auto"/>
          <w:szCs w:val="21"/>
          <w:u w:val="single"/>
        </w:rPr>
        <w:t>采购文件中明确的所属行业</w:t>
      </w:r>
      <w:r>
        <w:rPr>
          <w:rFonts w:hint="eastAsia" w:ascii="宋体" w:hAnsi="宋体"/>
          <w:bCs/>
          <w:strike w:val="0"/>
          <w:color w:val="auto"/>
          <w:szCs w:val="21"/>
        </w:rPr>
        <w:t>）行业；制造商为（</w:t>
      </w:r>
      <w:r>
        <w:rPr>
          <w:rFonts w:hint="eastAsia" w:ascii="宋体" w:hAnsi="宋体"/>
          <w:bCs/>
          <w:strike w:val="0"/>
          <w:color w:val="auto"/>
          <w:szCs w:val="21"/>
          <w:u w:val="single"/>
        </w:rPr>
        <w:t>企业名称</w:t>
      </w:r>
      <w:r>
        <w:rPr>
          <w:rFonts w:hint="eastAsia" w:ascii="宋体" w:hAnsi="宋体"/>
          <w:bCs/>
          <w:strike w:val="0"/>
          <w:color w:val="auto"/>
          <w:szCs w:val="21"/>
        </w:rPr>
        <w:t>），从业人员人，营业收入为万元，资产总额为万元，属于（</w:t>
      </w:r>
      <w:r>
        <w:rPr>
          <w:rFonts w:hint="eastAsia" w:ascii="宋体" w:hAnsi="宋体"/>
          <w:bCs/>
          <w:strike w:val="0"/>
          <w:color w:val="auto"/>
          <w:szCs w:val="21"/>
          <w:u w:val="single"/>
        </w:rPr>
        <w:t>中型企业、小型企业、微型企业</w:t>
      </w:r>
      <w:r>
        <w:rPr>
          <w:rFonts w:hint="eastAsia" w:ascii="宋体" w:hAnsi="宋体"/>
          <w:bCs/>
          <w:strike w:val="0"/>
          <w:color w:val="auto"/>
          <w:szCs w:val="21"/>
        </w:rPr>
        <w:t>）；</w:t>
      </w:r>
    </w:p>
    <w:p w14:paraId="59955601">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w:t>
      </w:r>
    </w:p>
    <w:p w14:paraId="03D3B03D">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以上企业，不属于大企业的分支机构，不存在控股股东为大企业的情形，也不存在与大企业的负责人为同一人的情形。</w:t>
      </w:r>
    </w:p>
    <w:p w14:paraId="2A635400">
      <w:pPr>
        <w:spacing w:line="600" w:lineRule="exact"/>
        <w:ind w:firstLine="294" w:firstLineChars="140"/>
        <w:jc w:val="left"/>
        <w:rPr>
          <w:rFonts w:ascii="宋体" w:hAnsi="宋体"/>
          <w:bCs/>
          <w:strike w:val="0"/>
          <w:color w:val="auto"/>
          <w:szCs w:val="21"/>
        </w:rPr>
      </w:pPr>
      <w:r>
        <w:rPr>
          <w:rFonts w:hint="eastAsia" w:ascii="宋体" w:hAnsi="宋体"/>
          <w:bCs/>
          <w:strike w:val="0"/>
          <w:color w:val="auto"/>
          <w:szCs w:val="21"/>
        </w:rPr>
        <w:t>本企业对上述声明内容的真实性负责。如有虚假，将依法承担相应责任。</w:t>
      </w:r>
    </w:p>
    <w:p w14:paraId="4B071329">
      <w:pPr>
        <w:ind w:firstLine="0" w:firstLineChars="0"/>
        <w:rPr>
          <w:strike w:val="0"/>
          <w:color w:val="auto"/>
          <w:szCs w:val="21"/>
        </w:rPr>
      </w:pPr>
    </w:p>
    <w:p w14:paraId="44A9794A">
      <w:pPr>
        <w:ind w:firstLine="0" w:firstLineChars="0"/>
        <w:rPr>
          <w:strike w:val="0"/>
          <w:color w:val="auto"/>
          <w:szCs w:val="21"/>
        </w:rPr>
      </w:pPr>
    </w:p>
    <w:p w14:paraId="66DA208A">
      <w:pPr>
        <w:ind w:firstLine="0" w:firstLineChars="0"/>
        <w:rPr>
          <w:rFonts w:hint="eastAsia"/>
          <w:strike w:val="0"/>
          <w:color w:val="auto"/>
          <w:szCs w:val="21"/>
        </w:rPr>
      </w:pPr>
    </w:p>
    <w:p w14:paraId="51AFD647">
      <w:pPr>
        <w:spacing w:line="440" w:lineRule="exact"/>
        <w:ind w:firstLine="5250" w:firstLineChars="2500"/>
        <w:jc w:val="left"/>
        <w:rPr>
          <w:rFonts w:ascii="宋体" w:hAnsi="宋体"/>
          <w:bCs/>
          <w:strike w:val="0"/>
          <w:color w:val="auto"/>
          <w:szCs w:val="21"/>
        </w:rPr>
      </w:pPr>
      <w:r>
        <w:rPr>
          <w:rFonts w:hint="eastAsia" w:ascii="宋体" w:hAnsi="宋体"/>
          <w:bCs/>
          <w:strike w:val="0"/>
          <w:color w:val="auto"/>
          <w:szCs w:val="21"/>
        </w:rPr>
        <w:t>企业名称（盖章）：</w:t>
      </w:r>
      <w:r>
        <w:rPr>
          <w:rFonts w:hint="eastAsia" w:hAnsi="宋体"/>
          <w:strike w:val="0"/>
          <w:color w:val="auto"/>
          <w:szCs w:val="21"/>
          <w:u w:val="single"/>
        </w:rPr>
        <w:t xml:space="preserve"> </w:t>
      </w:r>
      <w:r>
        <w:rPr>
          <w:rFonts w:hAnsi="宋体"/>
          <w:strike w:val="0"/>
          <w:color w:val="auto"/>
          <w:szCs w:val="21"/>
          <w:u w:val="single"/>
        </w:rPr>
        <w:t xml:space="preserve">              </w:t>
      </w:r>
    </w:p>
    <w:p w14:paraId="54A1B51B">
      <w:pPr>
        <w:spacing w:line="440" w:lineRule="exact"/>
        <w:ind w:firstLine="5250" w:firstLineChars="2500"/>
        <w:jc w:val="left"/>
        <w:rPr>
          <w:rFonts w:ascii="宋体" w:hAnsi="宋体"/>
          <w:bCs/>
          <w:strike w:val="0"/>
          <w:color w:val="auto"/>
          <w:szCs w:val="21"/>
        </w:rPr>
      </w:pPr>
      <w:r>
        <w:rPr>
          <w:rFonts w:hint="eastAsia" w:ascii="宋体" w:hAnsi="宋体"/>
          <w:bCs/>
          <w:strike w:val="0"/>
          <w:color w:val="auto"/>
          <w:szCs w:val="21"/>
        </w:rPr>
        <w:t>日 期：</w:t>
      </w:r>
      <w:r>
        <w:rPr>
          <w:rFonts w:hint="eastAsia" w:hAnsi="宋体"/>
          <w:strike w:val="0"/>
          <w:color w:val="auto"/>
          <w:szCs w:val="21"/>
          <w:u w:val="single"/>
        </w:rPr>
        <w:t xml:space="preserve"> </w:t>
      </w:r>
      <w:r>
        <w:rPr>
          <w:rFonts w:hAnsi="宋体"/>
          <w:strike w:val="0"/>
          <w:color w:val="auto"/>
          <w:szCs w:val="21"/>
          <w:u w:val="single"/>
        </w:rPr>
        <w:t xml:space="preserve">                        </w:t>
      </w:r>
    </w:p>
    <w:p w14:paraId="52A27056">
      <w:pPr>
        <w:ind w:firstLine="0" w:firstLineChars="0"/>
        <w:rPr>
          <w:strike w:val="0"/>
          <w:color w:val="auto"/>
          <w:szCs w:val="21"/>
        </w:rPr>
      </w:pPr>
    </w:p>
    <w:p w14:paraId="3E49190B">
      <w:pPr>
        <w:ind w:firstLine="0" w:firstLineChars="0"/>
        <w:rPr>
          <w:strike w:val="0"/>
          <w:color w:val="auto"/>
          <w:szCs w:val="21"/>
        </w:rPr>
      </w:pPr>
    </w:p>
    <w:p w14:paraId="66E06A02">
      <w:pPr>
        <w:ind w:firstLine="0" w:firstLineChars="0"/>
        <w:rPr>
          <w:strike w:val="0"/>
          <w:color w:val="auto"/>
          <w:szCs w:val="21"/>
        </w:rPr>
      </w:pPr>
    </w:p>
    <w:p w14:paraId="66C1DFA2">
      <w:pPr>
        <w:ind w:firstLine="0" w:firstLineChars="0"/>
        <w:rPr>
          <w:strike w:val="0"/>
          <w:color w:val="auto"/>
          <w:szCs w:val="21"/>
        </w:rPr>
      </w:pPr>
    </w:p>
    <w:p w14:paraId="2794ADF6">
      <w:pPr>
        <w:ind w:firstLine="0" w:firstLineChars="0"/>
        <w:rPr>
          <w:rFonts w:hint="eastAsia"/>
          <w:strike w:val="0"/>
          <w:color w:val="auto"/>
          <w:szCs w:val="21"/>
        </w:rPr>
      </w:pPr>
    </w:p>
    <w:p w14:paraId="461DFEBD">
      <w:pPr>
        <w:spacing w:line="320" w:lineRule="exact"/>
        <w:ind w:firstLine="0" w:firstLineChars="0"/>
        <w:rPr>
          <w:rFonts w:hint="eastAsia"/>
          <w:strike w:val="0"/>
          <w:color w:val="auto"/>
          <w:szCs w:val="21"/>
        </w:rPr>
      </w:pPr>
    </w:p>
    <w:p w14:paraId="067B8D7E">
      <w:pPr>
        <w:spacing w:line="320" w:lineRule="exact"/>
        <w:ind w:firstLine="0" w:firstLineChars="0"/>
        <w:rPr>
          <w:rFonts w:hint="eastAsia"/>
          <w:strike w:val="0"/>
          <w:color w:val="auto"/>
          <w:szCs w:val="21"/>
        </w:rPr>
      </w:pPr>
    </w:p>
    <w:p w14:paraId="6867F206">
      <w:pPr>
        <w:spacing w:line="320" w:lineRule="exact"/>
        <w:ind w:firstLine="0" w:firstLineChars="0"/>
        <w:rPr>
          <w:rFonts w:hint="eastAsia"/>
          <w:strike w:val="0"/>
          <w:color w:val="auto"/>
          <w:szCs w:val="21"/>
        </w:rPr>
      </w:pPr>
    </w:p>
    <w:p w14:paraId="52C3BE36">
      <w:pPr>
        <w:spacing w:line="320" w:lineRule="exact"/>
        <w:ind w:firstLine="0" w:firstLineChars="0"/>
        <w:rPr>
          <w:rFonts w:hint="eastAsia"/>
          <w:strike w:val="0"/>
          <w:color w:val="auto"/>
          <w:szCs w:val="21"/>
        </w:rPr>
      </w:pPr>
    </w:p>
    <w:p w14:paraId="0A1DB72B">
      <w:pPr>
        <w:spacing w:line="320" w:lineRule="exact"/>
        <w:ind w:left="420" w:firstLine="0" w:firstLineChars="0"/>
        <w:rPr>
          <w:rFonts w:hint="eastAsia" w:ascii="宋体" w:hAnsi="宋体"/>
          <w:strike w:val="0"/>
          <w:color w:val="auto"/>
          <w:sz w:val="18"/>
          <w:szCs w:val="18"/>
        </w:rPr>
      </w:pP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8(——),从)</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8(——),业)</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8(——),人)</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8(——),员)</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8(——),营)</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8(——),业)</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8(——),收)</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8(——),入)</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8(——),资)</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8(——),产)</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8(——),总)</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8(——),额)</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8(——),填)</w:instrText>
      </w:r>
      <w:r>
        <w:rPr>
          <w:rFonts w:ascii="宋体" w:hAnsi="宋体"/>
          <w:strike w:val="0"/>
          <w:color w:val="auto"/>
          <w:sz w:val="18"/>
          <w:szCs w:val="18"/>
        </w:rPr>
        <w:fldChar w:fldCharType="end"/>
      </w:r>
      <w:r>
        <w:rPr>
          <w:rFonts w:ascii="宋体" w:hAnsi="宋体"/>
          <w:strike w:val="0"/>
          <w:color w:val="auto"/>
          <w:sz w:val="18"/>
          <w:szCs w:val="18"/>
        </w:rPr>
        <w:fldChar w:fldCharType="begin"/>
      </w:r>
      <w:r>
        <w:rPr>
          <w:rFonts w:ascii="宋体" w:hAnsi="宋体"/>
          <w:strike w:val="0"/>
          <w:color w:val="auto"/>
          <w:sz w:val="18"/>
          <w:szCs w:val="18"/>
        </w:rPr>
        <w:instrText xml:space="preserve">EQ \* jc2 \* "Font:宋体" \* hps9 \o\ad(\s\up 8(——),报)</w:instrText>
      </w:r>
      <w:r>
        <w:rPr>
          <w:rFonts w:ascii="宋体" w:hAnsi="宋体"/>
          <w:strike w:val="0"/>
          <w:color w:val="auto"/>
          <w:sz w:val="18"/>
          <w:szCs w:val="18"/>
        </w:rPr>
        <w:fldChar w:fldCharType="end"/>
      </w:r>
      <w:r>
        <w:rPr>
          <w:rFonts w:hint="eastAsia" w:ascii="宋体" w:hAnsi="宋体"/>
          <w:strike w:val="0"/>
          <w:color w:val="auto"/>
          <w:sz w:val="18"/>
          <w:szCs w:val="18"/>
        </w:rPr>
        <w:t>上一年度数据，无上一年度数据的新成立企业可不填报。</w:t>
      </w:r>
    </w:p>
    <w:p w14:paraId="7428BE2E">
      <w:pPr>
        <w:spacing w:line="320" w:lineRule="exact"/>
        <w:ind w:left="420" w:firstLine="0" w:firstLineChars="0"/>
        <w:rPr>
          <w:rFonts w:hint="eastAsia" w:ascii="宋体" w:hAnsi="宋体"/>
          <w:strike w:val="0"/>
          <w:color w:val="auto"/>
          <w:sz w:val="18"/>
          <w:szCs w:val="18"/>
        </w:rPr>
      </w:pPr>
    </w:p>
    <w:p w14:paraId="02547D72">
      <w:pPr>
        <w:spacing w:line="320" w:lineRule="exact"/>
        <w:ind w:left="420" w:firstLine="0" w:firstLineChars="0"/>
        <w:rPr>
          <w:rFonts w:hint="eastAsia" w:ascii="宋体" w:hAnsi="宋体"/>
          <w:strike w:val="0"/>
          <w:color w:val="auto"/>
          <w:sz w:val="18"/>
          <w:szCs w:val="18"/>
        </w:rPr>
      </w:pPr>
    </w:p>
    <w:p w14:paraId="05BCEEFC">
      <w:pPr>
        <w:spacing w:line="320" w:lineRule="exact"/>
        <w:ind w:left="420" w:firstLine="0" w:firstLineChars="0"/>
        <w:rPr>
          <w:rFonts w:hint="eastAsia" w:ascii="宋体" w:hAnsi="宋体"/>
          <w:strike w:val="0"/>
          <w:color w:val="auto"/>
          <w:sz w:val="18"/>
          <w:szCs w:val="18"/>
        </w:rPr>
      </w:pPr>
    </w:p>
    <w:p w14:paraId="214E0B1D">
      <w:pPr>
        <w:spacing w:line="320" w:lineRule="exact"/>
        <w:ind w:left="420" w:firstLine="0" w:firstLineChars="0"/>
        <w:rPr>
          <w:rFonts w:hint="eastAsia" w:ascii="宋体" w:hAnsi="宋体"/>
          <w:strike w:val="0"/>
          <w:color w:val="auto"/>
          <w:sz w:val="18"/>
          <w:szCs w:val="18"/>
        </w:rPr>
      </w:pPr>
    </w:p>
    <w:tbl>
      <w:tblPr>
        <w:tblStyle w:val="51"/>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685D43FB">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0FF3BD91">
            <w:pPr>
              <w:widowControl/>
              <w:spacing w:line="240" w:lineRule="auto"/>
              <w:ind w:firstLine="0" w:firstLineChars="0"/>
              <w:jc w:val="center"/>
              <w:rPr>
                <w:rFonts w:ascii="Helvetica" w:hAnsi="Helvetica" w:cs="Helvetica"/>
                <w:b/>
                <w:bCs/>
                <w:strike w:val="0"/>
                <w:color w:val="auto"/>
                <w:kern w:val="0"/>
                <w:szCs w:val="21"/>
              </w:rPr>
            </w:pPr>
            <w:r>
              <w:rPr>
                <w:rFonts w:ascii="Helvetica" w:hAnsi="Helvetica" w:cs="Helvetica"/>
                <w:b/>
                <w:bCs/>
                <w:strike w:val="0"/>
                <w:color w:val="auto"/>
                <w:kern w:val="0"/>
                <w:szCs w:val="21"/>
              </w:rPr>
              <w:t>大中小微型企业划分标准</w:t>
            </w:r>
          </w:p>
        </w:tc>
      </w:tr>
      <w:tr w14:paraId="057A59FF">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69DE1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821C7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38A17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计量</w:t>
            </w:r>
          </w:p>
          <w:p w14:paraId="211881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00F0B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1F76B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CF70E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79527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b/>
                <w:bCs/>
                <w:strike w:val="0"/>
                <w:color w:val="auto"/>
                <w:kern w:val="0"/>
                <w:sz w:val="18"/>
                <w:szCs w:val="18"/>
              </w:rPr>
              <w:t>微型</w:t>
            </w:r>
          </w:p>
        </w:tc>
      </w:tr>
      <w:tr w14:paraId="7F4822CA">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7EAEF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AAE7A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84D6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E59EA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495D7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DC5B4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59373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w:t>
            </w:r>
          </w:p>
        </w:tc>
      </w:tr>
      <w:tr w14:paraId="44BD012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654739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28702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4FF3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99EAC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B9443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7141E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241A1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2740F941">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8C20B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C531B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C9D4D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8AE5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88F7E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A209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A4F4A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w:t>
            </w:r>
          </w:p>
        </w:tc>
      </w:tr>
      <w:tr w14:paraId="52057B0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B49121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42E6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6EBC7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9DFE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BCA4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E3DFC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7424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w:t>
            </w:r>
          </w:p>
        </w:tc>
      </w:tr>
      <w:tr w14:paraId="6ECA3A8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AF6C1E">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661CA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1DB7B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7C11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0BD467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7B638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1376AA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Z＜300</w:t>
            </w:r>
          </w:p>
        </w:tc>
      </w:tr>
      <w:tr w14:paraId="233B3AFF">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65C7D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846FA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F03A2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ACFF2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9C0A7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D7DFE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95857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X＜5</w:t>
            </w:r>
          </w:p>
        </w:tc>
      </w:tr>
      <w:tr w14:paraId="55D9672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D6C381">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61E06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35413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4275F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450BB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1E36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4B855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w:t>
            </w:r>
          </w:p>
        </w:tc>
      </w:tr>
      <w:tr w14:paraId="095A824B">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24D5A3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45B0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3BD8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BB441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5C04E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CDCE52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7B870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04E45AB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2D9200">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3C68A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9F4C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A4CA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227AF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D5CEE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85BF9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3717F881">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0E694E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3FECA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EA3AD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B1314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D201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F1030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595D3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0C49E5CF">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06EE46">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583A8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D9800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BDFF6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A63520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C3D8B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A05D4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w:t>
            </w:r>
          </w:p>
        </w:tc>
      </w:tr>
      <w:tr w14:paraId="4DA964E0">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8E42C2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B8DE9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4D441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78FEC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699F8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81A24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FA8EA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3D479AFC">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ACBDA9">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7C57B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DB495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0B36E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A5E4B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161FA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84EB0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62FECE51">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425F3B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0CC6B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83771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78E27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35426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C5BC4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490E8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w:t>
            </w:r>
          </w:p>
        </w:tc>
      </w:tr>
      <w:tr w14:paraId="228B4449">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7BAAE7">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712CD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290D3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30A2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26957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27A0D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33EAE4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3AFE9124">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651D92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52300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DD009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DC5BD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D6960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6AB9B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E02B48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4B7860EB">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66C95B">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CE1CC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4323E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C6E63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C8B9E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51ACF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28EEC9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01172BB7">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598AA3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0761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707B7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74EB2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52D22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33136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21704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72A11760">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ED8F0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73321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6E5E3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1A131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52C13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BB702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23D4F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10C98AE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1CC725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7E718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F74444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A42B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1747B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072E7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368FA5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3A2FF74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6533041">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94AADA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E0780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B6539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F6AB4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92EEE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FC6A5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03A8F63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632AE1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DF901D">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B0426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3C36C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72D42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9E18F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A6DE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160D4630">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641ACB">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8F255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5EA5B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D5F13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66AFF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58CC4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967B6E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w:t>
            </w:r>
          </w:p>
        </w:tc>
      </w:tr>
      <w:tr w14:paraId="18084A2F">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AEF9C3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2C9DF4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D444D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0FAF1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18C30A">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CA18D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A4BD2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Y＜100</w:t>
            </w:r>
          </w:p>
        </w:tc>
      </w:tr>
      <w:tr w14:paraId="1BD4B07E">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F12C5D">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634D6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9BDE1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7512E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2C9E4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58C4F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2C95B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Z＜2000</w:t>
            </w:r>
          </w:p>
        </w:tc>
      </w:tr>
      <w:tr w14:paraId="796830E5">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7427F9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E1BD1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4247894">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BFE20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52827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5BC5F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CA591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X＜100</w:t>
            </w:r>
          </w:p>
        </w:tc>
      </w:tr>
      <w:tr w14:paraId="2F829336">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8EB33C">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CB40C9">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6043B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1812B5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38FD367">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11F60E">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F77692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Y＜500</w:t>
            </w:r>
          </w:p>
        </w:tc>
      </w:tr>
      <w:tr w14:paraId="2F883A1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2AF4FFF2">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70B3A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5C23F5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1DC73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7F542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5AE83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869ECB">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r w14:paraId="2EE1708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CC6EBE3">
            <w:pPr>
              <w:widowControl/>
              <w:spacing w:line="340" w:lineRule="exact"/>
              <w:ind w:firstLine="0" w:firstLineChars="0"/>
              <w:jc w:val="center"/>
              <w:rPr>
                <w:rFonts w:ascii="Helvetica" w:hAnsi="Helvetica" w:cs="Helvetica"/>
                <w:strike w:val="0"/>
                <w:color w:val="auto"/>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84C14F">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38CB5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2C8BB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74CDC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4245B1">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99265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Z＜100</w:t>
            </w:r>
          </w:p>
        </w:tc>
      </w:tr>
      <w:tr w14:paraId="220374D0">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1AA45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D6495B5">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AB848C">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DDED8F6">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5FDE73">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A7FD00">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3582C8">
            <w:pPr>
              <w:widowControl/>
              <w:spacing w:line="340" w:lineRule="exact"/>
              <w:ind w:firstLine="0" w:firstLineChars="0"/>
              <w:jc w:val="center"/>
              <w:rPr>
                <w:rFonts w:ascii="Helvetica" w:hAnsi="Helvetica" w:cs="Helvetica"/>
                <w:strike w:val="0"/>
                <w:color w:val="auto"/>
                <w:kern w:val="0"/>
                <w:sz w:val="18"/>
                <w:szCs w:val="18"/>
              </w:rPr>
            </w:pPr>
            <w:r>
              <w:rPr>
                <w:rFonts w:ascii="Helvetica" w:hAnsi="Helvetica" w:cs="Helvetica"/>
                <w:strike w:val="0"/>
                <w:color w:val="auto"/>
                <w:kern w:val="0"/>
                <w:sz w:val="18"/>
                <w:szCs w:val="18"/>
              </w:rPr>
              <w:t>X＜10</w:t>
            </w:r>
          </w:p>
        </w:tc>
      </w:tr>
    </w:tbl>
    <w:p w14:paraId="2BB07CA4">
      <w:pPr>
        <w:widowControl/>
        <w:shd w:val="clear" w:color="auto" w:fill="FFFFFF"/>
        <w:spacing w:line="360" w:lineRule="atLeast"/>
        <w:ind w:firstLine="0" w:firstLineChars="0"/>
        <w:jc w:val="left"/>
        <w:rPr>
          <w:rFonts w:ascii="Helvetica" w:hAnsi="Helvetica" w:cs="Helvetica"/>
          <w:strike w:val="0"/>
          <w:color w:val="auto"/>
          <w:kern w:val="0"/>
          <w:szCs w:val="21"/>
        </w:rPr>
      </w:pPr>
      <w:r>
        <w:rPr>
          <w:rFonts w:ascii="Helvetica" w:hAnsi="Helvetica" w:cs="Helvetica"/>
          <w:strike w:val="0"/>
          <w:color w:val="auto"/>
          <w:kern w:val="0"/>
          <w:szCs w:val="21"/>
        </w:rPr>
        <w:t>说明：</w:t>
      </w:r>
    </w:p>
    <w:p w14:paraId="00DE439C">
      <w:pPr>
        <w:widowControl/>
        <w:shd w:val="clear" w:color="auto" w:fill="FFFFFF"/>
        <w:spacing w:line="360" w:lineRule="atLeast"/>
        <w:ind w:firstLine="480" w:firstLineChars="0"/>
        <w:jc w:val="left"/>
        <w:rPr>
          <w:rFonts w:ascii="Helvetica" w:hAnsi="Helvetica" w:cs="Helvetica"/>
          <w:strike w:val="0"/>
          <w:color w:val="auto"/>
          <w:kern w:val="0"/>
          <w:szCs w:val="21"/>
        </w:rPr>
      </w:pPr>
      <w:r>
        <w:rPr>
          <w:rFonts w:ascii="Helvetica" w:hAnsi="Helvetica" w:cs="Helvetica"/>
          <w:strike w:val="0"/>
          <w:color w:val="auto"/>
          <w:kern w:val="0"/>
          <w:szCs w:val="21"/>
        </w:rPr>
        <w:t>1.大型、中型和小型企业须同时满足所列指标的下限，否则下划一档；微型企业只须满足所列指标中的一项即可。</w:t>
      </w:r>
    </w:p>
    <w:p w14:paraId="6C318B81">
      <w:pPr>
        <w:widowControl/>
        <w:shd w:val="clear" w:color="auto" w:fill="FFFFFF"/>
        <w:spacing w:line="360" w:lineRule="atLeast"/>
        <w:ind w:firstLine="480" w:firstLineChars="0"/>
        <w:jc w:val="left"/>
        <w:rPr>
          <w:rFonts w:ascii="Helvetica" w:hAnsi="Helvetica" w:cs="Helvetica"/>
          <w:strike w:val="0"/>
          <w:color w:val="auto"/>
          <w:kern w:val="0"/>
          <w:szCs w:val="21"/>
        </w:rPr>
      </w:pPr>
      <w:r>
        <w:rPr>
          <w:rFonts w:ascii="Helvetica" w:hAnsi="Helvetica" w:cs="Helvetica"/>
          <w:strike w:val="0"/>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"https://baike.baidu.com/item/%E5%A4%9A%E5%BC%8F%E8%81%94%E8%BF%90/3342240?fromModule=lemma_inlink"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多式联运</w:t>
      </w:r>
      <w:r>
        <w:rPr>
          <w:rFonts w:ascii="Helvetica" w:hAnsi="Helvetica" w:cs="Helvetica"/>
          <w:strike w:val="0"/>
          <w:color w:val="auto"/>
          <w:kern w:val="0"/>
          <w:szCs w:val="21"/>
        </w:rPr>
        <w:fldChar w:fldCharType="end"/>
      </w:r>
      <w:r>
        <w:rPr>
          <w:rFonts w:ascii="Helvetica" w:hAnsi="Helvetica" w:cs="Helvetica"/>
          <w:strike w:val="0"/>
          <w:color w:val="auto"/>
          <w:kern w:val="0"/>
          <w:szCs w:val="21"/>
        </w:rPr>
        <w:t>和运输代理业、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"https://baike.baidu.com/item/%E8%A3%85%E5%8D%B8%E6%90%AC%E8%BF%90/6511400?fromModule=lemma_inlink"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装卸搬运</w:t>
      </w:r>
      <w:r>
        <w:rPr>
          <w:rFonts w:ascii="Helvetica" w:hAnsi="Helvetica" w:cs="Helvetica"/>
          <w:strike w:val="0"/>
          <w:color w:val="auto"/>
          <w:kern w:val="0"/>
          <w:szCs w:val="21"/>
        </w:rPr>
        <w:fldChar w:fldCharType="end"/>
      </w:r>
      <w:r>
        <w:rPr>
          <w:rFonts w:ascii="Helvetica" w:hAnsi="Helvetica" w:cs="Helvetica"/>
          <w:strike w:val="0"/>
          <w:color w:val="auto"/>
          <w:kern w:val="0"/>
          <w:szCs w:val="21"/>
        </w:rPr>
        <w:t>，不包括铁路运输业；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"https://baike.baidu.com/item/%E4%BB%93%E5%82%A8%E4%B8%9A/3487863?fromModule=lemma_inlink"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仓储业</w:t>
      </w:r>
      <w:r>
        <w:rPr>
          <w:rFonts w:ascii="Helvetica" w:hAnsi="Helvetica" w:cs="Helvetica"/>
          <w:strike w:val="0"/>
          <w:color w:val="auto"/>
          <w:kern w:val="0"/>
          <w:szCs w:val="21"/>
        </w:rPr>
        <w:fldChar w:fldCharType="end"/>
      </w:r>
      <w:r>
        <w:rPr>
          <w:rFonts w:ascii="Helvetica" w:hAnsi="Helvetica" w:cs="Helvetica"/>
          <w:strike w:val="0"/>
          <w:color w:val="auto"/>
          <w:kern w:val="0"/>
          <w:szCs w:val="21"/>
        </w:rPr>
        <w:t>包括通用仓储，低温仓储，危险品仓储，谷物、棉花等农产品仓储，中药材仓储和其他仓储业;</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"https://baike.baidu.com/item/%E4%BF%A1%E6%81%AF%E4%BC%A0%E8%BE%93%E4%B8%9A/61331990?fromModule=lemma_inlink"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信息传输业</w:t>
      </w:r>
      <w:r>
        <w:rPr>
          <w:rFonts w:ascii="Helvetica" w:hAnsi="Helvetica" w:cs="Helvetica"/>
          <w:strike w:val="0"/>
          <w:color w:val="auto"/>
          <w:kern w:val="0"/>
          <w:szCs w:val="21"/>
        </w:rPr>
        <w:fldChar w:fldCharType="end"/>
      </w:r>
      <w:r>
        <w:rPr>
          <w:rFonts w:ascii="Helvetica" w:hAnsi="Helvetica" w:cs="Helvetica"/>
          <w:strike w:val="0"/>
          <w:color w:val="auto"/>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F54F17">
      <w:pPr>
        <w:widowControl/>
        <w:shd w:val="clear" w:color="auto" w:fill="FFFFFF"/>
        <w:spacing w:line="360" w:lineRule="atLeast"/>
        <w:ind w:firstLine="480" w:firstLineChars="0"/>
        <w:jc w:val="left"/>
        <w:rPr>
          <w:rFonts w:hint="eastAsia" w:ascii="Helvetica" w:hAnsi="Helvetica" w:cs="Helvetica"/>
          <w:strike w:val="0"/>
          <w:color w:val="auto"/>
          <w:kern w:val="0"/>
          <w:szCs w:val="21"/>
        </w:rPr>
      </w:pPr>
      <w:r>
        <w:rPr>
          <w:rFonts w:ascii="Helvetica" w:hAnsi="Helvetica" w:cs="Helvetica"/>
          <w:strike w:val="0"/>
          <w:color w:val="auto"/>
          <w:kern w:val="0"/>
          <w:szCs w:val="21"/>
        </w:rPr>
        <w:t>3.企业划分指标以现行</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"https://baike.baidu.com/item/%E7%BB%9F%E8%AE%A1%E5%88%B6%E5%BA%A6/917165?fromModule=lemma_inlink"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统计制度</w:t>
      </w:r>
      <w:r>
        <w:rPr>
          <w:rFonts w:ascii="Helvetica" w:hAnsi="Helvetica" w:cs="Helvetica"/>
          <w:strike w:val="0"/>
          <w:color w:val="auto"/>
          <w:kern w:val="0"/>
          <w:szCs w:val="21"/>
        </w:rPr>
        <w:fldChar w:fldCharType="end"/>
      </w:r>
      <w:r>
        <w:rPr>
          <w:rFonts w:ascii="Helvetica" w:hAnsi="Helvetica" w:cs="Helvetica"/>
          <w:strike w:val="0"/>
          <w:color w:val="auto"/>
          <w:kern w:val="0"/>
          <w:szCs w:val="21"/>
        </w:rPr>
        <w:t>为准。（1）从业人员，是指期末从业人员数，没有期末从业人员数的，采用全年平均人员数代替。（2）</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"https://baike.baidu.com/item/%E8%90%A5%E4%B8%9A%E6%94%B6%E5%85%A5/5099832?fromModule=lemma_inlink"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营业收入</w:t>
      </w:r>
      <w:r>
        <w:rPr>
          <w:rFonts w:ascii="Helvetica" w:hAnsi="Helvetica" w:cs="Helvetica"/>
          <w:strike w:val="0"/>
          <w:color w:val="auto"/>
          <w:kern w:val="0"/>
          <w:szCs w:val="21"/>
        </w:rPr>
        <w:fldChar w:fldCharType="end"/>
      </w:r>
      <w:r>
        <w:rPr>
          <w:rFonts w:ascii="Helvetica" w:hAnsi="Helvetica" w:cs="Helvetica"/>
          <w:strike w:val="0"/>
          <w:color w:val="auto"/>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strike w:val="0"/>
          <w:color w:val="auto"/>
          <w:kern w:val="0"/>
          <w:szCs w:val="21"/>
        </w:rPr>
        <w:fldChar w:fldCharType="begin"/>
      </w:r>
      <w:r>
        <w:rPr>
          <w:rFonts w:ascii="Helvetica" w:hAnsi="Helvetica" w:cs="Helvetica"/>
          <w:strike w:val="0"/>
          <w:color w:val="auto"/>
          <w:kern w:val="0"/>
          <w:szCs w:val="21"/>
        </w:rPr>
        <w:instrText xml:space="preserve">HYPERLINK "https://baike.baidu.com/item/%E8%B5%84%E4%BA%A7%E6%80%BB%E9%A2%9D/716517?fromModule=lemma_inlink" \t "_blank"</w:instrText>
      </w:r>
      <w:r>
        <w:rPr>
          <w:rFonts w:ascii="Helvetica" w:hAnsi="Helvetica" w:cs="Helvetica"/>
          <w:strike w:val="0"/>
          <w:color w:val="auto"/>
          <w:kern w:val="0"/>
          <w:szCs w:val="21"/>
        </w:rPr>
        <w:fldChar w:fldCharType="separate"/>
      </w:r>
      <w:r>
        <w:rPr>
          <w:rFonts w:ascii="Helvetica" w:hAnsi="Helvetica" w:cs="Helvetica"/>
          <w:strike w:val="0"/>
          <w:color w:val="auto"/>
          <w:kern w:val="0"/>
          <w:szCs w:val="21"/>
          <w:u w:val="single"/>
        </w:rPr>
        <w:t>资产总额</w:t>
      </w:r>
      <w:r>
        <w:rPr>
          <w:rFonts w:ascii="Helvetica" w:hAnsi="Helvetica" w:cs="Helvetica"/>
          <w:strike w:val="0"/>
          <w:color w:val="auto"/>
          <w:kern w:val="0"/>
          <w:szCs w:val="21"/>
        </w:rPr>
        <w:fldChar w:fldCharType="end"/>
      </w:r>
      <w:r>
        <w:rPr>
          <w:rFonts w:ascii="Helvetica" w:hAnsi="Helvetica" w:cs="Helvetica"/>
          <w:strike w:val="0"/>
          <w:color w:val="auto"/>
          <w:kern w:val="0"/>
          <w:szCs w:val="21"/>
        </w:rPr>
        <w:t>，采用资产总计代替。</w:t>
      </w:r>
    </w:p>
    <w:p w14:paraId="46696865">
      <w:pPr>
        <w:ind w:firstLine="0" w:firstLineChars="0"/>
        <w:rPr>
          <w:strike w:val="0"/>
          <w:color w:val="auto"/>
        </w:rPr>
      </w:pPr>
      <w:r>
        <w:rPr>
          <w:strike w:val="0"/>
          <w:color w:val="auto"/>
        </w:rPr>
        <w:br w:type="page"/>
      </w:r>
    </w:p>
    <w:p w14:paraId="2D100563">
      <w:pPr>
        <w:spacing w:line="440" w:lineRule="exact"/>
        <w:ind w:firstLine="0" w:firstLineChars="0"/>
        <w:jc w:val="center"/>
        <w:rPr>
          <w:rFonts w:hint="eastAsia" w:ascii="仿宋_GB2312" w:hAnsi="宋体" w:eastAsia="仿宋_GB2312" w:cs="Courier New"/>
          <w:b/>
          <w:strike w:val="0"/>
          <w:color w:val="auto"/>
          <w:kern w:val="0"/>
          <w:sz w:val="32"/>
          <w:szCs w:val="32"/>
        </w:rPr>
      </w:pPr>
      <w:r>
        <w:rPr>
          <w:rFonts w:hint="eastAsia" w:ascii="仿宋_GB2312" w:hAnsi="宋体" w:eastAsia="仿宋_GB2312" w:cs="Courier New"/>
          <w:b/>
          <w:strike w:val="0"/>
          <w:color w:val="auto"/>
          <w:kern w:val="0"/>
          <w:sz w:val="32"/>
          <w:szCs w:val="32"/>
        </w:rPr>
        <w:t>残疾人福利性单位声明函</w:t>
      </w:r>
      <w:r>
        <w:rPr>
          <w:rFonts w:hint="eastAsia" w:ascii="仿宋_GB2312" w:eastAsia="仿宋_GB2312"/>
          <w:bCs/>
          <w:strike w:val="0"/>
          <w:color w:val="auto"/>
          <w:sz w:val="24"/>
        </w:rPr>
        <w:t>（格式）</w:t>
      </w:r>
    </w:p>
    <w:p w14:paraId="2520B685">
      <w:pPr>
        <w:ind w:firstLine="0" w:firstLineChars="0"/>
        <w:rPr>
          <w:rFonts w:hint="eastAsia"/>
          <w:strike w:val="0"/>
          <w:color w:val="auto"/>
        </w:rPr>
      </w:pPr>
    </w:p>
    <w:p w14:paraId="71A7149E">
      <w:pPr>
        <w:spacing w:line="660" w:lineRule="exact"/>
        <w:ind w:firstLine="420"/>
        <w:rPr>
          <w:rFonts w:ascii="宋体" w:hAnsi="宋体" w:cs="Courier New"/>
          <w:strike w:val="0"/>
          <w:color w:val="auto"/>
          <w:kern w:val="0"/>
          <w:szCs w:val="21"/>
        </w:rPr>
      </w:pPr>
      <w:r>
        <w:rPr>
          <w:rFonts w:hint="eastAsia" w:ascii="宋体" w:hAnsi="宋体" w:cs="Courier New"/>
          <w:strike w:val="0"/>
          <w:color w:val="auto"/>
          <w:kern w:val="0"/>
          <w:szCs w:val="21"/>
        </w:rPr>
        <w:t>本单位郑重声明，根据《</w:t>
      </w:r>
      <w:r>
        <w:rPr>
          <w:rFonts w:ascii="宋体" w:hAnsi="Courier New" w:cs="Courier New"/>
          <w:strike w:val="0"/>
          <w:color w:val="auto"/>
          <w:szCs w:val="21"/>
        </w:rPr>
        <w:fldChar w:fldCharType="begin"/>
      </w:r>
      <w:r>
        <w:rPr>
          <w:rFonts w:ascii="宋体" w:hAnsi="Courier New" w:cs="Courier New"/>
          <w:strike w:val="0"/>
          <w:color w:val="auto"/>
          <w:szCs w:val="21"/>
        </w:rPr>
        <w:instrText xml:space="preserve"> HYPERLINK "http://www.mof.gov.cn/gp/xxgkml/gks/201709/t20170901_2689542.htm" </w:instrText>
      </w:r>
      <w:r>
        <w:rPr>
          <w:rFonts w:ascii="宋体" w:hAnsi="Courier New" w:cs="Courier New"/>
          <w:strike w:val="0"/>
          <w:color w:val="auto"/>
          <w:szCs w:val="21"/>
        </w:rPr>
        <w:fldChar w:fldCharType="separate"/>
      </w:r>
      <w:r>
        <w:rPr>
          <w:rFonts w:hint="eastAsia" w:ascii="宋体" w:hAnsi="Courier New" w:cs="Courier New"/>
          <w:strike w:val="0"/>
          <w:color w:val="auto"/>
          <w:kern w:val="0"/>
          <w:szCs w:val="21"/>
        </w:rPr>
        <w:t>财政部 民政部 中国残疾人联合会关于促进残疾人就业政府采购政策的通知》（财库〔2017〕141号）</w:t>
      </w:r>
      <w:r>
        <w:rPr>
          <w:rFonts w:ascii="宋体" w:hAnsi="Courier New" w:cs="Courier New"/>
          <w:strike w:val="0"/>
          <w:color w:val="auto"/>
          <w:kern w:val="0"/>
          <w:szCs w:val="21"/>
        </w:rPr>
        <w:fldChar w:fldCharType="end"/>
      </w:r>
      <w:r>
        <w:rPr>
          <w:rFonts w:hint="eastAsia" w:ascii="宋体" w:hAnsi="宋体" w:cs="Courier New"/>
          <w:strike w:val="0"/>
          <w:color w:val="auto"/>
          <w:kern w:val="0"/>
          <w:szCs w:val="21"/>
        </w:rPr>
        <w:t>的规定，本单位为符合条件的残疾人福利性单位，且本单位参加（</w:t>
      </w:r>
      <w:r>
        <w:rPr>
          <w:rFonts w:hint="eastAsia" w:ascii="宋体" w:hAnsi="宋体" w:cs="Courier New"/>
          <w:strike w:val="0"/>
          <w:color w:val="auto"/>
          <w:kern w:val="0"/>
          <w:szCs w:val="21"/>
          <w:u w:val="single"/>
        </w:rPr>
        <w:t>单位名称</w:t>
      </w:r>
      <w:r>
        <w:rPr>
          <w:rFonts w:hint="eastAsia" w:ascii="宋体" w:hAnsi="宋体" w:cs="Courier New"/>
          <w:strike w:val="0"/>
          <w:color w:val="auto"/>
          <w:kern w:val="0"/>
          <w:szCs w:val="21"/>
        </w:rPr>
        <w:t>）的（</w:t>
      </w:r>
      <w:r>
        <w:rPr>
          <w:rFonts w:hint="eastAsia" w:ascii="宋体" w:hAnsi="宋体" w:cs="Courier New"/>
          <w:strike w:val="0"/>
          <w:color w:val="auto"/>
          <w:kern w:val="0"/>
          <w:szCs w:val="21"/>
          <w:u w:val="single"/>
        </w:rPr>
        <w:t>项目名称</w:t>
      </w:r>
      <w:r>
        <w:rPr>
          <w:rFonts w:hint="eastAsia" w:ascii="宋体" w:hAnsi="宋体" w:cs="Courier New"/>
          <w:strike w:val="0"/>
          <w:color w:val="auto"/>
          <w:kern w:val="0"/>
          <w:szCs w:val="21"/>
        </w:rPr>
        <w:t>）采购活动提供本单位制造的货物，或者提供其他残疾人福利性单位（</w:t>
      </w:r>
      <w:r>
        <w:rPr>
          <w:rFonts w:hint="eastAsia" w:ascii="宋体" w:hAnsi="宋体" w:cs="Courier New"/>
          <w:strike w:val="0"/>
          <w:color w:val="auto"/>
          <w:kern w:val="0"/>
          <w:szCs w:val="21"/>
          <w:u w:val="single"/>
        </w:rPr>
        <w:t>请填写具体单位名称</w:t>
      </w:r>
      <w:r>
        <w:rPr>
          <w:rFonts w:hint="eastAsia" w:ascii="宋体" w:hAnsi="宋体" w:cs="Courier New"/>
          <w:strike w:val="0"/>
          <w:color w:val="auto"/>
          <w:kern w:val="0"/>
          <w:szCs w:val="21"/>
        </w:rPr>
        <w:t>）制造的货物（不包括使用非残疾人福利性单位注册商标的货物）。</w:t>
      </w:r>
    </w:p>
    <w:p w14:paraId="0BF97873">
      <w:pPr>
        <w:spacing w:line="660" w:lineRule="exact"/>
        <w:ind w:firstLine="420"/>
        <w:rPr>
          <w:rFonts w:ascii="宋体" w:hAnsi="宋体" w:cs="Courier New"/>
          <w:strike w:val="0"/>
          <w:color w:val="auto"/>
          <w:kern w:val="0"/>
          <w:szCs w:val="21"/>
        </w:rPr>
      </w:pPr>
      <w:r>
        <w:rPr>
          <w:rFonts w:hint="eastAsia" w:ascii="宋体" w:hAnsi="宋体" w:cs="Courier New"/>
          <w:strike w:val="0"/>
          <w:color w:val="auto"/>
          <w:kern w:val="0"/>
          <w:szCs w:val="21"/>
        </w:rPr>
        <w:t>本单位对上述声明的真实性负责。如有虚假，将依法承担相应责任。</w:t>
      </w:r>
    </w:p>
    <w:p w14:paraId="2DDA9637">
      <w:pPr>
        <w:ind w:firstLine="0" w:firstLineChars="0"/>
        <w:rPr>
          <w:strike w:val="0"/>
          <w:color w:val="auto"/>
          <w:szCs w:val="21"/>
        </w:rPr>
      </w:pPr>
    </w:p>
    <w:p w14:paraId="30309409">
      <w:pPr>
        <w:ind w:firstLine="0" w:firstLineChars="0"/>
        <w:rPr>
          <w:rFonts w:hint="eastAsia"/>
          <w:strike w:val="0"/>
          <w:color w:val="auto"/>
          <w:szCs w:val="21"/>
        </w:rPr>
      </w:pPr>
    </w:p>
    <w:p w14:paraId="22863E93">
      <w:pPr>
        <w:ind w:firstLine="0" w:firstLineChars="0"/>
        <w:rPr>
          <w:rFonts w:hint="eastAsia"/>
          <w:strike w:val="0"/>
          <w:color w:val="auto"/>
          <w:szCs w:val="21"/>
        </w:rPr>
      </w:pPr>
    </w:p>
    <w:p w14:paraId="777AAEF0">
      <w:pPr>
        <w:spacing w:line="440" w:lineRule="exact"/>
        <w:ind w:firstLine="5250" w:firstLineChars="2500"/>
        <w:rPr>
          <w:rFonts w:ascii="宋体" w:hAnsi="宋体" w:cs="Courier New"/>
          <w:strike w:val="0"/>
          <w:color w:val="auto"/>
          <w:kern w:val="0"/>
          <w:szCs w:val="21"/>
        </w:rPr>
      </w:pPr>
      <w:r>
        <w:rPr>
          <w:rFonts w:hint="eastAsia" w:ascii="宋体" w:hAnsi="宋体" w:cs="Courier New"/>
          <w:strike w:val="0"/>
          <w:color w:val="auto"/>
          <w:kern w:val="0"/>
          <w:szCs w:val="21"/>
        </w:rPr>
        <w:t>单位名称（盖章）：</w:t>
      </w:r>
      <w:r>
        <w:rPr>
          <w:rFonts w:hint="eastAsia" w:ascii="宋体" w:hAnsi="宋体" w:cs="Courier New"/>
          <w:strike w:val="0"/>
          <w:color w:val="auto"/>
          <w:szCs w:val="21"/>
          <w:u w:val="single"/>
        </w:rPr>
        <w:t xml:space="preserve"> </w:t>
      </w:r>
      <w:r>
        <w:rPr>
          <w:rFonts w:ascii="宋体" w:hAnsi="宋体" w:cs="Courier New"/>
          <w:strike w:val="0"/>
          <w:color w:val="auto"/>
          <w:szCs w:val="21"/>
          <w:u w:val="single"/>
        </w:rPr>
        <w:t xml:space="preserve">             </w:t>
      </w:r>
    </w:p>
    <w:p w14:paraId="165AC16E">
      <w:pPr>
        <w:spacing w:line="440" w:lineRule="exact"/>
        <w:ind w:firstLine="5250" w:firstLineChars="2500"/>
        <w:rPr>
          <w:rFonts w:ascii="宋体" w:hAnsi="宋体" w:cs="Courier New"/>
          <w:strike w:val="0"/>
          <w:color w:val="auto"/>
          <w:szCs w:val="21"/>
          <w:u w:val="single"/>
        </w:rPr>
      </w:pPr>
      <w:r>
        <w:rPr>
          <w:rFonts w:hint="eastAsia" w:ascii="宋体" w:hAnsi="宋体" w:cs="Courier New"/>
          <w:strike w:val="0"/>
          <w:color w:val="auto"/>
          <w:kern w:val="0"/>
          <w:szCs w:val="21"/>
        </w:rPr>
        <w:t>日  期：</w:t>
      </w:r>
      <w:r>
        <w:rPr>
          <w:rFonts w:hint="eastAsia" w:ascii="宋体" w:hAnsi="宋体" w:cs="Courier New"/>
          <w:strike w:val="0"/>
          <w:color w:val="auto"/>
          <w:szCs w:val="21"/>
          <w:u w:val="single"/>
        </w:rPr>
        <w:t xml:space="preserve"> </w:t>
      </w:r>
      <w:r>
        <w:rPr>
          <w:rFonts w:ascii="宋体" w:hAnsi="宋体" w:cs="Courier New"/>
          <w:strike w:val="0"/>
          <w:color w:val="auto"/>
          <w:szCs w:val="21"/>
          <w:u w:val="single"/>
        </w:rPr>
        <w:t xml:space="preserve">                       </w:t>
      </w:r>
    </w:p>
    <w:p w14:paraId="7F4AFDCD">
      <w:pPr>
        <w:spacing w:line="440" w:lineRule="exact"/>
        <w:ind w:firstLine="4000" w:firstLineChars="1905"/>
        <w:rPr>
          <w:rFonts w:ascii="宋体" w:hAnsi="宋体" w:cs="Courier New"/>
          <w:strike w:val="0"/>
          <w:color w:val="auto"/>
          <w:szCs w:val="21"/>
          <w:u w:val="single"/>
        </w:rPr>
      </w:pPr>
    </w:p>
    <w:p w14:paraId="76518DB6">
      <w:pPr>
        <w:spacing w:line="360" w:lineRule="exact"/>
        <w:ind w:firstLine="0" w:firstLineChars="0"/>
        <w:jc w:val="left"/>
        <w:rPr>
          <w:rFonts w:ascii="宋体" w:hAnsi="Courier New" w:cs="Courier New"/>
          <w:strike w:val="0"/>
          <w:color w:val="auto"/>
          <w:szCs w:val="21"/>
          <w:u w:val="single"/>
        </w:rPr>
      </w:pPr>
    </w:p>
    <w:p w14:paraId="092E5E64">
      <w:pPr>
        <w:spacing w:line="360" w:lineRule="exact"/>
        <w:ind w:firstLine="0" w:firstLineChars="0"/>
        <w:jc w:val="left"/>
        <w:rPr>
          <w:rFonts w:ascii="宋体" w:hAnsi="Courier New" w:cs="Courier New"/>
          <w:strike w:val="0"/>
          <w:color w:val="auto"/>
          <w:szCs w:val="21"/>
          <w:u w:val="single"/>
        </w:rPr>
      </w:pPr>
    </w:p>
    <w:p w14:paraId="1888D0B7">
      <w:pPr>
        <w:spacing w:line="360" w:lineRule="exact"/>
        <w:ind w:firstLine="0" w:firstLineChars="0"/>
        <w:jc w:val="left"/>
        <w:rPr>
          <w:rFonts w:ascii="宋体" w:hAnsi="Courier New" w:cs="Courier New"/>
          <w:strike w:val="0"/>
          <w:color w:val="auto"/>
          <w:szCs w:val="21"/>
          <w:u w:val="single"/>
        </w:rPr>
      </w:pPr>
    </w:p>
    <w:p w14:paraId="4991B5BB">
      <w:pPr>
        <w:spacing w:line="360" w:lineRule="exact"/>
        <w:ind w:firstLine="0" w:firstLineChars="0"/>
        <w:jc w:val="left"/>
        <w:rPr>
          <w:rFonts w:ascii="宋体" w:hAnsi="Courier New" w:cs="Courier New"/>
          <w:strike w:val="0"/>
          <w:color w:val="auto"/>
          <w:szCs w:val="21"/>
          <w:u w:val="single"/>
        </w:rPr>
      </w:pPr>
    </w:p>
    <w:p w14:paraId="599B82E8">
      <w:pPr>
        <w:spacing w:line="360" w:lineRule="exact"/>
        <w:ind w:firstLine="0" w:firstLineChars="0"/>
        <w:jc w:val="left"/>
        <w:rPr>
          <w:rFonts w:ascii="宋体" w:hAnsi="Courier New" w:cs="Courier New"/>
          <w:strike w:val="0"/>
          <w:color w:val="auto"/>
          <w:szCs w:val="21"/>
          <w:u w:val="single"/>
        </w:rPr>
      </w:pPr>
    </w:p>
    <w:p w14:paraId="38DF9007">
      <w:pPr>
        <w:spacing w:line="360" w:lineRule="exact"/>
        <w:ind w:firstLine="0" w:firstLineChars="0"/>
        <w:jc w:val="left"/>
        <w:rPr>
          <w:rFonts w:ascii="宋体" w:hAnsi="Courier New" w:cs="Courier New"/>
          <w:strike w:val="0"/>
          <w:color w:val="auto"/>
          <w:szCs w:val="21"/>
          <w:u w:val="single"/>
        </w:rPr>
      </w:pPr>
    </w:p>
    <w:p w14:paraId="7626C086">
      <w:pPr>
        <w:spacing w:line="360" w:lineRule="exact"/>
        <w:ind w:firstLine="0" w:firstLineChars="0"/>
        <w:jc w:val="left"/>
        <w:rPr>
          <w:rFonts w:ascii="宋体" w:hAnsi="Courier New" w:cs="Courier New"/>
          <w:strike w:val="0"/>
          <w:color w:val="auto"/>
          <w:szCs w:val="21"/>
          <w:u w:val="single"/>
        </w:rPr>
      </w:pPr>
    </w:p>
    <w:p w14:paraId="0599367C">
      <w:pPr>
        <w:spacing w:line="360" w:lineRule="exact"/>
        <w:ind w:firstLine="0" w:firstLineChars="0"/>
        <w:jc w:val="left"/>
        <w:rPr>
          <w:rFonts w:ascii="宋体" w:hAnsi="Courier New" w:cs="Courier New"/>
          <w:strike w:val="0"/>
          <w:color w:val="auto"/>
          <w:szCs w:val="21"/>
          <w:u w:val="single"/>
        </w:rPr>
      </w:pPr>
    </w:p>
    <w:p w14:paraId="5A4E9F60">
      <w:pPr>
        <w:spacing w:line="360" w:lineRule="exact"/>
        <w:ind w:firstLine="0" w:firstLineChars="0"/>
        <w:jc w:val="left"/>
        <w:rPr>
          <w:rFonts w:hint="eastAsia" w:ascii="宋体" w:hAnsi="Courier New" w:cs="Courier New"/>
          <w:strike w:val="0"/>
          <w:color w:val="auto"/>
          <w:szCs w:val="21"/>
          <w:u w:val="single"/>
        </w:rPr>
      </w:pPr>
    </w:p>
    <w:p w14:paraId="2E97D80F">
      <w:pPr>
        <w:spacing w:line="360" w:lineRule="exact"/>
        <w:ind w:firstLine="0" w:firstLineChars="0"/>
        <w:jc w:val="left"/>
        <w:rPr>
          <w:rFonts w:ascii="宋体" w:hAnsi="Courier New" w:cs="Courier New"/>
          <w:strike w:val="0"/>
          <w:color w:val="auto"/>
          <w:szCs w:val="21"/>
          <w:u w:val="single"/>
        </w:rPr>
      </w:pPr>
    </w:p>
    <w:p w14:paraId="5DC58E05">
      <w:pPr>
        <w:spacing w:line="360" w:lineRule="exact"/>
        <w:ind w:firstLine="0" w:firstLineChars="0"/>
        <w:jc w:val="left"/>
        <w:rPr>
          <w:rFonts w:ascii="宋体" w:hAnsi="Courier New" w:cs="Courier New"/>
          <w:strike w:val="0"/>
          <w:color w:val="auto"/>
          <w:szCs w:val="21"/>
          <w:u w:val="single"/>
        </w:rPr>
      </w:pPr>
    </w:p>
    <w:p w14:paraId="623C1CD0">
      <w:pPr>
        <w:spacing w:line="360" w:lineRule="exact"/>
        <w:ind w:firstLine="0" w:firstLineChars="0"/>
        <w:jc w:val="left"/>
        <w:rPr>
          <w:rFonts w:hint="eastAsia" w:ascii="宋体" w:hAnsi="Courier New" w:cs="Courier New"/>
          <w:strike w:val="0"/>
          <w:color w:val="auto"/>
          <w:szCs w:val="21"/>
          <w:u w:val="single"/>
        </w:rPr>
      </w:pPr>
    </w:p>
    <w:p w14:paraId="39B58C2C">
      <w:pPr>
        <w:spacing w:line="360" w:lineRule="exact"/>
        <w:ind w:firstLine="0" w:firstLineChars="0"/>
        <w:jc w:val="left"/>
        <w:rPr>
          <w:rFonts w:hint="eastAsia" w:ascii="宋体" w:hAnsi="Courier New" w:cs="Courier New"/>
          <w:strike w:val="0"/>
          <w:color w:val="auto"/>
          <w:szCs w:val="21"/>
          <w:u w:val="single"/>
        </w:rPr>
      </w:pPr>
    </w:p>
    <w:p w14:paraId="755DF8F1">
      <w:pPr>
        <w:spacing w:line="360" w:lineRule="exact"/>
        <w:ind w:firstLine="0" w:firstLineChars="0"/>
        <w:jc w:val="left"/>
        <w:rPr>
          <w:rFonts w:ascii="宋体" w:hAnsi="Courier New" w:cs="Courier New"/>
          <w:strike w:val="0"/>
          <w:color w:val="auto"/>
          <w:szCs w:val="21"/>
          <w:u w:val="single"/>
        </w:rPr>
      </w:pPr>
    </w:p>
    <w:p w14:paraId="63209F00">
      <w:pPr>
        <w:spacing w:line="360" w:lineRule="exact"/>
        <w:ind w:firstLine="0" w:firstLineChars="0"/>
        <w:jc w:val="left"/>
        <w:rPr>
          <w:rFonts w:hint="eastAsia" w:ascii="宋体" w:hAnsi="Courier New" w:cs="Courier New"/>
          <w:strike w:val="0"/>
          <w:color w:val="auto"/>
          <w:szCs w:val="21"/>
          <w:u w:val="single"/>
        </w:rPr>
      </w:pPr>
    </w:p>
    <w:p w14:paraId="725F11FE">
      <w:pPr>
        <w:spacing w:line="360" w:lineRule="exact"/>
        <w:ind w:firstLine="0" w:firstLineChars="0"/>
        <w:jc w:val="left"/>
        <w:rPr>
          <w:rFonts w:hint="eastAsia" w:ascii="宋体" w:hAnsi="Courier New" w:cs="Courier New"/>
          <w:strike w:val="0"/>
          <w:color w:val="auto"/>
          <w:szCs w:val="21"/>
          <w:u w:val="single"/>
        </w:rPr>
      </w:pPr>
    </w:p>
    <w:p w14:paraId="74FF9546">
      <w:pPr>
        <w:spacing w:line="360" w:lineRule="exact"/>
        <w:ind w:firstLine="0" w:firstLineChars="0"/>
        <w:jc w:val="left"/>
        <w:rPr>
          <w:rFonts w:ascii="宋体" w:hAnsi="Courier New" w:cs="Courier New"/>
          <w:strike w:val="0"/>
          <w:color w:val="auto"/>
          <w:szCs w:val="21"/>
          <w:u w:val="single"/>
        </w:rPr>
      </w:pPr>
    </w:p>
    <w:p w14:paraId="5DD89808">
      <w:pPr>
        <w:spacing w:line="260" w:lineRule="exact"/>
        <w:ind w:firstLine="0" w:firstLineChars="0"/>
        <w:jc w:val="left"/>
        <w:rPr>
          <w:rFonts w:ascii="宋体" w:hAnsi="Courier New" w:cs="Courier New"/>
          <w:strike w:val="0"/>
          <w:color w:val="auto"/>
          <w:sz w:val="18"/>
          <w:szCs w:val="18"/>
          <w:u w:val="single"/>
        </w:rPr>
      </w:pPr>
      <w:r>
        <w:rPr>
          <w:rFonts w:hint="eastAsia" w:ascii="宋体" w:hAnsi="Courier New" w:cs="Courier New"/>
          <w:strike w:val="0"/>
          <w:color w:val="auto"/>
          <w:sz w:val="18"/>
          <w:szCs w:val="18"/>
          <w:u w:val="single"/>
        </w:rPr>
        <w:t xml:space="preserve"> </w:t>
      </w:r>
      <w:r>
        <w:rPr>
          <w:rFonts w:ascii="宋体" w:hAnsi="Courier New" w:cs="Courier New"/>
          <w:strike w:val="0"/>
          <w:color w:val="auto"/>
          <w:sz w:val="18"/>
          <w:szCs w:val="18"/>
          <w:u w:val="single"/>
        </w:rPr>
        <w:t xml:space="preserve">                       </w:t>
      </w:r>
    </w:p>
    <w:p w14:paraId="4924E7B2">
      <w:pPr>
        <w:spacing w:line="260" w:lineRule="exact"/>
        <w:ind w:firstLine="0" w:firstLineChars="0"/>
        <w:jc w:val="left"/>
        <w:rPr>
          <w:rFonts w:hint="eastAsia" w:ascii="宋体" w:hAnsi="宋体"/>
          <w:strike w:val="0"/>
          <w:color w:val="auto"/>
          <w:szCs w:val="21"/>
        </w:rPr>
      </w:pPr>
      <w:r>
        <w:rPr>
          <w:rFonts w:ascii="宋体" w:hAnsi="Courier New" w:cs="Courier New"/>
          <w:strike w:val="0"/>
          <w:color w:val="auto"/>
          <w:sz w:val="18"/>
          <w:szCs w:val="18"/>
        </w:rPr>
        <w:fldChar w:fldCharType="begin"/>
      </w:r>
      <w:r>
        <w:rPr>
          <w:rFonts w:ascii="宋体" w:hAnsi="Courier New" w:cs="Courier New"/>
          <w:strike w:val="0"/>
          <w:color w:val="auto"/>
          <w:sz w:val="18"/>
          <w:szCs w:val="18"/>
        </w:rPr>
        <w:instrText xml:space="preserve"> HYPERLINK "http://www.ccgp.gov.cn/zcfg/mof/201709/t20170904_8787205.htm" </w:instrText>
      </w:r>
      <w:r>
        <w:rPr>
          <w:rFonts w:ascii="宋体" w:hAnsi="Courier New" w:cs="Courier New"/>
          <w:strike w:val="0"/>
          <w:color w:val="auto"/>
          <w:sz w:val="18"/>
          <w:szCs w:val="18"/>
        </w:rPr>
        <w:fldChar w:fldCharType="separate"/>
      </w:r>
      <w:r>
        <w:rPr>
          <w:rFonts w:hint="eastAsia" w:ascii="宋体" w:hAnsi="Courier New" w:cs="Courier New"/>
          <w:strike w:val="0"/>
          <w:color w:val="auto"/>
          <w:sz w:val="18"/>
          <w:szCs w:val="18"/>
          <w:u w:val="single"/>
        </w:rPr>
        <w:t>《财政部 民政部 中国残疾人联合会关于促进残疾人就业政府采购政策的通知》（财库〔2017〕141号）</w:t>
      </w:r>
      <w:r>
        <w:rPr>
          <w:rFonts w:ascii="宋体" w:hAnsi="Courier New" w:cs="Courier New"/>
          <w:strike w:val="0"/>
          <w:color w:val="auto"/>
          <w:sz w:val="18"/>
          <w:szCs w:val="18"/>
          <w:u w:val="single"/>
        </w:rPr>
        <w:fldChar w:fldCharType="end"/>
      </w:r>
    </w:p>
    <w:p w14:paraId="6D467307">
      <w:pPr>
        <w:snapToGrid w:val="0"/>
        <w:spacing w:before="50" w:after="50" w:line="350" w:lineRule="exact"/>
        <w:ind w:left="0" w:leftChars="0" w:right="-817" w:rightChars="-389" w:firstLine="0" w:firstLineChars="0"/>
        <w:rPr>
          <w:rFonts w:hint="eastAsia" w:ascii="宋体" w:hAnsi="宋体"/>
          <w:strike w:val="0"/>
          <w:color w:val="auto"/>
          <w:szCs w:val="21"/>
        </w:rPr>
      </w:pPr>
    </w:p>
    <w:sectPr>
      <w:headerReference r:id="rId13" w:type="default"/>
      <w:footerReference r:id="rId14" w:type="default"/>
      <w:pgSz w:w="11906" w:h="16838"/>
      <w:pgMar w:top="1246" w:right="1106" w:bottom="1091" w:left="85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Adobe 仿宋 Std R">
    <w:altName w:val="仿宋"/>
    <w:panose1 w:val="02020400000000000000"/>
    <w:charset w:val="00"/>
    <w:family w:val="roman"/>
    <w:pitch w:val="default"/>
    <w:sig w:usb0="00000000" w:usb1="00000000" w:usb2="00000016" w:usb3="00000000" w:csb0="00060007" w:csb1="00000000"/>
  </w:font>
  <w:font w:name="Helvetica">
    <w:altName w:val="Arial"/>
    <w:panose1 w:val="00000000000000000000"/>
    <w:charset w:val="00"/>
    <w:family w:val="swiss"/>
    <w:pitch w:val="default"/>
    <w:sig w:usb0="00000000" w:usb1="00000000" w:usb2="0000000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09BF">
    <w:pPr>
      <w:pStyle w:val="3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F114DA">
                          <w:pPr>
                            <w:pStyle w:val="33"/>
                            <w:ind w:firstLine="36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6BF114DA">
                    <w:pPr>
                      <w:pStyle w:val="33"/>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8A4A">
    <w:pPr>
      <w:pStyle w:val="3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6939">
    <w:pPr>
      <w:pStyle w:val="3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746B3">
    <w:pPr>
      <w:pStyle w:val="3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85AB02">
                          <w:pPr>
                            <w:pStyle w:val="33"/>
                            <w:ind w:firstLine="360"/>
                          </w:pPr>
                          <w:r>
                            <w:fldChar w:fldCharType="begin"/>
                          </w:r>
                          <w:r>
                            <w:instrText xml:space="preserve"> PAGE  \* MERGEFORMAT </w:instrText>
                          </w:r>
                          <w:r>
                            <w:fldChar w:fldCharType="separate"/>
                          </w:r>
                          <w:r>
                            <w:t>259</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gryzRAQAAo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9k4hKj3Xdmm3AmEt4eE3ZQmc4URdiqMoys0pzXLu/G3X7Ief63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boK8s0QEAAKIDAAAOAAAAAAAAAAEAIAAAAB8BAABk&#10;cnMvZTJvRG9jLnhtbFBLBQYAAAAABgAGAFkBAABiBQAAAAA=&#10;">
              <v:fill on="f" focussize="0,0"/>
              <v:stroke on="f" weight="0.5pt"/>
              <v:imagedata o:title=""/>
              <o:lock v:ext="edit" aspectratio="f"/>
              <v:textbox inset="0mm,0mm,0mm,0mm" style="mso-fit-shape-to-text:t;">
                <w:txbxContent>
                  <w:p w14:paraId="6785AB02">
                    <w:pPr>
                      <w:pStyle w:val="33"/>
                      <w:ind w:firstLine="360"/>
                    </w:pPr>
                    <w:r>
                      <w:fldChar w:fldCharType="begin"/>
                    </w:r>
                    <w:r>
                      <w:instrText xml:space="preserve"> PAGE  \* MERGEFORMAT </w:instrText>
                    </w:r>
                    <w:r>
                      <w:fldChar w:fldCharType="separate"/>
                    </w:r>
                    <w:r>
                      <w:t>259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FB220">
    <w:pPr>
      <w:pStyle w:val="3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222C6">
                          <w:pPr>
                            <w:pStyle w:val="33"/>
                            <w:ind w:firstLine="360"/>
                            <w:jc w:val="center"/>
                          </w:pPr>
                          <w:r>
                            <w:fldChar w:fldCharType="begin"/>
                          </w:r>
                          <w:r>
                            <w:instrText xml:space="preserve">PAGE   \* MERGEFORMAT</w:instrText>
                          </w:r>
                          <w:r>
                            <w:fldChar w:fldCharType="separate"/>
                          </w:r>
                          <w:r>
                            <w:rPr>
                              <w:lang w:val="zh-CN"/>
                            </w:rPr>
                            <w:t>50</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431222C6">
                    <w:pPr>
                      <w:pStyle w:val="33"/>
                      <w:ind w:firstLine="360"/>
                      <w:jc w:val="center"/>
                    </w:pPr>
                    <w:r>
                      <w:fldChar w:fldCharType="begin"/>
                    </w:r>
                    <w:r>
                      <w:instrText xml:space="preserve">PAGE   \* MERGEFORMAT</w:instrText>
                    </w:r>
                    <w:r>
                      <w:fldChar w:fldCharType="separate"/>
                    </w:r>
                    <w:r>
                      <w:rPr>
                        <w:lang w:val="zh-CN"/>
                      </w:rPr>
                      <w:t>50</w:t>
                    </w:r>
                    <w:r>
                      <w:fldChar w:fldCharType="end"/>
                    </w:r>
                  </w:p>
                </w:txbxContent>
              </v:textbox>
            </v:shape>
          </w:pict>
        </mc:Fallback>
      </mc:AlternateContent>
    </w:r>
  </w:p>
  <w:p w14:paraId="41EF4187">
    <w:pPr>
      <w:pStyle w:val="3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3DC7">
    <w:pPr>
      <w:ind w:left="-718" w:leftChars="-342" w:right="-874" w:rightChars="-416" w:firstLine="716" w:firstLineChars="398"/>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712C">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6F6C9">
    <w:pPr>
      <w:pStyle w:val="3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4C32">
    <w:pPr>
      <w:pStyle w:val="35"/>
      <w:ind w:firstLine="360"/>
      <w:jc w:val="both"/>
    </w:pPr>
    <w:r>
      <w:rPr>
        <w:rFonts w:hint="eastAsia"/>
      </w:rPr>
      <w:t xml:space="preserve">钦州市政府采购中心        </w:t>
    </w:r>
    <w:r>
      <w:rPr>
        <w:rFonts w:hint="eastAsia" w:ascii="宋体" w:hAnsi="宋体"/>
        <w:color w:val="000000"/>
        <w:szCs w:val="21"/>
        <w:lang w:eastAsia="zh-CN"/>
      </w:rPr>
      <w:t>2025年浦北县教育局教学设备采购</w:t>
    </w:r>
    <w:r>
      <w:rPr>
        <w:rFonts w:hint="eastAsia"/>
      </w:rPr>
      <w:t xml:space="preserve"> (</w:t>
    </w:r>
    <w:r>
      <w:rPr>
        <w:rFonts w:hint="eastAsia" w:ascii="宋体" w:hAnsi="宋体"/>
        <w:bCs/>
        <w:color w:val="000000"/>
        <w:lang w:eastAsia="zh-CN"/>
      </w:rPr>
      <w:t>QZZC2025-G1-220231-QZSZ</w:t>
    </w:r>
    <w:r>
      <w:rPr>
        <w:rFonts w:hint="eastAsia"/>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3CD0">
    <w:pPr>
      <w:ind w:left="-718" w:leftChars="-342" w:right="-874" w:rightChars="-416" w:firstLine="716" w:firstLineChars="398"/>
      <w:rPr>
        <w:rFonts w:hint="eastAsia"/>
        <w:sz w:val="18"/>
        <w:szCs w:val="18"/>
        <w:u w:val="single"/>
      </w:rPr>
    </w:pPr>
    <w:r>
      <w:rPr>
        <w:rFonts w:hint="eastAsia"/>
        <w:sz w:val="18"/>
        <w:szCs w:val="18"/>
        <w:u w:val="single"/>
      </w:rPr>
      <w:t xml:space="preserve">钦州市政府采购中心                       </w:t>
    </w:r>
    <w:r>
      <w:rPr>
        <w:sz w:val="18"/>
        <w:szCs w:val="18"/>
        <w:u w:val="single"/>
      </w:rPr>
      <w:t xml:space="preserve">   </w:t>
    </w:r>
    <w:r>
      <w:rPr>
        <w:rFonts w:hint="eastAsia"/>
        <w:sz w:val="18"/>
        <w:szCs w:val="18"/>
        <w:u w:val="single"/>
      </w:rPr>
      <w:t xml:space="preserve"> </w:t>
    </w:r>
    <w:r>
      <w:rPr>
        <w:rFonts w:hint="eastAsia"/>
        <w:sz w:val="18"/>
        <w:szCs w:val="18"/>
        <w:u w:val="single"/>
        <w:lang w:eastAsia="zh-CN"/>
      </w:rPr>
      <w:t>2025年浦北县教育局教学设备采购</w:t>
    </w:r>
    <w:r>
      <w:rPr>
        <w:rFonts w:hint="eastAsia"/>
        <w:sz w:val="18"/>
        <w:szCs w:val="18"/>
        <w:u w:val="single"/>
      </w:rPr>
      <w:t>（</w:t>
    </w:r>
    <w:r>
      <w:rPr>
        <w:rFonts w:hint="eastAsia"/>
        <w:sz w:val="18"/>
        <w:szCs w:val="18"/>
        <w:u w:val="single"/>
        <w:lang w:eastAsia="zh-CN"/>
      </w:rPr>
      <w:t>QZZC2025-G1-220231-QZSZ</w:t>
    </w:r>
    <w:r>
      <w:rPr>
        <w:rFonts w:hint="eastAsia"/>
        <w:sz w:val="18"/>
        <w:szCs w:val="1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68B06"/>
    <w:multiLevelType w:val="singleLevel"/>
    <w:tmpl w:val="8AA68B06"/>
    <w:lvl w:ilvl="0" w:tentative="0">
      <w:start w:val="1"/>
      <w:numFmt w:val="decimal"/>
      <w:suff w:val="nothing"/>
      <w:lvlText w:val="%1、"/>
      <w:lvlJc w:val="left"/>
    </w:lvl>
  </w:abstractNum>
  <w:abstractNum w:abstractNumId="1">
    <w:nsid w:val="8FEDB25C"/>
    <w:multiLevelType w:val="singleLevel"/>
    <w:tmpl w:val="8FEDB25C"/>
    <w:lvl w:ilvl="0" w:tentative="0">
      <w:start w:val="2"/>
      <w:numFmt w:val="decimal"/>
      <w:suff w:val="nothing"/>
      <w:lvlText w:val="%1、"/>
      <w:lvlJc w:val="left"/>
    </w:lvl>
  </w:abstractNum>
  <w:abstractNum w:abstractNumId="2">
    <w:nsid w:val="ABAC006A"/>
    <w:multiLevelType w:val="singleLevel"/>
    <w:tmpl w:val="ABAC006A"/>
    <w:lvl w:ilvl="0" w:tentative="0">
      <w:start w:val="1"/>
      <w:numFmt w:val="decimal"/>
      <w:lvlText w:val="%1."/>
      <w:lvlJc w:val="left"/>
      <w:pPr>
        <w:tabs>
          <w:tab w:val="left" w:pos="312"/>
        </w:tabs>
      </w:pPr>
    </w:lvl>
  </w:abstractNum>
  <w:abstractNum w:abstractNumId="3">
    <w:nsid w:val="BDA90A8F"/>
    <w:multiLevelType w:val="singleLevel"/>
    <w:tmpl w:val="BDA90A8F"/>
    <w:lvl w:ilvl="0" w:tentative="0">
      <w:start w:val="1"/>
      <w:numFmt w:val="decimal"/>
      <w:lvlText w:val="%1."/>
      <w:lvlJc w:val="left"/>
      <w:pPr>
        <w:tabs>
          <w:tab w:val="left" w:pos="312"/>
        </w:tabs>
      </w:pPr>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BF7CA56B"/>
    <w:multiLevelType w:val="singleLevel"/>
    <w:tmpl w:val="BF7CA56B"/>
    <w:lvl w:ilvl="0" w:tentative="0">
      <w:start w:val="1"/>
      <w:numFmt w:val="decimal"/>
      <w:suff w:val="space"/>
      <w:lvlText w:val="%1."/>
      <w:lvlJc w:val="left"/>
    </w:lvl>
  </w:abstractNum>
  <w:abstractNum w:abstractNumId="6">
    <w:nsid w:val="C2904FCE"/>
    <w:multiLevelType w:val="singleLevel"/>
    <w:tmpl w:val="C2904FCE"/>
    <w:lvl w:ilvl="0" w:tentative="0">
      <w:start w:val="1"/>
      <w:numFmt w:val="decimal"/>
      <w:lvlText w:val="%1."/>
      <w:lvlJc w:val="left"/>
      <w:pPr>
        <w:tabs>
          <w:tab w:val="left" w:pos="312"/>
        </w:tabs>
      </w:pPr>
    </w:lvl>
  </w:abstractNum>
  <w:abstractNum w:abstractNumId="7">
    <w:nsid w:val="C98037D3"/>
    <w:multiLevelType w:val="singleLevel"/>
    <w:tmpl w:val="C98037D3"/>
    <w:lvl w:ilvl="0" w:tentative="0">
      <w:start w:val="1"/>
      <w:numFmt w:val="chineseCounting"/>
      <w:suff w:val="nothing"/>
      <w:lvlText w:val="%1、"/>
      <w:lvlJc w:val="left"/>
      <w:rPr>
        <w:rFonts w:hint="eastAsia"/>
      </w:rPr>
    </w:lvl>
  </w:abstractNum>
  <w:abstractNum w:abstractNumId="8">
    <w:nsid w:val="CC9082DA"/>
    <w:multiLevelType w:val="singleLevel"/>
    <w:tmpl w:val="CC9082DA"/>
    <w:lvl w:ilvl="0" w:tentative="0">
      <w:start w:val="4"/>
      <w:numFmt w:val="decimal"/>
      <w:suff w:val="space"/>
      <w:lvlText w:val="%1."/>
      <w:lvlJc w:val="left"/>
    </w:lvl>
  </w:abstractNum>
  <w:abstractNum w:abstractNumId="9">
    <w:nsid w:val="CFE7C3F8"/>
    <w:multiLevelType w:val="singleLevel"/>
    <w:tmpl w:val="CFE7C3F8"/>
    <w:lvl w:ilvl="0" w:tentative="0">
      <w:start w:val="1"/>
      <w:numFmt w:val="decimal"/>
      <w:suff w:val="nothing"/>
      <w:lvlText w:val="（%1）"/>
      <w:lvlJc w:val="left"/>
    </w:lvl>
  </w:abstractNum>
  <w:abstractNum w:abstractNumId="10">
    <w:nsid w:val="D9D6053E"/>
    <w:multiLevelType w:val="singleLevel"/>
    <w:tmpl w:val="D9D6053E"/>
    <w:lvl w:ilvl="0" w:tentative="0">
      <w:start w:val="1"/>
      <w:numFmt w:val="decimal"/>
      <w:suff w:val="nothing"/>
      <w:lvlText w:val="%1、"/>
      <w:lvlJc w:val="left"/>
    </w:lvl>
  </w:abstractNum>
  <w:abstractNum w:abstractNumId="11">
    <w:nsid w:val="DDECD3BC"/>
    <w:multiLevelType w:val="singleLevel"/>
    <w:tmpl w:val="DDECD3BC"/>
    <w:lvl w:ilvl="0" w:tentative="0">
      <w:start w:val="6"/>
      <w:numFmt w:val="decimal"/>
      <w:suff w:val="space"/>
      <w:lvlText w:val="%1."/>
      <w:lvlJc w:val="left"/>
    </w:lvl>
  </w:abstractNum>
  <w:abstractNum w:abstractNumId="12">
    <w:nsid w:val="DE759F4B"/>
    <w:multiLevelType w:val="singleLevel"/>
    <w:tmpl w:val="DE759F4B"/>
    <w:lvl w:ilvl="0" w:tentative="0">
      <w:start w:val="2"/>
      <w:numFmt w:val="decimal"/>
      <w:suff w:val="space"/>
      <w:lvlText w:val="%1."/>
      <w:lvlJc w:val="left"/>
    </w:lvl>
  </w:abstractNum>
  <w:abstractNum w:abstractNumId="13">
    <w:nsid w:val="DEABE1DB"/>
    <w:multiLevelType w:val="singleLevel"/>
    <w:tmpl w:val="DEABE1DB"/>
    <w:lvl w:ilvl="0" w:tentative="0">
      <w:start w:val="23"/>
      <w:numFmt w:val="decimal"/>
      <w:suff w:val="space"/>
      <w:lvlText w:val="%1."/>
      <w:lvlJc w:val="left"/>
    </w:lvl>
  </w:abstractNum>
  <w:abstractNum w:abstractNumId="14">
    <w:nsid w:val="E03340A1"/>
    <w:multiLevelType w:val="singleLevel"/>
    <w:tmpl w:val="E03340A1"/>
    <w:lvl w:ilvl="0" w:tentative="0">
      <w:start w:val="11"/>
      <w:numFmt w:val="decimal"/>
      <w:lvlText w:val="%1."/>
      <w:lvlJc w:val="left"/>
      <w:pPr>
        <w:tabs>
          <w:tab w:val="left" w:pos="312"/>
        </w:tabs>
      </w:pPr>
    </w:lvl>
  </w:abstractNum>
  <w:abstractNum w:abstractNumId="15">
    <w:nsid w:val="E7594434"/>
    <w:multiLevelType w:val="singleLevel"/>
    <w:tmpl w:val="E7594434"/>
    <w:lvl w:ilvl="0" w:tentative="0">
      <w:start w:val="1"/>
      <w:numFmt w:val="decimal"/>
      <w:lvlText w:val="%1."/>
      <w:lvlJc w:val="left"/>
      <w:pPr>
        <w:tabs>
          <w:tab w:val="left" w:pos="312"/>
        </w:tabs>
      </w:pPr>
    </w:lvl>
  </w:abstractNum>
  <w:abstractNum w:abstractNumId="16">
    <w:nsid w:val="E7D20A0F"/>
    <w:multiLevelType w:val="singleLevel"/>
    <w:tmpl w:val="E7D20A0F"/>
    <w:lvl w:ilvl="0" w:tentative="0">
      <w:start w:val="22"/>
      <w:numFmt w:val="decimal"/>
      <w:suff w:val="nothing"/>
      <w:lvlText w:val="%1、"/>
      <w:lvlJc w:val="left"/>
    </w:lvl>
  </w:abstractNum>
  <w:abstractNum w:abstractNumId="17">
    <w:nsid w:val="EB6A9224"/>
    <w:multiLevelType w:val="singleLevel"/>
    <w:tmpl w:val="EB6A9224"/>
    <w:lvl w:ilvl="0" w:tentative="0">
      <w:start w:val="1"/>
      <w:numFmt w:val="chineseCounting"/>
      <w:suff w:val="nothing"/>
      <w:lvlText w:val="%1、"/>
      <w:lvlJc w:val="left"/>
      <w:rPr>
        <w:rFonts w:hint="eastAsia"/>
      </w:rPr>
    </w:lvl>
  </w:abstractNum>
  <w:abstractNum w:abstractNumId="18">
    <w:nsid w:val="F7CF1255"/>
    <w:multiLevelType w:val="singleLevel"/>
    <w:tmpl w:val="F7CF1255"/>
    <w:lvl w:ilvl="0" w:tentative="0">
      <w:start w:val="1"/>
      <w:numFmt w:val="decimal"/>
      <w:lvlText w:val="%1."/>
      <w:lvlJc w:val="left"/>
      <w:pPr>
        <w:tabs>
          <w:tab w:val="left" w:pos="312"/>
        </w:tabs>
      </w:pPr>
    </w:lvl>
  </w:abstractNum>
  <w:abstractNum w:abstractNumId="19">
    <w:nsid w:val="FFEFC674"/>
    <w:multiLevelType w:val="singleLevel"/>
    <w:tmpl w:val="FFEFC674"/>
    <w:lvl w:ilvl="0" w:tentative="0">
      <w:start w:val="1"/>
      <w:numFmt w:val="decimal"/>
      <w:suff w:val="nothing"/>
      <w:lvlText w:val="（%1）"/>
      <w:lvlJc w:val="left"/>
    </w:lvl>
  </w:abstractNum>
  <w:abstractNum w:abstractNumId="20">
    <w:nsid w:val="036B8BA8"/>
    <w:multiLevelType w:val="singleLevel"/>
    <w:tmpl w:val="036B8BA8"/>
    <w:lvl w:ilvl="0" w:tentative="0">
      <w:start w:val="1"/>
      <w:numFmt w:val="chineseCounting"/>
      <w:suff w:val="nothing"/>
      <w:lvlText w:val="（%1）"/>
      <w:lvlJc w:val="left"/>
      <w:rPr>
        <w:rFonts w:hint="eastAsia"/>
      </w:rPr>
    </w:lvl>
  </w:abstractNum>
  <w:abstractNum w:abstractNumId="21">
    <w:nsid w:val="31F47BE4"/>
    <w:multiLevelType w:val="singleLevel"/>
    <w:tmpl w:val="31F47BE4"/>
    <w:lvl w:ilvl="0" w:tentative="0">
      <w:start w:val="1"/>
      <w:numFmt w:val="decimal"/>
      <w:suff w:val="nothing"/>
      <w:lvlText w:val="%1、"/>
      <w:lvlJc w:val="left"/>
    </w:lvl>
  </w:abstractNum>
  <w:abstractNum w:abstractNumId="22">
    <w:nsid w:val="3284FD3D"/>
    <w:multiLevelType w:val="singleLevel"/>
    <w:tmpl w:val="3284FD3D"/>
    <w:lvl w:ilvl="0" w:tentative="0">
      <w:start w:val="9"/>
      <w:numFmt w:val="chineseCounting"/>
      <w:suff w:val="nothing"/>
      <w:lvlText w:val="%1、"/>
      <w:lvlJc w:val="left"/>
      <w:rPr>
        <w:rFonts w:hint="eastAsia"/>
      </w:rPr>
    </w:lvl>
  </w:abstractNum>
  <w:abstractNum w:abstractNumId="23">
    <w:nsid w:val="39E99C24"/>
    <w:multiLevelType w:val="singleLevel"/>
    <w:tmpl w:val="39E99C24"/>
    <w:lvl w:ilvl="0" w:tentative="0">
      <w:start w:val="1"/>
      <w:numFmt w:val="decimal"/>
      <w:lvlText w:val="%1."/>
      <w:lvlJc w:val="left"/>
      <w:pPr>
        <w:tabs>
          <w:tab w:val="left" w:pos="312"/>
        </w:tabs>
      </w:pPr>
    </w:lvl>
  </w:abstractNum>
  <w:abstractNum w:abstractNumId="24">
    <w:nsid w:val="49B505A0"/>
    <w:multiLevelType w:val="singleLevel"/>
    <w:tmpl w:val="49B505A0"/>
    <w:lvl w:ilvl="0" w:tentative="0">
      <w:start w:val="1"/>
      <w:numFmt w:val="chineseCounting"/>
      <w:suff w:val="nothing"/>
      <w:lvlText w:val="%1、"/>
      <w:lvlJc w:val="left"/>
      <w:rPr>
        <w:rFonts w:hint="eastAsia"/>
      </w:rPr>
    </w:lvl>
  </w:abstractNum>
  <w:abstractNum w:abstractNumId="25">
    <w:nsid w:val="7A0F6431"/>
    <w:multiLevelType w:val="singleLevel"/>
    <w:tmpl w:val="7A0F6431"/>
    <w:lvl w:ilvl="0" w:tentative="0">
      <w:start w:val="1"/>
      <w:numFmt w:val="decimal"/>
      <w:suff w:val="space"/>
      <w:lvlText w:val="%1."/>
      <w:lvlJc w:val="left"/>
    </w:lvl>
  </w:abstractNum>
  <w:abstractNum w:abstractNumId="26">
    <w:nsid w:val="7C6E66CC"/>
    <w:multiLevelType w:val="singleLevel"/>
    <w:tmpl w:val="7C6E66CC"/>
    <w:lvl w:ilvl="0" w:tentative="0">
      <w:start w:val="7"/>
      <w:numFmt w:val="decimal"/>
      <w:lvlText w:val="%1."/>
      <w:lvlJc w:val="left"/>
      <w:pPr>
        <w:tabs>
          <w:tab w:val="left" w:pos="312"/>
        </w:tabs>
      </w:pPr>
    </w:lvl>
  </w:abstractNum>
  <w:abstractNum w:abstractNumId="27">
    <w:nsid w:val="7DF82797"/>
    <w:multiLevelType w:val="singleLevel"/>
    <w:tmpl w:val="7DF82797"/>
    <w:lvl w:ilvl="0" w:tentative="0">
      <w:start w:val="1"/>
      <w:numFmt w:val="decimal"/>
      <w:lvlText w:val="%1."/>
      <w:lvlJc w:val="left"/>
      <w:pPr>
        <w:tabs>
          <w:tab w:val="left" w:pos="312"/>
        </w:tabs>
      </w:pPr>
    </w:lvl>
  </w:abstractNum>
  <w:num w:numId="1">
    <w:abstractNumId w:val="14"/>
  </w:num>
  <w:num w:numId="2">
    <w:abstractNumId w:val="26"/>
  </w:num>
  <w:num w:numId="3">
    <w:abstractNumId w:val="16"/>
  </w:num>
  <w:num w:numId="4">
    <w:abstractNumId w:val="22"/>
  </w:num>
  <w:num w:numId="5">
    <w:abstractNumId w:val="5"/>
  </w:num>
  <w:num w:numId="6">
    <w:abstractNumId w:val="8"/>
  </w:num>
  <w:num w:numId="7">
    <w:abstractNumId w:val="18"/>
  </w:num>
  <w:num w:numId="8">
    <w:abstractNumId w:val="0"/>
  </w:num>
  <w:num w:numId="9">
    <w:abstractNumId w:val="24"/>
  </w:num>
  <w:num w:numId="10">
    <w:abstractNumId w:val="17"/>
  </w:num>
  <w:num w:numId="11">
    <w:abstractNumId w:val="20"/>
  </w:num>
  <w:num w:numId="12">
    <w:abstractNumId w:val="21"/>
  </w:num>
  <w:num w:numId="13">
    <w:abstractNumId w:val="1"/>
  </w:num>
  <w:num w:numId="14">
    <w:abstractNumId w:val="3"/>
  </w:num>
  <w:num w:numId="15">
    <w:abstractNumId w:val="15"/>
  </w:num>
  <w:num w:numId="16">
    <w:abstractNumId w:val="23"/>
  </w:num>
  <w:num w:numId="17">
    <w:abstractNumId w:val="27"/>
  </w:num>
  <w:num w:numId="18">
    <w:abstractNumId w:val="2"/>
  </w:num>
  <w:num w:numId="19">
    <w:abstractNumId w:val="6"/>
  </w:num>
  <w:num w:numId="20">
    <w:abstractNumId w:val="10"/>
  </w:num>
  <w:num w:numId="21">
    <w:abstractNumId w:val="7"/>
  </w:num>
  <w:num w:numId="22">
    <w:abstractNumId w:val="25"/>
  </w:num>
  <w:num w:numId="23">
    <w:abstractNumId w:val="9"/>
  </w:num>
  <w:num w:numId="24">
    <w:abstractNumId w:val="19"/>
  </w:num>
  <w:num w:numId="25">
    <w:abstractNumId w:val="12"/>
  </w:num>
  <w:num w:numId="26">
    <w:abstractNumId w:val="11"/>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NiOTlhNDE5MTIxYWEwOTIzN2ZmZjE3YjBhY2UifQ=="/>
    <w:docVar w:name="KSO_WPS_MARK_KEY" w:val="0cd63cc8-47db-41e5-82f6-bf5ed7927da6"/>
  </w:docVars>
  <w:rsids>
    <w:rsidRoot w:val="00E57B92"/>
    <w:rsid w:val="00001BB9"/>
    <w:rsid w:val="00001C41"/>
    <w:rsid w:val="00004B07"/>
    <w:rsid w:val="00012690"/>
    <w:rsid w:val="00012693"/>
    <w:rsid w:val="00013AAD"/>
    <w:rsid w:val="0001477A"/>
    <w:rsid w:val="000160E7"/>
    <w:rsid w:val="00016146"/>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41F84"/>
    <w:rsid w:val="000422DC"/>
    <w:rsid w:val="000426A5"/>
    <w:rsid w:val="00042B43"/>
    <w:rsid w:val="00044C2E"/>
    <w:rsid w:val="0004516D"/>
    <w:rsid w:val="00046EBA"/>
    <w:rsid w:val="000475DF"/>
    <w:rsid w:val="0005111A"/>
    <w:rsid w:val="0005232E"/>
    <w:rsid w:val="00052E87"/>
    <w:rsid w:val="00054E52"/>
    <w:rsid w:val="000614D1"/>
    <w:rsid w:val="00065472"/>
    <w:rsid w:val="00065951"/>
    <w:rsid w:val="00065FC9"/>
    <w:rsid w:val="000661F6"/>
    <w:rsid w:val="00066921"/>
    <w:rsid w:val="00066D8C"/>
    <w:rsid w:val="00067C4F"/>
    <w:rsid w:val="00073C68"/>
    <w:rsid w:val="00077520"/>
    <w:rsid w:val="00077995"/>
    <w:rsid w:val="0008019D"/>
    <w:rsid w:val="000810CF"/>
    <w:rsid w:val="000813F7"/>
    <w:rsid w:val="00082608"/>
    <w:rsid w:val="0009000E"/>
    <w:rsid w:val="00093F5D"/>
    <w:rsid w:val="000946C4"/>
    <w:rsid w:val="000975E8"/>
    <w:rsid w:val="00097FD6"/>
    <w:rsid w:val="000A2692"/>
    <w:rsid w:val="000A4349"/>
    <w:rsid w:val="000B0DB5"/>
    <w:rsid w:val="000B1576"/>
    <w:rsid w:val="000B24A1"/>
    <w:rsid w:val="000B3E41"/>
    <w:rsid w:val="000B53E8"/>
    <w:rsid w:val="000B54BA"/>
    <w:rsid w:val="000B5D4A"/>
    <w:rsid w:val="000B6457"/>
    <w:rsid w:val="000C1488"/>
    <w:rsid w:val="000C233C"/>
    <w:rsid w:val="000C23CE"/>
    <w:rsid w:val="000C2605"/>
    <w:rsid w:val="000C5F92"/>
    <w:rsid w:val="000C6B4F"/>
    <w:rsid w:val="000D19B1"/>
    <w:rsid w:val="000D221E"/>
    <w:rsid w:val="000D228B"/>
    <w:rsid w:val="000D2BAD"/>
    <w:rsid w:val="000D4AA8"/>
    <w:rsid w:val="000D4CA0"/>
    <w:rsid w:val="000D5462"/>
    <w:rsid w:val="000D6065"/>
    <w:rsid w:val="000D7688"/>
    <w:rsid w:val="000E02B7"/>
    <w:rsid w:val="000E18B0"/>
    <w:rsid w:val="000E4001"/>
    <w:rsid w:val="000F0060"/>
    <w:rsid w:val="000F42FE"/>
    <w:rsid w:val="000F43CE"/>
    <w:rsid w:val="000F4584"/>
    <w:rsid w:val="000F4EB0"/>
    <w:rsid w:val="000F535C"/>
    <w:rsid w:val="000F54FC"/>
    <w:rsid w:val="000F6025"/>
    <w:rsid w:val="000F74B2"/>
    <w:rsid w:val="00100C84"/>
    <w:rsid w:val="001043ED"/>
    <w:rsid w:val="00105AFE"/>
    <w:rsid w:val="0010791A"/>
    <w:rsid w:val="0011027F"/>
    <w:rsid w:val="00111624"/>
    <w:rsid w:val="0011292D"/>
    <w:rsid w:val="001136E4"/>
    <w:rsid w:val="00113A1D"/>
    <w:rsid w:val="00117AB3"/>
    <w:rsid w:val="00122CAF"/>
    <w:rsid w:val="00125838"/>
    <w:rsid w:val="00125CA9"/>
    <w:rsid w:val="00127B34"/>
    <w:rsid w:val="0013049E"/>
    <w:rsid w:val="001318FF"/>
    <w:rsid w:val="00131E98"/>
    <w:rsid w:val="001355F0"/>
    <w:rsid w:val="0013690F"/>
    <w:rsid w:val="00136CBE"/>
    <w:rsid w:val="00136D58"/>
    <w:rsid w:val="00140FD1"/>
    <w:rsid w:val="001413A7"/>
    <w:rsid w:val="00141669"/>
    <w:rsid w:val="001416F1"/>
    <w:rsid w:val="001433CB"/>
    <w:rsid w:val="0014402F"/>
    <w:rsid w:val="00144FFC"/>
    <w:rsid w:val="00145365"/>
    <w:rsid w:val="00154346"/>
    <w:rsid w:val="00154475"/>
    <w:rsid w:val="00156E77"/>
    <w:rsid w:val="00157098"/>
    <w:rsid w:val="00161EFD"/>
    <w:rsid w:val="00162625"/>
    <w:rsid w:val="00162CA7"/>
    <w:rsid w:val="00162DFA"/>
    <w:rsid w:val="001639E0"/>
    <w:rsid w:val="00164CF9"/>
    <w:rsid w:val="00167AB2"/>
    <w:rsid w:val="00170C99"/>
    <w:rsid w:val="00171EC6"/>
    <w:rsid w:val="00174BFF"/>
    <w:rsid w:val="001763E9"/>
    <w:rsid w:val="00180165"/>
    <w:rsid w:val="001801BC"/>
    <w:rsid w:val="001806CC"/>
    <w:rsid w:val="00182521"/>
    <w:rsid w:val="001831F8"/>
    <w:rsid w:val="001855F8"/>
    <w:rsid w:val="0018684F"/>
    <w:rsid w:val="001875F6"/>
    <w:rsid w:val="00194926"/>
    <w:rsid w:val="00195EA6"/>
    <w:rsid w:val="00196F94"/>
    <w:rsid w:val="001A5310"/>
    <w:rsid w:val="001A68F7"/>
    <w:rsid w:val="001A77AB"/>
    <w:rsid w:val="001B1D7D"/>
    <w:rsid w:val="001B1F40"/>
    <w:rsid w:val="001B239E"/>
    <w:rsid w:val="001B2A26"/>
    <w:rsid w:val="001B5B3B"/>
    <w:rsid w:val="001B777E"/>
    <w:rsid w:val="001B7830"/>
    <w:rsid w:val="001C037C"/>
    <w:rsid w:val="001C0B9E"/>
    <w:rsid w:val="001C0E1B"/>
    <w:rsid w:val="001C2596"/>
    <w:rsid w:val="001C2900"/>
    <w:rsid w:val="001C2C83"/>
    <w:rsid w:val="001C3253"/>
    <w:rsid w:val="001C727E"/>
    <w:rsid w:val="001C7768"/>
    <w:rsid w:val="001D193D"/>
    <w:rsid w:val="001D1C2D"/>
    <w:rsid w:val="001D3D0C"/>
    <w:rsid w:val="001D6825"/>
    <w:rsid w:val="001D7B0A"/>
    <w:rsid w:val="001E07E0"/>
    <w:rsid w:val="001E60C2"/>
    <w:rsid w:val="001F2483"/>
    <w:rsid w:val="001F3357"/>
    <w:rsid w:val="001F34E7"/>
    <w:rsid w:val="001F4F71"/>
    <w:rsid w:val="0020130C"/>
    <w:rsid w:val="002021E6"/>
    <w:rsid w:val="002025EF"/>
    <w:rsid w:val="002042E9"/>
    <w:rsid w:val="00210A09"/>
    <w:rsid w:val="00210C7B"/>
    <w:rsid w:val="002112FE"/>
    <w:rsid w:val="002119B2"/>
    <w:rsid w:val="00213FA3"/>
    <w:rsid w:val="002152E4"/>
    <w:rsid w:val="002155ED"/>
    <w:rsid w:val="00215EAA"/>
    <w:rsid w:val="0021665F"/>
    <w:rsid w:val="0021669A"/>
    <w:rsid w:val="00216960"/>
    <w:rsid w:val="00217C83"/>
    <w:rsid w:val="00220AD9"/>
    <w:rsid w:val="00221B59"/>
    <w:rsid w:val="00221F2F"/>
    <w:rsid w:val="0022355C"/>
    <w:rsid w:val="002249F3"/>
    <w:rsid w:val="0023157B"/>
    <w:rsid w:val="00231C4F"/>
    <w:rsid w:val="002325A6"/>
    <w:rsid w:val="00232CE7"/>
    <w:rsid w:val="002352BE"/>
    <w:rsid w:val="00237FEE"/>
    <w:rsid w:val="002401F4"/>
    <w:rsid w:val="00240477"/>
    <w:rsid w:val="00240550"/>
    <w:rsid w:val="002405E2"/>
    <w:rsid w:val="00242B02"/>
    <w:rsid w:val="00246631"/>
    <w:rsid w:val="00247374"/>
    <w:rsid w:val="00251186"/>
    <w:rsid w:val="002524F2"/>
    <w:rsid w:val="002539B4"/>
    <w:rsid w:val="002547A8"/>
    <w:rsid w:val="0025495B"/>
    <w:rsid w:val="00255DED"/>
    <w:rsid w:val="00255FF4"/>
    <w:rsid w:val="00257075"/>
    <w:rsid w:val="00260578"/>
    <w:rsid w:val="00262137"/>
    <w:rsid w:val="00264176"/>
    <w:rsid w:val="00264A01"/>
    <w:rsid w:val="0026542D"/>
    <w:rsid w:val="00265DD3"/>
    <w:rsid w:val="0026796C"/>
    <w:rsid w:val="0027019C"/>
    <w:rsid w:val="00270826"/>
    <w:rsid w:val="00271454"/>
    <w:rsid w:val="00272BDE"/>
    <w:rsid w:val="00273E33"/>
    <w:rsid w:val="0027578A"/>
    <w:rsid w:val="0027634E"/>
    <w:rsid w:val="0028080A"/>
    <w:rsid w:val="002823A4"/>
    <w:rsid w:val="00282616"/>
    <w:rsid w:val="00282C9A"/>
    <w:rsid w:val="00284740"/>
    <w:rsid w:val="00292F01"/>
    <w:rsid w:val="002948D3"/>
    <w:rsid w:val="002A0CF3"/>
    <w:rsid w:val="002A1634"/>
    <w:rsid w:val="002A16F5"/>
    <w:rsid w:val="002A3270"/>
    <w:rsid w:val="002A3CE6"/>
    <w:rsid w:val="002A5B6F"/>
    <w:rsid w:val="002A61B8"/>
    <w:rsid w:val="002A61ED"/>
    <w:rsid w:val="002A7AA6"/>
    <w:rsid w:val="002B6F80"/>
    <w:rsid w:val="002B768B"/>
    <w:rsid w:val="002B77EC"/>
    <w:rsid w:val="002B7ACD"/>
    <w:rsid w:val="002C0109"/>
    <w:rsid w:val="002C2854"/>
    <w:rsid w:val="002C3E10"/>
    <w:rsid w:val="002C559D"/>
    <w:rsid w:val="002C6888"/>
    <w:rsid w:val="002C7E62"/>
    <w:rsid w:val="002D1F26"/>
    <w:rsid w:val="002D215C"/>
    <w:rsid w:val="002D268A"/>
    <w:rsid w:val="002D26A0"/>
    <w:rsid w:val="002D38D1"/>
    <w:rsid w:val="002D6672"/>
    <w:rsid w:val="002D6C92"/>
    <w:rsid w:val="002D72AE"/>
    <w:rsid w:val="002E07B6"/>
    <w:rsid w:val="002E2DFB"/>
    <w:rsid w:val="002E2F78"/>
    <w:rsid w:val="002E65F0"/>
    <w:rsid w:val="002E6C59"/>
    <w:rsid w:val="002E76FF"/>
    <w:rsid w:val="002F1BA1"/>
    <w:rsid w:val="002F65DB"/>
    <w:rsid w:val="002F7908"/>
    <w:rsid w:val="002F7E05"/>
    <w:rsid w:val="00300D4D"/>
    <w:rsid w:val="00301154"/>
    <w:rsid w:val="00302C49"/>
    <w:rsid w:val="00302CF9"/>
    <w:rsid w:val="00305BD2"/>
    <w:rsid w:val="003142C3"/>
    <w:rsid w:val="00315175"/>
    <w:rsid w:val="00316C8B"/>
    <w:rsid w:val="003208FF"/>
    <w:rsid w:val="00321568"/>
    <w:rsid w:val="00321C9B"/>
    <w:rsid w:val="0032226C"/>
    <w:rsid w:val="003227D2"/>
    <w:rsid w:val="00323A89"/>
    <w:rsid w:val="00324D05"/>
    <w:rsid w:val="00326145"/>
    <w:rsid w:val="003263A4"/>
    <w:rsid w:val="003271F9"/>
    <w:rsid w:val="003272A0"/>
    <w:rsid w:val="0033094F"/>
    <w:rsid w:val="00336DF8"/>
    <w:rsid w:val="00337770"/>
    <w:rsid w:val="00337BC9"/>
    <w:rsid w:val="003411FA"/>
    <w:rsid w:val="003420EA"/>
    <w:rsid w:val="0034230C"/>
    <w:rsid w:val="00343FD7"/>
    <w:rsid w:val="003445FF"/>
    <w:rsid w:val="00346554"/>
    <w:rsid w:val="00347E76"/>
    <w:rsid w:val="00351623"/>
    <w:rsid w:val="003518BE"/>
    <w:rsid w:val="00352A04"/>
    <w:rsid w:val="00352CF9"/>
    <w:rsid w:val="00357509"/>
    <w:rsid w:val="0036014D"/>
    <w:rsid w:val="003615A5"/>
    <w:rsid w:val="00364015"/>
    <w:rsid w:val="00366B17"/>
    <w:rsid w:val="00366F3D"/>
    <w:rsid w:val="00367BA5"/>
    <w:rsid w:val="00370902"/>
    <w:rsid w:val="003709F3"/>
    <w:rsid w:val="00371869"/>
    <w:rsid w:val="00371D43"/>
    <w:rsid w:val="00374871"/>
    <w:rsid w:val="00374D58"/>
    <w:rsid w:val="00375AEC"/>
    <w:rsid w:val="0038073D"/>
    <w:rsid w:val="00380EA9"/>
    <w:rsid w:val="003817AE"/>
    <w:rsid w:val="00386986"/>
    <w:rsid w:val="003874A3"/>
    <w:rsid w:val="00390BAF"/>
    <w:rsid w:val="00390DD8"/>
    <w:rsid w:val="00392F1E"/>
    <w:rsid w:val="003942DD"/>
    <w:rsid w:val="00397210"/>
    <w:rsid w:val="003975CE"/>
    <w:rsid w:val="003A4DAF"/>
    <w:rsid w:val="003A7B6F"/>
    <w:rsid w:val="003B1502"/>
    <w:rsid w:val="003B1B76"/>
    <w:rsid w:val="003B2309"/>
    <w:rsid w:val="003B2C3A"/>
    <w:rsid w:val="003B33A7"/>
    <w:rsid w:val="003B55D9"/>
    <w:rsid w:val="003B5B92"/>
    <w:rsid w:val="003B6A99"/>
    <w:rsid w:val="003B7B24"/>
    <w:rsid w:val="003B7C00"/>
    <w:rsid w:val="003C1641"/>
    <w:rsid w:val="003C3157"/>
    <w:rsid w:val="003C53A2"/>
    <w:rsid w:val="003C7446"/>
    <w:rsid w:val="003C7567"/>
    <w:rsid w:val="003D07F3"/>
    <w:rsid w:val="003D12A1"/>
    <w:rsid w:val="003D4542"/>
    <w:rsid w:val="003D46B5"/>
    <w:rsid w:val="003E15B3"/>
    <w:rsid w:val="003E33B0"/>
    <w:rsid w:val="003E5074"/>
    <w:rsid w:val="003E53A6"/>
    <w:rsid w:val="003E5FCE"/>
    <w:rsid w:val="003F09E7"/>
    <w:rsid w:val="003F0D7B"/>
    <w:rsid w:val="003F3B4E"/>
    <w:rsid w:val="003F4CE4"/>
    <w:rsid w:val="003F59AB"/>
    <w:rsid w:val="00400617"/>
    <w:rsid w:val="00400EE1"/>
    <w:rsid w:val="004048FF"/>
    <w:rsid w:val="00404E61"/>
    <w:rsid w:val="00404ED4"/>
    <w:rsid w:val="00405FCF"/>
    <w:rsid w:val="0040671E"/>
    <w:rsid w:val="00411508"/>
    <w:rsid w:val="00415C8B"/>
    <w:rsid w:val="00415D4D"/>
    <w:rsid w:val="00420384"/>
    <w:rsid w:val="00421836"/>
    <w:rsid w:val="00422BDF"/>
    <w:rsid w:val="00423B38"/>
    <w:rsid w:val="00430651"/>
    <w:rsid w:val="00430768"/>
    <w:rsid w:val="00431DAB"/>
    <w:rsid w:val="00434DE9"/>
    <w:rsid w:val="004358FB"/>
    <w:rsid w:val="00435FD1"/>
    <w:rsid w:val="00436B2B"/>
    <w:rsid w:val="00437B17"/>
    <w:rsid w:val="00441020"/>
    <w:rsid w:val="0044440E"/>
    <w:rsid w:val="00444822"/>
    <w:rsid w:val="004450F6"/>
    <w:rsid w:val="0044527C"/>
    <w:rsid w:val="0045055B"/>
    <w:rsid w:val="004523EC"/>
    <w:rsid w:val="00452CDB"/>
    <w:rsid w:val="00453BE2"/>
    <w:rsid w:val="00455A03"/>
    <w:rsid w:val="004563C5"/>
    <w:rsid w:val="00460493"/>
    <w:rsid w:val="00460591"/>
    <w:rsid w:val="00462766"/>
    <w:rsid w:val="00464A7D"/>
    <w:rsid w:val="00464AFC"/>
    <w:rsid w:val="004657CE"/>
    <w:rsid w:val="00466DA0"/>
    <w:rsid w:val="00467600"/>
    <w:rsid w:val="00467F86"/>
    <w:rsid w:val="00472321"/>
    <w:rsid w:val="00476EC0"/>
    <w:rsid w:val="004774C7"/>
    <w:rsid w:val="00480613"/>
    <w:rsid w:val="004806FD"/>
    <w:rsid w:val="00482331"/>
    <w:rsid w:val="00486726"/>
    <w:rsid w:val="00486880"/>
    <w:rsid w:val="004878D5"/>
    <w:rsid w:val="00487F18"/>
    <w:rsid w:val="00492C3B"/>
    <w:rsid w:val="004936ED"/>
    <w:rsid w:val="00496AF2"/>
    <w:rsid w:val="004A1466"/>
    <w:rsid w:val="004A36ED"/>
    <w:rsid w:val="004A3702"/>
    <w:rsid w:val="004A3BF2"/>
    <w:rsid w:val="004A44FE"/>
    <w:rsid w:val="004A64E8"/>
    <w:rsid w:val="004B0336"/>
    <w:rsid w:val="004B0B67"/>
    <w:rsid w:val="004B44A1"/>
    <w:rsid w:val="004B5442"/>
    <w:rsid w:val="004B56BE"/>
    <w:rsid w:val="004C05C5"/>
    <w:rsid w:val="004C3728"/>
    <w:rsid w:val="004C510E"/>
    <w:rsid w:val="004C591D"/>
    <w:rsid w:val="004C6BB2"/>
    <w:rsid w:val="004C70EF"/>
    <w:rsid w:val="004C71BC"/>
    <w:rsid w:val="004D039E"/>
    <w:rsid w:val="004D196C"/>
    <w:rsid w:val="004D566B"/>
    <w:rsid w:val="004D66D9"/>
    <w:rsid w:val="004D725D"/>
    <w:rsid w:val="004D7335"/>
    <w:rsid w:val="004E6A33"/>
    <w:rsid w:val="004E7F2D"/>
    <w:rsid w:val="004F0070"/>
    <w:rsid w:val="004F120E"/>
    <w:rsid w:val="004F1429"/>
    <w:rsid w:val="004F3B61"/>
    <w:rsid w:val="00501D4A"/>
    <w:rsid w:val="00502971"/>
    <w:rsid w:val="005057DF"/>
    <w:rsid w:val="00507933"/>
    <w:rsid w:val="005145E9"/>
    <w:rsid w:val="005168DD"/>
    <w:rsid w:val="005169E9"/>
    <w:rsid w:val="0051748A"/>
    <w:rsid w:val="00517FD7"/>
    <w:rsid w:val="005202D0"/>
    <w:rsid w:val="00521ADD"/>
    <w:rsid w:val="00522A3E"/>
    <w:rsid w:val="00523A0A"/>
    <w:rsid w:val="00527064"/>
    <w:rsid w:val="005302A8"/>
    <w:rsid w:val="00531571"/>
    <w:rsid w:val="00531921"/>
    <w:rsid w:val="005326D3"/>
    <w:rsid w:val="00533779"/>
    <w:rsid w:val="005343BF"/>
    <w:rsid w:val="005355DD"/>
    <w:rsid w:val="00536DE6"/>
    <w:rsid w:val="0053748D"/>
    <w:rsid w:val="00537B64"/>
    <w:rsid w:val="005407FE"/>
    <w:rsid w:val="00541BFB"/>
    <w:rsid w:val="0054409A"/>
    <w:rsid w:val="0054480B"/>
    <w:rsid w:val="00545B99"/>
    <w:rsid w:val="00547CDF"/>
    <w:rsid w:val="00552C66"/>
    <w:rsid w:val="00555E7B"/>
    <w:rsid w:val="00556371"/>
    <w:rsid w:val="005565F1"/>
    <w:rsid w:val="005613D9"/>
    <w:rsid w:val="00567EFD"/>
    <w:rsid w:val="00572C54"/>
    <w:rsid w:val="00572C7A"/>
    <w:rsid w:val="00573BB0"/>
    <w:rsid w:val="00573CC5"/>
    <w:rsid w:val="0057770B"/>
    <w:rsid w:val="005819C3"/>
    <w:rsid w:val="00582AAF"/>
    <w:rsid w:val="0058617C"/>
    <w:rsid w:val="005863B2"/>
    <w:rsid w:val="005909EB"/>
    <w:rsid w:val="00590D61"/>
    <w:rsid w:val="00590EAC"/>
    <w:rsid w:val="005946EA"/>
    <w:rsid w:val="005A0551"/>
    <w:rsid w:val="005A0688"/>
    <w:rsid w:val="005A0706"/>
    <w:rsid w:val="005A160A"/>
    <w:rsid w:val="005A1FB4"/>
    <w:rsid w:val="005A2555"/>
    <w:rsid w:val="005A61AC"/>
    <w:rsid w:val="005A77E4"/>
    <w:rsid w:val="005B1AC6"/>
    <w:rsid w:val="005B43A2"/>
    <w:rsid w:val="005B5DC5"/>
    <w:rsid w:val="005B66F8"/>
    <w:rsid w:val="005B677A"/>
    <w:rsid w:val="005B7DF3"/>
    <w:rsid w:val="005C2319"/>
    <w:rsid w:val="005C4508"/>
    <w:rsid w:val="005C4747"/>
    <w:rsid w:val="005C67AC"/>
    <w:rsid w:val="005C7C63"/>
    <w:rsid w:val="005D1524"/>
    <w:rsid w:val="005D2C58"/>
    <w:rsid w:val="005D4A1F"/>
    <w:rsid w:val="005D5F30"/>
    <w:rsid w:val="005E07F7"/>
    <w:rsid w:val="005E17EC"/>
    <w:rsid w:val="005E190B"/>
    <w:rsid w:val="005E3471"/>
    <w:rsid w:val="005E44CF"/>
    <w:rsid w:val="005E463C"/>
    <w:rsid w:val="005E50C6"/>
    <w:rsid w:val="005E57D1"/>
    <w:rsid w:val="005E64A1"/>
    <w:rsid w:val="005E7F98"/>
    <w:rsid w:val="005F0ECE"/>
    <w:rsid w:val="005F11A0"/>
    <w:rsid w:val="005F3B20"/>
    <w:rsid w:val="005F4947"/>
    <w:rsid w:val="005F4A95"/>
    <w:rsid w:val="005F60D5"/>
    <w:rsid w:val="005F61DE"/>
    <w:rsid w:val="005F66AC"/>
    <w:rsid w:val="005F7ADB"/>
    <w:rsid w:val="006004BF"/>
    <w:rsid w:val="006031EF"/>
    <w:rsid w:val="00603B00"/>
    <w:rsid w:val="00603D99"/>
    <w:rsid w:val="00607546"/>
    <w:rsid w:val="00611D08"/>
    <w:rsid w:val="00612688"/>
    <w:rsid w:val="0061788C"/>
    <w:rsid w:val="00622DFF"/>
    <w:rsid w:val="00623F6D"/>
    <w:rsid w:val="00626A0C"/>
    <w:rsid w:val="00626AA2"/>
    <w:rsid w:val="00626C94"/>
    <w:rsid w:val="00626E79"/>
    <w:rsid w:val="00630A5F"/>
    <w:rsid w:val="00630EE4"/>
    <w:rsid w:val="00632E23"/>
    <w:rsid w:val="006330C7"/>
    <w:rsid w:val="00635294"/>
    <w:rsid w:val="00636588"/>
    <w:rsid w:val="006375D8"/>
    <w:rsid w:val="00637B8E"/>
    <w:rsid w:val="00637BE9"/>
    <w:rsid w:val="00641FB9"/>
    <w:rsid w:val="00642F1C"/>
    <w:rsid w:val="0064379D"/>
    <w:rsid w:val="00643CA5"/>
    <w:rsid w:val="00646835"/>
    <w:rsid w:val="006473F6"/>
    <w:rsid w:val="00647EE1"/>
    <w:rsid w:val="00651715"/>
    <w:rsid w:val="00651FC3"/>
    <w:rsid w:val="006520D9"/>
    <w:rsid w:val="0065278A"/>
    <w:rsid w:val="00652C06"/>
    <w:rsid w:val="00653FA4"/>
    <w:rsid w:val="006557B4"/>
    <w:rsid w:val="00655B60"/>
    <w:rsid w:val="00655CF0"/>
    <w:rsid w:val="006566E4"/>
    <w:rsid w:val="006579CF"/>
    <w:rsid w:val="00660987"/>
    <w:rsid w:val="00660BC2"/>
    <w:rsid w:val="00667F99"/>
    <w:rsid w:val="006703AD"/>
    <w:rsid w:val="00672FCC"/>
    <w:rsid w:val="006730D4"/>
    <w:rsid w:val="00673409"/>
    <w:rsid w:val="00673515"/>
    <w:rsid w:val="00673CA7"/>
    <w:rsid w:val="0067408D"/>
    <w:rsid w:val="00674C93"/>
    <w:rsid w:val="00674F91"/>
    <w:rsid w:val="006779BC"/>
    <w:rsid w:val="006801DB"/>
    <w:rsid w:val="00680DDD"/>
    <w:rsid w:val="006828DA"/>
    <w:rsid w:val="00682C5D"/>
    <w:rsid w:val="006844E4"/>
    <w:rsid w:val="00690CEE"/>
    <w:rsid w:val="00691BAC"/>
    <w:rsid w:val="0069312F"/>
    <w:rsid w:val="0069404C"/>
    <w:rsid w:val="00694F8D"/>
    <w:rsid w:val="0069570B"/>
    <w:rsid w:val="00697574"/>
    <w:rsid w:val="006A06A2"/>
    <w:rsid w:val="006A1AC9"/>
    <w:rsid w:val="006A254A"/>
    <w:rsid w:val="006A5800"/>
    <w:rsid w:val="006A647B"/>
    <w:rsid w:val="006A6712"/>
    <w:rsid w:val="006A6B0C"/>
    <w:rsid w:val="006A6F30"/>
    <w:rsid w:val="006A7306"/>
    <w:rsid w:val="006B0A53"/>
    <w:rsid w:val="006B2267"/>
    <w:rsid w:val="006B4E61"/>
    <w:rsid w:val="006B6C13"/>
    <w:rsid w:val="006C0BA6"/>
    <w:rsid w:val="006C2716"/>
    <w:rsid w:val="006C27DA"/>
    <w:rsid w:val="006C29E7"/>
    <w:rsid w:val="006C47F3"/>
    <w:rsid w:val="006C639F"/>
    <w:rsid w:val="006C657A"/>
    <w:rsid w:val="006C698B"/>
    <w:rsid w:val="006C6B72"/>
    <w:rsid w:val="006C7396"/>
    <w:rsid w:val="006C764F"/>
    <w:rsid w:val="006C7D5D"/>
    <w:rsid w:val="006D0214"/>
    <w:rsid w:val="006D1064"/>
    <w:rsid w:val="006D1FBB"/>
    <w:rsid w:val="006D31DF"/>
    <w:rsid w:val="006D3E96"/>
    <w:rsid w:val="006D4649"/>
    <w:rsid w:val="006D693E"/>
    <w:rsid w:val="006D6B04"/>
    <w:rsid w:val="006D7954"/>
    <w:rsid w:val="006E20D2"/>
    <w:rsid w:val="006E36AD"/>
    <w:rsid w:val="006E6F05"/>
    <w:rsid w:val="006F3207"/>
    <w:rsid w:val="006F430E"/>
    <w:rsid w:val="006F65D4"/>
    <w:rsid w:val="006F7D7D"/>
    <w:rsid w:val="00700210"/>
    <w:rsid w:val="00700DBE"/>
    <w:rsid w:val="00702635"/>
    <w:rsid w:val="0070397F"/>
    <w:rsid w:val="00707291"/>
    <w:rsid w:val="00707937"/>
    <w:rsid w:val="0071089E"/>
    <w:rsid w:val="00713F52"/>
    <w:rsid w:val="00714351"/>
    <w:rsid w:val="00716C52"/>
    <w:rsid w:val="0072022A"/>
    <w:rsid w:val="00720854"/>
    <w:rsid w:val="00720B40"/>
    <w:rsid w:val="00721AF6"/>
    <w:rsid w:val="007222CD"/>
    <w:rsid w:val="007222F7"/>
    <w:rsid w:val="00722A24"/>
    <w:rsid w:val="0072313A"/>
    <w:rsid w:val="00724910"/>
    <w:rsid w:val="00725E5D"/>
    <w:rsid w:val="0072618E"/>
    <w:rsid w:val="00731886"/>
    <w:rsid w:val="0073225D"/>
    <w:rsid w:val="00732FAE"/>
    <w:rsid w:val="0073311C"/>
    <w:rsid w:val="0073683B"/>
    <w:rsid w:val="0073737E"/>
    <w:rsid w:val="00737C15"/>
    <w:rsid w:val="0074089D"/>
    <w:rsid w:val="00741F29"/>
    <w:rsid w:val="007424BC"/>
    <w:rsid w:val="00743E24"/>
    <w:rsid w:val="007465AF"/>
    <w:rsid w:val="00746C61"/>
    <w:rsid w:val="00747202"/>
    <w:rsid w:val="00750D09"/>
    <w:rsid w:val="00750DB6"/>
    <w:rsid w:val="00754188"/>
    <w:rsid w:val="00754C0C"/>
    <w:rsid w:val="00754D38"/>
    <w:rsid w:val="00757316"/>
    <w:rsid w:val="0075777B"/>
    <w:rsid w:val="00757B7E"/>
    <w:rsid w:val="00760CA4"/>
    <w:rsid w:val="00762657"/>
    <w:rsid w:val="00764A5E"/>
    <w:rsid w:val="00764EF0"/>
    <w:rsid w:val="00765913"/>
    <w:rsid w:val="00767947"/>
    <w:rsid w:val="007708CF"/>
    <w:rsid w:val="00771F3D"/>
    <w:rsid w:val="00773221"/>
    <w:rsid w:val="0077332B"/>
    <w:rsid w:val="00773351"/>
    <w:rsid w:val="0077796C"/>
    <w:rsid w:val="0078215B"/>
    <w:rsid w:val="00782746"/>
    <w:rsid w:val="00784ECD"/>
    <w:rsid w:val="00785888"/>
    <w:rsid w:val="0079353F"/>
    <w:rsid w:val="007943A2"/>
    <w:rsid w:val="00795F9D"/>
    <w:rsid w:val="007969A0"/>
    <w:rsid w:val="00796F59"/>
    <w:rsid w:val="007A16D9"/>
    <w:rsid w:val="007A1FDE"/>
    <w:rsid w:val="007A2957"/>
    <w:rsid w:val="007A361B"/>
    <w:rsid w:val="007A4396"/>
    <w:rsid w:val="007A44DB"/>
    <w:rsid w:val="007B1317"/>
    <w:rsid w:val="007B14FC"/>
    <w:rsid w:val="007B2BC3"/>
    <w:rsid w:val="007B3330"/>
    <w:rsid w:val="007B3F30"/>
    <w:rsid w:val="007B4ECA"/>
    <w:rsid w:val="007B5BD5"/>
    <w:rsid w:val="007C03A4"/>
    <w:rsid w:val="007C1AB6"/>
    <w:rsid w:val="007C1E22"/>
    <w:rsid w:val="007C2F8A"/>
    <w:rsid w:val="007C43AD"/>
    <w:rsid w:val="007C512C"/>
    <w:rsid w:val="007C631A"/>
    <w:rsid w:val="007C67A0"/>
    <w:rsid w:val="007C6D0A"/>
    <w:rsid w:val="007C7094"/>
    <w:rsid w:val="007D1890"/>
    <w:rsid w:val="007D2A30"/>
    <w:rsid w:val="007D3312"/>
    <w:rsid w:val="007D3A1F"/>
    <w:rsid w:val="007D4550"/>
    <w:rsid w:val="007D545E"/>
    <w:rsid w:val="007D64BA"/>
    <w:rsid w:val="007D7EBF"/>
    <w:rsid w:val="007E18C2"/>
    <w:rsid w:val="007E300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5CE0"/>
    <w:rsid w:val="008062CF"/>
    <w:rsid w:val="00806ED2"/>
    <w:rsid w:val="008075F6"/>
    <w:rsid w:val="00807974"/>
    <w:rsid w:val="00807B59"/>
    <w:rsid w:val="00810279"/>
    <w:rsid w:val="00814337"/>
    <w:rsid w:val="00814E31"/>
    <w:rsid w:val="00814F49"/>
    <w:rsid w:val="00815EA8"/>
    <w:rsid w:val="00815FE6"/>
    <w:rsid w:val="00816A8C"/>
    <w:rsid w:val="008247D1"/>
    <w:rsid w:val="0082567A"/>
    <w:rsid w:val="0082759C"/>
    <w:rsid w:val="00827E8E"/>
    <w:rsid w:val="00843811"/>
    <w:rsid w:val="0084652A"/>
    <w:rsid w:val="00847F07"/>
    <w:rsid w:val="00847FFB"/>
    <w:rsid w:val="00851408"/>
    <w:rsid w:val="00851C18"/>
    <w:rsid w:val="00853D93"/>
    <w:rsid w:val="00854080"/>
    <w:rsid w:val="00854412"/>
    <w:rsid w:val="00855B0E"/>
    <w:rsid w:val="00856D47"/>
    <w:rsid w:val="00861D12"/>
    <w:rsid w:val="00861E84"/>
    <w:rsid w:val="008624BA"/>
    <w:rsid w:val="00862A60"/>
    <w:rsid w:val="00862EB5"/>
    <w:rsid w:val="0086387B"/>
    <w:rsid w:val="00865A15"/>
    <w:rsid w:val="00866CF3"/>
    <w:rsid w:val="008670DC"/>
    <w:rsid w:val="00871478"/>
    <w:rsid w:val="008718AF"/>
    <w:rsid w:val="00873D3B"/>
    <w:rsid w:val="00874327"/>
    <w:rsid w:val="0087499C"/>
    <w:rsid w:val="008766CE"/>
    <w:rsid w:val="0088114B"/>
    <w:rsid w:val="00882290"/>
    <w:rsid w:val="00883735"/>
    <w:rsid w:val="0088406E"/>
    <w:rsid w:val="008864CA"/>
    <w:rsid w:val="00891CB7"/>
    <w:rsid w:val="00894132"/>
    <w:rsid w:val="0089459F"/>
    <w:rsid w:val="00894EFA"/>
    <w:rsid w:val="008950E5"/>
    <w:rsid w:val="008951AC"/>
    <w:rsid w:val="00896322"/>
    <w:rsid w:val="00896A06"/>
    <w:rsid w:val="0089748A"/>
    <w:rsid w:val="008A02E9"/>
    <w:rsid w:val="008A28BC"/>
    <w:rsid w:val="008A3012"/>
    <w:rsid w:val="008A6BD4"/>
    <w:rsid w:val="008A6E9B"/>
    <w:rsid w:val="008B0016"/>
    <w:rsid w:val="008B0F41"/>
    <w:rsid w:val="008B11CE"/>
    <w:rsid w:val="008B1D98"/>
    <w:rsid w:val="008B4BFA"/>
    <w:rsid w:val="008B59DC"/>
    <w:rsid w:val="008B6F97"/>
    <w:rsid w:val="008C0D11"/>
    <w:rsid w:val="008C1A0A"/>
    <w:rsid w:val="008C2973"/>
    <w:rsid w:val="008C4F44"/>
    <w:rsid w:val="008C6774"/>
    <w:rsid w:val="008C7467"/>
    <w:rsid w:val="008D13F3"/>
    <w:rsid w:val="008D2FB5"/>
    <w:rsid w:val="008D36DB"/>
    <w:rsid w:val="008D5746"/>
    <w:rsid w:val="008D6AC6"/>
    <w:rsid w:val="008E47D6"/>
    <w:rsid w:val="008E4BC0"/>
    <w:rsid w:val="008E6E9E"/>
    <w:rsid w:val="008E6F2A"/>
    <w:rsid w:val="008E7248"/>
    <w:rsid w:val="008F0372"/>
    <w:rsid w:val="008F087B"/>
    <w:rsid w:val="008F1D95"/>
    <w:rsid w:val="008F23DF"/>
    <w:rsid w:val="008F39A2"/>
    <w:rsid w:val="008F4AD9"/>
    <w:rsid w:val="008F53A8"/>
    <w:rsid w:val="008F612D"/>
    <w:rsid w:val="008F61A7"/>
    <w:rsid w:val="009002C4"/>
    <w:rsid w:val="00900989"/>
    <w:rsid w:val="0090187C"/>
    <w:rsid w:val="00904C20"/>
    <w:rsid w:val="00905291"/>
    <w:rsid w:val="00905DA4"/>
    <w:rsid w:val="00907A63"/>
    <w:rsid w:val="00912E26"/>
    <w:rsid w:val="00914890"/>
    <w:rsid w:val="00914A87"/>
    <w:rsid w:val="00917739"/>
    <w:rsid w:val="00917E47"/>
    <w:rsid w:val="00922715"/>
    <w:rsid w:val="009232BA"/>
    <w:rsid w:val="00923514"/>
    <w:rsid w:val="009243BE"/>
    <w:rsid w:val="00925BA0"/>
    <w:rsid w:val="00925F4C"/>
    <w:rsid w:val="0092748E"/>
    <w:rsid w:val="00927AC4"/>
    <w:rsid w:val="00930A0B"/>
    <w:rsid w:val="00931110"/>
    <w:rsid w:val="009339C5"/>
    <w:rsid w:val="00934748"/>
    <w:rsid w:val="00934D66"/>
    <w:rsid w:val="009452F9"/>
    <w:rsid w:val="009462B5"/>
    <w:rsid w:val="00947E82"/>
    <w:rsid w:val="00951216"/>
    <w:rsid w:val="0095205F"/>
    <w:rsid w:val="00952363"/>
    <w:rsid w:val="00954F7A"/>
    <w:rsid w:val="00957543"/>
    <w:rsid w:val="00957C7C"/>
    <w:rsid w:val="00960ECB"/>
    <w:rsid w:val="00961DDA"/>
    <w:rsid w:val="00962BBC"/>
    <w:rsid w:val="00962CC0"/>
    <w:rsid w:val="00965808"/>
    <w:rsid w:val="00966127"/>
    <w:rsid w:val="009701FC"/>
    <w:rsid w:val="00973494"/>
    <w:rsid w:val="00975593"/>
    <w:rsid w:val="009803C4"/>
    <w:rsid w:val="009805E9"/>
    <w:rsid w:val="0098068D"/>
    <w:rsid w:val="00981F6C"/>
    <w:rsid w:val="009831D0"/>
    <w:rsid w:val="00983991"/>
    <w:rsid w:val="009857AC"/>
    <w:rsid w:val="00992305"/>
    <w:rsid w:val="00992A7B"/>
    <w:rsid w:val="009942BA"/>
    <w:rsid w:val="00994DC8"/>
    <w:rsid w:val="009959B9"/>
    <w:rsid w:val="009963C6"/>
    <w:rsid w:val="00996EB2"/>
    <w:rsid w:val="00996F74"/>
    <w:rsid w:val="009A1DEB"/>
    <w:rsid w:val="009A3035"/>
    <w:rsid w:val="009A5655"/>
    <w:rsid w:val="009A6525"/>
    <w:rsid w:val="009A6841"/>
    <w:rsid w:val="009A71CB"/>
    <w:rsid w:val="009A78C5"/>
    <w:rsid w:val="009A7F71"/>
    <w:rsid w:val="009B16B4"/>
    <w:rsid w:val="009B2D8F"/>
    <w:rsid w:val="009B3174"/>
    <w:rsid w:val="009B3B9B"/>
    <w:rsid w:val="009B3C97"/>
    <w:rsid w:val="009B484C"/>
    <w:rsid w:val="009B53AE"/>
    <w:rsid w:val="009C1586"/>
    <w:rsid w:val="009C1619"/>
    <w:rsid w:val="009C48D0"/>
    <w:rsid w:val="009C5EAE"/>
    <w:rsid w:val="009C7041"/>
    <w:rsid w:val="009D044E"/>
    <w:rsid w:val="009D09E2"/>
    <w:rsid w:val="009D4ED3"/>
    <w:rsid w:val="009D57C5"/>
    <w:rsid w:val="009E20B0"/>
    <w:rsid w:val="009E42C3"/>
    <w:rsid w:val="009E4309"/>
    <w:rsid w:val="009E641F"/>
    <w:rsid w:val="009E7FF9"/>
    <w:rsid w:val="009F077E"/>
    <w:rsid w:val="009F2A8D"/>
    <w:rsid w:val="009F3E31"/>
    <w:rsid w:val="009F4FB4"/>
    <w:rsid w:val="009F5BD0"/>
    <w:rsid w:val="009F60B9"/>
    <w:rsid w:val="009F6992"/>
    <w:rsid w:val="009F795B"/>
    <w:rsid w:val="009F7BD1"/>
    <w:rsid w:val="00A00402"/>
    <w:rsid w:val="00A00C3E"/>
    <w:rsid w:val="00A01364"/>
    <w:rsid w:val="00A0163A"/>
    <w:rsid w:val="00A017F0"/>
    <w:rsid w:val="00A0184F"/>
    <w:rsid w:val="00A0201D"/>
    <w:rsid w:val="00A02424"/>
    <w:rsid w:val="00A0404A"/>
    <w:rsid w:val="00A04967"/>
    <w:rsid w:val="00A06FF3"/>
    <w:rsid w:val="00A07FDD"/>
    <w:rsid w:val="00A10E17"/>
    <w:rsid w:val="00A11EA3"/>
    <w:rsid w:val="00A12672"/>
    <w:rsid w:val="00A12BF5"/>
    <w:rsid w:val="00A15629"/>
    <w:rsid w:val="00A17464"/>
    <w:rsid w:val="00A201D0"/>
    <w:rsid w:val="00A2417B"/>
    <w:rsid w:val="00A2782E"/>
    <w:rsid w:val="00A3217E"/>
    <w:rsid w:val="00A330C6"/>
    <w:rsid w:val="00A3561A"/>
    <w:rsid w:val="00A433C1"/>
    <w:rsid w:val="00A4366F"/>
    <w:rsid w:val="00A476D4"/>
    <w:rsid w:val="00A47F83"/>
    <w:rsid w:val="00A51977"/>
    <w:rsid w:val="00A524D1"/>
    <w:rsid w:val="00A542E4"/>
    <w:rsid w:val="00A55012"/>
    <w:rsid w:val="00A551DA"/>
    <w:rsid w:val="00A55C3A"/>
    <w:rsid w:val="00A56C84"/>
    <w:rsid w:val="00A56DC9"/>
    <w:rsid w:val="00A62F18"/>
    <w:rsid w:val="00A65EAA"/>
    <w:rsid w:val="00A70553"/>
    <w:rsid w:val="00A72F53"/>
    <w:rsid w:val="00A73FDE"/>
    <w:rsid w:val="00A74402"/>
    <w:rsid w:val="00A74622"/>
    <w:rsid w:val="00A75E7A"/>
    <w:rsid w:val="00A82B38"/>
    <w:rsid w:val="00A82D58"/>
    <w:rsid w:val="00A845C8"/>
    <w:rsid w:val="00A84F2F"/>
    <w:rsid w:val="00A90AAF"/>
    <w:rsid w:val="00A9195E"/>
    <w:rsid w:val="00A9201B"/>
    <w:rsid w:val="00A938C6"/>
    <w:rsid w:val="00A94026"/>
    <w:rsid w:val="00A94636"/>
    <w:rsid w:val="00A9777F"/>
    <w:rsid w:val="00AA0ED7"/>
    <w:rsid w:val="00AA2ECC"/>
    <w:rsid w:val="00AA3320"/>
    <w:rsid w:val="00AA535B"/>
    <w:rsid w:val="00AA5F79"/>
    <w:rsid w:val="00AB6337"/>
    <w:rsid w:val="00AB6961"/>
    <w:rsid w:val="00AB7D98"/>
    <w:rsid w:val="00AC105D"/>
    <w:rsid w:val="00AC1D65"/>
    <w:rsid w:val="00AC2D14"/>
    <w:rsid w:val="00AC4269"/>
    <w:rsid w:val="00AC51DA"/>
    <w:rsid w:val="00AD1AC1"/>
    <w:rsid w:val="00AD1C79"/>
    <w:rsid w:val="00AD3599"/>
    <w:rsid w:val="00AD398C"/>
    <w:rsid w:val="00AD47D5"/>
    <w:rsid w:val="00AD4BDB"/>
    <w:rsid w:val="00AE0D59"/>
    <w:rsid w:val="00AE2EDB"/>
    <w:rsid w:val="00AE394B"/>
    <w:rsid w:val="00AE4524"/>
    <w:rsid w:val="00AF4804"/>
    <w:rsid w:val="00B00255"/>
    <w:rsid w:val="00B00896"/>
    <w:rsid w:val="00B01C38"/>
    <w:rsid w:val="00B033DC"/>
    <w:rsid w:val="00B06BEE"/>
    <w:rsid w:val="00B119B0"/>
    <w:rsid w:val="00B13EA2"/>
    <w:rsid w:val="00B17153"/>
    <w:rsid w:val="00B17AF6"/>
    <w:rsid w:val="00B200C1"/>
    <w:rsid w:val="00B2112F"/>
    <w:rsid w:val="00B22D1D"/>
    <w:rsid w:val="00B23118"/>
    <w:rsid w:val="00B23503"/>
    <w:rsid w:val="00B23F95"/>
    <w:rsid w:val="00B255CB"/>
    <w:rsid w:val="00B27E55"/>
    <w:rsid w:val="00B30330"/>
    <w:rsid w:val="00B34EF4"/>
    <w:rsid w:val="00B35973"/>
    <w:rsid w:val="00B36684"/>
    <w:rsid w:val="00B37A87"/>
    <w:rsid w:val="00B37AE7"/>
    <w:rsid w:val="00B41479"/>
    <w:rsid w:val="00B4353D"/>
    <w:rsid w:val="00B43E3E"/>
    <w:rsid w:val="00B45B06"/>
    <w:rsid w:val="00B45D2B"/>
    <w:rsid w:val="00B4722D"/>
    <w:rsid w:val="00B5253E"/>
    <w:rsid w:val="00B53A92"/>
    <w:rsid w:val="00B625FA"/>
    <w:rsid w:val="00B64E97"/>
    <w:rsid w:val="00B65F23"/>
    <w:rsid w:val="00B6690D"/>
    <w:rsid w:val="00B66955"/>
    <w:rsid w:val="00B67705"/>
    <w:rsid w:val="00B7320D"/>
    <w:rsid w:val="00B7531C"/>
    <w:rsid w:val="00B76138"/>
    <w:rsid w:val="00B8103A"/>
    <w:rsid w:val="00B82215"/>
    <w:rsid w:val="00B83B4C"/>
    <w:rsid w:val="00B83D36"/>
    <w:rsid w:val="00B8427B"/>
    <w:rsid w:val="00B8583F"/>
    <w:rsid w:val="00B86221"/>
    <w:rsid w:val="00B8772A"/>
    <w:rsid w:val="00B9676E"/>
    <w:rsid w:val="00BA3C79"/>
    <w:rsid w:val="00BA62A1"/>
    <w:rsid w:val="00BA7A3F"/>
    <w:rsid w:val="00BB3DFA"/>
    <w:rsid w:val="00BB58D6"/>
    <w:rsid w:val="00BB664C"/>
    <w:rsid w:val="00BC085F"/>
    <w:rsid w:val="00BC0939"/>
    <w:rsid w:val="00BC120B"/>
    <w:rsid w:val="00BC3169"/>
    <w:rsid w:val="00BC5E8D"/>
    <w:rsid w:val="00BC640A"/>
    <w:rsid w:val="00BC774E"/>
    <w:rsid w:val="00BD090D"/>
    <w:rsid w:val="00BD0B18"/>
    <w:rsid w:val="00BD0BCA"/>
    <w:rsid w:val="00BD2133"/>
    <w:rsid w:val="00BD2FA5"/>
    <w:rsid w:val="00BD495A"/>
    <w:rsid w:val="00BD4C96"/>
    <w:rsid w:val="00BD603A"/>
    <w:rsid w:val="00BD6C5D"/>
    <w:rsid w:val="00BE0710"/>
    <w:rsid w:val="00BE2F1C"/>
    <w:rsid w:val="00BE3736"/>
    <w:rsid w:val="00BE4DC5"/>
    <w:rsid w:val="00BE6224"/>
    <w:rsid w:val="00BE6C2E"/>
    <w:rsid w:val="00BF0E2C"/>
    <w:rsid w:val="00BF24F0"/>
    <w:rsid w:val="00BF2702"/>
    <w:rsid w:val="00BF37B1"/>
    <w:rsid w:val="00BF4F18"/>
    <w:rsid w:val="00C0396C"/>
    <w:rsid w:val="00C0537F"/>
    <w:rsid w:val="00C06B2D"/>
    <w:rsid w:val="00C07E21"/>
    <w:rsid w:val="00C07F51"/>
    <w:rsid w:val="00C10924"/>
    <w:rsid w:val="00C109DC"/>
    <w:rsid w:val="00C11D47"/>
    <w:rsid w:val="00C14C2F"/>
    <w:rsid w:val="00C14DDE"/>
    <w:rsid w:val="00C158DB"/>
    <w:rsid w:val="00C15D2C"/>
    <w:rsid w:val="00C16476"/>
    <w:rsid w:val="00C1726F"/>
    <w:rsid w:val="00C17749"/>
    <w:rsid w:val="00C202BB"/>
    <w:rsid w:val="00C2267F"/>
    <w:rsid w:val="00C2513E"/>
    <w:rsid w:val="00C2544E"/>
    <w:rsid w:val="00C26A07"/>
    <w:rsid w:val="00C27184"/>
    <w:rsid w:val="00C2763B"/>
    <w:rsid w:val="00C27FA4"/>
    <w:rsid w:val="00C304FD"/>
    <w:rsid w:val="00C31944"/>
    <w:rsid w:val="00C34778"/>
    <w:rsid w:val="00C35396"/>
    <w:rsid w:val="00C366EA"/>
    <w:rsid w:val="00C40B23"/>
    <w:rsid w:val="00C40C27"/>
    <w:rsid w:val="00C434E4"/>
    <w:rsid w:val="00C44BC3"/>
    <w:rsid w:val="00C46DB8"/>
    <w:rsid w:val="00C46F57"/>
    <w:rsid w:val="00C51029"/>
    <w:rsid w:val="00C55C73"/>
    <w:rsid w:val="00C57680"/>
    <w:rsid w:val="00C5771F"/>
    <w:rsid w:val="00C57933"/>
    <w:rsid w:val="00C57AC8"/>
    <w:rsid w:val="00C60D6E"/>
    <w:rsid w:val="00C62309"/>
    <w:rsid w:val="00C65689"/>
    <w:rsid w:val="00C677C7"/>
    <w:rsid w:val="00C7028C"/>
    <w:rsid w:val="00C71252"/>
    <w:rsid w:val="00C728A2"/>
    <w:rsid w:val="00C729A4"/>
    <w:rsid w:val="00C74AAE"/>
    <w:rsid w:val="00C755F7"/>
    <w:rsid w:val="00C756FF"/>
    <w:rsid w:val="00C7670B"/>
    <w:rsid w:val="00C76CE3"/>
    <w:rsid w:val="00C76CE4"/>
    <w:rsid w:val="00C77812"/>
    <w:rsid w:val="00C80B84"/>
    <w:rsid w:val="00C820D4"/>
    <w:rsid w:val="00C83A45"/>
    <w:rsid w:val="00C87EEE"/>
    <w:rsid w:val="00C91507"/>
    <w:rsid w:val="00C927EC"/>
    <w:rsid w:val="00C96A25"/>
    <w:rsid w:val="00C96BD7"/>
    <w:rsid w:val="00CA0024"/>
    <w:rsid w:val="00CA0226"/>
    <w:rsid w:val="00CA057A"/>
    <w:rsid w:val="00CA1062"/>
    <w:rsid w:val="00CA161B"/>
    <w:rsid w:val="00CA23DA"/>
    <w:rsid w:val="00CA3C20"/>
    <w:rsid w:val="00CA6944"/>
    <w:rsid w:val="00CA7653"/>
    <w:rsid w:val="00CB005D"/>
    <w:rsid w:val="00CB1079"/>
    <w:rsid w:val="00CB2710"/>
    <w:rsid w:val="00CB2803"/>
    <w:rsid w:val="00CB3049"/>
    <w:rsid w:val="00CB417D"/>
    <w:rsid w:val="00CB5476"/>
    <w:rsid w:val="00CB6033"/>
    <w:rsid w:val="00CB6ED6"/>
    <w:rsid w:val="00CC054D"/>
    <w:rsid w:val="00CC215D"/>
    <w:rsid w:val="00CC2656"/>
    <w:rsid w:val="00CC4A4A"/>
    <w:rsid w:val="00CC5A0B"/>
    <w:rsid w:val="00CC7E11"/>
    <w:rsid w:val="00CD3176"/>
    <w:rsid w:val="00CD3763"/>
    <w:rsid w:val="00CD4BD9"/>
    <w:rsid w:val="00CD65C8"/>
    <w:rsid w:val="00CD7930"/>
    <w:rsid w:val="00CE0E42"/>
    <w:rsid w:val="00CE2174"/>
    <w:rsid w:val="00CE2445"/>
    <w:rsid w:val="00CE34BC"/>
    <w:rsid w:val="00CF04FC"/>
    <w:rsid w:val="00CF330B"/>
    <w:rsid w:val="00CF4EBA"/>
    <w:rsid w:val="00CF54DD"/>
    <w:rsid w:val="00CF6EA1"/>
    <w:rsid w:val="00CF780B"/>
    <w:rsid w:val="00D019BA"/>
    <w:rsid w:val="00D02DD9"/>
    <w:rsid w:val="00D02E1D"/>
    <w:rsid w:val="00D044AC"/>
    <w:rsid w:val="00D065E5"/>
    <w:rsid w:val="00D078AF"/>
    <w:rsid w:val="00D11A4F"/>
    <w:rsid w:val="00D121AD"/>
    <w:rsid w:val="00D12B43"/>
    <w:rsid w:val="00D14337"/>
    <w:rsid w:val="00D15932"/>
    <w:rsid w:val="00D17012"/>
    <w:rsid w:val="00D17692"/>
    <w:rsid w:val="00D176A3"/>
    <w:rsid w:val="00D23192"/>
    <w:rsid w:val="00D24975"/>
    <w:rsid w:val="00D2593C"/>
    <w:rsid w:val="00D259E4"/>
    <w:rsid w:val="00D25A9D"/>
    <w:rsid w:val="00D26375"/>
    <w:rsid w:val="00D26DAD"/>
    <w:rsid w:val="00D271B2"/>
    <w:rsid w:val="00D2747F"/>
    <w:rsid w:val="00D30482"/>
    <w:rsid w:val="00D35080"/>
    <w:rsid w:val="00D41FF0"/>
    <w:rsid w:val="00D436E9"/>
    <w:rsid w:val="00D45178"/>
    <w:rsid w:val="00D47525"/>
    <w:rsid w:val="00D47CA0"/>
    <w:rsid w:val="00D502F0"/>
    <w:rsid w:val="00D51256"/>
    <w:rsid w:val="00D535D3"/>
    <w:rsid w:val="00D53FCA"/>
    <w:rsid w:val="00D565A6"/>
    <w:rsid w:val="00D56AB1"/>
    <w:rsid w:val="00D60647"/>
    <w:rsid w:val="00D67DA6"/>
    <w:rsid w:val="00D67FA9"/>
    <w:rsid w:val="00D708F7"/>
    <w:rsid w:val="00D71115"/>
    <w:rsid w:val="00D725B5"/>
    <w:rsid w:val="00D7420A"/>
    <w:rsid w:val="00D756FA"/>
    <w:rsid w:val="00D76135"/>
    <w:rsid w:val="00D76155"/>
    <w:rsid w:val="00D764EB"/>
    <w:rsid w:val="00D801BB"/>
    <w:rsid w:val="00D80213"/>
    <w:rsid w:val="00D8095B"/>
    <w:rsid w:val="00D80AEF"/>
    <w:rsid w:val="00D81FA0"/>
    <w:rsid w:val="00D839EC"/>
    <w:rsid w:val="00D857B7"/>
    <w:rsid w:val="00D85F63"/>
    <w:rsid w:val="00D8617E"/>
    <w:rsid w:val="00D87F3B"/>
    <w:rsid w:val="00D903EA"/>
    <w:rsid w:val="00D9063E"/>
    <w:rsid w:val="00D9165D"/>
    <w:rsid w:val="00D91BF8"/>
    <w:rsid w:val="00D92578"/>
    <w:rsid w:val="00D92D63"/>
    <w:rsid w:val="00D931F3"/>
    <w:rsid w:val="00D9474F"/>
    <w:rsid w:val="00D94911"/>
    <w:rsid w:val="00D96AF7"/>
    <w:rsid w:val="00D97D67"/>
    <w:rsid w:val="00DA0F27"/>
    <w:rsid w:val="00DA17B3"/>
    <w:rsid w:val="00DA3E68"/>
    <w:rsid w:val="00DA4422"/>
    <w:rsid w:val="00DA6B6D"/>
    <w:rsid w:val="00DA77EF"/>
    <w:rsid w:val="00DB00D2"/>
    <w:rsid w:val="00DB026B"/>
    <w:rsid w:val="00DB0AC9"/>
    <w:rsid w:val="00DB3AFF"/>
    <w:rsid w:val="00DB3CC4"/>
    <w:rsid w:val="00DB4B14"/>
    <w:rsid w:val="00DB73B2"/>
    <w:rsid w:val="00DC49C8"/>
    <w:rsid w:val="00DC4B82"/>
    <w:rsid w:val="00DC4CE6"/>
    <w:rsid w:val="00DC59F0"/>
    <w:rsid w:val="00DC690E"/>
    <w:rsid w:val="00DC7EEB"/>
    <w:rsid w:val="00DD0011"/>
    <w:rsid w:val="00DD4211"/>
    <w:rsid w:val="00DD45C9"/>
    <w:rsid w:val="00DD55B8"/>
    <w:rsid w:val="00DE397E"/>
    <w:rsid w:val="00DE3D3C"/>
    <w:rsid w:val="00DE54A5"/>
    <w:rsid w:val="00DF0C9E"/>
    <w:rsid w:val="00DF2E17"/>
    <w:rsid w:val="00DF2FD4"/>
    <w:rsid w:val="00DF49A4"/>
    <w:rsid w:val="00DF4F99"/>
    <w:rsid w:val="00DF5BE0"/>
    <w:rsid w:val="00DF5EB6"/>
    <w:rsid w:val="00E04FB1"/>
    <w:rsid w:val="00E059FD"/>
    <w:rsid w:val="00E05B97"/>
    <w:rsid w:val="00E0673D"/>
    <w:rsid w:val="00E06C3D"/>
    <w:rsid w:val="00E109DA"/>
    <w:rsid w:val="00E13799"/>
    <w:rsid w:val="00E15A28"/>
    <w:rsid w:val="00E221D3"/>
    <w:rsid w:val="00E238B3"/>
    <w:rsid w:val="00E26801"/>
    <w:rsid w:val="00E26819"/>
    <w:rsid w:val="00E31831"/>
    <w:rsid w:val="00E40656"/>
    <w:rsid w:val="00E41748"/>
    <w:rsid w:val="00E41AAB"/>
    <w:rsid w:val="00E4248B"/>
    <w:rsid w:val="00E45928"/>
    <w:rsid w:val="00E45991"/>
    <w:rsid w:val="00E4737F"/>
    <w:rsid w:val="00E511BF"/>
    <w:rsid w:val="00E523F7"/>
    <w:rsid w:val="00E52C9D"/>
    <w:rsid w:val="00E53F78"/>
    <w:rsid w:val="00E554FD"/>
    <w:rsid w:val="00E56097"/>
    <w:rsid w:val="00E56A23"/>
    <w:rsid w:val="00E57B92"/>
    <w:rsid w:val="00E60584"/>
    <w:rsid w:val="00E60C6B"/>
    <w:rsid w:val="00E60F01"/>
    <w:rsid w:val="00E63474"/>
    <w:rsid w:val="00E63701"/>
    <w:rsid w:val="00E64D56"/>
    <w:rsid w:val="00E65866"/>
    <w:rsid w:val="00E65A0A"/>
    <w:rsid w:val="00E753EC"/>
    <w:rsid w:val="00E76DC5"/>
    <w:rsid w:val="00E800EF"/>
    <w:rsid w:val="00E803F1"/>
    <w:rsid w:val="00E80B03"/>
    <w:rsid w:val="00E815CD"/>
    <w:rsid w:val="00E81955"/>
    <w:rsid w:val="00E83353"/>
    <w:rsid w:val="00E86CE1"/>
    <w:rsid w:val="00E86E6F"/>
    <w:rsid w:val="00E87504"/>
    <w:rsid w:val="00E91602"/>
    <w:rsid w:val="00E955B5"/>
    <w:rsid w:val="00E96E10"/>
    <w:rsid w:val="00E972C8"/>
    <w:rsid w:val="00EA0B69"/>
    <w:rsid w:val="00EA0CAB"/>
    <w:rsid w:val="00EA1955"/>
    <w:rsid w:val="00EA1DC3"/>
    <w:rsid w:val="00EA2495"/>
    <w:rsid w:val="00EA2E57"/>
    <w:rsid w:val="00EA32A1"/>
    <w:rsid w:val="00EA42B8"/>
    <w:rsid w:val="00EA5EA0"/>
    <w:rsid w:val="00EB41E7"/>
    <w:rsid w:val="00EB7A75"/>
    <w:rsid w:val="00EC0990"/>
    <w:rsid w:val="00EC0F11"/>
    <w:rsid w:val="00EC1086"/>
    <w:rsid w:val="00EC2B77"/>
    <w:rsid w:val="00EC49F7"/>
    <w:rsid w:val="00EC5224"/>
    <w:rsid w:val="00EC5429"/>
    <w:rsid w:val="00EC56D0"/>
    <w:rsid w:val="00EC6BB1"/>
    <w:rsid w:val="00ED19C7"/>
    <w:rsid w:val="00ED395A"/>
    <w:rsid w:val="00ED46D8"/>
    <w:rsid w:val="00ED4C78"/>
    <w:rsid w:val="00ED64BA"/>
    <w:rsid w:val="00ED7674"/>
    <w:rsid w:val="00ED7BC9"/>
    <w:rsid w:val="00EE162E"/>
    <w:rsid w:val="00EE38D6"/>
    <w:rsid w:val="00EE6D08"/>
    <w:rsid w:val="00EE728B"/>
    <w:rsid w:val="00EF11F7"/>
    <w:rsid w:val="00EF1883"/>
    <w:rsid w:val="00EF55AB"/>
    <w:rsid w:val="00EF5763"/>
    <w:rsid w:val="00EF5CB0"/>
    <w:rsid w:val="00F01239"/>
    <w:rsid w:val="00F02BDD"/>
    <w:rsid w:val="00F0514C"/>
    <w:rsid w:val="00F054A5"/>
    <w:rsid w:val="00F0618A"/>
    <w:rsid w:val="00F120D2"/>
    <w:rsid w:val="00F15289"/>
    <w:rsid w:val="00F15A84"/>
    <w:rsid w:val="00F2298C"/>
    <w:rsid w:val="00F24AB0"/>
    <w:rsid w:val="00F2608C"/>
    <w:rsid w:val="00F267B0"/>
    <w:rsid w:val="00F277CF"/>
    <w:rsid w:val="00F30FAF"/>
    <w:rsid w:val="00F31F61"/>
    <w:rsid w:val="00F337BD"/>
    <w:rsid w:val="00F337E5"/>
    <w:rsid w:val="00F362D5"/>
    <w:rsid w:val="00F372D8"/>
    <w:rsid w:val="00F4038F"/>
    <w:rsid w:val="00F40904"/>
    <w:rsid w:val="00F4191A"/>
    <w:rsid w:val="00F435E4"/>
    <w:rsid w:val="00F44B11"/>
    <w:rsid w:val="00F503B6"/>
    <w:rsid w:val="00F52A18"/>
    <w:rsid w:val="00F55B30"/>
    <w:rsid w:val="00F6143D"/>
    <w:rsid w:val="00F62929"/>
    <w:rsid w:val="00F65AA4"/>
    <w:rsid w:val="00F65B41"/>
    <w:rsid w:val="00F65F00"/>
    <w:rsid w:val="00F66FD9"/>
    <w:rsid w:val="00F716EE"/>
    <w:rsid w:val="00F7289F"/>
    <w:rsid w:val="00F7328D"/>
    <w:rsid w:val="00F7387B"/>
    <w:rsid w:val="00F74614"/>
    <w:rsid w:val="00F756A6"/>
    <w:rsid w:val="00F7713A"/>
    <w:rsid w:val="00F77A6F"/>
    <w:rsid w:val="00F81310"/>
    <w:rsid w:val="00F81BAA"/>
    <w:rsid w:val="00F831E3"/>
    <w:rsid w:val="00F83A72"/>
    <w:rsid w:val="00F902E9"/>
    <w:rsid w:val="00F9185A"/>
    <w:rsid w:val="00F92076"/>
    <w:rsid w:val="00F93EFC"/>
    <w:rsid w:val="00F9433A"/>
    <w:rsid w:val="00F9562D"/>
    <w:rsid w:val="00F95C55"/>
    <w:rsid w:val="00F96E11"/>
    <w:rsid w:val="00F979D8"/>
    <w:rsid w:val="00FA031A"/>
    <w:rsid w:val="00FA1C28"/>
    <w:rsid w:val="00FA1E90"/>
    <w:rsid w:val="00FA244D"/>
    <w:rsid w:val="00FA3010"/>
    <w:rsid w:val="00FA5993"/>
    <w:rsid w:val="00FA62FB"/>
    <w:rsid w:val="00FB0BBB"/>
    <w:rsid w:val="00FB17AC"/>
    <w:rsid w:val="00FB4F60"/>
    <w:rsid w:val="00FC078D"/>
    <w:rsid w:val="00FC206D"/>
    <w:rsid w:val="00FC290C"/>
    <w:rsid w:val="00FC354D"/>
    <w:rsid w:val="00FD08DE"/>
    <w:rsid w:val="00FD0F6E"/>
    <w:rsid w:val="00FE07A0"/>
    <w:rsid w:val="00FE2EC0"/>
    <w:rsid w:val="00FE3147"/>
    <w:rsid w:val="00FE4EA7"/>
    <w:rsid w:val="00FE5308"/>
    <w:rsid w:val="00FE54A3"/>
    <w:rsid w:val="00FE6997"/>
    <w:rsid w:val="00FE78C7"/>
    <w:rsid w:val="00FF0F6E"/>
    <w:rsid w:val="00FF2970"/>
    <w:rsid w:val="00FF3363"/>
    <w:rsid w:val="00FF3612"/>
    <w:rsid w:val="00FF43F5"/>
    <w:rsid w:val="00FF4849"/>
    <w:rsid w:val="0137184F"/>
    <w:rsid w:val="01942BDF"/>
    <w:rsid w:val="01992B9B"/>
    <w:rsid w:val="01EE7C08"/>
    <w:rsid w:val="02203B3A"/>
    <w:rsid w:val="02696DA3"/>
    <w:rsid w:val="02DF4388"/>
    <w:rsid w:val="03514173"/>
    <w:rsid w:val="03C54B67"/>
    <w:rsid w:val="049F29F2"/>
    <w:rsid w:val="050F5ABF"/>
    <w:rsid w:val="0534571B"/>
    <w:rsid w:val="053B1E5C"/>
    <w:rsid w:val="05465FAD"/>
    <w:rsid w:val="05496422"/>
    <w:rsid w:val="056A1C9B"/>
    <w:rsid w:val="0676188F"/>
    <w:rsid w:val="068D6F19"/>
    <w:rsid w:val="06D41E67"/>
    <w:rsid w:val="07724E37"/>
    <w:rsid w:val="08124885"/>
    <w:rsid w:val="084900BA"/>
    <w:rsid w:val="08BE101F"/>
    <w:rsid w:val="09030299"/>
    <w:rsid w:val="092C6877"/>
    <w:rsid w:val="09717916"/>
    <w:rsid w:val="0A2C39C3"/>
    <w:rsid w:val="0A652A31"/>
    <w:rsid w:val="0A8207CF"/>
    <w:rsid w:val="0AFB0177"/>
    <w:rsid w:val="0C0E7438"/>
    <w:rsid w:val="0C2B1A59"/>
    <w:rsid w:val="0C5E1645"/>
    <w:rsid w:val="0D6B4803"/>
    <w:rsid w:val="0D806B97"/>
    <w:rsid w:val="0E224FB4"/>
    <w:rsid w:val="0E3D4330"/>
    <w:rsid w:val="0E963681"/>
    <w:rsid w:val="0FB46150"/>
    <w:rsid w:val="10D61FB9"/>
    <w:rsid w:val="112A2636"/>
    <w:rsid w:val="11D228CA"/>
    <w:rsid w:val="123A0C48"/>
    <w:rsid w:val="13C95DDF"/>
    <w:rsid w:val="13DF78FB"/>
    <w:rsid w:val="14A541DB"/>
    <w:rsid w:val="14FD6249"/>
    <w:rsid w:val="150E3C7D"/>
    <w:rsid w:val="1534207D"/>
    <w:rsid w:val="15CF4CB8"/>
    <w:rsid w:val="160B6C8E"/>
    <w:rsid w:val="175573AE"/>
    <w:rsid w:val="17666432"/>
    <w:rsid w:val="1771364E"/>
    <w:rsid w:val="17AF40C2"/>
    <w:rsid w:val="17C57205"/>
    <w:rsid w:val="18333B58"/>
    <w:rsid w:val="189270E7"/>
    <w:rsid w:val="189F4254"/>
    <w:rsid w:val="18C43A02"/>
    <w:rsid w:val="19031D93"/>
    <w:rsid w:val="190478B9"/>
    <w:rsid w:val="1A6F449C"/>
    <w:rsid w:val="1AC8208F"/>
    <w:rsid w:val="1B0845E4"/>
    <w:rsid w:val="1B7A1237"/>
    <w:rsid w:val="1B9D42AF"/>
    <w:rsid w:val="1B9D5D55"/>
    <w:rsid w:val="1BD91289"/>
    <w:rsid w:val="1BEF79D0"/>
    <w:rsid w:val="1CCF7BC6"/>
    <w:rsid w:val="1D1D0165"/>
    <w:rsid w:val="1D63C13F"/>
    <w:rsid w:val="1D8D6A7D"/>
    <w:rsid w:val="1DBA29F0"/>
    <w:rsid w:val="1ED53E9D"/>
    <w:rsid w:val="1F316F2E"/>
    <w:rsid w:val="1F334A54"/>
    <w:rsid w:val="1F374545"/>
    <w:rsid w:val="20907F41"/>
    <w:rsid w:val="20C37C4A"/>
    <w:rsid w:val="20D858B3"/>
    <w:rsid w:val="216E2309"/>
    <w:rsid w:val="225F7737"/>
    <w:rsid w:val="23A21B04"/>
    <w:rsid w:val="23A64D80"/>
    <w:rsid w:val="242120F8"/>
    <w:rsid w:val="24A87C93"/>
    <w:rsid w:val="24C148B0"/>
    <w:rsid w:val="24C416DE"/>
    <w:rsid w:val="253F4153"/>
    <w:rsid w:val="259C2C51"/>
    <w:rsid w:val="25B14998"/>
    <w:rsid w:val="265359DC"/>
    <w:rsid w:val="2657494F"/>
    <w:rsid w:val="26D233BC"/>
    <w:rsid w:val="27866712"/>
    <w:rsid w:val="279569B1"/>
    <w:rsid w:val="27C233A1"/>
    <w:rsid w:val="27C70430"/>
    <w:rsid w:val="281C0C2D"/>
    <w:rsid w:val="28C81B7B"/>
    <w:rsid w:val="290744F5"/>
    <w:rsid w:val="29263821"/>
    <w:rsid w:val="29346369"/>
    <w:rsid w:val="29D73F07"/>
    <w:rsid w:val="2AB81A97"/>
    <w:rsid w:val="2AFD74FF"/>
    <w:rsid w:val="2B231781"/>
    <w:rsid w:val="2B231E21"/>
    <w:rsid w:val="2D1503C9"/>
    <w:rsid w:val="2D47467B"/>
    <w:rsid w:val="2D55022E"/>
    <w:rsid w:val="2DA62123"/>
    <w:rsid w:val="30A71CA7"/>
    <w:rsid w:val="31B87670"/>
    <w:rsid w:val="31EC7411"/>
    <w:rsid w:val="326660F9"/>
    <w:rsid w:val="32EE0641"/>
    <w:rsid w:val="334B30A4"/>
    <w:rsid w:val="335137D9"/>
    <w:rsid w:val="33984BB2"/>
    <w:rsid w:val="33E601A6"/>
    <w:rsid w:val="34462AF0"/>
    <w:rsid w:val="34BA3C2F"/>
    <w:rsid w:val="35066A3B"/>
    <w:rsid w:val="358A7801"/>
    <w:rsid w:val="358C57C9"/>
    <w:rsid w:val="36177BBA"/>
    <w:rsid w:val="36921A42"/>
    <w:rsid w:val="39CB7802"/>
    <w:rsid w:val="3A414072"/>
    <w:rsid w:val="3A742294"/>
    <w:rsid w:val="3A8935AB"/>
    <w:rsid w:val="3B462B12"/>
    <w:rsid w:val="3B652F0D"/>
    <w:rsid w:val="3BB32D4D"/>
    <w:rsid w:val="3C213DBA"/>
    <w:rsid w:val="3D6E5BAA"/>
    <w:rsid w:val="3DCFE5BE"/>
    <w:rsid w:val="3DFE61BD"/>
    <w:rsid w:val="3E981048"/>
    <w:rsid w:val="3F0D20B8"/>
    <w:rsid w:val="3F327526"/>
    <w:rsid w:val="3F4F4696"/>
    <w:rsid w:val="3FB24732"/>
    <w:rsid w:val="3FFD657F"/>
    <w:rsid w:val="40475EE5"/>
    <w:rsid w:val="409F7D44"/>
    <w:rsid w:val="40CC7F8F"/>
    <w:rsid w:val="410773DF"/>
    <w:rsid w:val="412776D5"/>
    <w:rsid w:val="413466DE"/>
    <w:rsid w:val="41456B3D"/>
    <w:rsid w:val="41EC6D80"/>
    <w:rsid w:val="41ED1F26"/>
    <w:rsid w:val="4208143C"/>
    <w:rsid w:val="42E52B99"/>
    <w:rsid w:val="430F66EA"/>
    <w:rsid w:val="431C3B09"/>
    <w:rsid w:val="43B111AC"/>
    <w:rsid w:val="44126A4C"/>
    <w:rsid w:val="447C7F0E"/>
    <w:rsid w:val="450B5978"/>
    <w:rsid w:val="45DA05E3"/>
    <w:rsid w:val="4634546C"/>
    <w:rsid w:val="482241E8"/>
    <w:rsid w:val="486508D7"/>
    <w:rsid w:val="49A34401"/>
    <w:rsid w:val="49BD76C0"/>
    <w:rsid w:val="4AC661CF"/>
    <w:rsid w:val="4AE83552"/>
    <w:rsid w:val="4B28018A"/>
    <w:rsid w:val="4C4F1594"/>
    <w:rsid w:val="4D090A1F"/>
    <w:rsid w:val="4D13416C"/>
    <w:rsid w:val="4D2A4D0C"/>
    <w:rsid w:val="4D5123C6"/>
    <w:rsid w:val="4D5657A6"/>
    <w:rsid w:val="4DE54D40"/>
    <w:rsid w:val="4E661EA1"/>
    <w:rsid w:val="4ED60114"/>
    <w:rsid w:val="4F633406"/>
    <w:rsid w:val="4FC9207C"/>
    <w:rsid w:val="4FDB5BE2"/>
    <w:rsid w:val="4FF36569"/>
    <w:rsid w:val="5093614D"/>
    <w:rsid w:val="50DB3513"/>
    <w:rsid w:val="51027102"/>
    <w:rsid w:val="51343590"/>
    <w:rsid w:val="514C40AF"/>
    <w:rsid w:val="52876F40"/>
    <w:rsid w:val="529451C4"/>
    <w:rsid w:val="52B4142D"/>
    <w:rsid w:val="534A7FE3"/>
    <w:rsid w:val="54F47187"/>
    <w:rsid w:val="553C57C6"/>
    <w:rsid w:val="56187F25"/>
    <w:rsid w:val="568A50FE"/>
    <w:rsid w:val="57837F57"/>
    <w:rsid w:val="57A5267F"/>
    <w:rsid w:val="584B45E2"/>
    <w:rsid w:val="58BC048E"/>
    <w:rsid w:val="58EE75F5"/>
    <w:rsid w:val="594554D5"/>
    <w:rsid w:val="5952374E"/>
    <w:rsid w:val="596D465B"/>
    <w:rsid w:val="597F1763"/>
    <w:rsid w:val="5AC25F93"/>
    <w:rsid w:val="5AE34FA5"/>
    <w:rsid w:val="5B353327"/>
    <w:rsid w:val="5B523ED9"/>
    <w:rsid w:val="5BFF77F0"/>
    <w:rsid w:val="5C2A10A5"/>
    <w:rsid w:val="5C936557"/>
    <w:rsid w:val="5CF709BF"/>
    <w:rsid w:val="5D121B72"/>
    <w:rsid w:val="5D812854"/>
    <w:rsid w:val="5DA64068"/>
    <w:rsid w:val="5DA71300"/>
    <w:rsid w:val="5DB404F9"/>
    <w:rsid w:val="5FE35DB1"/>
    <w:rsid w:val="600B28A8"/>
    <w:rsid w:val="60871586"/>
    <w:rsid w:val="60BA2F3C"/>
    <w:rsid w:val="61475B62"/>
    <w:rsid w:val="61580601"/>
    <w:rsid w:val="61657B33"/>
    <w:rsid w:val="61914345"/>
    <w:rsid w:val="61953C32"/>
    <w:rsid w:val="619B5DEA"/>
    <w:rsid w:val="61A77D23"/>
    <w:rsid w:val="61AC0F2C"/>
    <w:rsid w:val="61C5286C"/>
    <w:rsid w:val="627F7835"/>
    <w:rsid w:val="63433ADC"/>
    <w:rsid w:val="635C2E86"/>
    <w:rsid w:val="63604474"/>
    <w:rsid w:val="637621C5"/>
    <w:rsid w:val="63C53905"/>
    <w:rsid w:val="64600BBC"/>
    <w:rsid w:val="65332685"/>
    <w:rsid w:val="65371BCF"/>
    <w:rsid w:val="66476133"/>
    <w:rsid w:val="66501FB8"/>
    <w:rsid w:val="66910711"/>
    <w:rsid w:val="66B75D08"/>
    <w:rsid w:val="66D106F8"/>
    <w:rsid w:val="67AE3FD7"/>
    <w:rsid w:val="68273168"/>
    <w:rsid w:val="68435627"/>
    <w:rsid w:val="687B7E76"/>
    <w:rsid w:val="68A815DC"/>
    <w:rsid w:val="68D777CC"/>
    <w:rsid w:val="69121AE6"/>
    <w:rsid w:val="699C3261"/>
    <w:rsid w:val="69C10887"/>
    <w:rsid w:val="6B4A7668"/>
    <w:rsid w:val="6B765F2F"/>
    <w:rsid w:val="6B7F6A0C"/>
    <w:rsid w:val="6BB45ADF"/>
    <w:rsid w:val="6BF25A95"/>
    <w:rsid w:val="6C0D08C2"/>
    <w:rsid w:val="6C661592"/>
    <w:rsid w:val="6CED41BB"/>
    <w:rsid w:val="6D244541"/>
    <w:rsid w:val="6D271845"/>
    <w:rsid w:val="6DFA7703"/>
    <w:rsid w:val="6EB432E2"/>
    <w:rsid w:val="6FFC56E6"/>
    <w:rsid w:val="70150382"/>
    <w:rsid w:val="70E25AC9"/>
    <w:rsid w:val="71C9278B"/>
    <w:rsid w:val="71D64C15"/>
    <w:rsid w:val="71DE6D28"/>
    <w:rsid w:val="74024296"/>
    <w:rsid w:val="74786307"/>
    <w:rsid w:val="758517B8"/>
    <w:rsid w:val="759311F7"/>
    <w:rsid w:val="76C8196A"/>
    <w:rsid w:val="77416E84"/>
    <w:rsid w:val="78146E37"/>
    <w:rsid w:val="791906D8"/>
    <w:rsid w:val="79257478"/>
    <w:rsid w:val="795017DA"/>
    <w:rsid w:val="79521A42"/>
    <w:rsid w:val="799D3B1B"/>
    <w:rsid w:val="79A217C6"/>
    <w:rsid w:val="79C6321E"/>
    <w:rsid w:val="7A2F1E3C"/>
    <w:rsid w:val="7A543372"/>
    <w:rsid w:val="7A98426A"/>
    <w:rsid w:val="7B6056F8"/>
    <w:rsid w:val="7B874345"/>
    <w:rsid w:val="7D3F5670"/>
    <w:rsid w:val="7D7F5AB5"/>
    <w:rsid w:val="7E1F0315"/>
    <w:rsid w:val="7E3A63DB"/>
    <w:rsid w:val="7F106850"/>
    <w:rsid w:val="7F7D1FFD"/>
    <w:rsid w:val="7FA054A8"/>
    <w:rsid w:val="DE7F5DEE"/>
    <w:rsid w:val="EB77089E"/>
    <w:rsid w:val="FFDFF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0"/>
    <w:pPr>
      <w:keepNext/>
      <w:keepLines/>
      <w:spacing w:before="240" w:after="64" w:line="320" w:lineRule="auto"/>
      <w:outlineLvl w:val="6"/>
    </w:pPr>
    <w:rPr>
      <w:b/>
      <w:sz w:val="24"/>
    </w:rPr>
  </w:style>
  <w:style w:type="paragraph" w:styleId="10">
    <w:name w:val="heading 8"/>
    <w:basedOn w:val="1"/>
    <w:next w:val="7"/>
    <w:link w:val="7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0"/>
    <w:pPr>
      <w:keepNext/>
      <w:keepLines/>
      <w:spacing w:before="240" w:after="64" w:line="320" w:lineRule="auto"/>
      <w:outlineLvl w:val="8"/>
    </w:pPr>
    <w:rPr>
      <w:rFonts w:ascii="Arial" w:hAnsi="Arial" w:eastAsia="黑体"/>
    </w:rPr>
  </w:style>
  <w:style w:type="character" w:default="1" w:styleId="54">
    <w:name w:val="Default Paragraph Font"/>
    <w:semiHidden/>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toc 7"/>
    <w:basedOn w:val="1"/>
    <w:next w:val="1"/>
    <w:qFormat/>
    <w:uiPriority w:val="0"/>
    <w:pPr>
      <w:spacing w:line="360" w:lineRule="auto"/>
      <w:ind w:left="1440" w:firstLine="200" w:firstLineChars="20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4"/>
    <w:semiHidden/>
    <w:qFormat/>
    <w:uiPriority w:val="0"/>
    <w:pPr>
      <w:shd w:val="clear" w:color="auto" w:fill="000080"/>
    </w:pPr>
  </w:style>
  <w:style w:type="paragraph" w:styleId="18">
    <w:name w:val="annotation text"/>
    <w:basedOn w:val="1"/>
    <w:link w:val="75"/>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w:basedOn w:val="1"/>
    <w:next w:val="21"/>
    <w:qFormat/>
    <w:uiPriority w:val="0"/>
    <w:pPr>
      <w:spacing w:line="380" w:lineRule="exact"/>
    </w:pPr>
    <w:rPr>
      <w:sz w:val="24"/>
    </w:rPr>
  </w:style>
  <w:style w:type="paragraph" w:customStyle="1" w:styleId="21">
    <w:name w:val="Default"/>
    <w:next w:val="22"/>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styleId="22">
    <w:name w:val="Date"/>
    <w:basedOn w:val="1"/>
    <w:next w:val="1"/>
    <w:link w:val="76"/>
    <w:qFormat/>
    <w:uiPriority w:val="0"/>
    <w:pPr>
      <w:ind w:left="100" w:leftChars="2500"/>
    </w:pPr>
    <w:rPr>
      <w:rFonts w:ascii="宋体" w:hAnsi="Courier New" w:cs="Courier New"/>
      <w:szCs w:val="21"/>
    </w:rPr>
  </w:style>
  <w:style w:type="paragraph" w:styleId="23">
    <w:name w:val="Body Text Indent"/>
    <w:basedOn w:val="1"/>
    <w:link w:val="77"/>
    <w:qFormat/>
    <w:uiPriority w:val="0"/>
    <w:pPr>
      <w:ind w:firstLine="830" w:firstLineChars="352"/>
    </w:pPr>
    <w:rPr>
      <w:rFonts w:ascii="仿宋_GB2312" w:eastAsia="仿宋_GB2312"/>
      <w:sz w:val="32"/>
      <w:szCs w:val="20"/>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toc 5"/>
    <w:basedOn w:val="1"/>
    <w:next w:val="1"/>
    <w:qFormat/>
    <w:uiPriority w:val="0"/>
    <w:pPr>
      <w:spacing w:line="360" w:lineRule="auto"/>
      <w:ind w:left="960" w:firstLine="200" w:firstLineChars="200"/>
      <w:jc w:val="left"/>
    </w:pPr>
    <w:rPr>
      <w:rFonts w:ascii="Calibri" w:hAnsi="Calibri"/>
      <w:sz w:val="20"/>
      <w:szCs w:val="20"/>
    </w:rPr>
  </w:style>
  <w:style w:type="paragraph" w:styleId="27">
    <w:name w:val="toc 3"/>
    <w:basedOn w:val="1"/>
    <w:next w:val="1"/>
    <w:qFormat/>
    <w:uiPriority w:val="0"/>
    <w:pPr>
      <w:ind w:left="840" w:leftChars="400"/>
    </w:pPr>
  </w:style>
  <w:style w:type="paragraph" w:styleId="28">
    <w:name w:val="Plain Text"/>
    <w:basedOn w:val="1"/>
    <w:next w:val="1"/>
    <w:link w:val="78"/>
    <w:qFormat/>
    <w:uiPriority w:val="0"/>
    <w:rPr>
      <w:rFonts w:ascii="宋体" w:hAnsi="Courier New" w:cs="Courier New"/>
      <w:szCs w:val="21"/>
    </w:rPr>
  </w:style>
  <w:style w:type="paragraph" w:styleId="29">
    <w:name w:val="toc 8"/>
    <w:basedOn w:val="1"/>
    <w:next w:val="1"/>
    <w:qFormat/>
    <w:uiPriority w:val="0"/>
    <w:pPr>
      <w:spacing w:line="360" w:lineRule="auto"/>
      <w:ind w:left="1680" w:firstLine="200" w:firstLineChars="200"/>
      <w:jc w:val="left"/>
    </w:pPr>
    <w:rPr>
      <w:rFonts w:ascii="Calibri" w:hAnsi="Calibri"/>
      <w:sz w:val="20"/>
      <w:szCs w:val="20"/>
    </w:rPr>
  </w:style>
  <w:style w:type="paragraph" w:styleId="30">
    <w:name w:val="Body Text Indent 2"/>
    <w:basedOn w:val="1"/>
    <w:qFormat/>
    <w:uiPriority w:val="0"/>
    <w:pPr>
      <w:ind w:firstLine="630"/>
    </w:pPr>
    <w:rPr>
      <w:sz w:val="32"/>
      <w:szCs w:val="20"/>
    </w:rPr>
  </w:style>
  <w:style w:type="paragraph" w:styleId="31">
    <w:name w:val="endnote text"/>
    <w:basedOn w:val="1"/>
    <w:link w:val="79"/>
    <w:qFormat/>
    <w:uiPriority w:val="0"/>
    <w:pPr>
      <w:snapToGrid w:val="0"/>
      <w:spacing w:line="480" w:lineRule="exact"/>
      <w:jc w:val="left"/>
    </w:pPr>
    <w:rPr>
      <w:rFonts w:ascii="微软雅黑" w:hAnsi="微软雅黑" w:eastAsia="微软雅黑"/>
      <w:kern w:val="0"/>
      <w:sz w:val="20"/>
      <w:szCs w:val="20"/>
    </w:rPr>
  </w:style>
  <w:style w:type="paragraph" w:styleId="32">
    <w:name w:val="Balloon Text"/>
    <w:basedOn w:val="1"/>
    <w:link w:val="80"/>
    <w:semiHidden/>
    <w:qFormat/>
    <w:uiPriority w:val="99"/>
    <w:rPr>
      <w:sz w:val="18"/>
      <w:szCs w:val="18"/>
    </w:rPr>
  </w:style>
  <w:style w:type="paragraph" w:styleId="33">
    <w:name w:val="footer"/>
    <w:basedOn w:val="1"/>
    <w:link w:val="81"/>
    <w:qFormat/>
    <w:uiPriority w:val="99"/>
    <w:pPr>
      <w:tabs>
        <w:tab w:val="center" w:pos="4153"/>
        <w:tab w:val="right" w:pos="8306"/>
      </w:tabs>
      <w:snapToGrid w:val="0"/>
      <w:jc w:val="left"/>
    </w:pPr>
    <w:rPr>
      <w:sz w:val="18"/>
      <w:szCs w:val="18"/>
    </w:rPr>
  </w:style>
  <w:style w:type="paragraph" w:styleId="34">
    <w:name w:val="envelope return"/>
    <w:basedOn w:val="1"/>
    <w:qFormat/>
    <w:uiPriority w:val="0"/>
    <w:pPr>
      <w:snapToGrid w:val="0"/>
    </w:pPr>
    <w:rPr>
      <w:rFonts w:ascii="Arial" w:hAnsi="Arial"/>
    </w:rPr>
  </w:style>
  <w:style w:type="paragraph" w:styleId="35">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83"/>
    <w:qFormat/>
    <w:uiPriority w:val="0"/>
  </w:style>
  <w:style w:type="paragraph" w:styleId="37">
    <w:name w:val="toc 4"/>
    <w:basedOn w:val="1"/>
    <w:next w:val="1"/>
    <w:qFormat/>
    <w:uiPriority w:val="0"/>
    <w:pPr>
      <w:spacing w:line="360" w:lineRule="auto"/>
      <w:ind w:left="720" w:firstLine="200" w:firstLineChars="200"/>
      <w:jc w:val="left"/>
    </w:pPr>
    <w:rPr>
      <w:rFonts w:ascii="Calibri" w:hAnsi="Calibri"/>
      <w:sz w:val="20"/>
      <w:szCs w:val="20"/>
    </w:rPr>
  </w:style>
  <w:style w:type="paragraph" w:styleId="38">
    <w:name w:val="Subtitle"/>
    <w:basedOn w:val="1"/>
    <w:next w:val="1"/>
    <w:link w:val="84"/>
    <w:qFormat/>
    <w:uiPriority w:val="0"/>
    <w:pPr>
      <w:widowControl/>
      <w:spacing w:after="200" w:line="276" w:lineRule="auto"/>
      <w:jc w:val="left"/>
    </w:pPr>
    <w:rPr>
      <w:rFonts w:ascii="Cambria" w:hAnsi="Cambria"/>
      <w:i/>
      <w:iCs/>
      <w:color w:val="4F81BD"/>
      <w:spacing w:val="15"/>
      <w:kern w:val="0"/>
      <w:sz w:val="20"/>
      <w:szCs w:val="20"/>
    </w:rPr>
  </w:style>
  <w:style w:type="paragraph" w:styleId="39">
    <w:name w:val="List"/>
    <w:basedOn w:val="1"/>
    <w:qFormat/>
    <w:uiPriority w:val="0"/>
    <w:pPr>
      <w:ind w:left="200" w:hanging="200" w:hangingChars="200"/>
    </w:pPr>
    <w:rPr>
      <w:sz w:val="28"/>
    </w:rPr>
  </w:style>
  <w:style w:type="paragraph" w:styleId="40">
    <w:name w:val="footnote text"/>
    <w:basedOn w:val="1"/>
    <w:link w:val="85"/>
    <w:qFormat/>
    <w:uiPriority w:val="0"/>
    <w:pPr>
      <w:snapToGrid w:val="0"/>
      <w:spacing w:afterLines="50" w:line="360" w:lineRule="auto"/>
      <w:ind w:firstLine="200" w:firstLineChars="200"/>
      <w:jc w:val="left"/>
    </w:pPr>
    <w:rPr>
      <w:rFonts w:ascii="Arial" w:hAnsi="Arial" w:cs="Arial"/>
      <w:kern w:val="0"/>
      <w:sz w:val="18"/>
      <w:szCs w:val="18"/>
    </w:rPr>
  </w:style>
  <w:style w:type="paragraph" w:styleId="41">
    <w:name w:val="toc 6"/>
    <w:basedOn w:val="1"/>
    <w:next w:val="1"/>
    <w:qFormat/>
    <w:uiPriority w:val="0"/>
    <w:pPr>
      <w:spacing w:line="360" w:lineRule="auto"/>
      <w:ind w:left="1200" w:firstLine="200" w:firstLineChars="200"/>
      <w:jc w:val="left"/>
    </w:pPr>
    <w:rPr>
      <w:rFonts w:ascii="Calibri" w:hAnsi="Calibri"/>
      <w:sz w:val="20"/>
      <w:szCs w:val="20"/>
    </w:rPr>
  </w:style>
  <w:style w:type="paragraph" w:styleId="42">
    <w:name w:val="Body Text Indent 3"/>
    <w:basedOn w:val="1"/>
    <w:link w:val="86"/>
    <w:qFormat/>
    <w:uiPriority w:val="0"/>
    <w:pPr>
      <w:spacing w:after="120"/>
      <w:ind w:left="420" w:leftChars="200"/>
    </w:pPr>
    <w:rPr>
      <w:sz w:val="16"/>
      <w:szCs w:val="16"/>
    </w:rPr>
  </w:style>
  <w:style w:type="paragraph" w:styleId="43">
    <w:name w:val="toc 9"/>
    <w:basedOn w:val="1"/>
    <w:next w:val="1"/>
    <w:semiHidden/>
    <w:qFormat/>
    <w:uiPriority w:val="0"/>
    <w:pPr>
      <w:tabs>
        <w:tab w:val="right" w:leader="dot" w:pos="9185"/>
      </w:tabs>
      <w:spacing w:line="420" w:lineRule="exact"/>
      <w:ind w:firstLine="422" w:firstLineChars="200"/>
      <w:jc w:val="left"/>
      <w:outlineLvl w:val="0"/>
    </w:pPr>
    <w:rPr>
      <w:b/>
    </w:rPr>
  </w:style>
  <w:style w:type="paragraph" w:styleId="44">
    <w:name w:val="Body Text 2"/>
    <w:basedOn w:val="1"/>
    <w:qFormat/>
    <w:uiPriority w:val="0"/>
    <w:pPr>
      <w:spacing w:after="120" w:line="480" w:lineRule="auto"/>
    </w:pPr>
  </w:style>
  <w:style w:type="paragraph" w:styleId="45">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semiHidden/>
    <w:qFormat/>
    <w:uiPriority w:val="0"/>
  </w:style>
  <w:style w:type="paragraph" w:styleId="48">
    <w:name w:val="Title"/>
    <w:basedOn w:val="1"/>
    <w:next w:val="1"/>
    <w:link w:val="88"/>
    <w:qFormat/>
    <w:uiPriority w:val="0"/>
    <w:pPr>
      <w:spacing w:line="300" w:lineRule="auto"/>
      <w:ind w:left="100" w:leftChars="100" w:right="100" w:rightChars="100" w:firstLine="200" w:firstLineChars="200"/>
      <w:jc w:val="left"/>
      <w:outlineLvl w:val="0"/>
    </w:pPr>
    <w:rPr>
      <w:rFonts w:ascii="Cambria" w:hAnsi="Cambria" w:eastAsia="方正小标宋_GBK"/>
      <w:b/>
      <w:bCs/>
      <w:kern w:val="0"/>
      <w:sz w:val="44"/>
      <w:szCs w:val="32"/>
    </w:rPr>
  </w:style>
  <w:style w:type="paragraph" w:styleId="49">
    <w:name w:val="annotation subject"/>
    <w:basedOn w:val="18"/>
    <w:next w:val="18"/>
    <w:link w:val="89"/>
    <w:semiHidden/>
    <w:qFormat/>
    <w:uiPriority w:val="99"/>
    <w:rPr>
      <w:b/>
      <w:bCs/>
    </w:rPr>
  </w:style>
  <w:style w:type="paragraph" w:styleId="50">
    <w:name w:val="Body Text First Indent"/>
    <w:basedOn w:val="20"/>
    <w:qFormat/>
    <w:uiPriority w:val="99"/>
    <w:pPr>
      <w:spacing w:after="120"/>
      <w:ind w:firstLine="420" w:firstLineChars="100"/>
    </w:p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3">
    <w:name w:val="Table Theme"/>
    <w:basedOn w:val="51"/>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22"/>
    <w:rPr>
      <w:b/>
      <w:bCs/>
    </w:rPr>
  </w:style>
  <w:style w:type="character" w:styleId="56">
    <w:name w:val="endnote reference"/>
    <w:qFormat/>
    <w:uiPriority w:val="0"/>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99"/>
    <w:rPr>
      <w:sz w:val="21"/>
      <w:szCs w:val="21"/>
    </w:rPr>
  </w:style>
  <w:style w:type="character" w:styleId="62">
    <w:name w:val="footnote reference"/>
    <w:qFormat/>
    <w:uiPriority w:val="0"/>
    <w:rPr>
      <w:vertAlign w:val="superscript"/>
    </w:rPr>
  </w:style>
  <w:style w:type="character" w:customStyle="1" w:styleId="63">
    <w:name w:val="标题 1 字符"/>
    <w:link w:val="2"/>
    <w:qFormat/>
    <w:uiPriority w:val="9"/>
    <w:rPr>
      <w:rFonts w:eastAsia="仿宋_GB2312"/>
      <w:b/>
      <w:bCs/>
      <w:kern w:val="44"/>
      <w:sz w:val="44"/>
      <w:szCs w:val="44"/>
      <w:lang w:val="en-US" w:eastAsia="zh-CN" w:bidi="ar-SA"/>
    </w:rPr>
  </w:style>
  <w:style w:type="character" w:customStyle="1" w:styleId="64">
    <w:name w:val="标题 2 字符"/>
    <w:link w:val="3"/>
    <w:qFormat/>
    <w:uiPriority w:val="0"/>
    <w:rPr>
      <w:rFonts w:ascii="Arial" w:hAnsi="Arial" w:eastAsia="黑体"/>
      <w:b/>
      <w:bCs/>
      <w:kern w:val="2"/>
      <w:sz w:val="32"/>
      <w:szCs w:val="32"/>
      <w:lang w:val="en-US" w:eastAsia="zh-CN" w:bidi="ar-SA"/>
    </w:rPr>
  </w:style>
  <w:style w:type="character" w:customStyle="1" w:styleId="65">
    <w:name w:val="标题 3 字符"/>
    <w:link w:val="4"/>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0"/>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0"/>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0"/>
    <w:rPr>
      <w:rFonts w:eastAsia="宋体"/>
      <w:b/>
      <w:kern w:val="2"/>
      <w:sz w:val="24"/>
      <w:szCs w:val="24"/>
      <w:lang w:bidi="ar-SA"/>
    </w:rPr>
  </w:style>
  <w:style w:type="character" w:customStyle="1" w:styleId="71">
    <w:name w:val="标题 8 字符"/>
    <w:link w:val="10"/>
    <w:qFormat/>
    <w:locked/>
    <w:uiPriority w:val="0"/>
    <w:rPr>
      <w:rFonts w:ascii="Arial" w:hAnsi="Arial" w:eastAsia="黑体"/>
      <w:kern w:val="2"/>
      <w:sz w:val="24"/>
      <w:szCs w:val="24"/>
      <w:lang w:bidi="ar-SA"/>
    </w:rPr>
  </w:style>
  <w:style w:type="character" w:customStyle="1" w:styleId="72">
    <w:name w:val="标题 9 字符"/>
    <w:link w:val="11"/>
    <w:qFormat/>
    <w:locked/>
    <w:uiPriority w:val="0"/>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7"/>
    <w:qFormat/>
    <w:locked/>
    <w:uiPriority w:val="0"/>
    <w:rPr>
      <w:rFonts w:eastAsia="宋体"/>
      <w:kern w:val="2"/>
      <w:sz w:val="21"/>
      <w:szCs w:val="24"/>
      <w:lang w:val="en-US" w:eastAsia="zh-CN" w:bidi="ar-SA"/>
    </w:rPr>
  </w:style>
  <w:style w:type="character" w:customStyle="1" w:styleId="75">
    <w:name w:val="批注文字 字符"/>
    <w:link w:val="18"/>
    <w:qFormat/>
    <w:locked/>
    <w:uiPriority w:val="99"/>
    <w:rPr>
      <w:rFonts w:eastAsia="宋体"/>
      <w:kern w:val="2"/>
      <w:sz w:val="21"/>
      <w:szCs w:val="24"/>
      <w:lang w:val="en-US" w:eastAsia="zh-CN" w:bidi="ar-SA"/>
    </w:rPr>
  </w:style>
  <w:style w:type="character" w:customStyle="1" w:styleId="76">
    <w:name w:val="日期 字符"/>
    <w:link w:val="22"/>
    <w:qFormat/>
    <w:locked/>
    <w:uiPriority w:val="0"/>
    <w:rPr>
      <w:rFonts w:ascii="宋体" w:hAnsi="Courier New" w:eastAsia="宋体" w:cs="Courier New"/>
      <w:kern w:val="2"/>
      <w:sz w:val="21"/>
      <w:szCs w:val="21"/>
      <w:lang w:val="en-US" w:eastAsia="zh-CN" w:bidi="ar-SA"/>
    </w:rPr>
  </w:style>
  <w:style w:type="character" w:customStyle="1" w:styleId="77">
    <w:name w:val="正文文本缩进 字符"/>
    <w:link w:val="23"/>
    <w:qFormat/>
    <w:uiPriority w:val="0"/>
    <w:rPr>
      <w:rFonts w:ascii="仿宋_GB2312" w:eastAsia="仿宋_GB2312"/>
      <w:kern w:val="2"/>
      <w:sz w:val="32"/>
      <w:lang w:val="en-US" w:eastAsia="zh-CN" w:bidi="ar-SA"/>
    </w:rPr>
  </w:style>
  <w:style w:type="character" w:customStyle="1" w:styleId="78">
    <w:name w:val="纯文本 字符1"/>
    <w:link w:val="28"/>
    <w:qFormat/>
    <w:uiPriority w:val="0"/>
    <w:rPr>
      <w:rFonts w:ascii="宋体" w:hAnsi="Courier New" w:eastAsia="宋体" w:cs="Courier New"/>
      <w:kern w:val="2"/>
      <w:sz w:val="21"/>
      <w:szCs w:val="21"/>
      <w:lang w:val="en-US" w:eastAsia="zh-CN" w:bidi="ar-SA"/>
    </w:rPr>
  </w:style>
  <w:style w:type="character" w:customStyle="1" w:styleId="79">
    <w:name w:val="尾注文本 字符"/>
    <w:link w:val="31"/>
    <w:semiHidden/>
    <w:qFormat/>
    <w:locked/>
    <w:uiPriority w:val="0"/>
    <w:rPr>
      <w:rFonts w:ascii="微软雅黑" w:hAnsi="微软雅黑" w:eastAsia="微软雅黑"/>
      <w:lang w:bidi="ar-SA"/>
    </w:rPr>
  </w:style>
  <w:style w:type="character" w:customStyle="1" w:styleId="80">
    <w:name w:val="批注框文本 字符"/>
    <w:link w:val="32"/>
    <w:semiHidden/>
    <w:qFormat/>
    <w:locked/>
    <w:uiPriority w:val="99"/>
    <w:rPr>
      <w:rFonts w:eastAsia="宋体"/>
      <w:kern w:val="2"/>
      <w:sz w:val="18"/>
      <w:szCs w:val="18"/>
      <w:lang w:val="en-US" w:eastAsia="zh-CN" w:bidi="ar-SA"/>
    </w:rPr>
  </w:style>
  <w:style w:type="character" w:customStyle="1" w:styleId="81">
    <w:name w:val="页脚 字符"/>
    <w:link w:val="33"/>
    <w:qFormat/>
    <w:uiPriority w:val="99"/>
    <w:rPr>
      <w:rFonts w:eastAsia="宋体"/>
      <w:kern w:val="2"/>
      <w:sz w:val="18"/>
      <w:szCs w:val="18"/>
      <w:lang w:val="en-US" w:eastAsia="zh-CN" w:bidi="ar-SA"/>
    </w:rPr>
  </w:style>
  <w:style w:type="character" w:customStyle="1" w:styleId="82">
    <w:name w:val="页眉 字符"/>
    <w:link w:val="35"/>
    <w:semiHidden/>
    <w:qFormat/>
    <w:uiPriority w:val="0"/>
    <w:rPr>
      <w:rFonts w:eastAsia="宋体"/>
      <w:kern w:val="2"/>
      <w:sz w:val="18"/>
      <w:szCs w:val="18"/>
      <w:lang w:val="en-US" w:eastAsia="zh-CN" w:bidi="ar-SA"/>
    </w:rPr>
  </w:style>
  <w:style w:type="character" w:customStyle="1" w:styleId="83">
    <w:name w:val="目录 1 字符"/>
    <w:link w:val="36"/>
    <w:qFormat/>
    <w:uiPriority w:val="39"/>
    <w:rPr>
      <w:kern w:val="2"/>
      <w:sz w:val="21"/>
      <w:szCs w:val="24"/>
    </w:rPr>
  </w:style>
  <w:style w:type="character" w:customStyle="1" w:styleId="84">
    <w:name w:val="副标题 字符"/>
    <w:link w:val="38"/>
    <w:qFormat/>
    <w:locked/>
    <w:uiPriority w:val="0"/>
    <w:rPr>
      <w:rFonts w:ascii="Cambria" w:hAnsi="Cambria" w:eastAsia="宋体"/>
      <w:i/>
      <w:iCs/>
      <w:color w:val="4F81BD"/>
      <w:spacing w:val="15"/>
      <w:lang w:bidi="ar-SA"/>
    </w:rPr>
  </w:style>
  <w:style w:type="character" w:customStyle="1" w:styleId="85">
    <w:name w:val="脚注文本 字符"/>
    <w:link w:val="40"/>
    <w:qFormat/>
    <w:locked/>
    <w:uiPriority w:val="0"/>
    <w:rPr>
      <w:rFonts w:ascii="Arial" w:hAnsi="Arial" w:eastAsia="宋体" w:cs="Arial"/>
      <w:sz w:val="18"/>
      <w:szCs w:val="18"/>
      <w:lang w:bidi="ar-SA"/>
    </w:rPr>
  </w:style>
  <w:style w:type="character" w:customStyle="1" w:styleId="86">
    <w:name w:val="正文文本缩进 3 字符"/>
    <w:link w:val="42"/>
    <w:qFormat/>
    <w:uiPriority w:val="0"/>
    <w:rPr>
      <w:rFonts w:eastAsia="宋体"/>
      <w:kern w:val="2"/>
      <w:sz w:val="16"/>
      <w:szCs w:val="16"/>
      <w:lang w:val="en-US" w:eastAsia="zh-CN" w:bidi="ar-SA"/>
    </w:rPr>
  </w:style>
  <w:style w:type="character" w:customStyle="1" w:styleId="87">
    <w:name w:val="HTML 预设格式 字符"/>
    <w:link w:val="45"/>
    <w:qFormat/>
    <w:locked/>
    <w:uiPriority w:val="0"/>
    <w:rPr>
      <w:rFonts w:ascii="Arial" w:hAnsi="Arial" w:cs="Arial"/>
      <w:lang w:bidi="ar-SA"/>
    </w:rPr>
  </w:style>
  <w:style w:type="character" w:customStyle="1" w:styleId="88">
    <w:name w:val="标题 字符"/>
    <w:link w:val="48"/>
    <w:qFormat/>
    <w:locked/>
    <w:uiPriority w:val="0"/>
    <w:rPr>
      <w:rFonts w:ascii="Cambria" w:hAnsi="Cambria" w:eastAsia="方正小标宋_GBK"/>
      <w:b/>
      <w:bCs/>
      <w:sz w:val="44"/>
      <w:szCs w:val="32"/>
    </w:rPr>
  </w:style>
  <w:style w:type="character" w:customStyle="1" w:styleId="89">
    <w:name w:val="批注主题 字符"/>
    <w:link w:val="49"/>
    <w:semiHidden/>
    <w:qFormat/>
    <w:locked/>
    <w:uiPriority w:val="99"/>
    <w:rPr>
      <w:rFonts w:eastAsia="宋体"/>
      <w:b/>
      <w:bCs/>
      <w:kern w:val="2"/>
      <w:sz w:val="21"/>
      <w:szCs w:val="24"/>
      <w:lang w:val="en-US" w:eastAsia="zh-CN" w:bidi="ar-SA"/>
    </w:rPr>
  </w:style>
  <w:style w:type="character" w:customStyle="1" w:styleId="90">
    <w:name w:val="Heading 1 Char"/>
    <w:qFormat/>
    <w:locked/>
    <w:uiPriority w:val="0"/>
    <w:rPr>
      <w:rFonts w:ascii="Arial" w:hAnsi="Arial" w:eastAsia="宋体"/>
      <w:b/>
      <w:bCs/>
      <w:kern w:val="44"/>
      <w:sz w:val="28"/>
      <w:szCs w:val="44"/>
      <w:lang w:val="zh-CN" w:eastAsia="zh-CN" w:bidi="ar-SA"/>
    </w:rPr>
  </w:style>
  <w:style w:type="character" w:customStyle="1" w:styleId="91">
    <w:name w:val="headline-content"/>
    <w:qFormat/>
    <w:uiPriority w:val="0"/>
  </w:style>
  <w:style w:type="character" w:customStyle="1" w:styleId="92">
    <w:name w:val="Char Char20"/>
    <w:qFormat/>
    <w:locked/>
    <w:uiPriority w:val="0"/>
    <w:rPr>
      <w:rFonts w:eastAsia="微软雅黑"/>
      <w:b/>
      <w:bCs/>
      <w:szCs w:val="32"/>
      <w:lang w:bidi="ar-SA"/>
    </w:rPr>
  </w:style>
  <w:style w:type="character" w:customStyle="1" w:styleId="93">
    <w:name w:val="Char Char13"/>
    <w:qFormat/>
    <w:locked/>
    <w:uiPriority w:val="0"/>
    <w:rPr>
      <w:rFonts w:ascii="微软雅黑" w:hAnsi="微软雅黑" w:eastAsia="微软雅黑"/>
      <w:b/>
      <w:bCs/>
      <w:lang w:bidi="ar-SA"/>
    </w:rPr>
  </w:style>
  <w:style w:type="character" w:customStyle="1" w:styleId="94">
    <w:name w:val="GTA标题5 Char"/>
    <w:link w:val="95"/>
    <w:qFormat/>
    <w:locked/>
    <w:uiPriority w:val="0"/>
    <w:rPr>
      <w:rFonts w:ascii="Arial" w:hAnsi="Arial" w:eastAsia="楷体_GB2312"/>
      <w:b/>
      <w:bCs/>
      <w:sz w:val="21"/>
      <w:szCs w:val="21"/>
      <w:lang w:bidi="ar-SA"/>
    </w:rPr>
  </w:style>
  <w:style w:type="paragraph" w:customStyle="1" w:styleId="95">
    <w:name w:val="GTA标题5"/>
    <w:basedOn w:val="6"/>
    <w:link w:val="94"/>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96">
    <w:name w:val="GTA标题2 Char Char"/>
    <w:link w:val="97"/>
    <w:qFormat/>
    <w:locked/>
    <w:uiPriority w:val="0"/>
    <w:rPr>
      <w:rFonts w:ascii="Arial" w:hAnsi="Arial" w:eastAsia="黑体"/>
      <w:b/>
      <w:bCs/>
      <w:color w:val="000000"/>
      <w:sz w:val="30"/>
      <w:szCs w:val="30"/>
      <w:lang w:bidi="ar-SA"/>
    </w:rPr>
  </w:style>
  <w:style w:type="paragraph" w:customStyle="1" w:styleId="97">
    <w:name w:val="GTA标题2"/>
    <w:basedOn w:val="3"/>
    <w:link w:val="96"/>
    <w:qFormat/>
    <w:uiPriority w:val="0"/>
    <w:pPr>
      <w:tabs>
        <w:tab w:val="left" w:pos="840"/>
      </w:tabs>
      <w:adjustRightInd w:val="0"/>
      <w:snapToGrid w:val="0"/>
      <w:spacing w:beforeLines="175" w:afterLines="150" w:line="420" w:lineRule="auto"/>
      <w:ind w:left="840" w:firstLine="200" w:firstLineChars="200"/>
    </w:pPr>
    <w:rPr>
      <w:color w:val="000000"/>
      <w:kern w:val="0"/>
      <w:sz w:val="30"/>
      <w:szCs w:val="30"/>
    </w:rPr>
  </w:style>
  <w:style w:type="character" w:customStyle="1" w:styleId="98">
    <w:name w:val="ca-102"/>
    <w:qFormat/>
    <w:uiPriority w:val="0"/>
  </w:style>
  <w:style w:type="character" w:customStyle="1" w:styleId="99">
    <w:name w:val="style31"/>
    <w:qFormat/>
    <w:uiPriority w:val="0"/>
    <w:rPr>
      <w:b/>
      <w:bCs/>
      <w:color w:val="FFFFFF"/>
    </w:rPr>
  </w:style>
  <w:style w:type="character" w:customStyle="1" w:styleId="100">
    <w:name w:val="列出段落字符"/>
    <w:qFormat/>
    <w:locked/>
    <w:uiPriority w:val="0"/>
    <w:rPr>
      <w:rFonts w:ascii="Calibri" w:hAnsi="Calibri" w:eastAsia="宋体" w:cs="黑体"/>
      <w:kern w:val="2"/>
      <w:sz w:val="24"/>
      <w:szCs w:val="24"/>
      <w:lang w:val="en-US" w:eastAsia="zh-CN" w:bidi="ar-SA"/>
    </w:rPr>
  </w:style>
  <w:style w:type="character" w:customStyle="1" w:styleId="101">
    <w:name w:val="列出段落 字符"/>
    <w:link w:val="102"/>
    <w:qFormat/>
    <w:uiPriority w:val="0"/>
    <w:rPr>
      <w:rFonts w:eastAsia="宋体"/>
      <w:kern w:val="2"/>
      <w:sz w:val="21"/>
      <w:szCs w:val="24"/>
      <w:lang w:val="en-US" w:eastAsia="zh-CN" w:bidi="ar-SA"/>
    </w:rPr>
  </w:style>
  <w:style w:type="paragraph" w:styleId="102">
    <w:name w:val="List Paragraph"/>
    <w:basedOn w:val="1"/>
    <w:link w:val="101"/>
    <w:qFormat/>
    <w:uiPriority w:val="0"/>
    <w:pPr>
      <w:ind w:firstLine="420" w:firstLineChars="200"/>
    </w:pPr>
  </w:style>
  <w:style w:type="character" w:customStyle="1" w:styleId="103">
    <w:name w:val="font21"/>
    <w:basedOn w:val="54"/>
    <w:qFormat/>
    <w:uiPriority w:val="0"/>
    <w:rPr>
      <w:rFonts w:ascii="宋体" w:hAnsi="宋体" w:eastAsia="宋体" w:cs="宋体"/>
      <w:color w:val="000000"/>
      <w:sz w:val="20"/>
      <w:szCs w:val="20"/>
      <w:u w:val="none"/>
    </w:rPr>
  </w:style>
  <w:style w:type="character" w:customStyle="1" w:styleId="104">
    <w:name w:val="Char Char21"/>
    <w:qFormat/>
    <w:locked/>
    <w:uiPriority w:val="0"/>
    <w:rPr>
      <w:rFonts w:ascii="Arial" w:hAnsi="Arial" w:eastAsia="微软雅黑"/>
      <w:b/>
      <w:sz w:val="28"/>
      <w:szCs w:val="28"/>
      <w:lang w:bidi="ar-SA"/>
    </w:rPr>
  </w:style>
  <w:style w:type="character" w:customStyle="1" w:styleId="105">
    <w:name w:val="GTA正文-1 Char"/>
    <w:link w:val="106"/>
    <w:qFormat/>
    <w:locked/>
    <w:uiPriority w:val="0"/>
    <w:rPr>
      <w:rFonts w:ascii="Arial" w:hAnsi="Arial" w:eastAsia="宋体" w:cs="Arial"/>
      <w:sz w:val="21"/>
      <w:lang w:bidi="ar-SA"/>
    </w:rPr>
  </w:style>
  <w:style w:type="paragraph" w:customStyle="1" w:styleId="106">
    <w:name w:val="GTA正文-1"/>
    <w:basedOn w:val="1"/>
    <w:link w:val="105"/>
    <w:qFormat/>
    <w:uiPriority w:val="0"/>
    <w:pPr>
      <w:spacing w:beforeLines="50" w:afterLines="50" w:line="480" w:lineRule="exact"/>
      <w:ind w:firstLine="200" w:firstLineChars="200"/>
    </w:pPr>
    <w:rPr>
      <w:rFonts w:ascii="Arial" w:hAnsi="Arial" w:cs="Arial"/>
      <w:kern w:val="0"/>
      <w:szCs w:val="20"/>
    </w:rPr>
  </w:style>
  <w:style w:type="character" w:customStyle="1" w:styleId="107">
    <w:name w:val="Char Char6"/>
    <w:qFormat/>
    <w:locked/>
    <w:uiPriority w:val="0"/>
    <w:rPr>
      <w:sz w:val="18"/>
      <w:szCs w:val="18"/>
      <w:lang w:bidi="ar-SA"/>
    </w:rPr>
  </w:style>
  <w:style w:type="character" w:customStyle="1" w:styleId="108">
    <w:name w:val="普通文字 Char Char3"/>
    <w:qFormat/>
    <w:locked/>
    <w:uiPriority w:val="0"/>
    <w:rPr>
      <w:rFonts w:ascii="宋体" w:hAnsi="Courier New" w:eastAsia="宋体" w:cs="Courier New"/>
      <w:kern w:val="2"/>
      <w:sz w:val="21"/>
      <w:szCs w:val="21"/>
      <w:lang w:val="en-US" w:eastAsia="zh-CN" w:bidi="ar-SA"/>
    </w:rPr>
  </w:style>
  <w:style w:type="character" w:customStyle="1" w:styleId="109">
    <w:name w:val="ca-1"/>
    <w:qFormat/>
    <w:uiPriority w:val="0"/>
  </w:style>
  <w:style w:type="character" w:customStyle="1" w:styleId="110">
    <w:name w:val="Char Char1"/>
    <w:qFormat/>
    <w:uiPriority w:val="0"/>
    <w:rPr>
      <w:rFonts w:eastAsia="宋体"/>
      <w:kern w:val="2"/>
      <w:sz w:val="18"/>
      <w:szCs w:val="18"/>
      <w:lang w:val="en-US" w:eastAsia="zh-CN" w:bidi="ar-SA"/>
    </w:rPr>
  </w:style>
  <w:style w:type="character" w:customStyle="1" w:styleId="111">
    <w:name w:val="GTA标题1 Char"/>
    <w:link w:val="112"/>
    <w:qFormat/>
    <w:locked/>
    <w:uiPriority w:val="0"/>
    <w:rPr>
      <w:rFonts w:ascii="Arial" w:hAnsi="Arial" w:eastAsia="黑体"/>
      <w:bCs/>
      <w:kern w:val="44"/>
      <w:sz w:val="44"/>
      <w:szCs w:val="44"/>
      <w:lang w:bidi="ar-SA"/>
    </w:rPr>
  </w:style>
  <w:style w:type="paragraph" w:customStyle="1" w:styleId="112">
    <w:name w:val="GTA标题1"/>
    <w:basedOn w:val="2"/>
    <w:link w:val="11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13">
    <w:name w:val="font41"/>
    <w:basedOn w:val="54"/>
    <w:qFormat/>
    <w:uiPriority w:val="0"/>
    <w:rPr>
      <w:rFonts w:ascii="Bosch Office Sans" w:hAnsi="Bosch Office Sans" w:cs="Bosch Office Sans"/>
      <w:color w:val="000000"/>
      <w:sz w:val="20"/>
      <w:szCs w:val="20"/>
      <w:u w:val="none"/>
    </w:rPr>
  </w:style>
  <w:style w:type="character" w:customStyle="1" w:styleId="114">
    <w:name w:val="highlight1"/>
    <w:qFormat/>
    <w:uiPriority w:val="0"/>
    <w:rPr>
      <w:color w:val="DB4F33"/>
    </w:rPr>
  </w:style>
  <w:style w:type="character" w:customStyle="1" w:styleId="115">
    <w:name w:val="char"/>
    <w:qFormat/>
    <w:uiPriority w:val="0"/>
  </w:style>
  <w:style w:type="character" w:customStyle="1" w:styleId="116">
    <w:name w:val="ca-2"/>
    <w:qFormat/>
    <w:uiPriority w:val="0"/>
  </w:style>
  <w:style w:type="character" w:customStyle="1" w:styleId="117">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18">
    <w:name w:val="GTA标题3 Char"/>
    <w:qFormat/>
    <w:uiPriority w:val="0"/>
    <w:rPr>
      <w:rFonts w:hint="default" w:ascii="Arial" w:hAnsi="Arial" w:eastAsia="黑体" w:cs="Arial"/>
      <w:bCs/>
      <w:kern w:val="2"/>
      <w:sz w:val="24"/>
      <w:szCs w:val="24"/>
    </w:rPr>
  </w:style>
  <w:style w:type="character" w:customStyle="1" w:styleId="119">
    <w:name w:val="txet31"/>
    <w:qFormat/>
    <w:uiPriority w:val="0"/>
    <w:rPr>
      <w:rFonts w:cs="Times New Roman"/>
      <w:color w:val="333333"/>
      <w:sz w:val="18"/>
      <w:szCs w:val="18"/>
      <w:u w:val="none"/>
    </w:rPr>
  </w:style>
  <w:style w:type="character" w:customStyle="1" w:styleId="120">
    <w:name w:val="GTA标题2 Char"/>
    <w:qFormat/>
    <w:uiPriority w:val="0"/>
    <w:rPr>
      <w:rFonts w:hint="default" w:ascii="Arial" w:hAnsi="Arial" w:eastAsia="黑体" w:cs="Arial"/>
      <w:bCs/>
      <w:kern w:val="2"/>
      <w:sz w:val="30"/>
      <w:szCs w:val="30"/>
    </w:rPr>
  </w:style>
  <w:style w:type="character" w:customStyle="1" w:styleId="121">
    <w:name w:val="GTA标题3 Char Char"/>
    <w:link w:val="122"/>
    <w:qFormat/>
    <w:locked/>
    <w:uiPriority w:val="0"/>
    <w:rPr>
      <w:rFonts w:ascii="Arial" w:hAnsi="Arial" w:eastAsia="黑体"/>
      <w:b/>
      <w:bCs/>
      <w:color w:val="000000"/>
      <w:lang w:val="zh-CN" w:bidi="ar-SA"/>
    </w:rPr>
  </w:style>
  <w:style w:type="paragraph" w:customStyle="1" w:styleId="122">
    <w:name w:val="GTA标题3"/>
    <w:basedOn w:val="4"/>
    <w:link w:val="121"/>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23">
    <w:name w:val="Char Char22"/>
    <w:qFormat/>
    <w:locked/>
    <w:uiPriority w:val="0"/>
    <w:rPr>
      <w:rFonts w:eastAsia="微软雅黑"/>
      <w:b/>
      <w:bCs/>
      <w:kern w:val="44"/>
      <w:sz w:val="36"/>
      <w:szCs w:val="36"/>
      <w:lang w:bidi="ar-SA"/>
    </w:rPr>
  </w:style>
  <w:style w:type="character" w:customStyle="1" w:styleId="124">
    <w:name w:val="图注1 Char"/>
    <w:link w:val="125"/>
    <w:qFormat/>
    <w:locked/>
    <w:uiPriority w:val="0"/>
    <w:rPr>
      <w:rFonts w:ascii="Cambria" w:hAnsi="Cambria" w:eastAsia="宋体"/>
      <w:sz w:val="21"/>
      <w:szCs w:val="22"/>
      <w:lang w:bidi="ar-SA"/>
    </w:rPr>
  </w:style>
  <w:style w:type="paragraph" w:customStyle="1" w:styleId="125">
    <w:name w:val="图注1"/>
    <w:basedOn w:val="1"/>
    <w:link w:val="124"/>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6">
    <w:name w:val="Header Char"/>
    <w:qFormat/>
    <w:locked/>
    <w:uiPriority w:val="0"/>
    <w:rPr>
      <w:rFonts w:ascii="Cambria" w:hAnsi="Cambria" w:eastAsia="宋体"/>
      <w:kern w:val="2"/>
      <w:sz w:val="18"/>
      <w:szCs w:val="18"/>
      <w:lang w:val="en-US" w:eastAsia="zh-CN" w:bidi="ar-SA"/>
    </w:rPr>
  </w:style>
  <w:style w:type="character" w:customStyle="1" w:styleId="127">
    <w:name w:val="GTA标题4 Char Char"/>
    <w:link w:val="128"/>
    <w:qFormat/>
    <w:locked/>
    <w:uiPriority w:val="0"/>
    <w:rPr>
      <w:rFonts w:ascii="Arial" w:hAnsi="Arial" w:eastAsia="仿宋_GB2312"/>
      <w:b/>
      <w:bCs/>
      <w:color w:val="0070C0"/>
      <w:lang w:bidi="ar-SA"/>
    </w:rPr>
  </w:style>
  <w:style w:type="paragraph" w:customStyle="1" w:styleId="128">
    <w:name w:val="GTA标题4"/>
    <w:basedOn w:val="5"/>
    <w:link w:val="127"/>
    <w:qFormat/>
    <w:uiPriority w:val="0"/>
    <w:pPr>
      <w:tabs>
        <w:tab w:val="left" w:pos="1680"/>
      </w:tabs>
      <w:adjustRightInd w:val="0"/>
      <w:snapToGrid w:val="0"/>
      <w:spacing w:beforeLines="100" w:afterLines="75" w:line="360" w:lineRule="auto"/>
      <w:ind w:left="1680" w:firstLine="200" w:firstLineChars="200"/>
    </w:pPr>
    <w:rPr>
      <w:rFonts w:eastAsia="仿宋_GB2312"/>
      <w:color w:val="0070C0"/>
      <w:kern w:val="0"/>
      <w:sz w:val="20"/>
      <w:szCs w:val="20"/>
    </w:rPr>
  </w:style>
  <w:style w:type="character" w:customStyle="1" w:styleId="129">
    <w:name w:val="con"/>
    <w:qFormat/>
    <w:uiPriority w:val="0"/>
  </w:style>
  <w:style w:type="character" w:customStyle="1" w:styleId="130">
    <w:name w:val="apple-style-span"/>
    <w:qFormat/>
    <w:uiPriority w:val="0"/>
  </w:style>
  <w:style w:type="character" w:customStyle="1" w:styleId="131">
    <w:name w:val="GTA正文-2 Char Char"/>
    <w:qFormat/>
    <w:locked/>
    <w:uiPriority w:val="0"/>
    <w:rPr>
      <w:rFonts w:hint="default" w:ascii="Arial" w:hAnsi="Arial" w:eastAsia="微软雅黑" w:cs="Arial"/>
      <w:sz w:val="24"/>
    </w:rPr>
  </w:style>
  <w:style w:type="character" w:customStyle="1" w:styleId="132">
    <w:name w:val="Heading 3 Char"/>
    <w:qFormat/>
    <w:locked/>
    <w:uiPriority w:val="0"/>
    <w:rPr>
      <w:rFonts w:ascii="Cambria" w:hAnsi="Cambria" w:eastAsia="宋体"/>
      <w:b/>
      <w:bCs/>
      <w:kern w:val="2"/>
      <w:sz w:val="24"/>
      <w:szCs w:val="32"/>
      <w:lang w:val="en-US" w:eastAsia="zh-CN" w:bidi="ar-SA"/>
    </w:rPr>
  </w:style>
  <w:style w:type="character" w:customStyle="1" w:styleId="133">
    <w:name w:val="书籍标题1"/>
    <w:qFormat/>
    <w:uiPriority w:val="0"/>
    <w:rPr>
      <w:b/>
      <w:bCs/>
      <w:smallCaps/>
      <w:spacing w:val="5"/>
    </w:rPr>
  </w:style>
  <w:style w:type="character" w:customStyle="1" w:styleId="134">
    <w:name w:val="apple-converted-space"/>
    <w:qFormat/>
    <w:uiPriority w:val="0"/>
  </w:style>
  <w:style w:type="character" w:customStyle="1" w:styleId="135">
    <w:name w:val="批注文字 Char1"/>
    <w:qFormat/>
    <w:uiPriority w:val="0"/>
    <w:rPr>
      <w:kern w:val="2"/>
      <w:sz w:val="21"/>
      <w:szCs w:val="24"/>
    </w:rPr>
  </w:style>
  <w:style w:type="character" w:customStyle="1" w:styleId="136">
    <w:name w:val="font51"/>
    <w:qFormat/>
    <w:uiPriority w:val="0"/>
    <w:rPr>
      <w:rFonts w:ascii="Bosch Office Sans" w:hAnsi="Bosch Office Sans" w:cs="Bosch Office Sans"/>
      <w:color w:val="000000"/>
      <w:sz w:val="20"/>
      <w:szCs w:val="20"/>
      <w:u w:val="none"/>
    </w:rPr>
  </w:style>
  <w:style w:type="character" w:customStyle="1" w:styleId="137">
    <w:name w:val="明显引用字符1"/>
    <w:qFormat/>
    <w:uiPriority w:val="0"/>
    <w:rPr>
      <w:rFonts w:hint="default" w:ascii="Times New Roman" w:hAnsi="Times New Roman" w:eastAsia="微软雅黑" w:cs="Times New Roman"/>
      <w:i/>
      <w:iCs/>
      <w:color w:val="5B9BD5"/>
    </w:rPr>
  </w:style>
  <w:style w:type="character" w:customStyle="1" w:styleId="138">
    <w:name w:val="无间隔字符"/>
    <w:link w:val="139"/>
    <w:qFormat/>
    <w:locked/>
    <w:uiPriority w:val="99"/>
    <w:rPr>
      <w:rFonts w:ascii="Cambria" w:hAnsi="Cambria"/>
      <w:kern w:val="2"/>
      <w:sz w:val="21"/>
      <w:szCs w:val="22"/>
      <w:lang w:val="en-US" w:eastAsia="zh-CN" w:bidi="ar-SA"/>
    </w:rPr>
  </w:style>
  <w:style w:type="paragraph" w:customStyle="1" w:styleId="139">
    <w:name w:val="无间隔1"/>
    <w:link w:val="138"/>
    <w:qFormat/>
    <w:uiPriority w:val="1"/>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40">
    <w:name w:val="GTA标题4 Char"/>
    <w:qFormat/>
    <w:uiPriority w:val="0"/>
    <w:rPr>
      <w:rFonts w:hint="default" w:ascii="Arial" w:hAnsi="Arial" w:eastAsia="仿宋_GB2312" w:cs="Arial"/>
      <w:b/>
      <w:bCs/>
      <w:kern w:val="2"/>
      <w:sz w:val="24"/>
      <w:szCs w:val="24"/>
    </w:rPr>
  </w:style>
  <w:style w:type="character" w:customStyle="1" w:styleId="141">
    <w:name w:val="font31"/>
    <w:basedOn w:val="54"/>
    <w:qFormat/>
    <w:uiPriority w:val="0"/>
    <w:rPr>
      <w:rFonts w:ascii="宋体" w:hAnsi="宋体" w:eastAsia="宋体" w:cs="宋体"/>
      <w:color w:val="000000"/>
      <w:sz w:val="20"/>
      <w:szCs w:val="20"/>
      <w:u w:val="none"/>
    </w:rPr>
  </w:style>
  <w:style w:type="character" w:customStyle="1" w:styleId="142">
    <w:name w:val="普通文字 Char Char1"/>
    <w:qFormat/>
    <w:locked/>
    <w:uiPriority w:val="0"/>
    <w:rPr>
      <w:rFonts w:ascii="宋体" w:hAnsi="Courier New" w:eastAsia="宋体" w:cs="Courier New"/>
      <w:kern w:val="2"/>
      <w:sz w:val="21"/>
      <w:szCs w:val="21"/>
      <w:lang w:val="en-US" w:eastAsia="zh-CN" w:bidi="ar-SA"/>
    </w:rPr>
  </w:style>
  <w:style w:type="character" w:customStyle="1" w:styleId="143">
    <w:name w:val="Char Char8"/>
    <w:qFormat/>
    <w:locked/>
    <w:uiPriority w:val="0"/>
    <w:rPr>
      <w:rFonts w:ascii="宋体" w:hAnsi="宋体" w:eastAsia="宋体"/>
      <w:kern w:val="2"/>
      <w:sz w:val="21"/>
      <w:szCs w:val="24"/>
      <w:lang w:val="en-US" w:eastAsia="zh-CN" w:bidi="ar-SA"/>
    </w:rPr>
  </w:style>
  <w:style w:type="character" w:customStyle="1" w:styleId="144">
    <w:name w:val="GTA正文-2 Char"/>
    <w:link w:val="145"/>
    <w:qFormat/>
    <w:locked/>
    <w:uiPriority w:val="0"/>
    <w:rPr>
      <w:rFonts w:ascii="Arial" w:hAnsi="Arial" w:eastAsia="华文细黑" w:cs="Arial"/>
      <w:lang w:bidi="ar-SA"/>
    </w:rPr>
  </w:style>
  <w:style w:type="paragraph" w:customStyle="1" w:styleId="145">
    <w:name w:val="GTA正文-2"/>
    <w:basedOn w:val="106"/>
    <w:link w:val="144"/>
    <w:qFormat/>
    <w:uiPriority w:val="0"/>
    <w:pPr>
      <w:snapToGrid w:val="0"/>
      <w:spacing w:line="360" w:lineRule="auto"/>
      <w:ind w:firstLine="480"/>
    </w:pPr>
    <w:rPr>
      <w:rFonts w:eastAsia="华文细黑"/>
      <w:sz w:val="20"/>
    </w:rPr>
  </w:style>
  <w:style w:type="character" w:customStyle="1" w:styleId="146">
    <w:name w:val="Char Char3"/>
    <w:qFormat/>
    <w:locked/>
    <w:uiPriority w:val="0"/>
    <w:rPr>
      <w:sz w:val="18"/>
      <w:szCs w:val="18"/>
      <w:lang w:bidi="ar-SA"/>
    </w:rPr>
  </w:style>
  <w:style w:type="character" w:customStyle="1" w:styleId="147">
    <w:name w:val="ca-92"/>
    <w:qFormat/>
    <w:uiPriority w:val="0"/>
  </w:style>
  <w:style w:type="character" w:customStyle="1" w:styleId="148">
    <w:name w:val="Footer Char"/>
    <w:qFormat/>
    <w:locked/>
    <w:uiPriority w:val="0"/>
    <w:rPr>
      <w:rFonts w:ascii="Cambria" w:hAnsi="Cambria" w:eastAsia="宋体"/>
      <w:kern w:val="2"/>
      <w:sz w:val="18"/>
      <w:szCs w:val="18"/>
      <w:lang w:val="en-US" w:eastAsia="zh-CN" w:bidi="ar-SA"/>
    </w:rPr>
  </w:style>
  <w:style w:type="character" w:customStyle="1" w:styleId="149">
    <w:name w:val="Char Char4"/>
    <w:qFormat/>
    <w:uiPriority w:val="0"/>
    <w:rPr>
      <w:rFonts w:eastAsia="宋体"/>
      <w:kern w:val="2"/>
      <w:sz w:val="21"/>
      <w:szCs w:val="24"/>
      <w:lang w:val="en-US" w:eastAsia="zh-CN" w:bidi="ar-SA"/>
    </w:rPr>
  </w:style>
  <w:style w:type="character" w:customStyle="1" w:styleId="150">
    <w:name w:val="ca-72"/>
    <w:qFormat/>
    <w:uiPriority w:val="0"/>
  </w:style>
  <w:style w:type="character" w:customStyle="1" w:styleId="151">
    <w:name w:val="特点1"/>
    <w:qFormat/>
    <w:uiPriority w:val="0"/>
  </w:style>
  <w:style w:type="character" w:customStyle="1" w:styleId="152">
    <w:name w:val="GTA正文-1 Char Char"/>
    <w:qFormat/>
    <w:locked/>
    <w:uiPriority w:val="0"/>
    <w:rPr>
      <w:rFonts w:hint="default" w:ascii="Arial" w:hAnsi="Arial" w:eastAsia="微软雅黑" w:cs="Arial"/>
      <w:sz w:val="24"/>
    </w:rPr>
  </w:style>
  <w:style w:type="character" w:customStyle="1" w:styleId="153">
    <w:name w:val="明显强调1"/>
    <w:qFormat/>
    <w:uiPriority w:val="0"/>
    <w:rPr>
      <w:b/>
      <w:bCs/>
      <w:i/>
      <w:iCs/>
      <w:color w:val="4F81BD"/>
    </w:rPr>
  </w:style>
  <w:style w:type="character" w:customStyle="1" w:styleId="154">
    <w:name w:val="Char Char5"/>
    <w:qFormat/>
    <w:locked/>
    <w:uiPriority w:val="0"/>
    <w:rPr>
      <w:rFonts w:ascii="宋体" w:hAnsi="宋体" w:eastAsia="宋体"/>
      <w:sz w:val="18"/>
      <w:szCs w:val="18"/>
      <w:lang w:bidi="ar-SA"/>
    </w:rPr>
  </w:style>
  <w:style w:type="character" w:customStyle="1" w:styleId="155">
    <w:name w:val="03 Char"/>
    <w:link w:val="156"/>
    <w:qFormat/>
    <w:locked/>
    <w:uiPriority w:val="0"/>
    <w:rPr>
      <w:rFonts w:ascii="仿宋_GB2312" w:eastAsia="仿宋_GB2312"/>
      <w:b/>
      <w:sz w:val="28"/>
      <w:lang w:bidi="ar-SA"/>
    </w:rPr>
  </w:style>
  <w:style w:type="paragraph" w:customStyle="1" w:styleId="156">
    <w:name w:val="03"/>
    <w:basedOn w:val="1"/>
    <w:link w:val="155"/>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57">
    <w:name w:val="Char Char19"/>
    <w:qFormat/>
    <w:locked/>
    <w:uiPriority w:val="0"/>
    <w:rPr>
      <w:rFonts w:ascii="Arial" w:hAnsi="Arial" w:eastAsia="微软雅黑"/>
      <w:b/>
      <w:bCs/>
      <w:color w:val="0070C0"/>
      <w:szCs w:val="28"/>
      <w:lang w:bidi="ar-SA"/>
    </w:rPr>
  </w:style>
  <w:style w:type="character" w:customStyle="1" w:styleId="158">
    <w:name w:val="Char Char2"/>
    <w:qFormat/>
    <w:locked/>
    <w:uiPriority w:val="0"/>
    <w:rPr>
      <w:rFonts w:ascii="Calibri" w:hAnsi="Calibri" w:eastAsia="宋体" w:cs="黑体"/>
      <w:kern w:val="2"/>
      <w:sz w:val="24"/>
      <w:szCs w:val="24"/>
      <w:lang w:val="en-US" w:eastAsia="zh-CN" w:bidi="ar-SA"/>
    </w:rPr>
  </w:style>
  <w:style w:type="character" w:customStyle="1" w:styleId="159">
    <w:name w:val="Heading 2 Char"/>
    <w:qFormat/>
    <w:locked/>
    <w:uiPriority w:val="0"/>
    <w:rPr>
      <w:rFonts w:ascii="Calibri" w:hAnsi="Calibri" w:eastAsia="宋体"/>
      <w:b/>
      <w:bCs/>
      <w:kern w:val="2"/>
      <w:sz w:val="24"/>
      <w:szCs w:val="32"/>
      <w:lang w:val="en-US" w:eastAsia="zh-CN" w:bidi="ar-SA"/>
    </w:rPr>
  </w:style>
  <w:style w:type="character" w:customStyle="1" w:styleId="160">
    <w:name w:val="1ji Char"/>
    <w:link w:val="161"/>
    <w:qFormat/>
    <w:uiPriority w:val="0"/>
    <w:rPr>
      <w:rFonts w:ascii="宋体" w:hAnsi="宋体" w:eastAsia="仿宋_GB2312"/>
      <w:b/>
      <w:bCs/>
      <w:kern w:val="44"/>
      <w:sz w:val="36"/>
      <w:szCs w:val="44"/>
      <w:lang w:val="en-US" w:eastAsia="zh-CN" w:bidi="ar-SA"/>
    </w:rPr>
  </w:style>
  <w:style w:type="paragraph" w:customStyle="1" w:styleId="161">
    <w:name w:val="1ji"/>
    <w:basedOn w:val="2"/>
    <w:link w:val="160"/>
    <w:qFormat/>
    <w:uiPriority w:val="0"/>
    <w:pPr>
      <w:keepLines w:val="0"/>
      <w:widowControl/>
      <w:spacing w:before="0" w:after="0" w:line="240" w:lineRule="auto"/>
    </w:pPr>
    <w:rPr>
      <w:rFonts w:ascii="宋体" w:hAnsi="宋体"/>
      <w:sz w:val="36"/>
    </w:rPr>
  </w:style>
  <w:style w:type="character" w:customStyle="1" w:styleId="162">
    <w:name w:val="浅色网格 - 强调文字颜色 3 Char"/>
    <w:link w:val="163"/>
    <w:qFormat/>
    <w:uiPriority w:val="0"/>
    <w:rPr>
      <w:rFonts w:ascii="Calibri" w:hAnsi="Calibri" w:eastAsia="宋体"/>
      <w:kern w:val="2"/>
      <w:sz w:val="21"/>
      <w:szCs w:val="22"/>
      <w:lang w:bidi="ar-SA"/>
    </w:rPr>
  </w:style>
  <w:style w:type="paragraph" w:customStyle="1" w:styleId="163">
    <w:name w:val="浅色网格 - 强调文字颜色 31"/>
    <w:basedOn w:val="1"/>
    <w:link w:val="162"/>
    <w:qFormat/>
    <w:uiPriority w:val="0"/>
    <w:pPr>
      <w:ind w:firstLine="420" w:firstLineChars="200"/>
    </w:pPr>
    <w:rPr>
      <w:rFonts w:ascii="Calibri" w:hAnsi="Calibri"/>
      <w:szCs w:val="22"/>
    </w:rPr>
  </w:style>
  <w:style w:type="character" w:customStyle="1" w:styleId="164">
    <w:name w:val="st1"/>
    <w:qFormat/>
    <w:uiPriority w:val="0"/>
  </w:style>
  <w:style w:type="character" w:customStyle="1" w:styleId="165">
    <w:name w:val="font11"/>
    <w:basedOn w:val="54"/>
    <w:qFormat/>
    <w:uiPriority w:val="0"/>
    <w:rPr>
      <w:rFonts w:ascii="宋体" w:hAnsi="宋体" w:eastAsia="宋体" w:cs="宋体"/>
      <w:color w:val="000000"/>
      <w:sz w:val="20"/>
      <w:szCs w:val="20"/>
      <w:u w:val="none"/>
    </w:rPr>
  </w:style>
  <w:style w:type="character" w:customStyle="1" w:styleId="166">
    <w:name w:val="纯文本 字符"/>
    <w:qFormat/>
    <w:uiPriority w:val="0"/>
    <w:rPr>
      <w:rFonts w:ascii="宋体" w:hAnsi="Courier New" w:eastAsia="宋体" w:cs="Courier New"/>
      <w:kern w:val="2"/>
      <w:sz w:val="21"/>
      <w:szCs w:val="21"/>
      <w:lang w:val="en-US" w:eastAsia="zh-CN" w:bidi="ar-SA"/>
    </w:rPr>
  </w:style>
  <w:style w:type="character" w:customStyle="1" w:styleId="167">
    <w:name w:val="List Paragraph Char"/>
    <w:link w:val="168"/>
    <w:qFormat/>
    <w:locked/>
    <w:uiPriority w:val="0"/>
    <w:rPr>
      <w:rFonts w:ascii="Calibri" w:hAnsi="Calibri" w:eastAsia="宋体"/>
      <w:kern w:val="2"/>
      <w:sz w:val="21"/>
      <w:szCs w:val="22"/>
      <w:lang w:val="en-US" w:eastAsia="zh-CN" w:bidi="ar-SA"/>
    </w:rPr>
  </w:style>
  <w:style w:type="paragraph" w:customStyle="1" w:styleId="168">
    <w:name w:val="列出段落1"/>
    <w:basedOn w:val="1"/>
    <w:link w:val="167"/>
    <w:qFormat/>
    <w:uiPriority w:val="0"/>
    <w:pPr>
      <w:ind w:firstLine="420" w:firstLineChars="200"/>
    </w:pPr>
    <w:rPr>
      <w:rFonts w:ascii="Calibri" w:hAnsi="Calibri"/>
      <w:szCs w:val="22"/>
    </w:rPr>
  </w:style>
  <w:style w:type="character" w:customStyle="1" w:styleId="169">
    <w:name w:val="明显引用字符"/>
    <w:link w:val="170"/>
    <w:qFormat/>
    <w:locked/>
    <w:uiPriority w:val="0"/>
    <w:rPr>
      <w:rFonts w:ascii="Arial" w:hAnsi="Arial" w:cs="Arial"/>
      <w:b/>
      <w:bCs/>
      <w:i/>
      <w:iCs/>
      <w:color w:val="4F81BD"/>
      <w:lang w:bidi="ar-SA"/>
    </w:rPr>
  </w:style>
  <w:style w:type="paragraph" w:customStyle="1" w:styleId="170">
    <w:name w:val="明显引用1"/>
    <w:basedOn w:val="1"/>
    <w:next w:val="1"/>
    <w:link w:val="169"/>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kern w:val="0"/>
      <w:sz w:val="20"/>
      <w:szCs w:val="20"/>
    </w:rPr>
  </w:style>
  <w:style w:type="character" w:customStyle="1" w:styleId="171">
    <w:name w:val="OK Char1"/>
    <w:link w:val="172"/>
    <w:qFormat/>
    <w:locked/>
    <w:uiPriority w:val="0"/>
    <w:rPr>
      <w:rFonts w:ascii="宋体" w:hAnsi="宋体" w:eastAsia="宋体"/>
      <w:bCs/>
      <w:lang w:bidi="ar-SA"/>
    </w:rPr>
  </w:style>
  <w:style w:type="paragraph" w:customStyle="1" w:styleId="172">
    <w:name w:val="OK"/>
    <w:basedOn w:val="1"/>
    <w:link w:val="171"/>
    <w:qFormat/>
    <w:uiPriority w:val="0"/>
    <w:pPr>
      <w:spacing w:line="400" w:lineRule="exact"/>
      <w:ind w:firstLine="200" w:firstLineChars="200"/>
      <w:jc w:val="left"/>
    </w:pPr>
    <w:rPr>
      <w:rFonts w:ascii="宋体" w:hAnsi="宋体"/>
      <w:bCs/>
      <w:kern w:val="0"/>
      <w:sz w:val="20"/>
      <w:szCs w:val="20"/>
    </w:rPr>
  </w:style>
  <w:style w:type="paragraph" w:customStyle="1" w:styleId="173">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4">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175">
    <w:name w:val="5 Char Char Char Char Char Char Char Char Char Char"/>
    <w:basedOn w:val="1"/>
    <w:qFormat/>
    <w:uiPriority w:val="0"/>
  </w:style>
  <w:style w:type="paragraph" w:customStyle="1" w:styleId="176">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p0"/>
    <w:basedOn w:val="1"/>
    <w:qFormat/>
    <w:uiPriority w:val="0"/>
    <w:pPr>
      <w:widowControl/>
      <w:jc w:val="left"/>
    </w:pPr>
    <w:rPr>
      <w:kern w:val="0"/>
      <w:sz w:val="20"/>
      <w:szCs w:val="20"/>
    </w:rPr>
  </w:style>
  <w:style w:type="paragraph" w:customStyle="1" w:styleId="178">
    <w:name w:val="样式 标题 2 + 宋体"/>
    <w:basedOn w:val="3"/>
    <w:qFormat/>
    <w:uiPriority w:val="0"/>
    <w:pPr>
      <w:jc w:val="center"/>
    </w:pPr>
    <w:rPr>
      <w:rFonts w:ascii="宋体" w:hAnsi="宋体" w:eastAsia="宋体"/>
      <w:kern w:val="0"/>
    </w:rPr>
  </w:style>
  <w:style w:type="paragraph" w:customStyle="1" w:styleId="179">
    <w:name w:val="Char Char Char Char Char Char Char"/>
    <w:basedOn w:val="1"/>
    <w:qFormat/>
    <w:uiPriority w:val="0"/>
  </w:style>
  <w:style w:type="paragraph" w:customStyle="1" w:styleId="180">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18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82">
    <w:name w:val="Char Char1 Char Char Char Char"/>
    <w:basedOn w:val="17"/>
    <w:qFormat/>
    <w:uiPriority w:val="0"/>
    <w:rPr>
      <w:rFonts w:ascii="Tahoma" w:hAnsi="Tahoma"/>
      <w:sz w:val="24"/>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8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85">
    <w:name w:val="表格文字"/>
    <w:basedOn w:val="1"/>
    <w:qFormat/>
    <w:uiPriority w:val="0"/>
    <w:pPr>
      <w:spacing w:before="25" w:after="25"/>
      <w:jc w:val="left"/>
    </w:pPr>
    <w:rPr>
      <w:bCs/>
      <w:spacing w:val="10"/>
      <w:kern w:val="0"/>
      <w:sz w:val="24"/>
      <w:szCs w:val="20"/>
    </w:rPr>
  </w:style>
  <w:style w:type="paragraph" w:customStyle="1" w:styleId="186">
    <w:name w:val="xl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7">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88">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189">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9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9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9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19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195">
    <w:name w:val="Char Char Char Char Char Char Char Char Char Char"/>
    <w:basedOn w:val="1"/>
    <w:qFormat/>
    <w:uiPriority w:val="0"/>
    <w:pPr>
      <w:tabs>
        <w:tab w:val="left" w:pos="360"/>
      </w:tabs>
      <w:ind w:left="360" w:hanging="360" w:hangingChars="200"/>
    </w:pPr>
    <w:rPr>
      <w:szCs w:val="20"/>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199">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0">
    <w:name w:val="Char Char Char1 Char"/>
    <w:basedOn w:val="1"/>
    <w:qFormat/>
    <w:uiPriority w:val="0"/>
    <w:rPr>
      <w:rFonts w:ascii="Calibri" w:hAnsi="Calibri"/>
      <w:szCs w:val="22"/>
    </w:rPr>
  </w:style>
  <w:style w:type="paragraph" w:customStyle="1" w:styleId="20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03">
    <w:name w:val="Char"/>
    <w:basedOn w:val="17"/>
    <w:qFormat/>
    <w:uiPriority w:val="0"/>
    <w:pPr>
      <w:widowControl/>
      <w:ind w:firstLine="454"/>
      <w:jc w:val="left"/>
    </w:pPr>
    <w:rPr>
      <w:rFonts w:ascii="Tahoma" w:hAnsi="Tahoma" w:cs="宋体"/>
      <w:kern w:val="0"/>
      <w:sz w:val="24"/>
      <w:szCs w:val="20"/>
    </w:rPr>
  </w:style>
  <w:style w:type="paragraph" w:customStyle="1" w:styleId="204">
    <w:name w:val="xl7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05">
    <w:name w:val="_Style 2"/>
    <w:basedOn w:val="1"/>
    <w:qFormat/>
    <w:uiPriority w:val="0"/>
    <w:pPr>
      <w:ind w:firstLine="420" w:firstLineChars="200"/>
    </w:pPr>
  </w:style>
  <w:style w:type="paragraph" w:customStyle="1" w:styleId="20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7">
    <w:name w:val="xl89"/>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08">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9">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List Paragraph1"/>
    <w:basedOn w:val="1"/>
    <w:qFormat/>
    <w:uiPriority w:val="0"/>
    <w:pPr>
      <w:ind w:firstLine="420" w:firstLineChars="200"/>
    </w:pPr>
  </w:style>
  <w:style w:type="paragraph" w:customStyle="1" w:styleId="211">
    <w:name w:val="xl95"/>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12">
    <w:name w:val="xl65"/>
    <w:basedOn w:val="1"/>
    <w:qFormat/>
    <w:uiPriority w:val="0"/>
    <w:pPr>
      <w:widowControl/>
      <w:spacing w:before="100" w:beforeAutospacing="1" w:after="100" w:afterAutospacing="1"/>
      <w:jc w:val="center"/>
    </w:pPr>
    <w:rPr>
      <w:rFonts w:ascii="宋体" w:hAnsi="宋体" w:cs="宋体"/>
      <w:color w:val="000000"/>
      <w:kern w:val="0"/>
      <w:szCs w:val="21"/>
    </w:rPr>
  </w:style>
  <w:style w:type="paragraph" w:customStyle="1" w:styleId="213">
    <w:name w:val="默认段落字体 Para Char Char Char Char Char Char Char Char Char1 Char Char Char Char"/>
    <w:basedOn w:val="1"/>
    <w:qFormat/>
    <w:uiPriority w:val="0"/>
    <w:rPr>
      <w:rFonts w:ascii="Tahoma" w:hAnsi="Tahoma"/>
      <w:sz w:val="24"/>
      <w:szCs w:val="20"/>
    </w:rPr>
  </w:style>
  <w:style w:type="paragraph" w:customStyle="1" w:styleId="214">
    <w:name w:val="投标文件1"/>
    <w:basedOn w:val="2"/>
    <w:qFormat/>
    <w:uiPriority w:val="0"/>
    <w:pPr>
      <w:jc w:val="both"/>
    </w:pPr>
    <w:rPr>
      <w:rFonts w:eastAsia="方正小标宋简体"/>
      <w:b w:val="0"/>
      <w:sz w:val="32"/>
      <w:szCs w:val="21"/>
    </w:rPr>
  </w:style>
  <w:style w:type="paragraph" w:customStyle="1" w:styleId="215">
    <w:name w:val="Char4"/>
    <w:basedOn w:val="1"/>
    <w:qFormat/>
    <w:uiPriority w:val="0"/>
    <w:rPr>
      <w:rFonts w:ascii="Tahoma" w:hAnsi="Tahoma"/>
      <w:sz w:val="24"/>
      <w:szCs w:val="20"/>
    </w:rPr>
  </w:style>
  <w:style w:type="paragraph" w:customStyle="1" w:styleId="21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17">
    <w:name w:val="样式2"/>
    <w:basedOn w:val="5"/>
    <w:qFormat/>
    <w:uiPriority w:val="0"/>
    <w:rPr>
      <w:rFonts w:ascii="仿宋_GB2312" w:hAnsi="宋体" w:eastAsia="仿宋_GB2312" w:cs="宋体"/>
      <w:kern w:val="0"/>
      <w:sz w:val="24"/>
    </w:rPr>
  </w:style>
  <w:style w:type="paragraph" w:customStyle="1" w:styleId="2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0">
    <w:name w:val="xl97"/>
    <w:basedOn w:val="1"/>
    <w:qFormat/>
    <w:uiPriority w:val="0"/>
    <w:pPr>
      <w:widowControl/>
      <w:spacing w:before="100" w:beforeAutospacing="1" w:after="100" w:afterAutospacing="1"/>
      <w:jc w:val="left"/>
      <w:textAlignment w:val="bottom"/>
    </w:pPr>
    <w:rPr>
      <w:kern w:val="0"/>
      <w:sz w:val="20"/>
      <w:szCs w:val="20"/>
    </w:rPr>
  </w:style>
  <w:style w:type="paragraph" w:customStyle="1" w:styleId="22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2">
    <w:name w:val="正文段"/>
    <w:basedOn w:val="1"/>
    <w:qFormat/>
    <w:uiPriority w:val="0"/>
    <w:pPr>
      <w:widowControl/>
      <w:snapToGrid w:val="0"/>
      <w:spacing w:afterLines="50"/>
      <w:ind w:firstLine="200" w:firstLineChars="200"/>
    </w:pPr>
    <w:rPr>
      <w:kern w:val="0"/>
      <w:sz w:val="24"/>
      <w:szCs w:val="20"/>
    </w:rPr>
  </w:style>
  <w:style w:type="paragraph" w:customStyle="1" w:styleId="223">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4">
    <w:name w:val="xl93"/>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225">
    <w:name w:val="pa-5"/>
    <w:basedOn w:val="1"/>
    <w:qFormat/>
    <w:uiPriority w:val="0"/>
    <w:pPr>
      <w:widowControl/>
      <w:spacing w:before="150" w:after="150"/>
      <w:jc w:val="left"/>
    </w:pPr>
    <w:rPr>
      <w:rFonts w:ascii="宋体" w:hAnsi="宋体" w:cs="宋体"/>
      <w:kern w:val="0"/>
      <w:sz w:val="24"/>
    </w:rPr>
  </w:style>
  <w:style w:type="paragraph" w:customStyle="1" w:styleId="226">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2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231">
    <w:name w:val="font10"/>
    <w:basedOn w:val="1"/>
    <w:qFormat/>
    <w:uiPriority w:val="0"/>
    <w:pPr>
      <w:widowControl/>
      <w:spacing w:before="100" w:beforeAutospacing="1" w:after="100" w:afterAutospacing="1"/>
      <w:jc w:val="left"/>
    </w:pPr>
    <w:rPr>
      <w:kern w:val="0"/>
      <w:sz w:val="20"/>
      <w:szCs w:val="20"/>
    </w:rPr>
  </w:style>
  <w:style w:type="paragraph" w:customStyle="1" w:styleId="232">
    <w:name w:val="样式 标题 1 + 小二"/>
    <w:basedOn w:val="2"/>
    <w:qFormat/>
    <w:uiPriority w:val="0"/>
  </w:style>
  <w:style w:type="paragraph" w:customStyle="1" w:styleId="23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sz w:val="24"/>
      <w:szCs w:val="22"/>
    </w:rPr>
  </w:style>
  <w:style w:type="paragraph" w:customStyle="1" w:styleId="23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35">
    <w:name w:val="投标文件"/>
    <w:basedOn w:val="47"/>
    <w:qFormat/>
    <w:uiPriority w:val="0"/>
  </w:style>
  <w:style w:type="paragraph" w:customStyle="1" w:styleId="23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37">
    <w:name w:val="1"/>
    <w:basedOn w:val="1"/>
    <w:next w:val="28"/>
    <w:qFormat/>
    <w:uiPriority w:val="0"/>
    <w:rPr>
      <w:rFonts w:ascii="宋体" w:hAnsi="Courier New"/>
      <w:szCs w:val="20"/>
    </w:rPr>
  </w:style>
  <w:style w:type="paragraph" w:customStyle="1" w:styleId="238">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39">
    <w:name w:val="样式 标题 3 + 四号"/>
    <w:basedOn w:val="4"/>
    <w:qFormat/>
    <w:uiPriority w:val="0"/>
    <w:pPr>
      <w:jc w:val="center"/>
    </w:pPr>
    <w:rPr>
      <w:rFonts w:ascii="Times New Roman" w:hAnsi="Times New Roman"/>
      <w:kern w:val="0"/>
      <w:sz w:val="28"/>
    </w:rPr>
  </w:style>
  <w:style w:type="paragraph" w:customStyle="1" w:styleId="240">
    <w:name w:val="gta-1"/>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2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2">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43">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4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45">
    <w:name w:val="font8"/>
    <w:basedOn w:val="1"/>
    <w:qFormat/>
    <w:uiPriority w:val="0"/>
    <w:pPr>
      <w:widowControl/>
      <w:spacing w:before="100" w:beforeAutospacing="1" w:after="100" w:afterAutospacing="1"/>
      <w:jc w:val="left"/>
    </w:pPr>
    <w:rPr>
      <w:color w:val="000000"/>
      <w:kern w:val="0"/>
      <w:sz w:val="22"/>
      <w:szCs w:val="22"/>
    </w:rPr>
  </w:style>
  <w:style w:type="paragraph" w:customStyle="1" w:styleId="246">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9">
    <w:name w:val="font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1">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5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53">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54">
    <w:name w:val="xl66"/>
    <w:basedOn w:val="1"/>
    <w:qFormat/>
    <w:uiPriority w:val="0"/>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6">
    <w:name w:val="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2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8">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9">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61">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2">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63">
    <w:name w:val="xl7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6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5">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7">
    <w:name w:val="xl7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6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0">
    <w:name w:val="浅色网格 - 强调文字颜色 32"/>
    <w:basedOn w:val="1"/>
    <w:qFormat/>
    <w:uiPriority w:val="0"/>
    <w:pPr>
      <w:ind w:firstLine="420" w:firstLineChars="200"/>
    </w:pPr>
    <w:rPr>
      <w:rFonts w:ascii="Calibri" w:hAnsi="Calibri"/>
      <w:szCs w:val="22"/>
    </w:rPr>
  </w:style>
  <w:style w:type="paragraph" w:customStyle="1" w:styleId="27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73">
    <w:name w:val="xl13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5">
    <w:name w:val="xl85"/>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6">
    <w:name w:val="TOC 标题1"/>
    <w:basedOn w:val="2"/>
    <w:next w:val="1"/>
    <w:qFormat/>
    <w:uiPriority w:val="0"/>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7">
    <w:name w:val="xl86"/>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78">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79">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87"/>
    <w:basedOn w:val="1"/>
    <w:qFormat/>
    <w:uiPriority w:val="0"/>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282">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3">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84">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5">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86">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87">
    <w:name w:val="xl96"/>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28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9">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91">
    <w:name w:val="List Paragraph2"/>
    <w:basedOn w:val="1"/>
    <w:qFormat/>
    <w:uiPriority w:val="0"/>
    <w:pPr>
      <w:ind w:firstLine="420" w:firstLineChars="200"/>
    </w:pPr>
    <w:rPr>
      <w:rFonts w:ascii="Calibri" w:hAnsi="Calibri"/>
      <w:szCs w:val="22"/>
    </w:rPr>
  </w:style>
  <w:style w:type="paragraph" w:customStyle="1" w:styleId="292">
    <w:name w:val="xl104"/>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95">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9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9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98">
    <w:name w:val="标书0927"/>
    <w:basedOn w:val="2"/>
    <w:qFormat/>
    <w:uiPriority w:val="0"/>
    <w:pPr>
      <w:tabs>
        <w:tab w:val="left" w:pos="780"/>
      </w:tabs>
      <w:spacing w:before="0" w:after="0" w:line="360" w:lineRule="auto"/>
      <w:ind w:left="780" w:hanging="420"/>
      <w:jc w:val="both"/>
    </w:pPr>
    <w:rPr>
      <w:rFonts w:ascii="宋体" w:eastAsia="宋体"/>
      <w:sz w:val="32"/>
      <w:szCs w:val="32"/>
    </w:rPr>
  </w:style>
  <w:style w:type="paragraph" w:customStyle="1" w:styleId="299">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0">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301">
    <w:name w:val="纯文本 Char"/>
    <w:qFormat/>
    <w:uiPriority w:val="0"/>
    <w:rPr>
      <w:rFonts w:ascii="宋体" w:hAnsi="Courier New"/>
    </w:rPr>
  </w:style>
  <w:style w:type="character" w:customStyle="1" w:styleId="302">
    <w:name w:val="纯文本 Char2"/>
    <w:qFormat/>
    <w:uiPriority w:val="0"/>
    <w:rPr>
      <w:rFonts w:ascii="宋体" w:hAnsi="Courier New" w:eastAsia="宋体" w:cs="Courier New"/>
      <w:kern w:val="2"/>
      <w:sz w:val="21"/>
      <w:szCs w:val="21"/>
      <w:lang w:val="en-US" w:eastAsia="zh-CN" w:bidi="ar-SA"/>
    </w:rPr>
  </w:style>
  <w:style w:type="character" w:customStyle="1" w:styleId="303">
    <w:name w:val="列出段落 Char"/>
    <w:qFormat/>
    <w:locked/>
    <w:uiPriority w:val="0"/>
    <w:rPr>
      <w:kern w:val="2"/>
      <w:sz w:val="21"/>
      <w:szCs w:val="22"/>
    </w:rPr>
  </w:style>
  <w:style w:type="paragraph" w:customStyle="1" w:styleId="304">
    <w:name w:val="p18"/>
    <w:basedOn w:val="1"/>
    <w:qFormat/>
    <w:uiPriority w:val="0"/>
    <w:pPr>
      <w:widowControl/>
      <w:spacing w:line="240" w:lineRule="auto"/>
      <w:ind w:firstLine="0" w:firstLineChars="0"/>
    </w:pPr>
    <w:rPr>
      <w:rFonts w:ascii="宋体" w:hAnsi="宋体" w:cs="宋体"/>
      <w:kern w:val="0"/>
      <w:szCs w:val="21"/>
    </w:rPr>
  </w:style>
  <w:style w:type="paragraph" w:customStyle="1" w:styleId="305">
    <w:name w:val="custom_unionstyle"/>
    <w:basedOn w:val="1"/>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character" w:customStyle="1" w:styleId="306">
    <w:name w:val="未处理的提及"/>
    <w:unhideWhenUsed/>
    <w:qFormat/>
    <w:uiPriority w:val="99"/>
    <w:rPr>
      <w:color w:val="605E5C"/>
      <w:shd w:val="clear" w:color="auto" w:fill="E1DFDD"/>
    </w:rPr>
  </w:style>
  <w:style w:type="paragraph" w:customStyle="1" w:styleId="307">
    <w:name w:val="目录标题"/>
    <w:link w:val="30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308">
    <w:name w:val="目录标题 字符"/>
    <w:link w:val="307"/>
    <w:qFormat/>
    <w:uiPriority w:val="0"/>
    <w:rPr>
      <w:rFonts w:eastAsia="方正小标宋_GBK"/>
      <w:b/>
      <w:kern w:val="2"/>
      <w:sz w:val="24"/>
      <w:szCs w:val="24"/>
    </w:rPr>
  </w:style>
  <w:style w:type="paragraph" w:customStyle="1" w:styleId="309">
    <w:name w:val="_Style 8"/>
    <w:basedOn w:val="17"/>
    <w:qFormat/>
    <w:uiPriority w:val="0"/>
    <w:pPr>
      <w:widowControl/>
      <w:spacing w:line="240" w:lineRule="auto"/>
      <w:ind w:firstLine="454" w:firstLineChars="0"/>
      <w:jc w:val="left"/>
    </w:pPr>
  </w:style>
  <w:style w:type="character" w:customStyle="1" w:styleId="310">
    <w:name w:val="纯文本 Char3"/>
    <w:qFormat/>
    <w:uiPriority w:val="0"/>
    <w:rPr>
      <w:rFonts w:ascii="宋体" w:hAnsi="Courier New" w:eastAsia="宋体" w:cs="Courier New"/>
      <w:kern w:val="2"/>
      <w:sz w:val="21"/>
      <w:szCs w:val="21"/>
      <w:lang w:val="en-US" w:eastAsia="zh-CN" w:bidi="ar-SA"/>
    </w:rPr>
  </w:style>
  <w:style w:type="paragraph" w:customStyle="1" w:styleId="3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312">
    <w:name w:val="Table Normal"/>
    <w:unhideWhenUsed/>
    <w:qFormat/>
    <w:uiPriority w:val="0"/>
    <w:tblPr>
      <w:tblCellMar>
        <w:top w:w="0" w:type="dxa"/>
        <w:left w:w="0" w:type="dxa"/>
        <w:bottom w:w="0" w:type="dxa"/>
        <w:right w:w="0" w:type="dxa"/>
      </w:tblCellMar>
    </w:tblPr>
  </w:style>
  <w:style w:type="paragraph" w:customStyle="1" w:styleId="313">
    <w:name w:val="Table Text"/>
    <w:semiHidden/>
    <w:qFormat/>
    <w:uiPriority w:val="0"/>
    <w:pPr>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2"/>
      <w:szCs w:val="22"/>
      <w:lang w:val="en-US" w:eastAsia="en-US" w:bidi="ar-SA"/>
    </w:rPr>
  </w:style>
  <w:style w:type="character" w:customStyle="1" w:styleId="314">
    <w:name w:val="NormalCharacter"/>
    <w:qFormat/>
    <w:uiPriority w:val="0"/>
    <w:rPr>
      <w:kern w:val="2"/>
      <w:sz w:val="21"/>
      <w:szCs w:val="22"/>
      <w:lang w:val="en-US" w:eastAsia="zh-CN" w:bidi="ar-SA"/>
    </w:rPr>
  </w:style>
  <w:style w:type="paragraph" w:customStyle="1" w:styleId="315">
    <w:name w:val="p15"/>
    <w:basedOn w:val="1"/>
    <w:qFormat/>
    <w:uiPriority w:val="0"/>
    <w:pPr>
      <w:widowControl/>
    </w:pPr>
    <w:rPr>
      <w:rFonts w:ascii="宋体" w:hAnsi="宋体" w:cs="宋体"/>
      <w:kern w:val="0"/>
      <w:szCs w:val="21"/>
    </w:rPr>
  </w:style>
  <w:style w:type="paragraph" w:customStyle="1" w:styleId="316">
    <w:name w:val="正文1"/>
    <w:basedOn w:val="317"/>
    <w:qFormat/>
    <w:uiPriority w:val="0"/>
    <w:rPr>
      <w:sz w:val="24"/>
      <w:szCs w:val="20"/>
    </w:rPr>
  </w:style>
  <w:style w:type="paragraph" w:styleId="317">
    <w:name w:val="No Spacing"/>
    <w:qFormat/>
    <w:uiPriority w:val="99"/>
    <w:pPr>
      <w:widowControl w:val="0"/>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318">
    <w:name w:val="BodyText"/>
    <w:next w:val="319"/>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319">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282</Pages>
  <Words>17355</Words>
  <Characters>20163</Characters>
  <Lines>402</Lines>
  <Paragraphs>113</Paragraphs>
  <TotalTime>5</TotalTime>
  <ScaleCrop>false</ScaleCrop>
  <LinksUpToDate>false</LinksUpToDate>
  <CharactersWithSpaces>20512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2018-05-29T15:46:00Z</dcterms:created>
  <dc:creator>Administrator</dc:creator>
  <cp:lastModifiedBy>~猫~石榴</cp:lastModifiedBy>
  <cp:lastPrinted>2025-11-18T02:24:00Z</cp:lastPrinted>
  <dcterms:modified xsi:type="dcterms:W3CDTF">2025-12-01T03:02:59Z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54EFFB3F71C2486498D8F31EB5E1ACFE</vt:lpwstr>
  </property>
  <property fmtid="{D5CDD505-2E9C-101B-9397-08002B2CF9AE}" pid="4" name="KSOTemplateDocerSaveRecord">
    <vt:lpwstr>eyJoZGlkIjoiMTM0NGFlOTE5YzM3NmI1Mjk3MTU1YWRiMjQ4ZDZiNGUiLCJ1c2VySWQiOiIxMzM5Mjk0NDEwIn0=</vt:lpwstr>
  </property>
</Properties>
</file>