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highlight w:val="none"/>
        </w:rPr>
      </w:pPr>
      <w:bookmarkStart w:id="0" w:name="_Hlk92961273"/>
      <w:bookmarkEnd w:id="0"/>
    </w:p>
    <w:p>
      <w:pPr>
        <w:rPr>
          <w:color w:val="auto"/>
          <w:highlight w:val="none"/>
        </w:rPr>
      </w:pPr>
    </w:p>
    <w:p>
      <w:pPr>
        <w:rPr>
          <w:color w:val="auto"/>
          <w:highlight w:val="none"/>
        </w:rPr>
      </w:pPr>
    </w:p>
    <w:p>
      <w:pPr>
        <w:rPr>
          <w:color w:val="auto"/>
          <w:highlight w:val="none"/>
        </w:rPr>
      </w:pPr>
    </w:p>
    <w:p>
      <w:pPr>
        <w:spacing w:beforeLines="50" w:line="780" w:lineRule="exact"/>
        <w:jc w:val="center"/>
        <w:rPr>
          <w:rFonts w:ascii="方正小标宋_GBK" w:hAnsi="黑体" w:eastAsia="方正小标宋_GBK"/>
          <w:b/>
          <w:color w:val="auto"/>
          <w:sz w:val="84"/>
          <w:szCs w:val="84"/>
          <w:highlight w:val="none"/>
        </w:rPr>
      </w:pPr>
      <w:r>
        <w:rPr>
          <w:rFonts w:hint="eastAsia" w:ascii="方正小标宋_GBK" w:hAnsi="黑体" w:eastAsia="方正小标宋_GBK"/>
          <w:b/>
          <w:color w:val="auto"/>
          <w:sz w:val="84"/>
          <w:szCs w:val="84"/>
          <w:highlight w:val="none"/>
        </w:rPr>
        <w:t>竞争性磋商采购文件</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spacing w:line="500" w:lineRule="exact"/>
        <w:ind w:left="3195" w:leftChars="912" w:hanging="1280" w:hangingChars="400"/>
        <w:rPr>
          <w:rFonts w:hint="eastAsia" w:ascii="方正小标宋_GBK" w:hAnsi="微软雅黑" w:eastAsia="方正小标宋_GBK"/>
          <w:color w:val="auto"/>
          <w:sz w:val="32"/>
          <w:szCs w:val="32"/>
          <w:highlight w:val="none"/>
          <w:lang w:eastAsia="zh-CN"/>
        </w:rPr>
      </w:pPr>
      <w:r>
        <w:rPr>
          <w:rFonts w:hint="eastAsia" w:ascii="方正小标宋_GBK" w:hAnsi="微软雅黑" w:eastAsia="方正小标宋_GBK"/>
          <w:color w:val="auto"/>
          <w:sz w:val="32"/>
          <w:szCs w:val="32"/>
          <w:highlight w:val="none"/>
        </w:rPr>
        <w:t>项目名称:</w:t>
      </w:r>
      <w:r>
        <w:rPr>
          <w:rFonts w:hint="eastAsia" w:ascii="方正小标宋_GBK" w:hAnsi="微软雅黑" w:eastAsia="方正小标宋_GBK"/>
          <w:color w:val="auto"/>
          <w:sz w:val="32"/>
          <w:szCs w:val="32"/>
          <w:highlight w:val="none"/>
          <w:lang w:eastAsia="zh-CN"/>
        </w:rPr>
        <w:t>钦州市电子政务外网（钦州市镇级、村级卫生室社保专线）服务采购</w:t>
      </w:r>
    </w:p>
    <w:p>
      <w:pPr>
        <w:spacing w:line="500" w:lineRule="exact"/>
        <w:rPr>
          <w:rFonts w:ascii="方正小标宋_GBK" w:hAnsi="微软雅黑" w:eastAsia="方正小标宋_GBK"/>
          <w:color w:val="auto"/>
          <w:sz w:val="32"/>
          <w:szCs w:val="32"/>
          <w:highlight w:val="none"/>
        </w:rPr>
      </w:pPr>
    </w:p>
    <w:p>
      <w:pPr>
        <w:spacing w:line="500" w:lineRule="exact"/>
        <w:rPr>
          <w:rFonts w:hint="eastAsia" w:ascii="方正小标宋_GBK" w:hAnsi="微软雅黑" w:eastAsia="方正小标宋_GBK"/>
          <w:color w:val="auto"/>
          <w:sz w:val="32"/>
          <w:szCs w:val="32"/>
          <w:highlight w:val="none"/>
          <w:lang w:eastAsia="zh-CN"/>
        </w:rPr>
      </w:pPr>
      <w:r>
        <w:rPr>
          <w:rFonts w:hint="eastAsia" w:ascii="方正小标宋_GBK" w:hAnsi="微软雅黑" w:eastAsia="方正小标宋_GBK"/>
          <w:color w:val="auto"/>
          <w:sz w:val="32"/>
          <w:szCs w:val="32"/>
          <w:highlight w:val="none"/>
        </w:rPr>
        <w:t xml:space="preserve">            项目编号:</w:t>
      </w:r>
      <w:r>
        <w:rPr>
          <w:rFonts w:hint="eastAsia" w:ascii="方正小标宋_GBK" w:hAnsi="微软雅黑" w:eastAsia="方正小标宋_GBK"/>
          <w:color w:val="auto"/>
          <w:sz w:val="32"/>
          <w:szCs w:val="32"/>
          <w:highlight w:val="none"/>
          <w:lang w:eastAsia="zh-CN"/>
        </w:rPr>
        <w:t>QZZC2026-C3-990039-QZSZ</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spacing w:line="360" w:lineRule="exact"/>
        <w:jc w:val="center"/>
        <w:rPr>
          <w:rFonts w:ascii="方正小标宋_GBK" w:hAnsi="微软雅黑" w:eastAsia="方正小标宋_GBK"/>
          <w:color w:val="auto"/>
          <w:sz w:val="32"/>
          <w:szCs w:val="32"/>
          <w:highlight w:val="none"/>
        </w:rPr>
      </w:pPr>
      <w:r>
        <w:rPr>
          <w:rFonts w:hint="eastAsia" w:ascii="方正小标宋_GBK" w:hAnsi="微软雅黑" w:eastAsia="方正小标宋_GBK"/>
          <w:color w:val="auto"/>
          <w:sz w:val="32"/>
          <w:szCs w:val="32"/>
          <w:highlight w:val="none"/>
        </w:rPr>
        <w:t>钦州市政府采购中心</w:t>
      </w:r>
    </w:p>
    <w:p>
      <w:pPr>
        <w:tabs>
          <w:tab w:val="left" w:pos="360"/>
        </w:tabs>
        <w:spacing w:line="440" w:lineRule="exact"/>
        <w:jc w:val="center"/>
        <w:rPr>
          <w:rFonts w:ascii="仿宋_GB2312" w:hAnsi="宋体" w:eastAsia="仿宋_GB2312"/>
          <w:color w:val="auto"/>
          <w:sz w:val="32"/>
          <w:szCs w:val="32"/>
          <w:highlight w:val="none"/>
        </w:rPr>
      </w:pPr>
      <w:r>
        <w:rPr>
          <w:rFonts w:hint="eastAsia" w:ascii="方正小标宋_GBK" w:hAnsi="微软雅黑" w:eastAsia="方正小标宋_GBK"/>
          <w:color w:val="auto"/>
          <w:sz w:val="32"/>
          <w:szCs w:val="32"/>
          <w:highlight w:val="none"/>
        </w:rPr>
        <w:t>202</w:t>
      </w:r>
      <w:r>
        <w:rPr>
          <w:rFonts w:hint="eastAsia" w:ascii="方正小标宋_GBK" w:hAnsi="微软雅黑" w:eastAsia="方正小标宋_GBK"/>
          <w:color w:val="auto"/>
          <w:sz w:val="32"/>
          <w:szCs w:val="32"/>
          <w:highlight w:val="none"/>
          <w:lang w:val="en-US" w:eastAsia="zh-CN"/>
        </w:rPr>
        <w:t>6</w:t>
      </w:r>
      <w:r>
        <w:rPr>
          <w:rFonts w:hint="eastAsia" w:ascii="方正小标宋_GBK" w:hAnsi="微软雅黑" w:eastAsia="方正小标宋_GBK"/>
          <w:color w:val="auto"/>
          <w:sz w:val="32"/>
          <w:szCs w:val="32"/>
          <w:highlight w:val="none"/>
        </w:rPr>
        <w:t>年</w:t>
      </w:r>
      <w:r>
        <w:rPr>
          <w:rFonts w:hint="eastAsia" w:ascii="方正小标宋_GBK" w:hAnsi="微软雅黑" w:eastAsia="方正小标宋_GBK"/>
          <w:color w:val="auto"/>
          <w:sz w:val="32"/>
          <w:szCs w:val="32"/>
          <w:highlight w:val="none"/>
          <w:lang w:val="en-US" w:eastAsia="zh-CN"/>
        </w:rPr>
        <w:t>2</w:t>
      </w:r>
      <w:r>
        <w:rPr>
          <w:rFonts w:hint="eastAsia" w:ascii="方正小标宋_GBK" w:hAnsi="微软雅黑" w:eastAsia="方正小标宋_GBK"/>
          <w:color w:val="auto"/>
          <w:sz w:val="32"/>
          <w:szCs w:val="32"/>
          <w:highlight w:val="none"/>
        </w:rPr>
        <w:t>月</w:t>
      </w:r>
    </w:p>
    <w:p>
      <w:pPr>
        <w:rPr>
          <w:color w:val="auto"/>
          <w:highlight w:val="none"/>
        </w:rPr>
      </w:pPr>
    </w:p>
    <w:p>
      <w:pPr>
        <w:spacing w:line="640" w:lineRule="exact"/>
        <w:jc w:val="both"/>
        <w:rPr>
          <w:rFonts w:ascii="方正小标宋_GBK" w:hAnsi="宋体" w:eastAsia="方正小标宋_GBK"/>
          <w:b/>
          <w:color w:val="auto"/>
          <w:sz w:val="44"/>
          <w:szCs w:val="44"/>
          <w:highlight w:val="none"/>
        </w:rPr>
        <w:sectPr>
          <w:footerReference r:id="rId5" w:type="first"/>
          <w:headerReference r:id="rId3" w:type="default"/>
          <w:footerReference r:id="rId4" w:type="default"/>
          <w:pgSz w:w="11906" w:h="16838"/>
          <w:pgMar w:top="936" w:right="1191" w:bottom="936" w:left="1191" w:header="851" w:footer="992" w:gutter="0"/>
          <w:pgNumType w:start="1"/>
          <w:cols w:space="720" w:num="1"/>
          <w:docGrid w:type="lines" w:linePitch="312" w:charSpace="0"/>
        </w:sectPr>
      </w:pPr>
    </w:p>
    <w:p>
      <w:pPr>
        <w:spacing w:line="640" w:lineRule="exact"/>
        <w:jc w:val="center"/>
        <w:rPr>
          <w:rFonts w:ascii="方正小标宋_GBK" w:hAnsi="宋体" w:eastAsia="方正小标宋_GBK"/>
          <w:b/>
          <w:color w:val="auto"/>
          <w:sz w:val="32"/>
          <w:szCs w:val="32"/>
          <w:highlight w:val="none"/>
        </w:rPr>
      </w:pPr>
      <w:r>
        <w:rPr>
          <w:rFonts w:hint="eastAsia" w:ascii="方正小标宋_GBK" w:hAnsi="宋体" w:eastAsia="方正小标宋_GBK"/>
          <w:b/>
          <w:color w:val="auto"/>
          <w:sz w:val="44"/>
          <w:szCs w:val="44"/>
          <w:highlight w:val="none"/>
        </w:rPr>
        <w:t>目   录</w:t>
      </w:r>
    </w:p>
    <w:p>
      <w:pPr>
        <w:rPr>
          <w:color w:val="auto"/>
          <w:highlight w:val="none"/>
        </w:rPr>
      </w:pPr>
    </w:p>
    <w:p>
      <w:pPr>
        <w:pStyle w:val="30"/>
        <w:tabs>
          <w:tab w:val="right" w:leader="dot" w:pos="9514"/>
        </w:tabs>
        <w:spacing w:line="1000" w:lineRule="exact"/>
        <w:rPr>
          <w:rFonts w:asciiTheme="minorHAnsi" w:hAnsiTheme="minorHAnsi" w:eastAsiaTheme="minorEastAsia" w:cstheme="minorBidi"/>
          <w:color w:val="auto"/>
          <w:sz w:val="28"/>
          <w:szCs w:val="28"/>
          <w:highlight w:val="none"/>
        </w:rPr>
      </w:pPr>
      <w:bookmarkStart w:id="1" w:name="_Toc354479497"/>
      <w:r>
        <w:rPr>
          <w:rFonts w:hint="eastAsia" w:ascii="方正小标宋_GBK" w:hAnsi="仿宋" w:eastAsia="方正小标宋_GBK"/>
          <w:b/>
          <w:color w:val="auto"/>
          <w:sz w:val="28"/>
          <w:szCs w:val="28"/>
          <w:highlight w:val="none"/>
        </w:rPr>
        <w:fldChar w:fldCharType="begin"/>
      </w:r>
      <w:r>
        <w:rPr>
          <w:rFonts w:hint="eastAsia" w:ascii="方正小标宋_GBK" w:hAnsi="仿宋" w:eastAsia="方正小标宋_GBK"/>
          <w:b/>
          <w:color w:val="auto"/>
          <w:sz w:val="28"/>
          <w:szCs w:val="28"/>
          <w:highlight w:val="none"/>
        </w:rPr>
        <w:instrText xml:space="preserve"> TOC \o "1-1" \h \z \u </w:instrText>
      </w:r>
      <w:r>
        <w:rPr>
          <w:rFonts w:hint="eastAsia" w:ascii="方正小标宋_GBK" w:hAnsi="仿宋" w:eastAsia="方正小标宋_GBK"/>
          <w:b/>
          <w:color w:val="auto"/>
          <w:sz w:val="28"/>
          <w:szCs w:val="28"/>
          <w:highlight w:val="none"/>
        </w:rPr>
        <w:fldChar w:fldCharType="separate"/>
      </w:r>
      <w:r>
        <w:rPr>
          <w:color w:val="auto"/>
          <w:highlight w:val="none"/>
        </w:rPr>
        <w:fldChar w:fldCharType="begin"/>
      </w:r>
      <w:r>
        <w:rPr>
          <w:color w:val="auto"/>
          <w:highlight w:val="none"/>
        </w:rPr>
        <w:instrText xml:space="preserve"> HYPERLINK \l "_Toc92355023" </w:instrText>
      </w:r>
      <w:r>
        <w:rPr>
          <w:color w:val="auto"/>
          <w:highlight w:val="none"/>
        </w:rPr>
        <w:fldChar w:fldCharType="separate"/>
      </w:r>
      <w:r>
        <w:rPr>
          <w:rStyle w:val="49"/>
          <w:rFonts w:ascii="方正小标宋_GBK" w:hAnsi="宋体" w:eastAsia="方正小标宋_GBK"/>
          <w:color w:val="auto"/>
          <w:sz w:val="28"/>
          <w:szCs w:val="28"/>
          <w:highlight w:val="none"/>
        </w:rPr>
        <w:t>第一章  竞争性磋商公告</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_Toc92355023 \h </w:instrText>
      </w:r>
      <w:r>
        <w:rPr>
          <w:color w:val="auto"/>
          <w:sz w:val="28"/>
          <w:szCs w:val="28"/>
          <w:highlight w:val="none"/>
        </w:rPr>
        <w:fldChar w:fldCharType="separate"/>
      </w:r>
      <w:r>
        <w:rPr>
          <w:color w:val="auto"/>
          <w:sz w:val="28"/>
          <w:szCs w:val="28"/>
          <w:highlight w:val="none"/>
        </w:rPr>
        <w:t>2</w:t>
      </w:r>
      <w:r>
        <w:rPr>
          <w:color w:val="auto"/>
          <w:sz w:val="28"/>
          <w:szCs w:val="28"/>
          <w:highlight w:val="none"/>
        </w:rPr>
        <w:fldChar w:fldCharType="end"/>
      </w:r>
      <w:r>
        <w:rPr>
          <w:color w:val="auto"/>
          <w:sz w:val="28"/>
          <w:szCs w:val="28"/>
          <w:highlight w:val="none"/>
        </w:rPr>
        <w:fldChar w:fldCharType="end"/>
      </w:r>
    </w:p>
    <w:p>
      <w:pPr>
        <w:pStyle w:val="30"/>
        <w:tabs>
          <w:tab w:val="right" w:leader="dot" w:pos="9514"/>
        </w:tabs>
        <w:spacing w:line="1000" w:lineRule="exact"/>
        <w:rPr>
          <w:rFonts w:asciiTheme="minorHAnsi" w:hAnsiTheme="minorHAnsi" w:eastAsiaTheme="minorEastAsia" w:cstheme="minorBidi"/>
          <w:color w:val="auto"/>
          <w:sz w:val="28"/>
          <w:szCs w:val="28"/>
          <w:highlight w:val="none"/>
        </w:rPr>
      </w:pPr>
      <w:r>
        <w:rPr>
          <w:color w:val="auto"/>
          <w:highlight w:val="none"/>
        </w:rPr>
        <w:fldChar w:fldCharType="begin"/>
      </w:r>
      <w:r>
        <w:rPr>
          <w:color w:val="auto"/>
          <w:highlight w:val="none"/>
        </w:rPr>
        <w:instrText xml:space="preserve"> HYPERLINK \l "_Toc92355024" </w:instrText>
      </w:r>
      <w:r>
        <w:rPr>
          <w:color w:val="auto"/>
          <w:highlight w:val="none"/>
        </w:rPr>
        <w:fldChar w:fldCharType="separate"/>
      </w:r>
      <w:r>
        <w:rPr>
          <w:rStyle w:val="49"/>
          <w:rFonts w:ascii="方正小标宋_GBK" w:hAnsi="宋体" w:eastAsia="方正小标宋_GBK"/>
          <w:color w:val="auto"/>
          <w:sz w:val="28"/>
          <w:szCs w:val="28"/>
          <w:highlight w:val="none"/>
        </w:rPr>
        <w:t xml:space="preserve">第二章  </w:t>
      </w:r>
      <w:r>
        <w:rPr>
          <w:rStyle w:val="49"/>
          <w:rFonts w:hint="eastAsia" w:ascii="方正小标宋_GBK" w:hAnsi="宋体" w:eastAsia="方正小标宋_GBK"/>
          <w:color w:val="auto"/>
          <w:sz w:val="28"/>
          <w:szCs w:val="28"/>
          <w:highlight w:val="none"/>
        </w:rPr>
        <w:t>项目</w:t>
      </w:r>
      <w:r>
        <w:rPr>
          <w:rStyle w:val="49"/>
          <w:rFonts w:ascii="方正小标宋_GBK" w:hAnsi="宋体" w:eastAsia="方正小标宋_GBK"/>
          <w:color w:val="auto"/>
          <w:sz w:val="28"/>
          <w:szCs w:val="28"/>
          <w:highlight w:val="none"/>
        </w:rPr>
        <w:t>需求</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_Toc92355024 \h </w:instrText>
      </w:r>
      <w:r>
        <w:rPr>
          <w:color w:val="auto"/>
          <w:sz w:val="28"/>
          <w:szCs w:val="28"/>
          <w:highlight w:val="none"/>
        </w:rPr>
        <w:fldChar w:fldCharType="separate"/>
      </w:r>
      <w:r>
        <w:rPr>
          <w:color w:val="auto"/>
          <w:sz w:val="28"/>
          <w:szCs w:val="28"/>
          <w:highlight w:val="none"/>
        </w:rPr>
        <w:t>6</w:t>
      </w:r>
      <w:r>
        <w:rPr>
          <w:color w:val="auto"/>
          <w:sz w:val="28"/>
          <w:szCs w:val="28"/>
          <w:highlight w:val="none"/>
        </w:rPr>
        <w:fldChar w:fldCharType="end"/>
      </w:r>
      <w:r>
        <w:rPr>
          <w:color w:val="auto"/>
          <w:sz w:val="28"/>
          <w:szCs w:val="28"/>
          <w:highlight w:val="none"/>
        </w:rPr>
        <w:fldChar w:fldCharType="end"/>
      </w:r>
    </w:p>
    <w:p>
      <w:pPr>
        <w:pStyle w:val="30"/>
        <w:tabs>
          <w:tab w:val="right" w:leader="dot" w:pos="9514"/>
        </w:tabs>
        <w:spacing w:line="1000" w:lineRule="exact"/>
        <w:rPr>
          <w:rStyle w:val="49"/>
          <w:rFonts w:hint="eastAsia" w:ascii="方正小标宋_GBK" w:hAnsi="宋体" w:eastAsia="方正小标宋_GBK"/>
          <w:color w:val="auto"/>
          <w:sz w:val="28"/>
          <w:szCs w:val="28"/>
          <w:highlight w:val="none"/>
          <w:lang w:eastAsia="zh-CN"/>
        </w:rPr>
      </w:pPr>
      <w:r>
        <w:rPr>
          <w:b w:val="0"/>
          <w:bCs w:val="0"/>
          <w:color w:val="auto"/>
          <w:highlight w:val="none"/>
        </w:rPr>
        <w:fldChar w:fldCharType="begin"/>
      </w:r>
      <w:r>
        <w:rPr>
          <w:b w:val="0"/>
          <w:bCs w:val="0"/>
          <w:color w:val="auto"/>
          <w:highlight w:val="none"/>
        </w:rPr>
        <w:instrText xml:space="preserve"> HYPERLINK \l "_Toc92355025" </w:instrText>
      </w:r>
      <w:r>
        <w:rPr>
          <w:b w:val="0"/>
          <w:bCs w:val="0"/>
          <w:color w:val="auto"/>
          <w:highlight w:val="none"/>
        </w:rPr>
        <w:fldChar w:fldCharType="separate"/>
      </w:r>
      <w:r>
        <w:rPr>
          <w:rStyle w:val="49"/>
          <w:rFonts w:hint="eastAsia" w:ascii="方正小标宋_GBK" w:hAnsi="宋体" w:eastAsia="方正小标宋_GBK"/>
          <w:b w:val="0"/>
          <w:bCs w:val="0"/>
          <w:color w:val="auto"/>
          <w:sz w:val="28"/>
          <w:szCs w:val="28"/>
          <w:highlight w:val="none"/>
        </w:rPr>
        <w:t>第三章  供应商须知</w:t>
      </w:r>
      <w:r>
        <w:rPr>
          <w:rStyle w:val="49"/>
          <w:rFonts w:hint="eastAsia" w:ascii="方正小标宋_GBK" w:hAnsi="宋体" w:eastAsia="方正小标宋_GBK"/>
          <w:b w:val="0"/>
          <w:bCs w:val="0"/>
          <w:color w:val="auto"/>
          <w:sz w:val="28"/>
          <w:szCs w:val="28"/>
          <w:highlight w:val="none"/>
        </w:rPr>
        <w:tab/>
      </w:r>
      <w:r>
        <w:rPr>
          <w:rStyle w:val="49"/>
          <w:rFonts w:hint="eastAsia" w:ascii="方正小标宋_GBK" w:hAnsi="宋体" w:eastAsia="方正小标宋_GBK"/>
          <w:b w:val="0"/>
          <w:bCs w:val="0"/>
          <w:color w:val="auto"/>
          <w:sz w:val="28"/>
          <w:szCs w:val="28"/>
          <w:highlight w:val="none"/>
          <w:lang w:val="en-US" w:eastAsia="zh-CN"/>
        </w:rPr>
        <w:t>6</w:t>
      </w:r>
      <w:r>
        <w:rPr>
          <w:rStyle w:val="49"/>
          <w:rFonts w:hint="eastAsia" w:ascii="方正小标宋_GBK" w:hAnsi="宋体" w:eastAsia="方正小标宋_GBK"/>
          <w:b w:val="0"/>
          <w:bCs w:val="0"/>
          <w:color w:val="auto"/>
          <w:sz w:val="28"/>
          <w:szCs w:val="28"/>
          <w:highlight w:val="none"/>
        </w:rPr>
        <w:fldChar w:fldCharType="end"/>
      </w:r>
      <w:r>
        <w:rPr>
          <w:rStyle w:val="49"/>
          <w:rFonts w:hint="eastAsia" w:ascii="方正小标宋_GBK" w:hAnsi="宋体" w:eastAsia="方正小标宋_GBK"/>
          <w:b w:val="0"/>
          <w:bCs w:val="0"/>
          <w:color w:val="auto"/>
          <w:sz w:val="28"/>
          <w:szCs w:val="28"/>
          <w:highlight w:val="none"/>
          <w:lang w:val="en-US" w:eastAsia="zh-CN"/>
        </w:rPr>
        <w:t>6</w:t>
      </w:r>
    </w:p>
    <w:p>
      <w:pPr>
        <w:pStyle w:val="30"/>
        <w:tabs>
          <w:tab w:val="right" w:leader="dot" w:pos="9514"/>
        </w:tabs>
        <w:spacing w:line="1000" w:lineRule="exact"/>
        <w:rPr>
          <w:rFonts w:hint="eastAsia" w:eastAsia="宋体" w:asciiTheme="minorHAnsi" w:hAnsiTheme="minorHAnsi" w:cstheme="minorBidi"/>
          <w:color w:val="auto"/>
          <w:sz w:val="28"/>
          <w:szCs w:val="28"/>
          <w:highlight w:val="none"/>
          <w:lang w:eastAsia="zh-CN"/>
        </w:rPr>
      </w:pPr>
      <w:r>
        <w:rPr>
          <w:color w:val="auto"/>
          <w:highlight w:val="none"/>
        </w:rPr>
        <w:fldChar w:fldCharType="begin"/>
      </w:r>
      <w:r>
        <w:rPr>
          <w:color w:val="auto"/>
          <w:highlight w:val="none"/>
        </w:rPr>
        <w:instrText xml:space="preserve"> HYPERLINK \l "_Toc92355026" </w:instrText>
      </w:r>
      <w:r>
        <w:rPr>
          <w:color w:val="auto"/>
          <w:highlight w:val="none"/>
        </w:rPr>
        <w:fldChar w:fldCharType="separate"/>
      </w:r>
      <w:r>
        <w:rPr>
          <w:rStyle w:val="49"/>
          <w:rFonts w:ascii="方正小标宋_GBK" w:hAnsi="宋体" w:eastAsia="方正小标宋_GBK"/>
          <w:color w:val="auto"/>
          <w:sz w:val="28"/>
          <w:szCs w:val="28"/>
          <w:highlight w:val="none"/>
        </w:rPr>
        <w:t>第四章  评定标准及推荐原则</w:t>
      </w:r>
      <w:r>
        <w:rPr>
          <w:color w:val="auto"/>
          <w:sz w:val="28"/>
          <w:szCs w:val="28"/>
          <w:highlight w:val="none"/>
        </w:rPr>
        <w:tab/>
      </w:r>
      <w:r>
        <w:rPr>
          <w:rFonts w:hint="eastAsia"/>
          <w:color w:val="auto"/>
          <w:sz w:val="28"/>
          <w:szCs w:val="28"/>
          <w:highlight w:val="none"/>
          <w:lang w:val="en-US" w:eastAsia="zh-CN"/>
        </w:rPr>
        <w:t>7</w:t>
      </w:r>
      <w:r>
        <w:rPr>
          <w:rFonts w:hint="eastAsia"/>
          <w:color w:val="auto"/>
          <w:sz w:val="28"/>
          <w:szCs w:val="28"/>
          <w:highlight w:val="none"/>
        </w:rPr>
        <w:fldChar w:fldCharType="end"/>
      </w:r>
      <w:r>
        <w:rPr>
          <w:rFonts w:hint="eastAsia"/>
          <w:color w:val="auto"/>
          <w:sz w:val="28"/>
          <w:szCs w:val="28"/>
          <w:highlight w:val="none"/>
          <w:lang w:val="en-US" w:eastAsia="zh-CN"/>
        </w:rPr>
        <w:t>7</w:t>
      </w:r>
    </w:p>
    <w:p>
      <w:pPr>
        <w:pStyle w:val="30"/>
        <w:tabs>
          <w:tab w:val="right" w:leader="dot" w:pos="9514"/>
        </w:tabs>
        <w:spacing w:line="1000" w:lineRule="exact"/>
        <w:rPr>
          <w:rFonts w:hint="eastAsia" w:eastAsia="宋体" w:asciiTheme="minorHAnsi" w:hAnsiTheme="minorHAnsi" w:cstheme="minorBidi"/>
          <w:color w:val="auto"/>
          <w:sz w:val="28"/>
          <w:szCs w:val="28"/>
          <w:highlight w:val="none"/>
          <w:lang w:eastAsia="zh-CN"/>
        </w:rPr>
      </w:pPr>
      <w:r>
        <w:rPr>
          <w:color w:val="auto"/>
          <w:highlight w:val="none"/>
        </w:rPr>
        <w:fldChar w:fldCharType="begin"/>
      </w:r>
      <w:r>
        <w:rPr>
          <w:color w:val="auto"/>
          <w:highlight w:val="none"/>
        </w:rPr>
        <w:instrText xml:space="preserve"> HYPERLINK \l "_Toc92355027" </w:instrText>
      </w:r>
      <w:r>
        <w:rPr>
          <w:color w:val="auto"/>
          <w:highlight w:val="none"/>
        </w:rPr>
        <w:fldChar w:fldCharType="separate"/>
      </w:r>
      <w:r>
        <w:rPr>
          <w:rStyle w:val="49"/>
          <w:rFonts w:ascii="方正小标宋_GBK" w:eastAsia="方正小标宋_GBK"/>
          <w:color w:val="auto"/>
          <w:sz w:val="28"/>
          <w:szCs w:val="28"/>
          <w:highlight w:val="none"/>
        </w:rPr>
        <w:t>第五章  合同文本</w:t>
      </w:r>
      <w:r>
        <w:rPr>
          <w:color w:val="auto"/>
          <w:sz w:val="28"/>
          <w:szCs w:val="28"/>
          <w:highlight w:val="none"/>
        </w:rPr>
        <w:tab/>
      </w:r>
      <w:r>
        <w:rPr>
          <w:rFonts w:hint="eastAsia"/>
          <w:color w:val="auto"/>
          <w:sz w:val="28"/>
          <w:szCs w:val="28"/>
          <w:highlight w:val="none"/>
          <w:lang w:val="en-US" w:eastAsia="zh-CN"/>
        </w:rPr>
        <w:t>8</w:t>
      </w:r>
      <w:r>
        <w:rPr>
          <w:rFonts w:hint="eastAsia"/>
          <w:color w:val="auto"/>
          <w:sz w:val="28"/>
          <w:szCs w:val="28"/>
          <w:highlight w:val="none"/>
        </w:rPr>
        <w:fldChar w:fldCharType="end"/>
      </w:r>
      <w:r>
        <w:rPr>
          <w:rFonts w:hint="eastAsia"/>
          <w:color w:val="auto"/>
          <w:sz w:val="28"/>
          <w:szCs w:val="28"/>
          <w:highlight w:val="none"/>
          <w:lang w:val="en-US" w:eastAsia="zh-CN"/>
        </w:rPr>
        <w:t>2</w:t>
      </w:r>
    </w:p>
    <w:p>
      <w:pPr>
        <w:pStyle w:val="30"/>
        <w:tabs>
          <w:tab w:val="right" w:leader="dot" w:pos="9514"/>
        </w:tabs>
        <w:spacing w:line="1000" w:lineRule="exact"/>
        <w:rPr>
          <w:rFonts w:hint="eastAsia" w:eastAsia="宋体" w:asciiTheme="minorHAnsi" w:hAnsiTheme="minorHAnsi" w:cstheme="minorBidi"/>
          <w:color w:val="auto"/>
          <w:sz w:val="28"/>
          <w:szCs w:val="28"/>
          <w:highlight w:val="none"/>
          <w:lang w:eastAsia="zh-CN"/>
        </w:rPr>
      </w:pPr>
      <w:r>
        <w:rPr>
          <w:color w:val="auto"/>
          <w:highlight w:val="none"/>
        </w:rPr>
        <w:fldChar w:fldCharType="begin"/>
      </w:r>
      <w:r>
        <w:rPr>
          <w:color w:val="auto"/>
          <w:highlight w:val="none"/>
        </w:rPr>
        <w:instrText xml:space="preserve"> HYPERLINK \l "_Toc92355028" </w:instrText>
      </w:r>
      <w:r>
        <w:rPr>
          <w:color w:val="auto"/>
          <w:highlight w:val="none"/>
        </w:rPr>
        <w:fldChar w:fldCharType="separate"/>
      </w:r>
      <w:r>
        <w:rPr>
          <w:rStyle w:val="49"/>
          <w:rFonts w:ascii="方正小标宋_GBK" w:hAnsi="方正小标宋_GBK" w:eastAsia="方正小标宋_GBK"/>
          <w:color w:val="auto"/>
          <w:sz w:val="28"/>
          <w:szCs w:val="28"/>
          <w:highlight w:val="none"/>
        </w:rPr>
        <w:t>第六章  响应文件格式</w:t>
      </w:r>
      <w:r>
        <w:rPr>
          <w:color w:val="auto"/>
          <w:sz w:val="28"/>
          <w:szCs w:val="28"/>
          <w:highlight w:val="none"/>
        </w:rPr>
        <w:tab/>
      </w:r>
      <w:r>
        <w:rPr>
          <w:rFonts w:hint="eastAsia"/>
          <w:color w:val="auto"/>
          <w:sz w:val="28"/>
          <w:szCs w:val="28"/>
          <w:highlight w:val="none"/>
          <w:lang w:val="en-US" w:eastAsia="zh-CN"/>
        </w:rPr>
        <w:t>8</w:t>
      </w:r>
      <w:r>
        <w:rPr>
          <w:rFonts w:hint="eastAsia"/>
          <w:color w:val="auto"/>
          <w:sz w:val="28"/>
          <w:szCs w:val="28"/>
          <w:highlight w:val="none"/>
        </w:rPr>
        <w:fldChar w:fldCharType="end"/>
      </w:r>
      <w:r>
        <w:rPr>
          <w:rFonts w:hint="eastAsia"/>
          <w:color w:val="auto"/>
          <w:sz w:val="28"/>
          <w:szCs w:val="28"/>
          <w:highlight w:val="none"/>
          <w:lang w:val="en-US" w:eastAsia="zh-CN"/>
        </w:rPr>
        <w:t>8</w:t>
      </w:r>
    </w:p>
    <w:p>
      <w:pPr>
        <w:rPr>
          <w:color w:val="auto"/>
          <w:highlight w:val="none"/>
        </w:rPr>
        <w:sectPr>
          <w:footerReference r:id="rId6" w:type="default"/>
          <w:pgSz w:w="11906" w:h="16838"/>
          <w:pgMar w:top="936" w:right="1191" w:bottom="936" w:left="1191" w:header="851" w:footer="992" w:gutter="0"/>
          <w:pgNumType w:start="1"/>
          <w:cols w:space="720" w:num="1"/>
          <w:docGrid w:type="lines" w:linePitch="312" w:charSpace="0"/>
        </w:sectPr>
      </w:pPr>
      <w:r>
        <w:rPr>
          <w:rFonts w:hint="eastAsia"/>
          <w:color w:val="auto"/>
          <w:highlight w:val="none"/>
        </w:rPr>
        <w:fldChar w:fldCharType="end"/>
      </w:r>
    </w:p>
    <w:p>
      <w:pPr>
        <w:rPr>
          <w:color w:val="auto"/>
          <w:highlight w:val="none"/>
        </w:rPr>
      </w:pPr>
    </w:p>
    <w:p>
      <w:pPr>
        <w:widowControl/>
        <w:jc w:val="left"/>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3"/>
        <w:spacing w:line="400" w:lineRule="exact"/>
        <w:rPr>
          <w:rFonts w:ascii="方正小标宋_GBK" w:hAnsi="宋体" w:eastAsia="方正小标宋_GBK"/>
          <w:color w:val="auto"/>
          <w:highlight w:val="none"/>
        </w:rPr>
      </w:pPr>
      <w:bookmarkStart w:id="2" w:name="_Toc92355023"/>
      <w:r>
        <w:rPr>
          <w:rFonts w:hint="eastAsia" w:ascii="方正小标宋_GBK" w:hAnsi="宋体" w:eastAsia="方正小标宋_GBK"/>
          <w:color w:val="auto"/>
          <w:highlight w:val="none"/>
        </w:rPr>
        <w:t>第一章  竞争性磋商公告</w:t>
      </w:r>
      <w:bookmarkEnd w:id="1"/>
      <w:bookmarkEnd w:id="2"/>
    </w:p>
    <w:p>
      <w:pPr>
        <w:spacing w:line="600" w:lineRule="exact"/>
        <w:jc w:val="center"/>
        <w:rPr>
          <w:rFonts w:ascii="黑体" w:hAnsi="宋体" w:eastAsia="黑体"/>
          <w:b/>
          <w:color w:val="auto"/>
          <w:sz w:val="32"/>
          <w:szCs w:val="32"/>
          <w:highlight w:val="none"/>
        </w:rPr>
      </w:pPr>
      <w:r>
        <w:rPr>
          <w:rFonts w:ascii="黑体" w:hAnsi="宋体" w:eastAsia="黑体"/>
          <w:b/>
          <w:color w:val="auto"/>
          <w:sz w:val="32"/>
          <w:szCs w:val="32"/>
          <w:highlight w:val="none"/>
        </w:rPr>
        <w:br w:type="page"/>
      </w:r>
    </w:p>
    <w:p>
      <w:pPr>
        <w:rPr>
          <w:color w:val="auto"/>
          <w:highlight w:val="none"/>
        </w:rPr>
      </w:pPr>
    </w:p>
    <w:p>
      <w:pPr>
        <w:spacing w:line="600" w:lineRule="exact"/>
        <w:jc w:val="center"/>
        <w:rPr>
          <w:rFonts w:ascii="方正小标宋_GBK" w:hAnsi="宋体" w:eastAsia="方正小标宋_GBK"/>
          <w:b/>
          <w:color w:val="auto"/>
          <w:sz w:val="34"/>
          <w:szCs w:val="34"/>
          <w:highlight w:val="none"/>
        </w:rPr>
      </w:pPr>
      <w:r>
        <w:rPr>
          <w:rFonts w:hint="eastAsia" w:ascii="方正小标宋_GBK" w:hAnsi="宋体" w:eastAsia="方正小标宋_GBK"/>
          <w:b/>
          <w:color w:val="auto"/>
          <w:sz w:val="34"/>
          <w:szCs w:val="34"/>
          <w:highlight w:val="none"/>
        </w:rPr>
        <w:t>钦州市政府采购中心关于</w:t>
      </w:r>
      <w:r>
        <w:rPr>
          <w:rFonts w:hint="eastAsia" w:ascii="方正小标宋_GBK" w:hAnsi="宋体" w:eastAsia="方正小标宋_GBK"/>
          <w:b/>
          <w:color w:val="auto"/>
          <w:sz w:val="34"/>
          <w:szCs w:val="34"/>
          <w:highlight w:val="none"/>
          <w:lang w:eastAsia="zh-CN"/>
        </w:rPr>
        <w:t>钦州市电子政务外网（钦州市镇级、村级卫生室社保专线）服务采购</w:t>
      </w:r>
      <w:r>
        <w:rPr>
          <w:rFonts w:hint="eastAsia" w:ascii="方正小标宋_GBK" w:hAnsi="宋体" w:eastAsia="方正小标宋_GBK"/>
          <w:b/>
          <w:color w:val="auto"/>
          <w:sz w:val="34"/>
          <w:szCs w:val="34"/>
          <w:highlight w:val="none"/>
        </w:rPr>
        <w:t>(</w:t>
      </w:r>
      <w:r>
        <w:rPr>
          <w:rFonts w:hint="eastAsia" w:ascii="方正小标宋_GBK" w:hAnsi="宋体" w:eastAsia="方正小标宋_GBK"/>
          <w:b/>
          <w:color w:val="auto"/>
          <w:sz w:val="34"/>
          <w:szCs w:val="34"/>
          <w:highlight w:val="none"/>
          <w:lang w:eastAsia="zh-CN"/>
        </w:rPr>
        <w:t>QZZC2026-C3-990039-QZSZ</w:t>
      </w:r>
      <w:r>
        <w:rPr>
          <w:rFonts w:hint="eastAsia" w:ascii="方正小标宋_GBK" w:hAnsi="宋体" w:eastAsia="方正小标宋_GBK"/>
          <w:b/>
          <w:color w:val="auto"/>
          <w:sz w:val="34"/>
          <w:szCs w:val="34"/>
          <w:highlight w:val="none"/>
        </w:rPr>
        <w:t>)的竞争性磋商公告</w:t>
      </w:r>
    </w:p>
    <w:p>
      <w:pPr>
        <w:pBdr>
          <w:top w:val="single" w:color="auto" w:sz="4" w:space="0"/>
          <w:left w:val="single" w:color="auto" w:sz="4" w:space="4"/>
          <w:bottom w:val="single" w:color="auto" w:sz="4" w:space="1"/>
          <w:right w:val="single" w:color="auto" w:sz="4" w:space="4"/>
        </w:pBdr>
        <w:spacing w:line="400" w:lineRule="exact"/>
        <w:rPr>
          <w:rFonts w:ascii="Arial Unicode MS" w:hAnsi="宋体" w:eastAsia="Arial Unicode MS"/>
          <w:b/>
          <w:color w:val="auto"/>
          <w:sz w:val="32"/>
          <w:szCs w:val="32"/>
          <w:highlight w:val="none"/>
        </w:rPr>
      </w:pPr>
      <w:bookmarkStart w:id="3" w:name="_Toc38370138"/>
      <w:r>
        <w:rPr>
          <w:rFonts w:hint="eastAsia" w:ascii="宋体" w:hAnsi="宋体"/>
          <w:color w:val="auto"/>
          <w:szCs w:val="21"/>
          <w:highlight w:val="none"/>
        </w:rPr>
        <w:t>项目概况</w:t>
      </w:r>
    </w:p>
    <w:p>
      <w:pPr>
        <w:pBdr>
          <w:top w:val="single" w:color="auto" w:sz="4" w:space="0"/>
          <w:left w:val="single" w:color="auto" w:sz="4" w:space="4"/>
          <w:bottom w:val="single" w:color="auto" w:sz="4" w:space="1"/>
          <w:right w:val="single" w:color="auto" w:sz="4" w:space="4"/>
        </w:pBdr>
        <w:spacing w:line="400" w:lineRule="exact"/>
        <w:ind w:firstLine="420" w:firstLineChars="200"/>
        <w:rPr>
          <w:rFonts w:ascii="宋体" w:hAnsi="宋体"/>
          <w:color w:val="auto"/>
          <w:szCs w:val="21"/>
          <w:highlight w:val="none"/>
        </w:rPr>
      </w:pPr>
      <w:r>
        <w:rPr>
          <w:rFonts w:hint="eastAsia" w:ascii="宋体" w:hAnsi="宋体"/>
          <w:color w:val="auto"/>
          <w:szCs w:val="21"/>
          <w:highlight w:val="none"/>
          <w:lang w:eastAsia="zh-CN"/>
        </w:rPr>
        <w:t>钦州市电子政务外网（钦州市镇级、村级卫生室社保专线）服务采购</w:t>
      </w:r>
      <w:r>
        <w:rPr>
          <w:rFonts w:hint="eastAsia" w:ascii="宋体" w:hAnsi="宋体"/>
          <w:color w:val="auto"/>
          <w:szCs w:val="21"/>
          <w:highlight w:val="none"/>
        </w:rPr>
        <w:t>项目的潜在供应商应在广西政府采购云平台（https://www.gcy.zfcg.gxzf.gov.cn/）获取采购文件，并于202</w:t>
      </w:r>
      <w:r>
        <w:rPr>
          <w:rFonts w:hint="eastAsia" w:ascii="宋体" w:hAnsi="宋体"/>
          <w:color w:val="auto"/>
          <w:szCs w:val="21"/>
          <w:highlight w:val="none"/>
          <w:lang w:val="en-US" w:eastAsia="zh-CN"/>
        </w:rPr>
        <w:t>6</w:t>
      </w:r>
      <w:r>
        <w:rPr>
          <w:rFonts w:hint="eastAsia" w:ascii="宋体" w:hAnsi="宋体"/>
          <w:bCs/>
          <w:color w:val="auto"/>
          <w:szCs w:val="21"/>
          <w:highlight w:val="none"/>
        </w:rPr>
        <w:t>年</w:t>
      </w:r>
      <w:r>
        <w:rPr>
          <w:rFonts w:hint="eastAsia" w:ascii="宋体" w:hAnsi="宋体"/>
          <w:bCs/>
          <w:color w:val="auto"/>
          <w:szCs w:val="21"/>
          <w:highlight w:val="none"/>
          <w:lang w:val="en-US" w:eastAsia="zh-CN"/>
        </w:rPr>
        <w:t>3</w:t>
      </w:r>
      <w:r>
        <w:rPr>
          <w:rFonts w:hint="eastAsia" w:ascii="宋体" w:hAnsi="宋体"/>
          <w:bCs/>
          <w:color w:val="auto"/>
          <w:szCs w:val="21"/>
          <w:highlight w:val="none"/>
        </w:rPr>
        <w:t>月</w:t>
      </w:r>
      <w:r>
        <w:rPr>
          <w:rFonts w:hint="eastAsia" w:ascii="宋体" w:hAnsi="宋体"/>
          <w:bCs/>
          <w:color w:val="auto"/>
          <w:szCs w:val="21"/>
          <w:highlight w:val="none"/>
          <w:lang w:val="en-US" w:eastAsia="zh-CN"/>
        </w:rPr>
        <w:t>10</w:t>
      </w:r>
      <w:r>
        <w:rPr>
          <w:rFonts w:hint="eastAsia" w:ascii="宋体" w:hAnsi="宋体"/>
          <w:bCs/>
          <w:color w:val="auto"/>
          <w:szCs w:val="21"/>
          <w:highlight w:val="none"/>
        </w:rPr>
        <w:t>日</w:t>
      </w:r>
      <w:r>
        <w:rPr>
          <w:rFonts w:hint="eastAsia"/>
          <w:color w:val="auto"/>
          <w:highlight w:val="none"/>
          <w:lang w:val="en-US" w:eastAsia="zh-CN"/>
        </w:rPr>
        <w:t>9</w:t>
      </w:r>
      <w:r>
        <w:rPr>
          <w:color w:val="auto"/>
          <w:highlight w:val="none"/>
        </w:rPr>
        <w:t>:</w:t>
      </w:r>
      <w:r>
        <w:rPr>
          <w:rFonts w:hint="eastAsia"/>
          <w:color w:val="auto"/>
          <w:highlight w:val="none"/>
          <w:lang w:val="en-US" w:eastAsia="zh-CN"/>
        </w:rPr>
        <w:t>30</w:t>
      </w:r>
      <w:r>
        <w:rPr>
          <w:rFonts w:hint="eastAsia" w:ascii="宋体" w:hAnsi="宋体"/>
          <w:bCs/>
          <w:color w:val="auto"/>
          <w:szCs w:val="21"/>
          <w:highlight w:val="none"/>
        </w:rPr>
        <w:t>（北京时间）前提交响应</w:t>
      </w:r>
      <w:r>
        <w:rPr>
          <w:rFonts w:ascii="宋体" w:hAnsi="宋体"/>
          <w:bCs/>
          <w:color w:val="auto"/>
          <w:szCs w:val="21"/>
          <w:highlight w:val="none"/>
        </w:rPr>
        <w:t>文件</w:t>
      </w:r>
      <w:r>
        <w:rPr>
          <w:rFonts w:hint="eastAsia" w:ascii="宋体" w:hAnsi="宋体"/>
          <w:color w:val="auto"/>
          <w:szCs w:val="21"/>
          <w:highlight w:val="none"/>
        </w:rPr>
        <w:t>。</w:t>
      </w:r>
    </w:p>
    <w:bookmarkEnd w:id="3"/>
    <w:p>
      <w:pPr>
        <w:spacing w:line="400" w:lineRule="exact"/>
        <w:rPr>
          <w:b/>
          <w:color w:val="auto"/>
          <w:highlight w:val="none"/>
        </w:rPr>
      </w:pPr>
      <w:bookmarkStart w:id="4" w:name="_Toc35393790"/>
      <w:bookmarkStart w:id="5" w:name="_Toc35393621"/>
      <w:bookmarkStart w:id="6" w:name="_Toc28359002"/>
      <w:bookmarkStart w:id="7" w:name="_Toc28359079"/>
      <w:bookmarkStart w:id="8" w:name="_Hlk24379207"/>
      <w:bookmarkStart w:id="9" w:name="_Toc38370146"/>
      <w:r>
        <w:rPr>
          <w:rFonts w:hint="eastAsia"/>
          <w:b/>
          <w:color w:val="auto"/>
          <w:highlight w:val="none"/>
        </w:rPr>
        <w:t>一、项目基本情况</w:t>
      </w:r>
      <w:bookmarkEnd w:id="4"/>
      <w:bookmarkEnd w:id="5"/>
      <w:bookmarkEnd w:id="6"/>
      <w:bookmarkEnd w:id="7"/>
    </w:p>
    <w:p>
      <w:pPr>
        <w:spacing w:line="400" w:lineRule="exact"/>
        <w:ind w:firstLine="420"/>
        <w:rPr>
          <w:rFonts w:hint="eastAsia" w:eastAsia="宋体"/>
          <w:color w:val="auto"/>
          <w:highlight w:val="none"/>
          <w:lang w:eastAsia="zh-CN"/>
        </w:rPr>
      </w:pPr>
      <w:r>
        <w:rPr>
          <w:rFonts w:hint="eastAsia"/>
          <w:color w:val="auto"/>
          <w:highlight w:val="none"/>
        </w:rPr>
        <w:t>项目编号：</w:t>
      </w:r>
      <w:r>
        <w:rPr>
          <w:rFonts w:hint="eastAsia" w:ascii="宋体" w:hAnsi="宋体"/>
          <w:bCs/>
          <w:color w:val="auto"/>
          <w:highlight w:val="none"/>
          <w:lang w:eastAsia="zh-CN"/>
        </w:rPr>
        <w:t>QZZC2026-C3-990039-QZSZ</w:t>
      </w:r>
    </w:p>
    <w:p>
      <w:pPr>
        <w:spacing w:line="400" w:lineRule="exact"/>
        <w:ind w:firstLine="420"/>
        <w:rPr>
          <w:rFonts w:hint="eastAsia" w:eastAsia="宋体"/>
          <w:color w:val="auto"/>
          <w:highlight w:val="none"/>
          <w:lang w:eastAsia="zh-CN"/>
        </w:rPr>
      </w:pPr>
      <w:r>
        <w:rPr>
          <w:rFonts w:hint="eastAsia"/>
          <w:color w:val="auto"/>
          <w:highlight w:val="none"/>
        </w:rPr>
        <w:t>项目名称：</w:t>
      </w:r>
      <w:r>
        <w:rPr>
          <w:rFonts w:hint="eastAsia" w:ascii="宋体" w:hAnsi="宋体"/>
          <w:color w:val="auto"/>
          <w:szCs w:val="21"/>
          <w:highlight w:val="none"/>
          <w:lang w:eastAsia="zh-CN"/>
        </w:rPr>
        <w:t>钦州市电子政务外网（钦州市镇级、村级卫生室社保专线）服务采购</w:t>
      </w:r>
    </w:p>
    <w:bookmarkEnd w:id="8"/>
    <w:p>
      <w:pPr>
        <w:spacing w:line="400" w:lineRule="exact"/>
        <w:ind w:firstLine="420"/>
        <w:rPr>
          <w:rFonts w:hint="eastAsia"/>
          <w:color w:val="auto"/>
          <w:highlight w:val="none"/>
        </w:rPr>
      </w:pPr>
      <w:r>
        <w:rPr>
          <w:rFonts w:hint="eastAsia"/>
          <w:color w:val="auto"/>
          <w:highlight w:val="none"/>
        </w:rPr>
        <w:t>预算总金额(元)：2,780,000.00</w:t>
      </w:r>
    </w:p>
    <w:p>
      <w:pPr>
        <w:spacing w:line="400" w:lineRule="exact"/>
        <w:ind w:firstLine="420"/>
        <w:rPr>
          <w:color w:val="auto"/>
          <w:highlight w:val="none"/>
        </w:rPr>
      </w:pPr>
      <w:r>
        <w:rPr>
          <w:rFonts w:hint="eastAsia"/>
          <w:color w:val="auto"/>
          <w:highlight w:val="none"/>
        </w:rPr>
        <w:t>采购需求：</w:t>
      </w:r>
    </w:p>
    <w:p>
      <w:pPr>
        <w:spacing w:line="400" w:lineRule="exact"/>
        <w:ind w:firstLine="420"/>
        <w:rPr>
          <w:color w:val="auto"/>
          <w:highlight w:val="none"/>
        </w:rPr>
      </w:pPr>
    </w:p>
    <w:p>
      <w:pPr>
        <w:spacing w:line="400" w:lineRule="exact"/>
        <w:ind w:firstLine="420"/>
        <w:rPr>
          <w:rFonts w:hint="eastAsia" w:eastAsia="宋体"/>
          <w:bCs/>
          <w:color w:val="auto"/>
          <w:highlight w:val="none"/>
          <w:lang w:eastAsia="zh-CN"/>
        </w:rPr>
      </w:pPr>
      <w:r>
        <w:rPr>
          <w:rFonts w:hint="eastAsia"/>
          <w:color w:val="auto"/>
          <w:highlight w:val="none"/>
        </w:rPr>
        <w:t>标项名称：</w:t>
      </w:r>
      <w:r>
        <w:rPr>
          <w:rFonts w:hint="eastAsia" w:ascii="宋体" w:hAnsi="宋体"/>
          <w:color w:val="auto"/>
          <w:szCs w:val="21"/>
          <w:highlight w:val="none"/>
          <w:lang w:eastAsia="zh-CN"/>
        </w:rPr>
        <w:t>钦州市电子政务外网（钦州市镇级、村级卫生室社保专线）服务采购</w:t>
      </w:r>
    </w:p>
    <w:p>
      <w:pPr>
        <w:spacing w:line="400" w:lineRule="exact"/>
        <w:ind w:firstLine="420"/>
        <w:rPr>
          <w:color w:val="auto"/>
          <w:highlight w:val="none"/>
        </w:rPr>
      </w:pPr>
      <w:r>
        <w:rPr>
          <w:rFonts w:hint="eastAsia"/>
          <w:bCs/>
          <w:color w:val="auto"/>
          <w:highlight w:val="none"/>
        </w:rPr>
        <w:t>数量：1</w:t>
      </w:r>
    </w:p>
    <w:p>
      <w:pPr>
        <w:spacing w:line="400" w:lineRule="exact"/>
        <w:ind w:firstLine="420"/>
        <w:rPr>
          <w:color w:val="auto"/>
          <w:highlight w:val="none"/>
        </w:rPr>
      </w:pPr>
      <w:r>
        <w:rPr>
          <w:rFonts w:hint="eastAsia"/>
          <w:color w:val="auto"/>
          <w:highlight w:val="none"/>
        </w:rPr>
        <w:t>预算金额(元)：2,780,000.00</w:t>
      </w:r>
    </w:p>
    <w:p>
      <w:pPr>
        <w:spacing w:line="400" w:lineRule="exact"/>
        <w:ind w:firstLine="420"/>
        <w:rPr>
          <w:color w:val="auto"/>
          <w:highlight w:val="none"/>
        </w:rPr>
      </w:pPr>
      <w:r>
        <w:rPr>
          <w:rFonts w:hint="eastAsia"/>
          <w:color w:val="auto"/>
          <w:highlight w:val="none"/>
        </w:rPr>
        <w:t>简要规格描述或项目基本概况介绍、用途：</w:t>
      </w:r>
      <w:r>
        <w:rPr>
          <w:rFonts w:hint="eastAsia" w:ascii="宋体" w:hAnsi="宋体"/>
          <w:color w:val="auto"/>
          <w:szCs w:val="21"/>
          <w:highlight w:val="none"/>
          <w:lang w:eastAsia="zh-CN"/>
        </w:rPr>
        <w:t>钦州市电子政务外网（钦州市镇级、村级卫生室社保专线）服务采购</w:t>
      </w:r>
      <w:r>
        <w:rPr>
          <w:rFonts w:hint="eastAsia" w:ascii="宋体" w:hAnsi="宋体"/>
          <w:color w:val="auto"/>
          <w:szCs w:val="21"/>
          <w:highlight w:val="none"/>
        </w:rPr>
        <w:t>，</w:t>
      </w:r>
      <w:r>
        <w:rPr>
          <w:rFonts w:hint="eastAsia"/>
          <w:color w:val="auto"/>
          <w:highlight w:val="none"/>
        </w:rPr>
        <w:t>详见采购文件第二章《项目需求》</w:t>
      </w:r>
    </w:p>
    <w:p>
      <w:pPr>
        <w:spacing w:line="400" w:lineRule="exact"/>
        <w:ind w:firstLine="420"/>
        <w:rPr>
          <w:color w:val="auto"/>
          <w:highlight w:val="none"/>
        </w:rPr>
      </w:pPr>
      <w:r>
        <w:rPr>
          <w:rFonts w:hint="eastAsia"/>
          <w:color w:val="auto"/>
          <w:highlight w:val="none"/>
        </w:rPr>
        <w:t>最高限价(如有</w:t>
      </w:r>
      <w:r>
        <w:rPr>
          <w:color w:val="auto"/>
          <w:highlight w:val="none"/>
        </w:rPr>
        <w:t>)</w:t>
      </w:r>
      <w:r>
        <w:rPr>
          <w:rFonts w:hint="eastAsia"/>
          <w:color w:val="auto"/>
          <w:highlight w:val="none"/>
        </w:rPr>
        <w:t>：2,780,000.00</w:t>
      </w:r>
    </w:p>
    <w:p>
      <w:pPr>
        <w:spacing w:line="400" w:lineRule="exact"/>
        <w:ind w:firstLine="420"/>
        <w:rPr>
          <w:color w:val="auto"/>
          <w:highlight w:val="none"/>
        </w:rPr>
      </w:pPr>
      <w:r>
        <w:rPr>
          <w:rFonts w:hint="eastAsia"/>
          <w:color w:val="auto"/>
          <w:highlight w:val="none"/>
        </w:rPr>
        <w:t>合同履行期限：</w:t>
      </w:r>
      <w:r>
        <w:rPr>
          <w:rFonts w:hint="eastAsia" w:ascii="宋体" w:hAnsi="宋体" w:eastAsia="宋体" w:cs="Times New Roman"/>
          <w:szCs w:val="21"/>
          <w:lang w:eastAsia="zh-CN"/>
        </w:rPr>
        <w:t>服务期限为</w:t>
      </w:r>
      <w:r>
        <w:rPr>
          <w:rFonts w:hint="eastAsia" w:ascii="宋体" w:hAnsi="宋体" w:eastAsia="宋体" w:cs="Times New Roman"/>
          <w:szCs w:val="21"/>
          <w:lang w:val="en-US" w:eastAsia="zh-CN"/>
        </w:rPr>
        <w:t>3年</w:t>
      </w:r>
      <w:r>
        <w:t>(自最终验收合格之日起)</w:t>
      </w:r>
    </w:p>
    <w:p>
      <w:pPr>
        <w:spacing w:line="400" w:lineRule="exact"/>
        <w:ind w:firstLine="420"/>
        <w:rPr>
          <w:color w:val="auto"/>
          <w:highlight w:val="none"/>
        </w:rPr>
      </w:pPr>
      <w:r>
        <w:rPr>
          <w:rFonts w:hint="eastAsia"/>
          <w:color w:val="auto"/>
          <w:highlight w:val="none"/>
        </w:rPr>
        <w:t>本标项（否）接受联合体投标。</w:t>
      </w:r>
    </w:p>
    <w:p>
      <w:pPr>
        <w:spacing w:line="400" w:lineRule="exact"/>
        <w:ind w:firstLine="420"/>
        <w:rPr>
          <w:color w:val="auto"/>
          <w:highlight w:val="none"/>
        </w:rPr>
      </w:pPr>
      <w:r>
        <w:rPr>
          <w:rFonts w:hint="eastAsia"/>
          <w:color w:val="auto"/>
          <w:highlight w:val="none"/>
        </w:rPr>
        <w:t>备注：</w:t>
      </w:r>
    </w:p>
    <w:p>
      <w:pPr>
        <w:spacing w:line="400" w:lineRule="exact"/>
        <w:ind w:firstLine="420"/>
        <w:rPr>
          <w:color w:val="auto"/>
          <w:highlight w:val="none"/>
        </w:rPr>
      </w:pPr>
    </w:p>
    <w:p>
      <w:pPr>
        <w:spacing w:line="400" w:lineRule="exact"/>
        <w:rPr>
          <w:b/>
          <w:color w:val="auto"/>
          <w:highlight w:val="none"/>
        </w:rPr>
      </w:pPr>
      <w:bookmarkStart w:id="10" w:name="_Toc35393622"/>
      <w:bookmarkStart w:id="11" w:name="_Toc28359003"/>
      <w:bookmarkStart w:id="12" w:name="_Toc28359080"/>
      <w:bookmarkStart w:id="13" w:name="_Toc35393791"/>
      <w:r>
        <w:rPr>
          <w:rFonts w:hint="eastAsia"/>
          <w:b/>
          <w:color w:val="auto"/>
          <w:highlight w:val="none"/>
        </w:rPr>
        <w:t>二、申请人的资格要求：</w:t>
      </w:r>
      <w:bookmarkEnd w:id="10"/>
      <w:bookmarkEnd w:id="11"/>
      <w:bookmarkEnd w:id="12"/>
      <w:bookmarkEnd w:id="13"/>
      <w:bookmarkStart w:id="14" w:name="_Toc28359081"/>
      <w:bookmarkStart w:id="15" w:name="_Toc28359004"/>
      <w:bookmarkStart w:id="16" w:name="_Toc35393792"/>
      <w:bookmarkStart w:id="17" w:name="_Toc35393623"/>
    </w:p>
    <w:p>
      <w:pPr>
        <w:spacing w:line="400" w:lineRule="exact"/>
        <w:ind w:firstLine="420"/>
        <w:rPr>
          <w:b/>
          <w:color w:val="auto"/>
          <w:highlight w:val="none"/>
        </w:rPr>
      </w:pPr>
      <w:bookmarkStart w:id="18" w:name="_Hlk111714912"/>
      <w:r>
        <w:rPr>
          <w:rFonts w:hint="eastAsia"/>
          <w:color w:val="auto"/>
          <w:highlight w:val="none"/>
        </w:rPr>
        <w:t>1.满足《中华人民共和国政府采购法》第二十二条规定</w:t>
      </w:r>
    </w:p>
    <w:p>
      <w:pPr>
        <w:spacing w:line="400" w:lineRule="exact"/>
        <w:ind w:firstLine="420"/>
        <w:rPr>
          <w:rFonts w:ascii="宋体" w:hAnsi="宋体"/>
          <w:color w:val="auto"/>
          <w:szCs w:val="21"/>
          <w:highlight w:val="none"/>
        </w:rPr>
      </w:pPr>
      <w:r>
        <w:rPr>
          <w:rFonts w:hint="eastAsia"/>
          <w:color w:val="auto"/>
          <w:highlight w:val="none"/>
        </w:rPr>
        <w:t>2.落实政府采购政策需满足的资格要求：无</w:t>
      </w:r>
    </w:p>
    <w:p>
      <w:pPr>
        <w:spacing w:line="400" w:lineRule="exact"/>
        <w:ind w:firstLine="435"/>
        <w:rPr>
          <w:color w:val="auto"/>
          <w:highlight w:val="none"/>
        </w:rPr>
      </w:pPr>
      <w:r>
        <w:rPr>
          <w:rFonts w:hint="eastAsia"/>
          <w:color w:val="auto"/>
          <w:highlight w:val="none"/>
        </w:rPr>
        <w:t>3.本项目的特定资格要求：无</w:t>
      </w:r>
    </w:p>
    <w:bookmarkEnd w:id="18"/>
    <w:p>
      <w:pPr>
        <w:spacing w:line="400" w:lineRule="exact"/>
        <w:rPr>
          <w:b/>
          <w:color w:val="auto"/>
          <w:highlight w:val="none"/>
        </w:rPr>
      </w:pPr>
      <w:r>
        <w:rPr>
          <w:rFonts w:hint="eastAsia"/>
          <w:b/>
          <w:color w:val="auto"/>
          <w:highlight w:val="none"/>
        </w:rPr>
        <w:t>三、获取采购文件</w:t>
      </w:r>
      <w:bookmarkEnd w:id="14"/>
      <w:bookmarkEnd w:id="15"/>
      <w:bookmarkEnd w:id="16"/>
      <w:bookmarkEnd w:id="17"/>
    </w:p>
    <w:p>
      <w:pPr>
        <w:spacing w:line="400" w:lineRule="exact"/>
        <w:ind w:firstLine="420"/>
        <w:jc w:val="left"/>
        <w:rPr>
          <w:color w:val="auto"/>
          <w:highlight w:val="none"/>
        </w:rPr>
      </w:pPr>
      <w:bookmarkStart w:id="19" w:name="_Toc38370141"/>
      <w:r>
        <w:rPr>
          <w:rFonts w:hint="eastAsia"/>
          <w:color w:val="auto"/>
          <w:highlight w:val="none"/>
        </w:rPr>
        <w:t>时间：</w:t>
      </w:r>
      <w:r>
        <w:rPr>
          <w:rFonts w:hint="eastAsia" w:ascii="宋体" w:hAnsi="宋体"/>
          <w:color w:val="auto"/>
          <w:szCs w:val="21"/>
          <w:highlight w:val="none"/>
        </w:rPr>
        <w:t>202</w:t>
      </w:r>
      <w:r>
        <w:rPr>
          <w:rFonts w:hint="eastAsia" w:ascii="宋体" w:hAnsi="宋体"/>
          <w:color w:val="auto"/>
          <w:szCs w:val="21"/>
          <w:highlight w:val="none"/>
          <w:lang w:val="en-US" w:eastAsia="zh-CN"/>
        </w:rPr>
        <w:t>6</w:t>
      </w:r>
      <w:r>
        <w:rPr>
          <w:rFonts w:hint="eastAsia" w:ascii="宋体" w:hAnsi="宋体"/>
          <w:bCs/>
          <w:color w:val="auto"/>
          <w:szCs w:val="21"/>
          <w:highlight w:val="none"/>
        </w:rPr>
        <w:t>年</w:t>
      </w:r>
      <w:r>
        <w:rPr>
          <w:rFonts w:hint="eastAsia" w:ascii="宋体" w:hAnsi="宋体"/>
          <w:bCs/>
          <w:color w:val="auto"/>
          <w:szCs w:val="21"/>
          <w:highlight w:val="none"/>
          <w:lang w:val="en-US" w:eastAsia="zh-CN"/>
        </w:rPr>
        <w:t>2</w:t>
      </w:r>
      <w:r>
        <w:rPr>
          <w:rFonts w:hint="eastAsia" w:ascii="宋体" w:hAnsi="宋体"/>
          <w:bCs/>
          <w:color w:val="auto"/>
          <w:szCs w:val="21"/>
          <w:highlight w:val="none"/>
        </w:rPr>
        <w:t>月</w:t>
      </w:r>
      <w:r>
        <w:rPr>
          <w:rFonts w:hint="eastAsia" w:ascii="宋体" w:hAnsi="宋体"/>
          <w:bCs/>
          <w:color w:val="auto"/>
          <w:szCs w:val="21"/>
          <w:highlight w:val="none"/>
          <w:lang w:val="en-US" w:eastAsia="zh-CN"/>
        </w:rPr>
        <w:t>27</w:t>
      </w:r>
      <w:r>
        <w:rPr>
          <w:rFonts w:hint="eastAsia" w:ascii="宋体" w:hAnsi="宋体"/>
          <w:bCs/>
          <w:color w:val="auto"/>
          <w:szCs w:val="21"/>
          <w:highlight w:val="none"/>
        </w:rPr>
        <w:t>日</w:t>
      </w:r>
      <w:r>
        <w:rPr>
          <w:rFonts w:hint="eastAsia"/>
          <w:color w:val="auto"/>
          <w:highlight w:val="none"/>
        </w:rPr>
        <w:t>至</w:t>
      </w:r>
      <w:r>
        <w:rPr>
          <w:rFonts w:hint="eastAsia" w:ascii="宋体" w:hAnsi="宋体"/>
          <w:color w:val="auto"/>
          <w:szCs w:val="21"/>
          <w:highlight w:val="none"/>
        </w:rPr>
        <w:t>202</w:t>
      </w:r>
      <w:r>
        <w:rPr>
          <w:rFonts w:hint="eastAsia" w:ascii="宋体" w:hAnsi="宋体"/>
          <w:color w:val="auto"/>
          <w:szCs w:val="21"/>
          <w:highlight w:val="none"/>
          <w:lang w:val="en-US" w:eastAsia="zh-CN"/>
        </w:rPr>
        <w:t>6</w:t>
      </w:r>
      <w:r>
        <w:rPr>
          <w:rFonts w:hint="eastAsia" w:ascii="宋体" w:hAnsi="宋体"/>
          <w:bCs/>
          <w:color w:val="auto"/>
          <w:szCs w:val="21"/>
          <w:highlight w:val="none"/>
        </w:rPr>
        <w:t>年</w:t>
      </w:r>
      <w:r>
        <w:rPr>
          <w:rFonts w:hint="eastAsia" w:ascii="宋体" w:hAnsi="宋体"/>
          <w:bCs/>
          <w:color w:val="auto"/>
          <w:szCs w:val="21"/>
          <w:highlight w:val="none"/>
          <w:lang w:val="en-US" w:eastAsia="zh-CN"/>
        </w:rPr>
        <w:t>3</w:t>
      </w:r>
      <w:r>
        <w:rPr>
          <w:rFonts w:hint="eastAsia" w:ascii="宋体" w:hAnsi="宋体"/>
          <w:bCs/>
          <w:color w:val="auto"/>
          <w:szCs w:val="21"/>
          <w:highlight w:val="none"/>
        </w:rPr>
        <w:t>月</w:t>
      </w:r>
      <w:r>
        <w:rPr>
          <w:rFonts w:hint="eastAsia" w:ascii="宋体" w:hAnsi="宋体"/>
          <w:bCs/>
          <w:color w:val="auto"/>
          <w:szCs w:val="21"/>
          <w:highlight w:val="none"/>
          <w:lang w:val="en-US" w:eastAsia="zh-CN"/>
        </w:rPr>
        <w:t>5</w:t>
      </w:r>
      <w:r>
        <w:rPr>
          <w:rFonts w:hint="eastAsia" w:ascii="宋体" w:hAnsi="宋体"/>
          <w:bCs/>
          <w:color w:val="auto"/>
          <w:szCs w:val="21"/>
          <w:highlight w:val="none"/>
        </w:rPr>
        <w:t>日</w:t>
      </w:r>
      <w:r>
        <w:rPr>
          <w:rFonts w:hint="eastAsia"/>
          <w:color w:val="auto"/>
          <w:highlight w:val="none"/>
        </w:rPr>
        <w:t>，每天上午00:00至12:00，下午12:00至23:59（北京时间，法定节假日除外）</w:t>
      </w:r>
    </w:p>
    <w:p>
      <w:pPr>
        <w:spacing w:line="400" w:lineRule="exact"/>
        <w:ind w:firstLine="420"/>
        <w:rPr>
          <w:color w:val="auto"/>
          <w:highlight w:val="none"/>
        </w:rPr>
      </w:pPr>
      <w:r>
        <w:rPr>
          <w:rFonts w:hint="eastAsia"/>
          <w:color w:val="auto"/>
          <w:highlight w:val="none"/>
        </w:rPr>
        <w:t>地点(网址</w:t>
      </w:r>
      <w:r>
        <w:rPr>
          <w:color w:val="auto"/>
          <w:highlight w:val="none"/>
        </w:rPr>
        <w:t>)</w:t>
      </w:r>
      <w:r>
        <w:rPr>
          <w:rFonts w:hint="eastAsia"/>
          <w:color w:val="auto"/>
          <w:highlight w:val="none"/>
        </w:rPr>
        <w:t>：</w:t>
      </w:r>
      <w:bookmarkStart w:id="20" w:name="_Hlk164066481"/>
      <w:r>
        <w:rPr>
          <w:rFonts w:hint="eastAsia" w:ascii="宋体" w:hAnsi="宋体"/>
          <w:color w:val="auto"/>
          <w:szCs w:val="21"/>
          <w:highlight w:val="none"/>
        </w:rPr>
        <w:t>广西政府采购云平台（https://www.gcy.zfcg.gxzf.gov.cn/）</w:t>
      </w:r>
      <w:bookmarkEnd w:id="20"/>
    </w:p>
    <w:p>
      <w:pPr>
        <w:spacing w:line="400" w:lineRule="exact"/>
        <w:ind w:firstLine="420"/>
        <w:rPr>
          <w:color w:val="auto"/>
          <w:highlight w:val="none"/>
        </w:rPr>
      </w:pPr>
      <w:r>
        <w:rPr>
          <w:rFonts w:hint="eastAsia"/>
          <w:color w:val="auto"/>
          <w:highlight w:val="none"/>
        </w:rPr>
        <w:t>方式：供应商登录广西政府采购云平台https://www.gcy.zfcg.gxzf.gov.cn/在线申请获取采购文件（进入“项目采购”应用，在获取采购文件菜单中选择项目，申请获取采购文件）</w:t>
      </w:r>
    </w:p>
    <w:p>
      <w:pPr>
        <w:spacing w:line="400" w:lineRule="exact"/>
        <w:ind w:firstLine="420"/>
        <w:rPr>
          <w:color w:val="auto"/>
          <w:highlight w:val="none"/>
        </w:rPr>
      </w:pPr>
      <w:r>
        <w:rPr>
          <w:rFonts w:hint="eastAsia"/>
          <w:color w:val="auto"/>
          <w:highlight w:val="none"/>
        </w:rPr>
        <w:t>售价(元</w:t>
      </w:r>
      <w:r>
        <w:rPr>
          <w:color w:val="auto"/>
          <w:highlight w:val="none"/>
        </w:rPr>
        <w:t>)</w:t>
      </w:r>
      <w:r>
        <w:rPr>
          <w:rFonts w:hint="eastAsia"/>
          <w:color w:val="auto"/>
          <w:highlight w:val="none"/>
        </w:rPr>
        <w:t>：0</w:t>
      </w:r>
    </w:p>
    <w:p>
      <w:pPr>
        <w:spacing w:line="400" w:lineRule="exact"/>
        <w:rPr>
          <w:b/>
          <w:color w:val="auto"/>
          <w:highlight w:val="none"/>
        </w:rPr>
      </w:pPr>
      <w:r>
        <w:rPr>
          <w:rFonts w:hint="eastAsia"/>
          <w:b/>
          <w:bCs/>
          <w:color w:val="auto"/>
          <w:highlight w:val="none"/>
        </w:rPr>
        <w:t>四、</w:t>
      </w:r>
      <w:bookmarkEnd w:id="19"/>
      <w:bookmarkStart w:id="21" w:name="_Toc28359005"/>
      <w:bookmarkStart w:id="22" w:name="_Toc28359082"/>
      <w:bookmarkStart w:id="23" w:name="_Toc35393793"/>
      <w:bookmarkStart w:id="24" w:name="_Toc35393624"/>
      <w:r>
        <w:rPr>
          <w:rFonts w:hint="eastAsia"/>
          <w:b/>
          <w:color w:val="auto"/>
          <w:highlight w:val="none"/>
        </w:rPr>
        <w:t>响应文件</w:t>
      </w:r>
      <w:bookmarkEnd w:id="21"/>
      <w:bookmarkEnd w:id="22"/>
      <w:r>
        <w:rPr>
          <w:rFonts w:hint="eastAsia"/>
          <w:b/>
          <w:color w:val="auto"/>
          <w:highlight w:val="none"/>
        </w:rPr>
        <w:t>提交</w:t>
      </w:r>
      <w:bookmarkEnd w:id="23"/>
      <w:bookmarkEnd w:id="24"/>
    </w:p>
    <w:p>
      <w:pPr>
        <w:spacing w:line="400" w:lineRule="exact"/>
        <w:ind w:firstLine="420"/>
        <w:rPr>
          <w:color w:val="auto"/>
          <w:highlight w:val="none"/>
        </w:rPr>
      </w:pPr>
      <w:r>
        <w:rPr>
          <w:rFonts w:hint="eastAsia"/>
          <w:color w:val="auto"/>
          <w:highlight w:val="none"/>
        </w:rPr>
        <w:t>截止时间：</w:t>
      </w:r>
      <w:r>
        <w:rPr>
          <w:rFonts w:hint="eastAsia" w:ascii="宋体" w:hAnsi="宋体"/>
          <w:color w:val="auto"/>
          <w:szCs w:val="21"/>
          <w:highlight w:val="none"/>
        </w:rPr>
        <w:t>202</w:t>
      </w:r>
      <w:r>
        <w:rPr>
          <w:rFonts w:hint="eastAsia" w:ascii="宋体" w:hAnsi="宋体"/>
          <w:color w:val="auto"/>
          <w:szCs w:val="21"/>
          <w:highlight w:val="none"/>
          <w:lang w:val="en-US" w:eastAsia="zh-CN"/>
        </w:rPr>
        <w:t>6</w:t>
      </w:r>
      <w:r>
        <w:rPr>
          <w:rFonts w:hint="eastAsia" w:ascii="宋体" w:hAnsi="宋体"/>
          <w:bCs/>
          <w:color w:val="auto"/>
          <w:szCs w:val="21"/>
          <w:highlight w:val="none"/>
        </w:rPr>
        <w:t>年</w:t>
      </w:r>
      <w:r>
        <w:rPr>
          <w:rFonts w:hint="eastAsia" w:ascii="宋体" w:hAnsi="宋体"/>
          <w:bCs/>
          <w:color w:val="auto"/>
          <w:szCs w:val="21"/>
          <w:highlight w:val="none"/>
          <w:lang w:val="en-US" w:eastAsia="zh-CN"/>
        </w:rPr>
        <w:t>3</w:t>
      </w:r>
      <w:r>
        <w:rPr>
          <w:rFonts w:hint="eastAsia" w:ascii="宋体" w:hAnsi="宋体"/>
          <w:bCs/>
          <w:color w:val="auto"/>
          <w:szCs w:val="21"/>
          <w:highlight w:val="none"/>
        </w:rPr>
        <w:t>月</w:t>
      </w:r>
      <w:r>
        <w:rPr>
          <w:rFonts w:hint="eastAsia" w:ascii="宋体" w:hAnsi="宋体"/>
          <w:bCs/>
          <w:color w:val="auto"/>
          <w:szCs w:val="21"/>
          <w:highlight w:val="none"/>
          <w:lang w:val="en-US" w:eastAsia="zh-CN"/>
        </w:rPr>
        <w:t>10</w:t>
      </w:r>
      <w:r>
        <w:rPr>
          <w:rFonts w:hint="eastAsia" w:ascii="宋体" w:hAnsi="宋体"/>
          <w:bCs/>
          <w:color w:val="auto"/>
          <w:szCs w:val="21"/>
          <w:highlight w:val="none"/>
        </w:rPr>
        <w:t>日</w:t>
      </w:r>
      <w:r>
        <w:rPr>
          <w:rFonts w:hint="eastAsia"/>
          <w:color w:val="auto"/>
          <w:highlight w:val="none"/>
          <w:lang w:val="en-US" w:eastAsia="zh-CN"/>
        </w:rPr>
        <w:t>9</w:t>
      </w:r>
      <w:r>
        <w:rPr>
          <w:color w:val="auto"/>
          <w:highlight w:val="none"/>
        </w:rPr>
        <w:t>:</w:t>
      </w:r>
      <w:r>
        <w:rPr>
          <w:rFonts w:hint="eastAsia"/>
          <w:color w:val="auto"/>
          <w:highlight w:val="none"/>
          <w:lang w:val="en-US" w:eastAsia="zh-CN"/>
        </w:rPr>
        <w:t>30</w:t>
      </w:r>
      <w:r>
        <w:rPr>
          <w:rFonts w:hint="eastAsia"/>
          <w:color w:val="auto"/>
          <w:highlight w:val="none"/>
        </w:rPr>
        <w:t>（北京时间）</w:t>
      </w:r>
    </w:p>
    <w:p>
      <w:pPr>
        <w:spacing w:line="400" w:lineRule="exact"/>
        <w:ind w:firstLine="420"/>
        <w:rPr>
          <w:rFonts w:ascii="宋体" w:hAnsi="宋体" w:cs="Courier New"/>
          <w:color w:val="auto"/>
          <w:szCs w:val="21"/>
          <w:highlight w:val="none"/>
        </w:rPr>
      </w:pPr>
      <w:r>
        <w:rPr>
          <w:rFonts w:hint="eastAsia"/>
          <w:color w:val="auto"/>
          <w:highlight w:val="none"/>
        </w:rPr>
        <w:t>地点(网址）：</w:t>
      </w:r>
      <w:r>
        <w:rPr>
          <w:rFonts w:hint="eastAsia" w:ascii="宋体" w:hAnsi="宋体"/>
          <w:color w:val="auto"/>
          <w:szCs w:val="21"/>
          <w:highlight w:val="none"/>
        </w:rPr>
        <w:t>广西政府采购云平台（https://www.gcy.zfcg.gxzf.gov.cn/）</w:t>
      </w:r>
    </w:p>
    <w:p>
      <w:pPr>
        <w:spacing w:line="400" w:lineRule="exact"/>
        <w:rPr>
          <w:rFonts w:ascii="宋体" w:hAnsi="宋体" w:cs="Courier New"/>
          <w:b/>
          <w:bCs/>
          <w:color w:val="auto"/>
          <w:szCs w:val="21"/>
          <w:highlight w:val="none"/>
        </w:rPr>
      </w:pPr>
      <w:r>
        <w:rPr>
          <w:rFonts w:hint="eastAsia" w:ascii="宋体" w:hAnsi="宋体" w:cs="Courier New"/>
          <w:b/>
          <w:bCs/>
          <w:color w:val="auto"/>
          <w:szCs w:val="21"/>
          <w:highlight w:val="none"/>
        </w:rPr>
        <w:t>五、响应文件开启</w:t>
      </w:r>
    </w:p>
    <w:p>
      <w:pPr>
        <w:spacing w:line="400" w:lineRule="exact"/>
        <w:ind w:firstLine="420" w:firstLineChars="200"/>
        <w:rPr>
          <w:rFonts w:ascii="宋体" w:hAnsi="宋体" w:cs="Courier New"/>
          <w:color w:val="auto"/>
          <w:szCs w:val="21"/>
          <w:highlight w:val="none"/>
        </w:rPr>
      </w:pPr>
      <w:r>
        <w:rPr>
          <w:rFonts w:hint="eastAsia" w:ascii="宋体" w:hAnsi="宋体" w:cs="Courier New"/>
          <w:color w:val="auto"/>
          <w:szCs w:val="21"/>
          <w:highlight w:val="none"/>
        </w:rPr>
        <w:t>开启时间：</w:t>
      </w:r>
      <w:r>
        <w:rPr>
          <w:rFonts w:hint="eastAsia" w:ascii="宋体" w:hAnsi="宋体"/>
          <w:color w:val="auto"/>
          <w:szCs w:val="21"/>
          <w:highlight w:val="none"/>
        </w:rPr>
        <w:t>202</w:t>
      </w:r>
      <w:r>
        <w:rPr>
          <w:rFonts w:hint="eastAsia" w:ascii="宋体" w:hAnsi="宋体"/>
          <w:color w:val="auto"/>
          <w:szCs w:val="21"/>
          <w:highlight w:val="none"/>
          <w:lang w:val="en-US" w:eastAsia="zh-CN"/>
        </w:rPr>
        <w:t>6</w:t>
      </w:r>
      <w:r>
        <w:rPr>
          <w:rFonts w:hint="eastAsia" w:ascii="宋体" w:hAnsi="宋体"/>
          <w:bCs/>
          <w:color w:val="auto"/>
          <w:szCs w:val="21"/>
          <w:highlight w:val="none"/>
        </w:rPr>
        <w:t>年</w:t>
      </w:r>
      <w:r>
        <w:rPr>
          <w:rFonts w:hint="eastAsia" w:ascii="宋体" w:hAnsi="宋体"/>
          <w:bCs/>
          <w:color w:val="auto"/>
          <w:szCs w:val="21"/>
          <w:highlight w:val="none"/>
          <w:lang w:val="en-US" w:eastAsia="zh-CN"/>
        </w:rPr>
        <w:t>3</w:t>
      </w:r>
      <w:r>
        <w:rPr>
          <w:rFonts w:hint="eastAsia" w:ascii="宋体" w:hAnsi="宋体"/>
          <w:bCs/>
          <w:color w:val="auto"/>
          <w:szCs w:val="21"/>
          <w:highlight w:val="none"/>
        </w:rPr>
        <w:t>月</w:t>
      </w:r>
      <w:r>
        <w:rPr>
          <w:rFonts w:hint="eastAsia" w:ascii="宋体" w:hAnsi="宋体"/>
          <w:bCs/>
          <w:color w:val="auto"/>
          <w:szCs w:val="21"/>
          <w:highlight w:val="none"/>
          <w:lang w:val="en-US" w:eastAsia="zh-CN"/>
        </w:rPr>
        <w:t>10</w:t>
      </w:r>
      <w:r>
        <w:rPr>
          <w:rFonts w:hint="eastAsia" w:ascii="宋体" w:hAnsi="宋体"/>
          <w:bCs/>
          <w:color w:val="auto"/>
          <w:szCs w:val="21"/>
          <w:highlight w:val="none"/>
        </w:rPr>
        <w:t>日</w:t>
      </w:r>
      <w:r>
        <w:rPr>
          <w:rFonts w:hint="eastAsia"/>
          <w:color w:val="auto"/>
          <w:highlight w:val="none"/>
          <w:lang w:val="en-US" w:eastAsia="zh-CN"/>
        </w:rPr>
        <w:t>9</w:t>
      </w:r>
      <w:r>
        <w:rPr>
          <w:color w:val="auto"/>
          <w:highlight w:val="none"/>
        </w:rPr>
        <w:t>:</w:t>
      </w:r>
      <w:r>
        <w:rPr>
          <w:rFonts w:hint="eastAsia"/>
          <w:color w:val="auto"/>
          <w:highlight w:val="none"/>
          <w:lang w:val="en-US" w:eastAsia="zh-CN"/>
        </w:rPr>
        <w:t>30</w:t>
      </w:r>
      <w:r>
        <w:rPr>
          <w:rFonts w:hint="eastAsia"/>
          <w:color w:val="auto"/>
          <w:highlight w:val="none"/>
        </w:rPr>
        <w:t>（北京时间）</w:t>
      </w:r>
    </w:p>
    <w:p>
      <w:pPr>
        <w:spacing w:line="400" w:lineRule="exact"/>
        <w:ind w:firstLine="420"/>
        <w:rPr>
          <w:rFonts w:ascii="宋体" w:hAnsi="宋体" w:cs="Courier New"/>
          <w:color w:val="auto"/>
          <w:szCs w:val="21"/>
          <w:highlight w:val="none"/>
        </w:rPr>
      </w:pPr>
      <w:r>
        <w:rPr>
          <w:rFonts w:hint="eastAsia" w:ascii="宋体" w:hAnsi="宋体" w:cs="Courier New"/>
          <w:color w:val="auto"/>
          <w:szCs w:val="21"/>
          <w:highlight w:val="none"/>
        </w:rPr>
        <w:t>地点：</w:t>
      </w:r>
      <w:bookmarkStart w:id="25" w:name="OLE_LINK1"/>
      <w:bookmarkStart w:id="26" w:name="_Toc35393794"/>
      <w:bookmarkStart w:id="27" w:name="_Toc35393625"/>
      <w:bookmarkStart w:id="28" w:name="_Toc28359007"/>
      <w:bookmarkStart w:id="29" w:name="_Toc28359084"/>
      <w:r>
        <w:rPr>
          <w:rFonts w:hint="eastAsia"/>
          <w:color w:val="auto"/>
          <w:highlight w:val="none"/>
        </w:rPr>
        <w:t>广西钦州市金海湾东大街8号市政务服务中心三楼开标室</w:t>
      </w:r>
      <w:bookmarkEnd w:id="25"/>
    </w:p>
    <w:p>
      <w:pPr>
        <w:spacing w:line="400" w:lineRule="exact"/>
        <w:rPr>
          <w:b/>
          <w:color w:val="auto"/>
          <w:highlight w:val="none"/>
        </w:rPr>
      </w:pPr>
      <w:r>
        <w:rPr>
          <w:rFonts w:hint="eastAsia"/>
          <w:b/>
          <w:color w:val="auto"/>
          <w:highlight w:val="none"/>
        </w:rPr>
        <w:t>六、公告期限</w:t>
      </w:r>
      <w:bookmarkEnd w:id="26"/>
      <w:bookmarkEnd w:id="27"/>
      <w:bookmarkEnd w:id="28"/>
      <w:bookmarkEnd w:id="29"/>
    </w:p>
    <w:p>
      <w:pPr>
        <w:spacing w:line="400" w:lineRule="exact"/>
        <w:ind w:firstLine="420"/>
        <w:rPr>
          <w:color w:val="auto"/>
          <w:highlight w:val="none"/>
        </w:rPr>
      </w:pPr>
      <w:r>
        <w:rPr>
          <w:rFonts w:hint="eastAsia"/>
          <w:color w:val="auto"/>
          <w:highlight w:val="none"/>
        </w:rPr>
        <w:t>自本公告发布之日起</w:t>
      </w:r>
      <w:r>
        <w:rPr>
          <w:color w:val="auto"/>
          <w:highlight w:val="none"/>
        </w:rPr>
        <w:t>5</w:t>
      </w:r>
      <w:r>
        <w:rPr>
          <w:rFonts w:hint="eastAsia"/>
          <w:color w:val="auto"/>
          <w:highlight w:val="none"/>
        </w:rPr>
        <w:t>个工作日。</w:t>
      </w:r>
    </w:p>
    <w:p>
      <w:pPr>
        <w:spacing w:line="400" w:lineRule="exact"/>
        <w:rPr>
          <w:b/>
          <w:color w:val="auto"/>
          <w:highlight w:val="none"/>
        </w:rPr>
      </w:pPr>
      <w:bookmarkStart w:id="30" w:name="_Toc35393627"/>
      <w:bookmarkStart w:id="31" w:name="_Toc28359008"/>
      <w:bookmarkStart w:id="32" w:name="_Toc35393796"/>
      <w:bookmarkStart w:id="33" w:name="_Toc28359085"/>
      <w:r>
        <w:rPr>
          <w:rFonts w:hint="eastAsia"/>
          <w:b/>
          <w:color w:val="auto"/>
          <w:highlight w:val="none"/>
        </w:rPr>
        <w:t>七、其他补充事宜</w:t>
      </w:r>
    </w:p>
    <w:p>
      <w:pPr>
        <w:spacing w:line="400" w:lineRule="exact"/>
        <w:ind w:firstLine="420"/>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w:t>
      </w:r>
      <w:r>
        <w:rPr>
          <w:rFonts w:hint="eastAsia" w:ascii="宋体" w:hAnsi="宋体" w:eastAsia="宋体" w:cs="Times New Roman"/>
          <w:color w:val="auto"/>
          <w:szCs w:val="21"/>
          <w:highlight w:val="none"/>
        </w:rPr>
        <w:t>本项目允许分支机构或分公司参加</w:t>
      </w:r>
      <w:r>
        <w:rPr>
          <w:rFonts w:hint="eastAsia" w:ascii="宋体" w:hAnsi="宋体" w:eastAsia="宋体" w:cs="Times New Roman"/>
          <w:color w:val="auto"/>
          <w:szCs w:val="21"/>
          <w:highlight w:val="none"/>
          <w:lang w:val="en-US" w:eastAsia="zh-CN"/>
        </w:rPr>
        <w:t>投标。</w:t>
      </w:r>
    </w:p>
    <w:p>
      <w:pPr>
        <w:spacing w:line="400" w:lineRule="exact"/>
        <w:ind w:firstLine="420"/>
        <w:rPr>
          <w:b/>
          <w:color w:val="auto"/>
          <w:highlight w:val="none"/>
        </w:rPr>
      </w:pPr>
      <w:r>
        <w:rPr>
          <w:rFonts w:hint="eastAsia"/>
          <w:color w:val="auto"/>
          <w:highlight w:val="none"/>
          <w:lang w:val="en-US" w:eastAsia="zh-CN"/>
        </w:rPr>
        <w:t>2</w:t>
      </w:r>
      <w:r>
        <w:rPr>
          <w:color w:val="auto"/>
          <w:highlight w:val="none"/>
        </w:rPr>
        <w:t>.</w:t>
      </w:r>
      <w:r>
        <w:rPr>
          <w:rFonts w:hint="eastAsia"/>
          <w:bCs/>
          <w:color w:val="auto"/>
          <w:highlight w:val="none"/>
        </w:rPr>
        <w:t>本项目须要落实的政府采购政策</w:t>
      </w:r>
      <w:r>
        <w:rPr>
          <w:rFonts w:hint="eastAsia"/>
          <w:b/>
          <w:color w:val="auto"/>
          <w:highlight w:val="none"/>
        </w:rPr>
        <w:t>：</w:t>
      </w:r>
    </w:p>
    <w:p>
      <w:pPr>
        <w:spacing w:line="400" w:lineRule="exact"/>
        <w:ind w:firstLine="420"/>
        <w:rPr>
          <w:color w:val="auto"/>
          <w:highlight w:val="none"/>
        </w:rPr>
      </w:pPr>
      <w:r>
        <w:rPr>
          <w:rFonts w:hint="eastAsia"/>
          <w:color w:val="auto"/>
          <w:highlight w:val="none"/>
        </w:rPr>
        <w:t>(1)财政部 工业和信息化部关于印发《政府采购促进中小企业发展管理办法》的通知(财库﹝2020﹞46号)</w:t>
      </w:r>
    </w:p>
    <w:p>
      <w:pPr>
        <w:spacing w:line="400" w:lineRule="exact"/>
        <w:ind w:firstLine="420"/>
        <w:rPr>
          <w:color w:val="auto"/>
          <w:highlight w:val="none"/>
        </w:rPr>
      </w:pPr>
      <w:r>
        <w:rPr>
          <w:rFonts w:hint="eastAsia"/>
          <w:color w:val="auto"/>
          <w:highlight w:val="none"/>
        </w:rPr>
        <w:t>(2)财政部 司法部关于政府采购支持监狱企业发展有关问题的通知 (财库﹝2014﹞68号)</w:t>
      </w:r>
    </w:p>
    <w:p>
      <w:pPr>
        <w:spacing w:line="400" w:lineRule="exact"/>
        <w:ind w:firstLine="420"/>
        <w:rPr>
          <w:rFonts w:hint="eastAsia"/>
          <w:color w:val="auto"/>
          <w:highlight w:val="none"/>
        </w:rPr>
      </w:pPr>
      <w:r>
        <w:rPr>
          <w:rFonts w:hint="eastAsia"/>
          <w:color w:val="auto"/>
          <w:highlight w:val="none"/>
        </w:rPr>
        <w:t>(3)财政部 民政部 中国残疾人联合会关于促进残疾人就业政府采购政策的通知 (财库﹝2017﹞141号)</w:t>
      </w:r>
    </w:p>
    <w:p>
      <w:pPr>
        <w:spacing w:line="400" w:lineRule="exact"/>
        <w:ind w:firstLine="420"/>
        <w:rPr>
          <w:rFonts w:hint="default" w:eastAsia="宋体"/>
          <w:color w:val="auto"/>
          <w:highlight w:val="none"/>
          <w:lang w:val="en-US" w:eastAsia="zh-CN"/>
        </w:rPr>
      </w:pPr>
      <w:r>
        <w:rPr>
          <w:rFonts w:hint="eastAsia"/>
          <w:color w:val="auto"/>
          <w:highlight w:val="none"/>
          <w:lang w:val="en-US" w:eastAsia="zh-CN"/>
        </w:rPr>
        <w:t>3.磋商保证金：无。</w:t>
      </w:r>
    </w:p>
    <w:p>
      <w:pPr>
        <w:spacing w:line="400" w:lineRule="exact"/>
        <w:ind w:firstLine="420"/>
        <w:rPr>
          <w:color w:val="auto"/>
          <w:highlight w:val="none"/>
        </w:rPr>
      </w:pPr>
      <w:r>
        <w:rPr>
          <w:rFonts w:hint="eastAsia"/>
          <w:color w:val="auto"/>
          <w:highlight w:val="none"/>
          <w:lang w:val="en-US" w:eastAsia="zh-CN"/>
        </w:rPr>
        <w:t>4</w:t>
      </w:r>
      <w:r>
        <w:rPr>
          <w:color w:val="auto"/>
          <w:highlight w:val="none"/>
        </w:rPr>
        <w:t>.</w:t>
      </w:r>
      <w:bookmarkStart w:id="34" w:name="_Hlk91598380"/>
      <w:r>
        <w:rPr>
          <w:rFonts w:hint="eastAsia"/>
          <w:color w:val="auto"/>
          <w:highlight w:val="none"/>
        </w:rPr>
        <w:t>全流程电子化</w:t>
      </w:r>
      <w:bookmarkEnd w:id="34"/>
      <w:r>
        <w:rPr>
          <w:rFonts w:hint="eastAsia"/>
          <w:color w:val="auto"/>
          <w:highlight w:val="none"/>
        </w:rPr>
        <w:t>要求：</w:t>
      </w:r>
    </w:p>
    <w:p>
      <w:pPr>
        <w:spacing w:line="400" w:lineRule="exact"/>
        <w:ind w:firstLine="420"/>
        <w:rPr>
          <w:color w:val="auto"/>
          <w:highlight w:val="none"/>
        </w:rPr>
      </w:pPr>
      <w:r>
        <w:rPr>
          <w:rFonts w:hint="eastAsia"/>
          <w:color w:val="auto"/>
          <w:highlight w:val="none"/>
        </w:rPr>
        <w:t>本项目为全流程电子化项目，供应商应做好参与全流程电子化交易的充分准备，熟悉掌握电子化采购项目操作指南</w:t>
      </w:r>
      <w:bookmarkStart w:id="35" w:name="_Hlk147760538"/>
      <w:r>
        <w:rPr>
          <w:rFonts w:hint="eastAsia"/>
          <w:color w:val="auto"/>
          <w:highlight w:val="none"/>
        </w:rPr>
        <w:t>(操作指南：</w:t>
      </w:r>
      <w:r>
        <w:rPr>
          <w:color w:val="auto"/>
          <w:highlight w:val="none"/>
        </w:rPr>
        <w:fldChar w:fldCharType="begin"/>
      </w:r>
      <w:r>
        <w:rPr>
          <w:color w:val="auto"/>
          <w:highlight w:val="none"/>
        </w:rPr>
        <w:instrText xml:space="preserve"> HYPERLINK "https://helpcenter.zcygov.cn/document/" \l "/document/dashboard?siteCode=beijing&amp;channel=dt" </w:instrText>
      </w:r>
      <w:r>
        <w:rPr>
          <w:color w:val="auto"/>
          <w:highlight w:val="none"/>
        </w:rPr>
        <w:fldChar w:fldCharType="separate"/>
      </w:r>
      <w:r>
        <w:rPr>
          <w:rStyle w:val="49"/>
          <w:rFonts w:hint="eastAsia"/>
          <w:color w:val="auto"/>
          <w:highlight w:val="none"/>
        </w:rPr>
        <w:t>政采云电子卖场首页右上角—服务中心—帮助文档—项目采购</w:t>
      </w:r>
      <w:r>
        <w:rPr>
          <w:rStyle w:val="49"/>
          <w:rFonts w:hint="eastAsia"/>
          <w:color w:val="auto"/>
          <w:highlight w:val="none"/>
        </w:rPr>
        <w:fldChar w:fldCharType="end"/>
      </w:r>
      <w:r>
        <w:rPr>
          <w:rFonts w:hint="eastAsia"/>
          <w:color w:val="auto"/>
          <w:highlight w:val="none"/>
        </w:rPr>
        <w:t>)，及时完成CA申领和绑定(操作指南：</w:t>
      </w:r>
      <w:r>
        <w:rPr>
          <w:color w:val="auto"/>
          <w:highlight w:val="none"/>
        </w:rPr>
        <w:fldChar w:fldCharType="begin"/>
      </w:r>
      <w:r>
        <w:rPr>
          <w:color w:val="auto"/>
          <w:highlight w:val="none"/>
        </w:rPr>
        <w:instrText xml:space="preserve"> HYPERLINK "https://helpcenter.zcygov.cn/document/" \l "/document/detail?siteCode=beijing&amp;manualId=795&amp;topicId=4081" </w:instrText>
      </w:r>
      <w:r>
        <w:rPr>
          <w:color w:val="auto"/>
          <w:highlight w:val="none"/>
        </w:rPr>
        <w:fldChar w:fldCharType="separate"/>
      </w:r>
      <w:r>
        <w:rPr>
          <w:rStyle w:val="49"/>
          <w:rFonts w:hint="eastAsia"/>
          <w:color w:val="auto"/>
          <w:highlight w:val="none"/>
        </w:rPr>
        <w:t>政采云电子卖场首页右上角—帮助文档—入驻与配置—CA管理</w:t>
      </w:r>
      <w:r>
        <w:rPr>
          <w:rStyle w:val="49"/>
          <w:rFonts w:hint="eastAsia"/>
          <w:color w:val="auto"/>
          <w:highlight w:val="none"/>
        </w:rPr>
        <w:fldChar w:fldCharType="end"/>
      </w:r>
      <w:r>
        <w:rPr>
          <w:rFonts w:hint="eastAsia"/>
          <w:color w:val="auto"/>
          <w:highlight w:val="none"/>
        </w:rPr>
        <w:t>；CA证书申领路径：</w:t>
      </w:r>
      <w:r>
        <w:rPr>
          <w:color w:val="auto"/>
          <w:highlight w:val="none"/>
        </w:rPr>
        <w:fldChar w:fldCharType="begin"/>
      </w:r>
      <w:r>
        <w:rPr>
          <w:color w:val="auto"/>
          <w:highlight w:val="none"/>
        </w:rPr>
        <w:instrText xml:space="preserve"> HYPERLINK "https://helpcenter.zcygov.cn/document/" \l "/document/detail?siteCode=beijing&amp;manualId=795&amp;topicId=4083" </w:instrText>
      </w:r>
      <w:r>
        <w:rPr>
          <w:color w:val="auto"/>
          <w:highlight w:val="none"/>
        </w:rPr>
        <w:fldChar w:fldCharType="separate"/>
      </w:r>
      <w:r>
        <w:rPr>
          <w:rStyle w:val="49"/>
          <w:rFonts w:hint="eastAsia"/>
          <w:color w:val="auto"/>
          <w:highlight w:val="none"/>
        </w:rPr>
        <w:t>政采云平台—我的工作台右上角—CA管理—CA证书申领</w:t>
      </w:r>
      <w:r>
        <w:rPr>
          <w:rStyle w:val="49"/>
          <w:rFonts w:hint="eastAsia"/>
          <w:color w:val="auto"/>
          <w:highlight w:val="none"/>
        </w:rPr>
        <w:fldChar w:fldCharType="end"/>
      </w:r>
      <w:r>
        <w:rPr>
          <w:rFonts w:hint="eastAsia"/>
          <w:color w:val="auto"/>
          <w:highlight w:val="none"/>
        </w:rPr>
        <w:t>)</w:t>
      </w:r>
      <w:bookmarkEnd w:id="35"/>
      <w:r>
        <w:rPr>
          <w:rFonts w:hint="eastAsia"/>
          <w:color w:val="auto"/>
          <w:highlight w:val="none"/>
        </w:rPr>
        <w:t>。因未注册入库、未办理CA数字证书、CA证书故障、操作不当等原因造成谈判失败等后果由供应商承担。</w:t>
      </w:r>
    </w:p>
    <w:p>
      <w:pPr>
        <w:spacing w:line="400" w:lineRule="exact"/>
        <w:ind w:firstLine="420"/>
        <w:rPr>
          <w:color w:val="auto"/>
          <w:highlight w:val="none"/>
        </w:rPr>
      </w:pPr>
      <w:r>
        <w:rPr>
          <w:color w:val="auto"/>
          <w:highlight w:val="none"/>
        </w:rPr>
        <w:t>(1)</w:t>
      </w:r>
      <w:r>
        <w:rPr>
          <w:rFonts w:hint="eastAsia"/>
          <w:color w:val="auto"/>
          <w:highlight w:val="none"/>
        </w:rPr>
        <w:t>依法获取采购文件：供应商须在获取采购文件时间内登录</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Style w:val="49"/>
          <w:rFonts w:hint="eastAsia"/>
          <w:color w:val="auto"/>
          <w:highlight w:val="none"/>
        </w:rPr>
        <w:t>政府采购云平台</w:t>
      </w:r>
      <w:r>
        <w:rPr>
          <w:rStyle w:val="49"/>
          <w:rFonts w:hint="eastAsia"/>
          <w:color w:val="auto"/>
          <w:highlight w:val="none"/>
        </w:rPr>
        <w:fldChar w:fldCharType="end"/>
      </w:r>
      <w:r>
        <w:rPr>
          <w:rFonts w:hint="eastAsia"/>
          <w:color w:val="auto"/>
          <w:highlight w:val="none"/>
        </w:rPr>
        <w:t>申请下载采购文件才视作依法获取采购文件。</w:t>
      </w:r>
    </w:p>
    <w:p>
      <w:pPr>
        <w:spacing w:line="400" w:lineRule="exact"/>
        <w:ind w:firstLine="420"/>
        <w:rPr>
          <w:b/>
          <w:color w:val="auto"/>
          <w:highlight w:val="none"/>
        </w:rPr>
      </w:pPr>
      <w:r>
        <w:rPr>
          <w:rFonts w:hint="eastAsia"/>
          <w:color w:val="auto"/>
          <w:highlight w:val="none"/>
        </w:rPr>
        <w:t>(</w:t>
      </w:r>
      <w:r>
        <w:rPr>
          <w:color w:val="auto"/>
          <w:highlight w:val="none"/>
        </w:rPr>
        <w:t>2)</w:t>
      </w:r>
      <w:r>
        <w:rPr>
          <w:rFonts w:hint="eastAsia"/>
          <w:color w:val="auto"/>
          <w:highlight w:val="none"/>
        </w:rPr>
        <w:t>供应商应通过广西政府采购云平台客户端制作响应文件，供应商自行前往下载安装（</w:t>
      </w:r>
      <w:r>
        <w:rPr>
          <w:color w:val="auto"/>
          <w:highlight w:val="none"/>
        </w:rPr>
        <w:fldChar w:fldCharType="begin"/>
      </w:r>
      <w:r>
        <w:rPr>
          <w:color w:val="auto"/>
          <w:highlight w:val="none"/>
        </w:rPr>
        <w:instrText xml:space="preserve"> HYPERLINK "https://sitecdn.zcycdn.com/zcy-client/bidding-client-new/official/guangxi/GuangXiSetup.exe" </w:instrText>
      </w:r>
      <w:r>
        <w:rPr>
          <w:color w:val="auto"/>
          <w:highlight w:val="none"/>
        </w:rPr>
        <w:fldChar w:fldCharType="separate"/>
      </w:r>
      <w:r>
        <w:rPr>
          <w:rFonts w:hint="eastAsia"/>
          <w:color w:val="auto"/>
          <w:highlight w:val="none"/>
        </w:rPr>
        <w:t>客户端下载</w:t>
      </w:r>
      <w:r>
        <w:rPr>
          <w:rFonts w:hint="eastAsia"/>
          <w:color w:val="auto"/>
          <w:highlight w:val="none"/>
        </w:rPr>
        <w:fldChar w:fldCharType="end"/>
      </w:r>
      <w:r>
        <w:rPr>
          <w:rFonts w:hint="eastAsia"/>
          <w:color w:val="auto"/>
          <w:highlight w:val="none"/>
        </w:rPr>
        <w:t>）。</w:t>
      </w:r>
    </w:p>
    <w:p>
      <w:pPr>
        <w:spacing w:line="400" w:lineRule="exact"/>
        <w:ind w:firstLine="420"/>
        <w:rPr>
          <w:color w:val="auto"/>
          <w:highlight w:val="none"/>
        </w:rPr>
      </w:pPr>
      <w:r>
        <w:rPr>
          <w:rFonts w:hint="eastAsia"/>
          <w:color w:val="auto"/>
          <w:highlight w:val="none"/>
        </w:rPr>
        <w:t>(</w:t>
      </w:r>
      <w:r>
        <w:rPr>
          <w:color w:val="auto"/>
          <w:highlight w:val="none"/>
        </w:rPr>
        <w:t>3)</w:t>
      </w:r>
      <w:r>
        <w:rPr>
          <w:rFonts w:hint="eastAsia"/>
          <w:color w:val="auto"/>
          <w:highlight w:val="none"/>
        </w:rPr>
        <w:t>供应商须按照采购文件和政府采购云平台的要求进行编制、上传、加密、提交、解密响应文件，响应文件提交截止时间后，政府采购云平台自动提取全部响应文件，各供应商须在提交截止时间后30分钟内对已上传政府采购云平台的响应文件进行解密，参与本项目的全部供应商在规定的解密时限内解密完成或解密时限结束后，我中心开启响应文件；供应商在解密时限内未完成解密的，政府采购云平台默认为供应商放弃参与本项目。</w:t>
      </w:r>
    </w:p>
    <w:p>
      <w:pPr>
        <w:spacing w:line="400" w:lineRule="exact"/>
        <w:ind w:firstLine="420"/>
        <w:rPr>
          <w:b/>
          <w:color w:val="auto"/>
          <w:highlight w:val="none"/>
        </w:rPr>
      </w:pPr>
      <w:r>
        <w:rPr>
          <w:rFonts w:hint="eastAsia"/>
          <w:color w:val="auto"/>
          <w:highlight w:val="none"/>
        </w:rPr>
        <w:t>(</w:t>
      </w:r>
      <w:r>
        <w:rPr>
          <w:color w:val="auto"/>
          <w:highlight w:val="none"/>
        </w:rPr>
        <w:t>4)</w:t>
      </w:r>
      <w:r>
        <w:rPr>
          <w:rFonts w:hint="eastAsia"/>
          <w:color w:val="auto"/>
          <w:highlight w:val="none"/>
        </w:rPr>
        <w:t>供应商法定代表人</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负责人</w:t>
      </w:r>
      <w:r>
        <w:rPr>
          <w:rFonts w:hint="eastAsia" w:ascii="宋体" w:hAnsi="宋体"/>
          <w:color w:val="auto"/>
          <w:szCs w:val="21"/>
          <w:highlight w:val="none"/>
          <w:lang w:eastAsia="zh-CN"/>
        </w:rPr>
        <w:t>）</w:t>
      </w:r>
      <w:r>
        <w:rPr>
          <w:rFonts w:hint="eastAsia"/>
          <w:color w:val="auto"/>
          <w:highlight w:val="none"/>
        </w:rPr>
        <w:t>或委托代理人须按时登录</w:t>
      </w:r>
      <w:bookmarkStart w:id="36" w:name="_Hlk90367388"/>
      <w:r>
        <w:rPr>
          <w:rFonts w:hint="eastAsia" w:ascii="宋体" w:hAnsi="宋体" w:cs="Courier New"/>
          <w:color w:val="auto"/>
          <w:szCs w:val="21"/>
          <w:highlight w:val="none"/>
        </w:rPr>
        <w:t>政采云远程开标大厅</w:t>
      </w:r>
      <w:bookmarkEnd w:id="36"/>
      <w:r>
        <w:rPr>
          <w:rFonts w:hint="eastAsia"/>
          <w:color w:val="auto"/>
          <w:highlight w:val="none"/>
        </w:rPr>
        <w:t>，保持全程在线并关注评审磋商进度，评审期间磋商小组提出澄清等要求时，供应商须在规定时间内进行应答，否则按采购文件或政采云平台的相关规定执行。</w:t>
      </w:r>
    </w:p>
    <w:p>
      <w:pPr>
        <w:spacing w:line="400" w:lineRule="exact"/>
        <w:ind w:firstLine="420"/>
        <w:rPr>
          <w:rFonts w:hAnsi="宋体"/>
          <w:color w:val="auto"/>
          <w:highlight w:val="none"/>
        </w:rPr>
      </w:pPr>
      <w:r>
        <w:rPr>
          <w:rFonts w:hint="eastAsia"/>
          <w:color w:val="auto"/>
          <w:highlight w:val="none"/>
        </w:rPr>
        <w:t>(</w:t>
      </w:r>
      <w:r>
        <w:rPr>
          <w:color w:val="auto"/>
          <w:highlight w:val="none"/>
        </w:rPr>
        <w:t>5)</w:t>
      </w:r>
      <w:r>
        <w:rPr>
          <w:rFonts w:hint="eastAsia"/>
          <w:color w:val="auto"/>
          <w:highlight w:val="none"/>
        </w:rPr>
        <w:t>供应商参与磋商过程中涉及政府采购云平台的问题，请咨询政采云</w:t>
      </w:r>
      <w:r>
        <w:rPr>
          <w:rFonts w:hint="eastAsia" w:hAnsi="宋体"/>
          <w:color w:val="auto"/>
          <w:highlight w:val="none"/>
        </w:rPr>
        <w:t>技术支持热线：</w:t>
      </w:r>
      <w:r>
        <w:rPr>
          <w:rFonts w:hAnsi="宋体"/>
          <w:color w:val="auto"/>
          <w:highlight w:val="none"/>
        </w:rPr>
        <w:t>95763</w:t>
      </w:r>
      <w:r>
        <w:rPr>
          <w:rFonts w:hint="eastAsia" w:hAnsi="宋体"/>
          <w:color w:val="auto"/>
          <w:highlight w:val="none"/>
        </w:rPr>
        <w:t>。</w:t>
      </w:r>
    </w:p>
    <w:p>
      <w:pPr>
        <w:spacing w:line="400" w:lineRule="exact"/>
        <w:ind w:firstLine="420"/>
        <w:jc w:val="left"/>
        <w:rPr>
          <w:rFonts w:hAnsi="宋体"/>
          <w:color w:val="auto"/>
          <w:highlight w:val="none"/>
        </w:rPr>
      </w:pPr>
      <w:r>
        <w:rPr>
          <w:rFonts w:hint="eastAsia" w:hAnsi="宋体"/>
          <w:color w:val="auto"/>
          <w:highlight w:val="none"/>
          <w:lang w:val="en-US" w:eastAsia="zh-CN"/>
        </w:rPr>
        <w:t>5</w:t>
      </w:r>
      <w:r>
        <w:rPr>
          <w:rFonts w:hAnsi="宋体"/>
          <w:color w:val="auto"/>
          <w:highlight w:val="none"/>
        </w:rPr>
        <w:t>.</w:t>
      </w:r>
      <w:r>
        <w:rPr>
          <w:rFonts w:hint="eastAsia" w:hAnsi="宋体"/>
          <w:color w:val="auto"/>
          <w:highlight w:val="none"/>
        </w:rPr>
        <w:t>查询媒体：中国政府采购网、</w:t>
      </w:r>
      <w:r>
        <w:rPr>
          <w:color w:val="auto"/>
          <w:highlight w:val="none"/>
        </w:rPr>
        <w:fldChar w:fldCharType="begin"/>
      </w:r>
      <w:r>
        <w:rPr>
          <w:color w:val="auto"/>
          <w:highlight w:val="none"/>
        </w:rPr>
        <w:instrText xml:space="preserve"> HYPERLINK "http://zfcg.gxzf.gov.cn/" </w:instrText>
      </w:r>
      <w:r>
        <w:rPr>
          <w:color w:val="auto"/>
          <w:highlight w:val="none"/>
        </w:rPr>
        <w:fldChar w:fldCharType="separate"/>
      </w:r>
      <w:r>
        <w:rPr>
          <w:rStyle w:val="49"/>
          <w:rFonts w:hint="eastAsia" w:hAnsi="宋体"/>
          <w:color w:val="auto"/>
          <w:highlight w:val="none"/>
          <w:u w:val="none"/>
        </w:rPr>
        <w:t>广西政府采购网</w:t>
      </w:r>
      <w:r>
        <w:rPr>
          <w:rStyle w:val="49"/>
          <w:rFonts w:hint="eastAsia" w:hAnsi="宋体"/>
          <w:color w:val="auto"/>
          <w:highlight w:val="none"/>
          <w:u w:val="none"/>
        </w:rPr>
        <w:fldChar w:fldCharType="end"/>
      </w:r>
      <w:r>
        <w:rPr>
          <w:rFonts w:hint="eastAsia" w:hAnsi="宋体"/>
          <w:color w:val="auto"/>
          <w:highlight w:val="none"/>
        </w:rPr>
        <w:t>。</w:t>
      </w:r>
    </w:p>
    <w:p>
      <w:pPr>
        <w:spacing w:line="400" w:lineRule="exact"/>
        <w:ind w:firstLine="420"/>
        <w:jc w:val="left"/>
        <w:rPr>
          <w:rFonts w:hAnsi="宋体"/>
          <w:color w:val="auto"/>
          <w:highlight w:val="none"/>
        </w:rPr>
      </w:pPr>
      <w:bookmarkStart w:id="37" w:name="_Hlk107409555"/>
      <w:bookmarkStart w:id="38" w:name="_Hlk108515619"/>
      <w:r>
        <w:rPr>
          <w:rFonts w:hint="eastAsia" w:hAnsi="宋体"/>
          <w:color w:val="auto"/>
          <w:highlight w:val="none"/>
          <w:lang w:val="en-US" w:eastAsia="zh-CN"/>
        </w:rPr>
        <w:t>6</w:t>
      </w:r>
      <w:r>
        <w:rPr>
          <w:rFonts w:hAnsi="宋体"/>
          <w:color w:val="auto"/>
          <w:highlight w:val="none"/>
        </w:rPr>
        <w:t>.</w:t>
      </w:r>
      <w:r>
        <w:rPr>
          <w:rFonts w:hint="eastAsia" w:hAnsi="宋体"/>
          <w:color w:val="auto"/>
          <w:highlight w:val="none"/>
        </w:rPr>
        <w:t>钦州市政府采购中心联系方式：</w:t>
      </w:r>
    </w:p>
    <w:p>
      <w:pPr>
        <w:spacing w:line="400" w:lineRule="exact"/>
        <w:ind w:firstLine="420"/>
        <w:jc w:val="left"/>
        <w:rPr>
          <w:rFonts w:hAnsi="宋体"/>
          <w:color w:val="auto"/>
          <w:highlight w:val="none"/>
        </w:rPr>
      </w:pPr>
      <w:r>
        <w:rPr>
          <w:rFonts w:hAnsi="宋体"/>
          <w:color w:val="auto"/>
          <w:highlight w:val="none"/>
        </w:rPr>
        <w:t>(1)</w:t>
      </w:r>
      <w:r>
        <w:rPr>
          <w:rFonts w:hint="eastAsia" w:hAnsi="宋体"/>
          <w:color w:val="auto"/>
          <w:highlight w:val="none"/>
        </w:rPr>
        <w:t>采购部(采购文件</w:t>
      </w:r>
      <w:r>
        <w:rPr>
          <w:rFonts w:hAnsi="宋体"/>
          <w:color w:val="auto"/>
          <w:highlight w:val="none"/>
        </w:rPr>
        <w:t>)</w:t>
      </w:r>
    </w:p>
    <w:p>
      <w:pPr>
        <w:spacing w:line="400" w:lineRule="exact"/>
        <w:ind w:firstLine="420"/>
        <w:jc w:val="left"/>
        <w:rPr>
          <w:rFonts w:hAnsi="宋体"/>
          <w:color w:val="auto"/>
          <w:highlight w:val="none"/>
        </w:rPr>
      </w:pPr>
      <w:r>
        <w:rPr>
          <w:rFonts w:hint="eastAsia" w:hAnsi="宋体"/>
          <w:color w:val="auto"/>
          <w:highlight w:val="none"/>
        </w:rPr>
        <w:t>联系人：苏晓婷  联系方式：0777-2886022</w:t>
      </w:r>
    </w:p>
    <w:p>
      <w:pPr>
        <w:spacing w:line="400" w:lineRule="exact"/>
        <w:ind w:firstLine="420"/>
        <w:jc w:val="left"/>
        <w:rPr>
          <w:rFonts w:hAnsi="宋体"/>
          <w:color w:val="auto"/>
          <w:highlight w:val="none"/>
        </w:rPr>
      </w:pPr>
      <w:r>
        <w:rPr>
          <w:rFonts w:hint="eastAsia" w:hAnsi="宋体"/>
          <w:color w:val="auto"/>
          <w:highlight w:val="none"/>
        </w:rPr>
        <w:t>(</w:t>
      </w:r>
      <w:r>
        <w:rPr>
          <w:rFonts w:hAnsi="宋体"/>
          <w:color w:val="auto"/>
          <w:highlight w:val="none"/>
        </w:rPr>
        <w:t>2)</w:t>
      </w:r>
      <w:r>
        <w:rPr>
          <w:rFonts w:hint="eastAsia" w:hAnsi="宋体"/>
          <w:color w:val="auto"/>
          <w:highlight w:val="none"/>
        </w:rPr>
        <w:t>综合二部(评审、磋商、成交及合同管理)</w:t>
      </w:r>
    </w:p>
    <w:p>
      <w:pPr>
        <w:spacing w:line="400" w:lineRule="exact"/>
        <w:ind w:firstLine="420"/>
        <w:jc w:val="left"/>
        <w:rPr>
          <w:rFonts w:hAnsi="宋体"/>
          <w:color w:val="auto"/>
          <w:highlight w:val="none"/>
        </w:rPr>
      </w:pPr>
      <w:r>
        <w:rPr>
          <w:rFonts w:hint="eastAsia" w:hAnsi="宋体"/>
          <w:color w:val="auto"/>
          <w:highlight w:val="none"/>
        </w:rPr>
        <w:t>联系人：陈侃、陈启梅 联系方式：0777-2886006</w:t>
      </w:r>
      <w:bookmarkEnd w:id="37"/>
    </w:p>
    <w:bookmarkEnd w:id="38"/>
    <w:p>
      <w:pPr>
        <w:spacing w:line="400" w:lineRule="exact"/>
        <w:rPr>
          <w:b/>
          <w:color w:val="auto"/>
          <w:highlight w:val="none"/>
        </w:rPr>
      </w:pPr>
      <w:r>
        <w:rPr>
          <w:rFonts w:hint="eastAsia"/>
          <w:b/>
          <w:color w:val="auto"/>
          <w:highlight w:val="none"/>
        </w:rPr>
        <w:t>八、对本次采购项目提出询问，请按</w:t>
      </w:r>
      <w:r>
        <w:rPr>
          <w:b/>
          <w:color w:val="auto"/>
          <w:highlight w:val="none"/>
        </w:rPr>
        <w:t>以下方式</w:t>
      </w:r>
      <w:r>
        <w:rPr>
          <w:rFonts w:hint="eastAsia"/>
          <w:b/>
          <w:color w:val="auto"/>
          <w:highlight w:val="none"/>
        </w:rPr>
        <w:t>联系</w:t>
      </w:r>
      <w:bookmarkEnd w:id="30"/>
      <w:bookmarkEnd w:id="31"/>
      <w:bookmarkEnd w:id="32"/>
      <w:bookmarkEnd w:id="33"/>
    </w:p>
    <w:p>
      <w:pPr>
        <w:spacing w:line="400" w:lineRule="exact"/>
        <w:ind w:firstLine="420" w:firstLineChars="200"/>
        <w:rPr>
          <w:color w:val="auto"/>
          <w:highlight w:val="none"/>
        </w:rPr>
      </w:pPr>
      <w:r>
        <w:rPr>
          <w:rFonts w:hint="eastAsia"/>
          <w:color w:val="auto"/>
          <w:highlight w:val="none"/>
        </w:rPr>
        <w:t>1.采购人信息</w:t>
      </w:r>
      <w:bookmarkEnd w:id="9"/>
    </w:p>
    <w:p>
      <w:pPr>
        <w:spacing w:line="400" w:lineRule="exact"/>
        <w:ind w:firstLine="420" w:firstLineChars="200"/>
        <w:rPr>
          <w:rFonts w:hint="eastAsia"/>
          <w:color w:val="auto"/>
          <w:highlight w:val="none"/>
        </w:rPr>
      </w:pPr>
      <w:r>
        <w:rPr>
          <w:rFonts w:hint="eastAsia"/>
          <w:color w:val="auto"/>
          <w:highlight w:val="none"/>
        </w:rPr>
        <w:t>名</w:t>
      </w:r>
      <w:r>
        <w:rPr>
          <w:rFonts w:hint="eastAsia" w:ascii="Times New Roman" w:hAnsi="Times New Roman" w:cs="Times New Roman"/>
          <w:color w:val="auto"/>
          <w:highlight w:val="none"/>
        </w:rPr>
        <w:t>称</w:t>
      </w:r>
      <w:r>
        <w:rPr>
          <w:rFonts w:hint="eastAsia"/>
          <w:color w:val="auto"/>
          <w:highlight w:val="none"/>
        </w:rPr>
        <w:t>：钦州市大数据发展局</w:t>
      </w:r>
    </w:p>
    <w:p>
      <w:pPr>
        <w:spacing w:line="400" w:lineRule="exact"/>
        <w:ind w:firstLine="420" w:firstLineChars="200"/>
        <w:rPr>
          <w:rFonts w:hint="eastAsia"/>
          <w:color w:val="auto"/>
          <w:highlight w:val="none"/>
        </w:rPr>
      </w:pPr>
      <w:bookmarkStart w:id="39" w:name="_Toc38370147"/>
      <w:r>
        <w:rPr>
          <w:rFonts w:hint="eastAsia"/>
          <w:color w:val="auto"/>
          <w:highlight w:val="none"/>
        </w:rPr>
        <w:t>地址：钦州市坭兴街666号 </w:t>
      </w:r>
    </w:p>
    <w:p>
      <w:pPr>
        <w:spacing w:line="400" w:lineRule="exact"/>
        <w:ind w:firstLine="420" w:firstLineChars="200"/>
        <w:rPr>
          <w:rFonts w:hint="default"/>
          <w:color w:val="auto"/>
          <w:highlight w:val="none"/>
          <w:lang w:val="en-US" w:eastAsia="zh-CN"/>
        </w:rPr>
      </w:pPr>
      <w:r>
        <w:rPr>
          <w:rFonts w:hint="eastAsia"/>
          <w:color w:val="auto"/>
          <w:highlight w:val="none"/>
        </w:rPr>
        <w:t>项目联系人：陈伟良</w:t>
      </w:r>
    </w:p>
    <w:p>
      <w:pPr>
        <w:spacing w:line="400" w:lineRule="exact"/>
        <w:ind w:firstLine="420" w:firstLineChars="200"/>
        <w:rPr>
          <w:rFonts w:hint="default"/>
          <w:color w:val="auto"/>
          <w:highlight w:val="none"/>
          <w:lang w:val="en-US" w:eastAsia="zh-CN"/>
        </w:rPr>
      </w:pPr>
      <w:r>
        <w:rPr>
          <w:rFonts w:hint="eastAsia"/>
          <w:color w:val="auto"/>
          <w:highlight w:val="none"/>
        </w:rPr>
        <w:t>项目联系方式：0777-3689080</w:t>
      </w:r>
    </w:p>
    <w:p>
      <w:pPr>
        <w:spacing w:line="400" w:lineRule="exact"/>
        <w:ind w:firstLine="420" w:firstLineChars="200"/>
        <w:rPr>
          <w:color w:val="auto"/>
          <w:highlight w:val="none"/>
        </w:rPr>
      </w:pPr>
    </w:p>
    <w:bookmarkEnd w:id="39"/>
    <w:p>
      <w:pPr>
        <w:spacing w:line="400" w:lineRule="exact"/>
        <w:ind w:firstLine="420" w:firstLineChars="200"/>
        <w:rPr>
          <w:color w:val="auto"/>
          <w:highlight w:val="none"/>
        </w:rPr>
      </w:pPr>
      <w:r>
        <w:rPr>
          <w:rFonts w:hint="eastAsia"/>
          <w:color w:val="auto"/>
          <w:highlight w:val="none"/>
        </w:rPr>
        <w:t>2.采购代理机构信息</w:t>
      </w:r>
    </w:p>
    <w:p>
      <w:pPr>
        <w:spacing w:line="400" w:lineRule="exact"/>
        <w:ind w:firstLine="420" w:firstLineChars="200"/>
        <w:rPr>
          <w:color w:val="auto"/>
          <w:highlight w:val="none"/>
        </w:rPr>
      </w:pPr>
      <w:r>
        <w:rPr>
          <w:rFonts w:hint="eastAsia"/>
          <w:color w:val="auto"/>
          <w:highlight w:val="none"/>
        </w:rPr>
        <w:t>名称：钦州市政府采购中心</w:t>
      </w:r>
    </w:p>
    <w:p>
      <w:pPr>
        <w:spacing w:line="400" w:lineRule="exact"/>
        <w:ind w:firstLine="420" w:firstLineChars="200"/>
        <w:rPr>
          <w:color w:val="auto"/>
          <w:highlight w:val="none"/>
        </w:rPr>
      </w:pPr>
      <w:r>
        <w:rPr>
          <w:rFonts w:hint="eastAsia"/>
          <w:color w:val="auto"/>
          <w:highlight w:val="none"/>
        </w:rPr>
        <w:t>地址：钦州市金海湾东大街8号</w:t>
      </w:r>
    </w:p>
    <w:p>
      <w:pPr>
        <w:spacing w:line="400" w:lineRule="exact"/>
        <w:ind w:firstLine="420" w:firstLineChars="200"/>
        <w:rPr>
          <w:color w:val="auto"/>
          <w:highlight w:val="none"/>
        </w:rPr>
      </w:pPr>
      <w:r>
        <w:rPr>
          <w:rFonts w:hint="eastAsia"/>
          <w:color w:val="auto"/>
          <w:highlight w:val="none"/>
        </w:rPr>
        <w:t>项目联系人：苏晓婷</w:t>
      </w:r>
    </w:p>
    <w:p>
      <w:pPr>
        <w:spacing w:line="400" w:lineRule="exact"/>
        <w:ind w:firstLine="420" w:firstLineChars="200"/>
        <w:rPr>
          <w:color w:val="auto"/>
          <w:highlight w:val="none"/>
        </w:rPr>
      </w:pPr>
      <w:r>
        <w:rPr>
          <w:rFonts w:hint="eastAsia"/>
          <w:color w:val="auto"/>
          <w:highlight w:val="none"/>
        </w:rPr>
        <w:t>项目联系方式：</w:t>
      </w:r>
      <w:bookmarkStart w:id="40" w:name="_Toc28359010"/>
      <w:bookmarkStart w:id="41" w:name="_Toc28359087"/>
      <w:r>
        <w:rPr>
          <w:rFonts w:hint="eastAsia"/>
          <w:color w:val="auto"/>
          <w:highlight w:val="none"/>
        </w:rPr>
        <w:t>0777-2886022</w:t>
      </w:r>
    </w:p>
    <w:p>
      <w:pPr>
        <w:widowControl/>
        <w:jc w:val="left"/>
        <w:rPr>
          <w:color w:val="auto"/>
          <w:highlight w:val="none"/>
        </w:rPr>
      </w:pPr>
      <w:r>
        <w:rPr>
          <w:color w:val="auto"/>
          <w:highlight w:val="none"/>
        </w:rPr>
        <w:br w:type="page"/>
      </w:r>
    </w:p>
    <w:p>
      <w:pPr>
        <w:rPr>
          <w:color w:val="auto"/>
          <w:highlight w:val="none"/>
        </w:rPr>
      </w:pPr>
    </w:p>
    <w:bookmarkEnd w:id="40"/>
    <w:bookmarkEnd w:id="41"/>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3"/>
        <w:spacing w:line="400" w:lineRule="exact"/>
        <w:rPr>
          <w:rFonts w:hint="eastAsia" w:ascii="方正小标宋_GBK" w:hAnsi="宋体" w:eastAsia="方正小标宋_GBK"/>
          <w:color w:val="auto"/>
          <w:highlight w:val="none"/>
        </w:rPr>
      </w:pPr>
      <w:bookmarkStart w:id="42" w:name="_Toc92355024"/>
      <w:r>
        <w:rPr>
          <w:rFonts w:hint="eastAsia" w:ascii="方正小标宋_GBK" w:hAnsi="宋体" w:eastAsia="方正小标宋_GBK"/>
          <w:color w:val="auto"/>
          <w:highlight w:val="none"/>
        </w:rPr>
        <w:t>第二章  项目需求</w:t>
      </w:r>
      <w:bookmarkEnd w:id="42"/>
    </w:p>
    <w:p>
      <w:pPr>
        <w:rPr>
          <w:color w:val="auto"/>
          <w:highlight w:val="none"/>
        </w:rPr>
      </w:pPr>
    </w:p>
    <w:p>
      <w:pPr>
        <w:widowControl/>
        <w:spacing w:line="460" w:lineRule="exact"/>
        <w:jc w:val="left"/>
        <w:rPr>
          <w:rFonts w:hint="eastAsia" w:ascii="宋体" w:hAnsi="宋体"/>
          <w:b/>
          <w:color w:val="auto"/>
          <w:sz w:val="36"/>
          <w:szCs w:val="36"/>
          <w:highlight w:val="none"/>
        </w:rPr>
      </w:pPr>
      <w:bookmarkStart w:id="43" w:name="_Toc17312"/>
      <w:bookmarkStart w:id="44" w:name="_Toc5112"/>
      <w:bookmarkStart w:id="45" w:name="_Toc2486"/>
      <w:bookmarkStart w:id="46" w:name="_Toc354479499"/>
      <w:bookmarkStart w:id="47" w:name="_Toc358477281"/>
      <w:bookmarkStart w:id="48" w:name="_Toc350325671"/>
      <w:bookmarkStart w:id="49" w:name="_Toc357157408"/>
    </w:p>
    <w:p>
      <w:pPr>
        <w:pStyle w:val="35"/>
        <w:ind w:left="0" w:leftChars="0" w:firstLine="0" w:firstLineChars="0"/>
        <w:rPr>
          <w:rFonts w:hint="eastAsia"/>
          <w:color w:val="auto"/>
          <w:highlight w:val="none"/>
        </w:rPr>
        <w:sectPr>
          <w:headerReference r:id="rId7" w:type="default"/>
          <w:footerReference r:id="rId8" w:type="default"/>
          <w:pgSz w:w="11906" w:h="16838"/>
          <w:pgMar w:top="936" w:right="991" w:bottom="1135" w:left="993" w:header="851" w:footer="992" w:gutter="0"/>
          <w:cols w:space="720" w:num="1"/>
          <w:docGrid w:type="lines" w:linePitch="312" w:charSpace="0"/>
        </w:sectPr>
      </w:pPr>
    </w:p>
    <w:bookmarkEnd w:id="43"/>
    <w:bookmarkEnd w:id="44"/>
    <w:bookmarkEnd w:id="45"/>
    <w:p>
      <w:pPr>
        <w:pStyle w:val="161"/>
        <w:rPr>
          <w:rFonts w:hint="default"/>
          <w:color w:val="auto"/>
          <w:highlight w:val="none"/>
          <w:lang w:val="en-US" w:eastAsia="zh-CN"/>
        </w:rPr>
      </w:pPr>
    </w:p>
    <w:p>
      <w:pPr>
        <w:spacing w:line="440" w:lineRule="exact"/>
        <w:jc w:val="center"/>
        <w:rPr>
          <w:rFonts w:hint="eastAsia" w:ascii="宋体" w:hAnsi="宋体"/>
          <w:b/>
          <w:sz w:val="36"/>
          <w:szCs w:val="36"/>
        </w:rPr>
      </w:pPr>
      <w:bookmarkStart w:id="50" w:name="_Toc92355025"/>
      <w:r>
        <w:rPr>
          <w:rFonts w:hint="eastAsia" w:ascii="宋体" w:hAnsi="宋体"/>
          <w:b/>
          <w:sz w:val="36"/>
          <w:szCs w:val="36"/>
        </w:rPr>
        <w:t>项目</w:t>
      </w:r>
      <w:r>
        <w:rPr>
          <w:rFonts w:hint="eastAsia" w:ascii="宋体" w:hAnsi="宋体"/>
          <w:b/>
          <w:sz w:val="36"/>
          <w:szCs w:val="36"/>
          <w:lang w:eastAsia="zh-CN"/>
        </w:rPr>
        <w:t>采购</w:t>
      </w:r>
      <w:r>
        <w:rPr>
          <w:rFonts w:hint="eastAsia" w:ascii="宋体" w:hAnsi="宋体"/>
          <w:b/>
          <w:sz w:val="36"/>
          <w:szCs w:val="36"/>
        </w:rPr>
        <w:t>需求</w:t>
      </w:r>
      <w:bookmarkStart w:id="51" w:name="_Toc358477280"/>
      <w:bookmarkStart w:id="52" w:name="_Toc354479498"/>
    </w:p>
    <w:p>
      <w:pPr>
        <w:pStyle w:val="19"/>
      </w:pPr>
    </w:p>
    <w:p>
      <w:pPr>
        <w:spacing w:line="420" w:lineRule="atLeast"/>
        <w:rPr>
          <w:rFonts w:ascii="宋体" w:hAnsi="宋体"/>
          <w:szCs w:val="21"/>
        </w:rPr>
      </w:pPr>
      <w:r>
        <w:rPr>
          <w:rFonts w:hint="eastAsia" w:ascii="宋体" w:hAnsi="宋体"/>
          <w:szCs w:val="21"/>
          <w:lang w:val="en-US" w:eastAsia="zh-CN"/>
        </w:rPr>
        <w:t>一</w:t>
      </w:r>
      <w:r>
        <w:rPr>
          <w:rFonts w:hint="eastAsia" w:ascii="宋体" w:hAnsi="宋体"/>
          <w:szCs w:val="21"/>
        </w:rPr>
        <w:t>、本项目对应的中小企业划分标准所属行业为</w:t>
      </w:r>
      <w:r>
        <w:rPr>
          <w:rFonts w:hint="eastAsia" w:ascii="宋体" w:hAnsi="宋体"/>
          <w:szCs w:val="21"/>
          <w:lang w:eastAsia="zh-CN"/>
        </w:rPr>
        <w:t>：</w:t>
      </w:r>
      <w:r>
        <w:rPr>
          <w:rFonts w:hint="eastAsia" w:ascii="宋体" w:hAnsi="宋体"/>
          <w:szCs w:val="21"/>
          <w:u w:val="single"/>
        </w:rPr>
        <w:t>信息传输业</w:t>
      </w:r>
    </w:p>
    <w:p>
      <w:pPr>
        <w:spacing w:line="420" w:lineRule="atLeast"/>
        <w:rPr>
          <w:rFonts w:hint="eastAsia" w:ascii="宋体" w:hAnsi="宋体" w:cs="宋体"/>
          <w:kern w:val="0"/>
          <w:szCs w:val="21"/>
          <w:u w:val="single"/>
        </w:rPr>
      </w:pPr>
      <w:r>
        <w:rPr>
          <w:rFonts w:hint="eastAsia" w:ascii="宋体" w:hAnsi="宋体"/>
          <w:szCs w:val="21"/>
          <w:lang w:val="en-US" w:eastAsia="zh-CN"/>
        </w:rPr>
        <w:t>二</w:t>
      </w:r>
      <w:r>
        <w:rPr>
          <w:rFonts w:hint="eastAsia" w:ascii="宋体" w:hAnsi="宋体"/>
          <w:szCs w:val="21"/>
        </w:rPr>
        <w:t>、磋商文件中可能实质性变动的内容：</w:t>
      </w:r>
      <w:r>
        <w:rPr>
          <w:rFonts w:hint="eastAsia" w:ascii="宋体" w:hAnsi="宋体" w:cs="宋体"/>
          <w:kern w:val="0"/>
          <w:szCs w:val="21"/>
          <w:u w:val="single"/>
        </w:rPr>
        <w:t>采购需求的技术、服务要求以及合同草案条款</w:t>
      </w:r>
    </w:p>
    <w:p>
      <w:pPr>
        <w:spacing w:line="420" w:lineRule="atLeast"/>
        <w:rPr>
          <w:rFonts w:hint="eastAsia" w:ascii="宋体" w:hAnsi="宋体" w:cs="宋体"/>
          <w:kern w:val="0"/>
          <w:szCs w:val="21"/>
          <w:u w:val="single"/>
        </w:rPr>
      </w:pPr>
      <w:r>
        <w:rPr>
          <w:rFonts w:hint="eastAsia" w:ascii="宋体" w:hAnsi="宋体" w:eastAsia="宋体" w:cs="Times New Roman"/>
          <w:szCs w:val="21"/>
          <w:lang w:val="en-US" w:eastAsia="zh-CN"/>
        </w:rPr>
        <w:t>三、</w:t>
      </w:r>
      <w:r>
        <w:rPr>
          <w:rFonts w:hint="eastAsia" w:ascii="宋体" w:hAnsi="宋体" w:eastAsia="宋体" w:cs="Times New Roman"/>
          <w:szCs w:val="21"/>
        </w:rPr>
        <w:t>采购需求中如标注“★”号或“必须”的条款为实质性条款，</w:t>
      </w:r>
      <w:r>
        <w:rPr>
          <w:rFonts w:hint="eastAsia" w:ascii="宋体" w:hAnsi="宋体" w:eastAsia="宋体" w:cs="Times New Roman"/>
          <w:szCs w:val="21"/>
          <w:lang w:val="en-US" w:eastAsia="zh-CN"/>
        </w:rPr>
        <w:t>投标</w:t>
      </w:r>
      <w:r>
        <w:rPr>
          <w:rFonts w:hint="eastAsia" w:ascii="宋体" w:hAnsi="宋体" w:eastAsia="宋体" w:cs="Times New Roman"/>
          <w:szCs w:val="21"/>
        </w:rPr>
        <w:t>人必须满足或优于，否则</w:t>
      </w:r>
      <w:r>
        <w:rPr>
          <w:rFonts w:hint="eastAsia" w:ascii="宋体" w:hAnsi="宋体" w:eastAsia="宋体" w:cs="Times New Roman"/>
          <w:szCs w:val="21"/>
          <w:lang w:val="en-US" w:eastAsia="zh-CN"/>
        </w:rPr>
        <w:t>投</w:t>
      </w:r>
      <w:r>
        <w:rPr>
          <w:rFonts w:hint="eastAsia" w:ascii="宋体" w:hAnsi="宋体" w:cs="Times New Roman"/>
          <w:szCs w:val="21"/>
          <w:lang w:val="en-US" w:eastAsia="zh-CN"/>
        </w:rPr>
        <w:t>标</w:t>
      </w:r>
      <w:bookmarkStart w:id="207" w:name="_GoBack"/>
      <w:bookmarkEnd w:id="207"/>
      <w:r>
        <w:rPr>
          <w:rFonts w:hint="eastAsia" w:ascii="宋体" w:hAnsi="宋体" w:eastAsia="宋体" w:cs="Times New Roman"/>
          <w:szCs w:val="21"/>
        </w:rPr>
        <w:t>无效。</w:t>
      </w:r>
    </w:p>
    <w:p>
      <w:pPr>
        <w:widowControl/>
        <w:spacing w:line="420" w:lineRule="atLeast"/>
        <w:jc w:val="left"/>
        <w:rPr>
          <w:rFonts w:ascii="宋体" w:hAnsi="宋体" w:cs="宋体"/>
          <w:b/>
          <w:bCs/>
          <w:sz w:val="24"/>
        </w:rPr>
      </w:pPr>
      <w:r>
        <w:rPr>
          <w:rFonts w:hint="eastAsia" w:ascii="宋体" w:hAnsi="宋体"/>
          <w:szCs w:val="21"/>
        </w:rPr>
        <w:t>四、项目需求</w:t>
      </w:r>
    </w:p>
    <w:tbl>
      <w:tblPr>
        <w:tblStyle w:val="42"/>
        <w:tblW w:w="8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177"/>
        <w:gridCol w:w="567"/>
        <w:gridCol w:w="567"/>
        <w:gridCol w:w="5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8" w:hRule="atLeast"/>
          <w:jc w:val="center"/>
        </w:trPr>
        <w:tc>
          <w:tcPr>
            <w:tcW w:w="727" w:type="dxa"/>
            <w:noWrap w:val="0"/>
            <w:vAlign w:val="center"/>
          </w:tcPr>
          <w:p>
            <w:pPr>
              <w:jc w:val="center"/>
              <w:rPr>
                <w:rFonts w:ascii="宋体" w:hAnsi="宋体"/>
                <w:b/>
                <w:szCs w:val="21"/>
              </w:rPr>
            </w:pPr>
            <w:r>
              <w:rPr>
                <w:rFonts w:hint="eastAsia" w:ascii="宋体" w:hAnsi="宋体"/>
                <w:b/>
                <w:szCs w:val="21"/>
              </w:rPr>
              <w:t>项号</w:t>
            </w:r>
          </w:p>
        </w:tc>
        <w:tc>
          <w:tcPr>
            <w:tcW w:w="1177" w:type="dxa"/>
            <w:noWrap w:val="0"/>
            <w:vAlign w:val="center"/>
          </w:tcPr>
          <w:p>
            <w:pPr>
              <w:jc w:val="center"/>
              <w:rPr>
                <w:rFonts w:hint="default" w:ascii="宋体" w:hAnsi="宋体" w:eastAsia="宋体"/>
                <w:b/>
                <w:szCs w:val="21"/>
                <w:lang w:val="en-US" w:eastAsia="zh-CN"/>
              </w:rPr>
            </w:pPr>
            <w:r>
              <w:rPr>
                <w:rFonts w:hint="eastAsia" w:ascii="宋体" w:hAnsi="宋体"/>
                <w:b/>
                <w:szCs w:val="21"/>
                <w:lang w:val="en-US" w:eastAsia="zh-CN"/>
              </w:rPr>
              <w:t>标的名称</w:t>
            </w:r>
          </w:p>
        </w:tc>
        <w:tc>
          <w:tcPr>
            <w:tcW w:w="567" w:type="dxa"/>
            <w:noWrap w:val="0"/>
            <w:vAlign w:val="center"/>
          </w:tcPr>
          <w:p>
            <w:pPr>
              <w:jc w:val="center"/>
              <w:rPr>
                <w:rFonts w:ascii="宋体" w:hAnsi="宋体"/>
                <w:b/>
                <w:szCs w:val="21"/>
              </w:rPr>
            </w:pPr>
            <w:r>
              <w:rPr>
                <w:rFonts w:hint="eastAsia" w:ascii="宋体" w:hAnsi="宋体"/>
                <w:b/>
                <w:szCs w:val="21"/>
              </w:rPr>
              <w:t>数量</w:t>
            </w:r>
          </w:p>
        </w:tc>
        <w:tc>
          <w:tcPr>
            <w:tcW w:w="567" w:type="dxa"/>
            <w:noWrap w:val="0"/>
            <w:vAlign w:val="center"/>
          </w:tcPr>
          <w:p>
            <w:pPr>
              <w:jc w:val="center"/>
              <w:rPr>
                <w:rFonts w:ascii="宋体" w:hAnsi="宋体"/>
                <w:b/>
                <w:szCs w:val="21"/>
              </w:rPr>
            </w:pPr>
            <w:r>
              <w:rPr>
                <w:rFonts w:hint="eastAsia" w:ascii="宋体" w:hAnsi="宋体"/>
                <w:b/>
                <w:szCs w:val="21"/>
              </w:rPr>
              <w:t>单位</w:t>
            </w:r>
          </w:p>
        </w:tc>
        <w:tc>
          <w:tcPr>
            <w:tcW w:w="5869" w:type="dxa"/>
            <w:noWrap w:val="0"/>
            <w:vAlign w:val="center"/>
          </w:tcPr>
          <w:p>
            <w:pPr>
              <w:jc w:val="center"/>
              <w:rPr>
                <w:rFonts w:ascii="宋体" w:hAnsi="宋体"/>
                <w:b/>
                <w:szCs w:val="21"/>
              </w:rPr>
            </w:pPr>
            <w:r>
              <w:rPr>
                <w:rFonts w:hint="eastAsia" w:ascii="宋体" w:hAnsi="宋体"/>
                <w:b/>
                <w:szCs w:val="21"/>
              </w:rPr>
              <w:t>功能、技术参数/服务要求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907" w:type="dxa"/>
            <w:gridSpan w:val="5"/>
            <w:noWrap w:val="0"/>
            <w:vAlign w:val="center"/>
          </w:tcPr>
          <w:p>
            <w:pPr>
              <w:jc w:val="center"/>
              <w:rPr>
                <w:rFonts w:hint="eastAsia" w:ascii="宋体" w:hAnsi="宋体"/>
                <w:b/>
                <w:szCs w:val="21"/>
              </w:rPr>
            </w:pPr>
            <w:r>
              <w:rPr>
                <w:rFonts w:hint="eastAsia" w:ascii="宋体" w:hAnsi="宋体"/>
                <w:b/>
                <w:szCs w:val="21"/>
              </w:rPr>
              <w:t>租用服务（具体线路详见</w:t>
            </w:r>
            <w:r>
              <w:rPr>
                <w:rFonts w:hint="eastAsia" w:ascii="宋体" w:hAnsi="宋体"/>
                <w:b/>
                <w:szCs w:val="21"/>
                <w:lang w:eastAsia="zh-CN"/>
              </w:rPr>
              <w:t>采购清单</w:t>
            </w:r>
            <w:r>
              <w:rPr>
                <w:rFonts w:hint="eastAsia" w:ascii="宋体" w:hAnsi="宋体"/>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27" w:type="dxa"/>
            <w:noWrap w:val="0"/>
            <w:vAlign w:val="center"/>
          </w:tcPr>
          <w:p>
            <w:pPr>
              <w:spacing w:line="360" w:lineRule="exact"/>
              <w:rPr>
                <w:rFonts w:ascii="宋体" w:hAnsi="宋体"/>
                <w:szCs w:val="21"/>
              </w:rPr>
            </w:pPr>
            <w:r>
              <w:rPr>
                <w:rFonts w:hint="eastAsia" w:ascii="宋体" w:hAnsi="宋体"/>
                <w:szCs w:val="21"/>
              </w:rPr>
              <w:t>1</w:t>
            </w:r>
          </w:p>
        </w:tc>
        <w:tc>
          <w:tcPr>
            <w:tcW w:w="1177" w:type="dxa"/>
            <w:noWrap w:val="0"/>
            <w:vAlign w:val="center"/>
          </w:tcPr>
          <w:p>
            <w:pPr>
              <w:spacing w:line="360" w:lineRule="exact"/>
              <w:rPr>
                <w:rFonts w:ascii="宋体" w:hAnsi="宋体"/>
                <w:szCs w:val="21"/>
              </w:rPr>
            </w:pPr>
            <w:r>
              <w:rPr>
                <w:rFonts w:hint="eastAsia" w:ascii="宋体" w:hAnsi="宋体"/>
                <w:szCs w:val="21"/>
              </w:rPr>
              <w:t>VPN防火墙</w:t>
            </w:r>
            <w:r>
              <w:rPr>
                <w:rFonts w:hint="eastAsia"/>
                <w:lang w:eastAsia="zh-CN"/>
              </w:rPr>
              <w:t>租用服务</w:t>
            </w:r>
          </w:p>
        </w:tc>
        <w:tc>
          <w:tcPr>
            <w:tcW w:w="567" w:type="dxa"/>
            <w:noWrap w:val="0"/>
            <w:vAlign w:val="center"/>
          </w:tcPr>
          <w:p>
            <w:pPr>
              <w:spacing w:line="360" w:lineRule="exact"/>
              <w:rPr>
                <w:rFonts w:ascii="宋体" w:hAnsi="宋体"/>
                <w:szCs w:val="21"/>
              </w:rPr>
            </w:pPr>
            <w:r>
              <w:rPr>
                <w:rFonts w:hint="eastAsia" w:ascii="宋体" w:hAnsi="宋体"/>
                <w:szCs w:val="21"/>
              </w:rPr>
              <w:t>1</w:t>
            </w:r>
          </w:p>
        </w:tc>
        <w:tc>
          <w:tcPr>
            <w:tcW w:w="567" w:type="dxa"/>
            <w:noWrap w:val="0"/>
            <w:vAlign w:val="center"/>
          </w:tcPr>
          <w:p>
            <w:pPr>
              <w:spacing w:line="360" w:lineRule="exact"/>
              <w:rPr>
                <w:rFonts w:hint="eastAsia" w:ascii="宋体" w:hAnsi="宋体"/>
                <w:szCs w:val="21"/>
              </w:rPr>
            </w:pPr>
            <w:r>
              <w:rPr>
                <w:rFonts w:hint="eastAsia" w:ascii="宋体" w:hAnsi="宋体"/>
                <w:szCs w:val="21"/>
              </w:rPr>
              <w:t>台</w:t>
            </w:r>
          </w:p>
        </w:tc>
        <w:tc>
          <w:tcPr>
            <w:tcW w:w="5869" w:type="dxa"/>
            <w:noWrap w:val="0"/>
            <w:vAlign w:val="center"/>
          </w:tcPr>
          <w:p>
            <w:pPr>
              <w:spacing w:line="360" w:lineRule="exact"/>
              <w:ind w:firstLine="420" w:firstLineChars="200"/>
              <w:rPr>
                <w:rFonts w:ascii="宋体" w:hAnsi="宋体"/>
                <w:szCs w:val="21"/>
              </w:rPr>
            </w:pPr>
            <w:r>
              <w:rPr>
                <w:rFonts w:hint="eastAsia" w:ascii="宋体" w:hAnsi="宋体"/>
                <w:szCs w:val="21"/>
              </w:rPr>
              <w:t>1.整机性能：吞吐量≥12Gbps，最大并发连接数≥600万，每秒新建连接数≥20万；</w:t>
            </w:r>
          </w:p>
          <w:p>
            <w:pPr>
              <w:spacing w:line="360" w:lineRule="exact"/>
              <w:ind w:firstLine="420" w:firstLineChars="200"/>
              <w:rPr>
                <w:rFonts w:ascii="宋体" w:hAnsi="宋体"/>
                <w:szCs w:val="21"/>
              </w:rPr>
            </w:pPr>
            <w:r>
              <w:rPr>
                <w:rFonts w:hint="eastAsia" w:ascii="宋体" w:hAnsi="宋体"/>
                <w:szCs w:val="21"/>
              </w:rPr>
              <w:t>2.设备实配：千兆电口≥12个，千兆光口≥8个，万兆光口≥4个，USB接口≥1个，可插拔交流电源模块≥2个，可插拔风扇模块≥2个，本地存储空间≥1920GB，SSL VPN并发用户数最大支持2000个本次授权≥1000个；</w:t>
            </w:r>
          </w:p>
          <w:p>
            <w:pPr>
              <w:spacing w:line="360" w:lineRule="exact"/>
              <w:ind w:firstLine="420" w:firstLineChars="200"/>
              <w:rPr>
                <w:rFonts w:ascii="宋体" w:hAnsi="宋体"/>
                <w:szCs w:val="21"/>
              </w:rPr>
            </w:pPr>
            <w:r>
              <w:rPr>
                <w:rFonts w:hint="eastAsia" w:ascii="宋体" w:hAnsi="宋体"/>
                <w:szCs w:val="21"/>
              </w:rPr>
              <w:t>3.支持传统防火墙、VPN、入侵防御、防病毒、数据防泄漏、带宽管理、本地URL过滤等多种功能，支持全局配置视图和一体化策略管理。</w:t>
            </w:r>
          </w:p>
          <w:p>
            <w:pPr>
              <w:spacing w:line="360" w:lineRule="exact"/>
              <w:ind w:firstLine="420" w:firstLineChars="200"/>
              <w:rPr>
                <w:rFonts w:ascii="宋体" w:hAnsi="宋体"/>
                <w:szCs w:val="21"/>
              </w:rPr>
            </w:pPr>
            <w:r>
              <w:rPr>
                <w:rFonts w:hint="eastAsia" w:ascii="宋体" w:hAnsi="宋体"/>
                <w:szCs w:val="21"/>
              </w:rPr>
              <w:t>4.路由协议：可以配置运行静态路由、策略路由、RIP、OSPF、BGP等路由协议；策略路由支持的匹配入接口、源地址/目的地址、用户、服务、应用、DSCP优先级等条件；</w:t>
            </w:r>
          </w:p>
          <w:p>
            <w:pPr>
              <w:spacing w:line="360" w:lineRule="exact"/>
              <w:ind w:firstLine="420" w:firstLineChars="200"/>
              <w:rPr>
                <w:rFonts w:ascii="宋体" w:hAnsi="宋体"/>
                <w:szCs w:val="21"/>
              </w:rPr>
            </w:pPr>
            <w:r>
              <w:rPr>
                <w:rFonts w:hint="eastAsia" w:ascii="宋体" w:hAnsi="宋体"/>
              </w:rPr>
              <w:t>▲</w:t>
            </w:r>
            <w:r>
              <w:rPr>
                <w:rFonts w:hint="eastAsia" w:ascii="宋体" w:hAnsi="宋体"/>
                <w:szCs w:val="21"/>
              </w:rPr>
              <w:t>5.数据安全：支持数据防泄露，对传输的文件和内容进行识别过滤，对内容与银行卡号、信用卡号、社会安全号、身份证号、手机号、机密关键字等类型进行匹配；</w:t>
            </w:r>
          </w:p>
          <w:p>
            <w:pPr>
              <w:spacing w:line="360" w:lineRule="exact"/>
              <w:ind w:firstLine="420" w:firstLineChars="200"/>
              <w:rPr>
                <w:rFonts w:ascii="宋体" w:hAnsi="宋体"/>
                <w:szCs w:val="21"/>
              </w:rPr>
            </w:pPr>
            <w:r>
              <w:rPr>
                <w:rFonts w:hint="eastAsia" w:ascii="宋体" w:hAnsi="宋体"/>
              </w:rPr>
              <w:t>▲</w:t>
            </w:r>
            <w:r>
              <w:rPr>
                <w:rFonts w:hint="eastAsia" w:ascii="宋体" w:hAnsi="宋体"/>
                <w:szCs w:val="21"/>
              </w:rPr>
              <w:t>6. 流量控制：提供基于用户、IP的带宽保证，支持每IP、每用户的最大连接数限制和最大连接速率限制，提供基于地理位置的流量和威胁分析；</w:t>
            </w:r>
          </w:p>
          <w:p>
            <w:pPr>
              <w:spacing w:line="360" w:lineRule="exact"/>
              <w:ind w:firstLine="420" w:firstLineChars="200"/>
              <w:rPr>
                <w:rFonts w:ascii="宋体" w:hAnsi="宋体"/>
                <w:szCs w:val="21"/>
              </w:rPr>
            </w:pPr>
            <w:r>
              <w:rPr>
                <w:rFonts w:hint="eastAsia" w:ascii="宋体" w:hAnsi="宋体"/>
                <w:szCs w:val="21"/>
              </w:rPr>
              <w:t>7.协议识别：可以识别应用层协议数量≥6000种，支持识别国标SIP协议及主流安防厂家的私有协议；</w:t>
            </w:r>
          </w:p>
          <w:p>
            <w:pPr>
              <w:spacing w:line="360" w:lineRule="exact"/>
              <w:ind w:firstLine="420" w:firstLineChars="200"/>
              <w:rPr>
                <w:rFonts w:ascii="宋体" w:hAnsi="宋体"/>
                <w:szCs w:val="21"/>
              </w:rPr>
            </w:pPr>
            <w:r>
              <w:rPr>
                <w:rFonts w:hint="eastAsia" w:ascii="宋体" w:hAnsi="宋体"/>
                <w:szCs w:val="21"/>
              </w:rPr>
              <w:t>8. DDoS防护：支持HTTP、HTTPS、DNS、SIP等应用层Flood攻击，支持流量自学习功能，可设置自学习时间，并自动生成DDoS防范策略；</w:t>
            </w:r>
          </w:p>
          <w:p>
            <w:pPr>
              <w:spacing w:line="360" w:lineRule="exact"/>
              <w:ind w:firstLine="420" w:firstLineChars="200"/>
              <w:rPr>
                <w:rFonts w:ascii="宋体" w:hAnsi="宋体"/>
                <w:szCs w:val="21"/>
              </w:rPr>
            </w:pPr>
            <w:r>
              <w:rPr>
                <w:rFonts w:hint="eastAsia" w:ascii="宋体" w:hAnsi="宋体"/>
                <w:szCs w:val="21"/>
              </w:rPr>
              <w:t>9. 提供NAT、NAT64、NAT66功能，对多种应用层协议支持ALG功能，包括DNS、FTP、H.323、ILS、PPTP、RTSP、SIP、MSN、QQ等；</w:t>
            </w:r>
          </w:p>
          <w:p>
            <w:pPr>
              <w:spacing w:line="360" w:lineRule="exact"/>
              <w:ind w:firstLine="420" w:firstLineChars="200"/>
              <w:rPr>
                <w:rFonts w:ascii="宋体" w:hAnsi="宋体"/>
                <w:szCs w:val="21"/>
              </w:rPr>
            </w:pPr>
            <w:r>
              <w:rPr>
                <w:rFonts w:hint="eastAsia" w:ascii="宋体" w:hAnsi="宋体"/>
                <w:szCs w:val="21"/>
              </w:rPr>
              <w:t>10.提供预定义IPS签名数量≥10000，支持对常见应用服务（IMAP、HTTP、FTP、Telnet、SSH）和数据库软件（MSSQL、Oracle、MySQL）的口令暴力破解防护功能；支持恶意域名过滤，可以对C&amp;C进行阻断；支持HTTP、FTP、SMTP、POP3、IMAP等协议的病毒防护；</w:t>
            </w:r>
          </w:p>
          <w:p>
            <w:pPr>
              <w:spacing w:line="360" w:lineRule="exact"/>
              <w:ind w:firstLine="420" w:firstLineChars="200"/>
              <w:rPr>
                <w:rFonts w:ascii="宋体" w:hAnsi="宋体"/>
                <w:szCs w:val="21"/>
              </w:rPr>
            </w:pPr>
            <w:r>
              <w:rPr>
                <w:rFonts w:hint="eastAsia" w:ascii="宋体" w:hAnsi="宋体"/>
                <w:szCs w:val="21"/>
              </w:rPr>
              <w:t>11.提供加密流量安全防护，支持加密流量检测，支持基于URL分类的精细化解密，支持加密流量解密后镜像给第三方设备做审计；</w:t>
            </w:r>
          </w:p>
          <w:p>
            <w:pPr>
              <w:spacing w:line="360" w:lineRule="exact"/>
              <w:ind w:firstLine="420" w:firstLineChars="200"/>
              <w:rPr>
                <w:rFonts w:ascii="宋体" w:hAnsi="宋体"/>
                <w:szCs w:val="21"/>
              </w:rPr>
            </w:pPr>
            <w:r>
              <w:rPr>
                <w:rFonts w:hint="eastAsia" w:ascii="宋体" w:hAnsi="宋体"/>
                <w:szCs w:val="21"/>
              </w:rPr>
              <w:t>12.提供开放的RESTCONF、NETCONF等北向接口，可以对接第三方的管理平台；</w:t>
            </w:r>
          </w:p>
          <w:p>
            <w:pPr>
              <w:spacing w:line="360" w:lineRule="exact"/>
              <w:ind w:firstLine="420" w:firstLineChars="200"/>
              <w:rPr>
                <w:rFonts w:ascii="宋体" w:hAnsi="宋体"/>
                <w:szCs w:val="21"/>
              </w:rPr>
            </w:pPr>
            <w:r>
              <w:rPr>
                <w:rFonts w:hint="eastAsia" w:ascii="宋体" w:hAnsi="宋体"/>
                <w:szCs w:val="21"/>
              </w:rPr>
              <w:t>13.支持与入侵检测系统联动，当入侵检测系统检测到攻击或异常行为时，会把相应的阻断信息下发给防火墙，由防火墙实施阻断；</w:t>
            </w:r>
          </w:p>
          <w:p>
            <w:pPr>
              <w:spacing w:line="360" w:lineRule="exact"/>
              <w:ind w:firstLine="420" w:firstLineChars="200"/>
              <w:rPr>
                <w:rFonts w:ascii="宋体" w:hAnsi="宋体"/>
                <w:szCs w:val="21"/>
              </w:rPr>
            </w:pPr>
            <w:r>
              <w:rPr>
                <w:rFonts w:hint="eastAsia" w:ascii="宋体" w:hAnsi="宋体"/>
                <w:szCs w:val="21"/>
              </w:rPr>
              <w:t>14.支持与态势感知系统联动，当态势感知系统的大数据分析功能识别出恶意流量会话，会把相应的阻断信息下发给防火墙，防火墙会将恶意流量的目的IP地址加入黑名单，拆除对应的会话，并阻止该恶意流量的二次连接；</w:t>
            </w:r>
          </w:p>
          <w:p>
            <w:pPr>
              <w:spacing w:line="360" w:lineRule="exact"/>
              <w:ind w:firstLine="420" w:firstLineChars="200"/>
              <w:rPr>
                <w:rFonts w:ascii="宋体" w:hAnsi="宋体"/>
                <w:szCs w:val="21"/>
              </w:rPr>
            </w:pPr>
            <w:r>
              <w:rPr>
                <w:rFonts w:hint="eastAsia" w:ascii="宋体" w:hAnsi="宋体"/>
                <w:szCs w:val="21"/>
              </w:rPr>
              <w:t>15.支持与本地沙箱联动，根据本地沙箱对风险流量的检测结果更新防火墙缓存中的恶意文件和恶意URL列表，当具有相同特征的后续流量命中恶意文件或恶意URL列表时，防火墙直接进行阻断等处理，保护内网用户免受APT攻击；</w:t>
            </w:r>
          </w:p>
          <w:p>
            <w:pPr>
              <w:spacing w:line="360" w:lineRule="exact"/>
              <w:ind w:firstLine="420" w:firstLineChars="200"/>
              <w:rPr>
                <w:rFonts w:ascii="宋体" w:hAnsi="宋体"/>
                <w:szCs w:val="21"/>
              </w:rPr>
            </w:pPr>
            <w:r>
              <w:rPr>
                <w:rFonts w:hint="eastAsia" w:ascii="宋体" w:hAnsi="宋体"/>
                <w:szCs w:val="21"/>
              </w:rPr>
              <w:t>16.支持流探针功能，采集经过防火墙流量的网络层和传输层信息，发送给态势感知系统进行分析和评估，从而识别网络中的威胁和APT攻击；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27" w:type="dxa"/>
            <w:noWrap w:val="0"/>
            <w:vAlign w:val="center"/>
          </w:tcPr>
          <w:p>
            <w:pPr>
              <w:spacing w:line="360" w:lineRule="exact"/>
              <w:rPr>
                <w:rFonts w:hint="eastAsia" w:ascii="宋体" w:hAnsi="宋体"/>
                <w:szCs w:val="21"/>
              </w:rPr>
            </w:pPr>
            <w:r>
              <w:rPr>
                <w:rFonts w:hint="eastAsia" w:ascii="宋体" w:hAnsi="宋体"/>
                <w:szCs w:val="21"/>
              </w:rPr>
              <w:t>2</w:t>
            </w:r>
          </w:p>
        </w:tc>
        <w:tc>
          <w:tcPr>
            <w:tcW w:w="1177" w:type="dxa"/>
            <w:noWrap w:val="0"/>
            <w:vAlign w:val="center"/>
          </w:tcPr>
          <w:p>
            <w:pPr>
              <w:spacing w:line="360" w:lineRule="exact"/>
              <w:rPr>
                <w:rFonts w:hint="eastAsia" w:ascii="宋体" w:hAnsi="宋体"/>
                <w:szCs w:val="21"/>
              </w:rPr>
            </w:pPr>
            <w:r>
              <w:rPr>
                <w:rFonts w:hint="eastAsia" w:ascii="宋体" w:hAnsi="宋体"/>
                <w:szCs w:val="21"/>
              </w:rPr>
              <w:t>政务外网接入防火墙</w:t>
            </w:r>
            <w:r>
              <w:rPr>
                <w:rFonts w:hint="eastAsia"/>
                <w:lang w:eastAsia="zh-CN"/>
              </w:rPr>
              <w:t>租用服务</w:t>
            </w:r>
          </w:p>
        </w:tc>
        <w:tc>
          <w:tcPr>
            <w:tcW w:w="567" w:type="dxa"/>
            <w:noWrap w:val="0"/>
            <w:vAlign w:val="center"/>
          </w:tcPr>
          <w:p>
            <w:pPr>
              <w:spacing w:line="360" w:lineRule="exact"/>
              <w:rPr>
                <w:rFonts w:hint="eastAsia" w:ascii="宋体" w:hAnsi="宋体"/>
                <w:szCs w:val="21"/>
              </w:rPr>
            </w:pPr>
            <w:r>
              <w:rPr>
                <w:rFonts w:hint="eastAsia" w:ascii="宋体" w:hAnsi="宋体"/>
                <w:szCs w:val="21"/>
              </w:rPr>
              <w:t>1</w:t>
            </w:r>
          </w:p>
        </w:tc>
        <w:tc>
          <w:tcPr>
            <w:tcW w:w="567" w:type="dxa"/>
            <w:noWrap w:val="0"/>
            <w:vAlign w:val="center"/>
          </w:tcPr>
          <w:p>
            <w:pPr>
              <w:spacing w:line="360" w:lineRule="exact"/>
              <w:rPr>
                <w:rFonts w:hint="eastAsia" w:ascii="宋体" w:hAnsi="宋体"/>
                <w:szCs w:val="21"/>
              </w:rPr>
            </w:pPr>
            <w:r>
              <w:rPr>
                <w:rFonts w:hint="eastAsia" w:ascii="宋体" w:hAnsi="宋体"/>
                <w:szCs w:val="21"/>
              </w:rPr>
              <w:t>台</w:t>
            </w:r>
          </w:p>
        </w:tc>
        <w:tc>
          <w:tcPr>
            <w:tcW w:w="5869" w:type="dxa"/>
            <w:noWrap w:val="0"/>
            <w:vAlign w:val="center"/>
          </w:tcPr>
          <w:p>
            <w:pPr>
              <w:spacing w:line="360" w:lineRule="exact"/>
              <w:ind w:firstLine="420" w:firstLineChars="200"/>
              <w:rPr>
                <w:rFonts w:hint="eastAsia" w:ascii="宋体" w:hAnsi="宋体"/>
                <w:szCs w:val="21"/>
              </w:rPr>
            </w:pPr>
            <w:r>
              <w:rPr>
                <w:rFonts w:hint="eastAsia" w:ascii="宋体" w:hAnsi="宋体"/>
              </w:rPr>
              <w:t>▲</w:t>
            </w:r>
            <w:r>
              <w:rPr>
                <w:rFonts w:hint="eastAsia" w:ascii="宋体" w:hAnsi="宋体"/>
                <w:szCs w:val="21"/>
              </w:rPr>
              <w:t>1. 采用无阻塞交换架构，支持多核CPU；</w:t>
            </w:r>
          </w:p>
          <w:p>
            <w:pPr>
              <w:spacing w:line="360" w:lineRule="exact"/>
              <w:ind w:firstLine="420" w:firstLineChars="200"/>
              <w:rPr>
                <w:rFonts w:hint="eastAsia" w:ascii="宋体" w:hAnsi="宋体"/>
                <w:szCs w:val="21"/>
              </w:rPr>
            </w:pPr>
            <w:r>
              <w:rPr>
                <w:rFonts w:hint="eastAsia" w:ascii="宋体" w:hAnsi="宋体"/>
                <w:szCs w:val="21"/>
              </w:rPr>
              <w:t>2.整机高度≤1U，模块插槽≥2个；</w:t>
            </w:r>
          </w:p>
          <w:p>
            <w:pPr>
              <w:spacing w:line="360" w:lineRule="exact"/>
              <w:ind w:firstLine="420" w:firstLineChars="200"/>
              <w:rPr>
                <w:rFonts w:hint="eastAsia" w:ascii="宋体" w:hAnsi="宋体"/>
                <w:szCs w:val="21"/>
              </w:rPr>
            </w:pPr>
            <w:r>
              <w:rPr>
                <w:rFonts w:hint="eastAsia" w:ascii="宋体" w:hAnsi="宋体"/>
                <w:szCs w:val="21"/>
              </w:rPr>
              <w:t>3.包转发能力≥9Mpps，内存≥4GB；</w:t>
            </w:r>
          </w:p>
          <w:p>
            <w:pPr>
              <w:spacing w:line="360" w:lineRule="exact"/>
              <w:ind w:firstLine="420" w:firstLineChars="200"/>
              <w:rPr>
                <w:rFonts w:hint="eastAsia" w:ascii="宋体" w:hAnsi="宋体"/>
                <w:szCs w:val="21"/>
              </w:rPr>
            </w:pPr>
            <w:r>
              <w:rPr>
                <w:rFonts w:hint="eastAsia" w:ascii="宋体" w:hAnsi="宋体"/>
                <w:szCs w:val="21"/>
              </w:rPr>
              <w:t>4.WAN：至少2*GE Combo+1*10GE光（兼容GE光），LAN：至少1*GE Combo+8*GE电（可切换为WAN口），且所有业务板卡支持直接热插拔，提供官网URL链接及截图证明；</w:t>
            </w:r>
          </w:p>
          <w:p>
            <w:pPr>
              <w:spacing w:line="360" w:lineRule="exact"/>
              <w:ind w:firstLine="420" w:firstLineChars="200"/>
              <w:rPr>
                <w:rFonts w:hint="eastAsia" w:ascii="宋体" w:hAnsi="宋体"/>
                <w:szCs w:val="21"/>
              </w:rPr>
            </w:pPr>
            <w:r>
              <w:rPr>
                <w:rFonts w:hint="eastAsia" w:ascii="宋体" w:hAnsi="宋体"/>
                <w:szCs w:val="21"/>
              </w:rPr>
              <w:t>5.支持DHCP server/client/relay，PPPoE server/client，NAT，子接口管理等；</w:t>
            </w:r>
          </w:p>
          <w:p>
            <w:pPr>
              <w:spacing w:line="360" w:lineRule="exact"/>
              <w:ind w:firstLine="420" w:firstLineChars="200"/>
              <w:rPr>
                <w:rFonts w:hint="eastAsia" w:ascii="宋体" w:hAnsi="宋体"/>
                <w:szCs w:val="21"/>
              </w:rPr>
            </w:pPr>
            <w:r>
              <w:rPr>
                <w:rFonts w:hint="eastAsia" w:ascii="宋体" w:hAnsi="宋体"/>
                <w:szCs w:val="21"/>
              </w:rPr>
              <w:t>6.支持IEEE 802.1P，IEEE 802.1Q，IEEE 802.3 ，VLAN管理，VLAN聚合，MAC管理， SEP等；</w:t>
            </w:r>
          </w:p>
          <w:p>
            <w:pPr>
              <w:spacing w:line="360" w:lineRule="exact"/>
              <w:ind w:firstLine="420" w:firstLineChars="200"/>
              <w:rPr>
                <w:rFonts w:hint="eastAsia" w:ascii="宋体" w:hAnsi="宋体"/>
                <w:szCs w:val="21"/>
              </w:rPr>
            </w:pPr>
            <w:r>
              <w:rPr>
                <w:rFonts w:hint="eastAsia" w:ascii="宋体" w:hAnsi="宋体"/>
              </w:rPr>
              <w:t>▲</w:t>
            </w:r>
            <w:r>
              <w:rPr>
                <w:rFonts w:hint="eastAsia" w:ascii="宋体" w:hAnsi="宋体"/>
                <w:szCs w:val="21"/>
              </w:rPr>
              <w:t>7. 支持AP 设备管理(AC 发现/AP 接入/AP 管理)， WLAN 用户管理；</w:t>
            </w:r>
          </w:p>
          <w:p>
            <w:pPr>
              <w:spacing w:line="360" w:lineRule="exact"/>
              <w:ind w:firstLine="420" w:firstLineChars="200"/>
              <w:rPr>
                <w:rFonts w:hint="eastAsia" w:ascii="宋体" w:hAnsi="宋体"/>
                <w:szCs w:val="21"/>
              </w:rPr>
            </w:pPr>
            <w:r>
              <w:rPr>
                <w:rFonts w:hint="eastAsia" w:ascii="宋体" w:hAnsi="宋体"/>
                <w:szCs w:val="21"/>
              </w:rPr>
              <w:t>8.支持静态路由，路由策略，RIP，OSPF，BGP，IS-IS，支持IPv6 ND，IPv6 PMTU，IPv6 FIB，IPv6 ACL，ICMPv6，DNSv6，DHCPv6；</w:t>
            </w:r>
          </w:p>
          <w:p>
            <w:pPr>
              <w:spacing w:line="360" w:lineRule="exact"/>
              <w:ind w:firstLine="420" w:firstLineChars="200"/>
              <w:rPr>
                <w:rFonts w:hint="eastAsia" w:ascii="宋体" w:hAnsi="宋体"/>
                <w:szCs w:val="21"/>
              </w:rPr>
            </w:pPr>
            <w:r>
              <w:rPr>
                <w:rFonts w:hint="eastAsia" w:ascii="宋体" w:hAnsi="宋体"/>
                <w:szCs w:val="21"/>
              </w:rPr>
              <w:t>9.支持IPsec VPN，GRE VPN，DSVPN，L2TP VPN，L2TPv3 VPN；</w:t>
            </w:r>
          </w:p>
          <w:p>
            <w:pPr>
              <w:spacing w:line="360" w:lineRule="exact"/>
              <w:ind w:firstLine="420" w:firstLineChars="200"/>
              <w:rPr>
                <w:rFonts w:hint="eastAsia" w:ascii="宋体" w:hAnsi="宋体"/>
                <w:szCs w:val="21"/>
              </w:rPr>
            </w:pPr>
            <w:r>
              <w:rPr>
                <w:rFonts w:hint="eastAsia" w:ascii="宋体" w:hAnsi="宋体"/>
              </w:rPr>
              <w:t>▲</w:t>
            </w:r>
            <w:r>
              <w:rPr>
                <w:rFonts w:hint="eastAsia" w:ascii="宋体" w:hAnsi="宋体"/>
                <w:szCs w:val="21"/>
              </w:rPr>
              <w:t>10. 支持国密算法，上网行为管理，IPS，URL过滤，防火墙功能；</w:t>
            </w:r>
          </w:p>
          <w:p>
            <w:pPr>
              <w:spacing w:line="360" w:lineRule="exact"/>
              <w:ind w:firstLine="420" w:firstLineChars="200"/>
              <w:rPr>
                <w:rFonts w:hint="eastAsia" w:ascii="宋体" w:hAnsi="宋体"/>
                <w:szCs w:val="21"/>
              </w:rPr>
            </w:pPr>
            <w:r>
              <w:rPr>
                <w:rFonts w:hint="eastAsia" w:ascii="宋体" w:hAnsi="宋体"/>
                <w:szCs w:val="21"/>
              </w:rPr>
              <w:t>11.支持升级管理，Web网管，SNMP（v1/v2c/v3），邮件/U盘/DHCP开局，NetConf/YANG，CLI，NetStream，IP FPM、TCP FPM，NQA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27" w:type="dxa"/>
            <w:noWrap w:val="0"/>
            <w:vAlign w:val="center"/>
          </w:tcPr>
          <w:p>
            <w:pPr>
              <w:spacing w:line="360" w:lineRule="exact"/>
              <w:rPr>
                <w:rFonts w:hint="eastAsia" w:ascii="宋体" w:hAnsi="宋体" w:eastAsia="宋体"/>
                <w:szCs w:val="21"/>
                <w:lang w:eastAsia="zh-CN"/>
              </w:rPr>
            </w:pPr>
            <w:r>
              <w:rPr>
                <w:rFonts w:hint="eastAsia" w:ascii="宋体" w:hAnsi="宋体"/>
                <w:szCs w:val="21"/>
                <w:lang w:val="en-US" w:eastAsia="zh-CN"/>
              </w:rPr>
              <w:t>3</w:t>
            </w:r>
          </w:p>
        </w:tc>
        <w:tc>
          <w:tcPr>
            <w:tcW w:w="1177" w:type="dxa"/>
            <w:noWrap w:val="0"/>
            <w:vAlign w:val="center"/>
          </w:tcPr>
          <w:p>
            <w:pPr>
              <w:spacing w:line="360" w:lineRule="exact"/>
              <w:rPr>
                <w:rFonts w:ascii="宋体" w:hAnsi="宋体"/>
                <w:szCs w:val="21"/>
              </w:rPr>
            </w:pPr>
            <w:r>
              <w:rPr>
                <w:rFonts w:hint="eastAsia" w:ascii="宋体" w:hAnsi="宋体"/>
                <w:szCs w:val="21"/>
              </w:rPr>
              <w:t>镇级社保经办机构专线租用服务</w:t>
            </w:r>
          </w:p>
        </w:tc>
        <w:tc>
          <w:tcPr>
            <w:tcW w:w="567" w:type="dxa"/>
            <w:noWrap w:val="0"/>
            <w:vAlign w:val="center"/>
          </w:tcPr>
          <w:p>
            <w:pPr>
              <w:spacing w:line="360" w:lineRule="exact"/>
              <w:rPr>
                <w:rFonts w:ascii="宋体" w:hAnsi="宋体"/>
                <w:szCs w:val="21"/>
              </w:rPr>
            </w:pPr>
            <w:r>
              <w:rPr>
                <w:rFonts w:hint="eastAsia" w:ascii="宋体" w:hAnsi="宋体"/>
                <w:szCs w:val="21"/>
              </w:rPr>
              <w:t>67</w:t>
            </w:r>
          </w:p>
        </w:tc>
        <w:tc>
          <w:tcPr>
            <w:tcW w:w="567" w:type="dxa"/>
            <w:noWrap w:val="0"/>
            <w:vAlign w:val="center"/>
          </w:tcPr>
          <w:p>
            <w:pPr>
              <w:spacing w:line="360" w:lineRule="exact"/>
              <w:rPr>
                <w:rFonts w:hint="eastAsia" w:ascii="宋体" w:hAnsi="宋体"/>
                <w:szCs w:val="21"/>
              </w:rPr>
            </w:pPr>
            <w:r>
              <w:rPr>
                <w:rFonts w:hint="eastAsia" w:ascii="宋体" w:hAnsi="宋体"/>
                <w:szCs w:val="21"/>
              </w:rPr>
              <w:t>条</w:t>
            </w:r>
          </w:p>
        </w:tc>
        <w:tc>
          <w:tcPr>
            <w:tcW w:w="5869" w:type="dxa"/>
            <w:noWrap w:val="0"/>
            <w:vAlign w:val="center"/>
          </w:tcPr>
          <w:p>
            <w:pPr>
              <w:spacing w:line="360" w:lineRule="exact"/>
              <w:ind w:firstLine="420" w:firstLineChars="200"/>
              <w:rPr>
                <w:rFonts w:ascii="宋体" w:hAnsi="宋体"/>
                <w:szCs w:val="21"/>
              </w:rPr>
            </w:pPr>
            <w:r>
              <w:rPr>
                <w:rFonts w:hint="eastAsia" w:ascii="宋体" w:hAnsi="宋体"/>
                <w:szCs w:val="21"/>
              </w:rPr>
              <w:t>为便于后期带宽需求扩展，本单项要求提供包含两段网络：第一段：乡镇接入点至竞标人自建或租用机房传输路由；第二段：竞标人自建或租用机房至自治区医保局中心机房传输路由（南宁市民族大道60号劳动保障大厦5楼），其中要求乡镇接入点至竞标人自建或租用机房的传输带宽，即本次采购的本端每条传输带宽不低于100Mbps，同时竞标人提供的线路服务从竞标人自建或租用机房中各个乡镇接入点至对端自治区医保局中心机房传输路由（南宁市民族大道60号劳动保障大厦5楼）每条传输带宽不低于10Mbps。</w:t>
            </w:r>
          </w:p>
          <w:p>
            <w:pPr>
              <w:spacing w:line="360" w:lineRule="exact"/>
              <w:ind w:firstLine="420" w:firstLineChars="200"/>
              <w:rPr>
                <w:rFonts w:ascii="宋体" w:hAnsi="宋体"/>
                <w:szCs w:val="21"/>
              </w:rPr>
            </w:pPr>
            <w:r>
              <w:rPr>
                <w:rFonts w:hint="eastAsia" w:ascii="宋体" w:hAnsi="宋体"/>
                <w:szCs w:val="21"/>
              </w:rPr>
              <w:t>具体技术服务要求：</w:t>
            </w:r>
          </w:p>
          <w:p>
            <w:pPr>
              <w:spacing w:line="360" w:lineRule="exact"/>
              <w:ind w:firstLine="420" w:firstLineChars="200"/>
              <w:rPr>
                <w:rFonts w:ascii="宋体" w:hAnsi="宋体"/>
                <w:szCs w:val="21"/>
              </w:rPr>
            </w:pPr>
            <w:r>
              <w:rPr>
                <w:rFonts w:hint="eastAsia" w:ascii="宋体" w:hAnsi="宋体"/>
                <w:szCs w:val="21"/>
              </w:rPr>
              <w:t>一、乡镇接入点至竞标人自建或租用机房路由（本次采购的本端接入带宽）要求：</w:t>
            </w:r>
          </w:p>
          <w:p>
            <w:pPr>
              <w:spacing w:line="360" w:lineRule="exact"/>
              <w:ind w:firstLine="420" w:firstLineChars="200"/>
              <w:rPr>
                <w:rFonts w:ascii="宋体" w:hAnsi="宋体"/>
                <w:szCs w:val="21"/>
              </w:rPr>
            </w:pPr>
            <w:r>
              <w:rPr>
                <w:rFonts w:hint="eastAsia" w:ascii="宋体" w:hAnsi="宋体" w:eastAsia="宋体" w:cs="Times New Roman"/>
                <w:szCs w:val="21"/>
              </w:rPr>
              <w:t>★</w:t>
            </w:r>
            <w:r>
              <w:rPr>
                <w:rFonts w:hint="eastAsia" w:ascii="宋体" w:hAnsi="宋体"/>
                <w:szCs w:val="21"/>
              </w:rPr>
              <w:t>1.速率：每条传输带宽上、下行不低于100Mbps（共计67条）；</w:t>
            </w:r>
          </w:p>
          <w:p>
            <w:pPr>
              <w:spacing w:line="360" w:lineRule="exact"/>
              <w:ind w:firstLine="420" w:firstLineChars="200"/>
              <w:rPr>
                <w:rFonts w:ascii="宋体" w:hAnsi="宋体"/>
                <w:szCs w:val="21"/>
              </w:rPr>
            </w:pPr>
            <w:r>
              <w:rPr>
                <w:rFonts w:hint="eastAsia" w:ascii="宋体" w:hAnsi="宋体"/>
                <w:szCs w:val="21"/>
              </w:rPr>
              <w:t>2.线路连接方式：IPRAN光纤专线线路或更先进的专用专线；</w:t>
            </w:r>
          </w:p>
          <w:p>
            <w:pPr>
              <w:spacing w:line="360" w:lineRule="exact"/>
              <w:ind w:firstLine="420" w:firstLineChars="200"/>
              <w:rPr>
                <w:rFonts w:ascii="宋体" w:hAnsi="宋体"/>
                <w:szCs w:val="21"/>
              </w:rPr>
            </w:pPr>
            <w:r>
              <w:rPr>
                <w:rFonts w:hint="eastAsia" w:ascii="宋体" w:hAnsi="宋体"/>
                <w:szCs w:val="21"/>
              </w:rPr>
              <w:t>3.线路技术指标：</w:t>
            </w:r>
          </w:p>
          <w:p>
            <w:pPr>
              <w:spacing w:line="360" w:lineRule="exact"/>
              <w:ind w:firstLine="420" w:firstLineChars="200"/>
              <w:rPr>
                <w:rFonts w:ascii="宋体" w:hAnsi="宋体"/>
                <w:szCs w:val="21"/>
              </w:rPr>
            </w:pPr>
            <w:r>
              <w:rPr>
                <w:rFonts w:hint="eastAsia" w:ascii="宋体" w:hAnsi="宋体"/>
              </w:rPr>
              <w:t>▲</w:t>
            </w:r>
            <w:r>
              <w:rPr>
                <w:rFonts w:hint="eastAsia" w:ascii="宋体" w:hAnsi="宋体"/>
                <w:szCs w:val="21"/>
              </w:rPr>
              <w:t>（1）线路可用率≥99.50%;</w:t>
            </w:r>
          </w:p>
          <w:p>
            <w:pPr>
              <w:spacing w:line="360" w:lineRule="exact"/>
              <w:ind w:firstLine="420" w:firstLineChars="200"/>
              <w:rPr>
                <w:rFonts w:ascii="宋体" w:hAnsi="宋体"/>
                <w:szCs w:val="21"/>
              </w:rPr>
            </w:pPr>
            <w:r>
              <w:rPr>
                <w:rFonts w:hint="eastAsia" w:ascii="宋体" w:hAnsi="宋体"/>
              </w:rPr>
              <w:t>▲</w:t>
            </w:r>
            <w:r>
              <w:rPr>
                <w:rFonts w:hint="eastAsia" w:ascii="宋体" w:hAnsi="宋体"/>
                <w:szCs w:val="21"/>
              </w:rPr>
              <w:t>（2）系统端到端的时延上限400ms，</w:t>
            </w:r>
          </w:p>
          <w:p>
            <w:pPr>
              <w:spacing w:line="360" w:lineRule="exact"/>
              <w:ind w:firstLine="420" w:firstLineChars="200"/>
              <w:rPr>
                <w:rFonts w:ascii="宋体" w:hAnsi="宋体"/>
                <w:szCs w:val="21"/>
              </w:rPr>
            </w:pPr>
            <w:r>
              <w:rPr>
                <w:rFonts w:hint="eastAsia" w:ascii="宋体" w:hAnsi="宋体"/>
                <w:szCs w:val="21"/>
              </w:rPr>
              <w:t>其中网络时延不超过50ms；</w:t>
            </w:r>
          </w:p>
          <w:p>
            <w:pPr>
              <w:spacing w:line="360" w:lineRule="exact"/>
              <w:ind w:firstLine="420" w:firstLineChars="200"/>
              <w:rPr>
                <w:rFonts w:ascii="宋体" w:hAnsi="宋体"/>
                <w:szCs w:val="21"/>
              </w:rPr>
            </w:pPr>
            <w:r>
              <w:rPr>
                <w:rFonts w:hint="eastAsia" w:ascii="宋体" w:hAnsi="宋体"/>
              </w:rPr>
              <w:t>▲</w:t>
            </w:r>
            <w:r>
              <w:rPr>
                <w:rFonts w:hint="eastAsia" w:ascii="宋体" w:hAnsi="宋体"/>
                <w:szCs w:val="21"/>
              </w:rPr>
              <w:t>（3）网络丢包率上限值为 1×10-3；</w:t>
            </w:r>
          </w:p>
          <w:p>
            <w:pPr>
              <w:spacing w:line="360" w:lineRule="exact"/>
              <w:ind w:firstLine="420" w:firstLineChars="200"/>
              <w:rPr>
                <w:rFonts w:ascii="宋体" w:hAnsi="宋体"/>
                <w:szCs w:val="21"/>
              </w:rPr>
            </w:pPr>
            <w:r>
              <w:rPr>
                <w:rFonts w:hint="eastAsia" w:ascii="宋体" w:hAnsi="宋体"/>
                <w:szCs w:val="21"/>
              </w:rPr>
              <w:t>（4）包误差率上限值为 1×10-4；</w:t>
            </w:r>
          </w:p>
          <w:p>
            <w:pPr>
              <w:spacing w:line="360" w:lineRule="exact"/>
              <w:ind w:firstLine="420" w:firstLineChars="200"/>
              <w:rPr>
                <w:rFonts w:ascii="宋体" w:hAnsi="宋体"/>
                <w:szCs w:val="21"/>
              </w:rPr>
            </w:pPr>
            <w:r>
              <w:rPr>
                <w:rFonts w:hint="eastAsia" w:ascii="宋体" w:hAnsi="宋体"/>
                <w:szCs w:val="21"/>
              </w:rPr>
              <w:t>4.具备自愈保护功能接入段节点业务恢复时间小于50ms。</w:t>
            </w:r>
          </w:p>
          <w:p>
            <w:pPr>
              <w:spacing w:line="360" w:lineRule="exact"/>
              <w:ind w:firstLine="420" w:firstLineChars="200"/>
              <w:rPr>
                <w:rFonts w:ascii="宋体" w:hAnsi="宋体"/>
                <w:szCs w:val="21"/>
              </w:rPr>
            </w:pPr>
            <w:r>
              <w:rPr>
                <w:rFonts w:hint="eastAsia" w:ascii="宋体" w:hAnsi="宋体"/>
                <w:szCs w:val="21"/>
              </w:rPr>
              <w:t>二、竞标人自建或租用机房至自治区医保局中心机房带宽（南宁市民族大道60号劳动保障大厦5楼）（本次采购的对端接入带宽）要求：</w:t>
            </w:r>
          </w:p>
          <w:p>
            <w:pPr>
              <w:spacing w:line="360" w:lineRule="exact"/>
              <w:ind w:firstLine="420" w:firstLineChars="200"/>
              <w:rPr>
                <w:rFonts w:ascii="宋体" w:hAnsi="宋体"/>
                <w:szCs w:val="21"/>
              </w:rPr>
            </w:pPr>
            <w:r>
              <w:rPr>
                <w:rFonts w:hint="eastAsia" w:ascii="宋体" w:hAnsi="宋体" w:eastAsia="宋体" w:cs="Times New Roman"/>
                <w:szCs w:val="21"/>
              </w:rPr>
              <w:t>★</w:t>
            </w:r>
            <w:r>
              <w:rPr>
                <w:rFonts w:hint="eastAsia" w:ascii="宋体" w:hAnsi="宋体"/>
                <w:szCs w:val="21"/>
              </w:rPr>
              <w:t>1.速率：每条传输带宽上、下行不低于10Mbps（共计67条）；</w:t>
            </w:r>
          </w:p>
          <w:p>
            <w:pPr>
              <w:spacing w:line="360" w:lineRule="exact"/>
              <w:ind w:firstLine="420" w:firstLineChars="200"/>
              <w:rPr>
                <w:rFonts w:ascii="宋体" w:hAnsi="宋体"/>
                <w:szCs w:val="21"/>
              </w:rPr>
            </w:pPr>
            <w:r>
              <w:rPr>
                <w:rFonts w:hint="eastAsia" w:ascii="宋体" w:hAnsi="宋体"/>
                <w:szCs w:val="21"/>
              </w:rPr>
              <w:t>2.线路连接方式：IPRAN光纤专线线路或更先进的专用专线；</w:t>
            </w:r>
          </w:p>
          <w:p>
            <w:pPr>
              <w:spacing w:line="360" w:lineRule="exact"/>
              <w:ind w:firstLine="420" w:firstLineChars="200"/>
              <w:rPr>
                <w:rFonts w:ascii="宋体" w:hAnsi="宋体"/>
                <w:szCs w:val="21"/>
              </w:rPr>
            </w:pPr>
            <w:r>
              <w:rPr>
                <w:rFonts w:hint="eastAsia" w:ascii="宋体" w:hAnsi="宋体"/>
                <w:szCs w:val="21"/>
              </w:rPr>
              <w:t>3.线路技术指标：</w:t>
            </w:r>
          </w:p>
          <w:p>
            <w:pPr>
              <w:spacing w:line="360" w:lineRule="exact"/>
              <w:ind w:firstLine="420" w:firstLineChars="200"/>
              <w:rPr>
                <w:rFonts w:ascii="宋体" w:hAnsi="宋体"/>
                <w:szCs w:val="21"/>
              </w:rPr>
            </w:pPr>
            <w:r>
              <w:rPr>
                <w:rFonts w:hint="eastAsia" w:ascii="宋体" w:hAnsi="宋体"/>
              </w:rPr>
              <w:t>▲</w:t>
            </w:r>
            <w:r>
              <w:rPr>
                <w:rFonts w:hint="eastAsia" w:ascii="宋体" w:hAnsi="宋体"/>
                <w:szCs w:val="21"/>
              </w:rPr>
              <w:t>（1）线路可用率≥99.50%;</w:t>
            </w:r>
          </w:p>
          <w:p>
            <w:pPr>
              <w:spacing w:line="360" w:lineRule="exact"/>
              <w:ind w:firstLine="420" w:firstLineChars="200"/>
              <w:rPr>
                <w:rFonts w:ascii="宋体" w:hAnsi="宋体"/>
                <w:szCs w:val="21"/>
              </w:rPr>
            </w:pPr>
            <w:r>
              <w:rPr>
                <w:rFonts w:hint="eastAsia" w:ascii="宋体" w:hAnsi="宋体"/>
              </w:rPr>
              <w:t>▲</w:t>
            </w:r>
            <w:r>
              <w:rPr>
                <w:rFonts w:hint="eastAsia" w:ascii="宋体" w:hAnsi="宋体"/>
                <w:szCs w:val="21"/>
              </w:rPr>
              <w:t>（2）系统端到端的时延上限400ms，</w:t>
            </w:r>
          </w:p>
          <w:p>
            <w:pPr>
              <w:spacing w:line="360" w:lineRule="exact"/>
              <w:ind w:firstLine="420" w:firstLineChars="200"/>
              <w:rPr>
                <w:rFonts w:ascii="宋体" w:hAnsi="宋体"/>
                <w:szCs w:val="21"/>
              </w:rPr>
            </w:pPr>
            <w:r>
              <w:rPr>
                <w:rFonts w:hint="eastAsia" w:ascii="宋体" w:hAnsi="宋体"/>
                <w:szCs w:val="21"/>
              </w:rPr>
              <w:t>其中网络时延不超过50ms；</w:t>
            </w:r>
          </w:p>
          <w:p>
            <w:pPr>
              <w:spacing w:line="360" w:lineRule="exact"/>
              <w:ind w:firstLine="420" w:firstLineChars="200"/>
              <w:rPr>
                <w:rFonts w:ascii="宋体" w:hAnsi="宋体"/>
                <w:szCs w:val="21"/>
              </w:rPr>
            </w:pPr>
            <w:r>
              <w:rPr>
                <w:rFonts w:hint="eastAsia" w:ascii="宋体" w:hAnsi="宋体"/>
              </w:rPr>
              <w:t>▲</w:t>
            </w:r>
            <w:r>
              <w:rPr>
                <w:rFonts w:hint="eastAsia" w:ascii="宋体" w:hAnsi="宋体"/>
                <w:szCs w:val="21"/>
              </w:rPr>
              <w:t>（3）网络丢包率上限值为 1×10-3；</w:t>
            </w:r>
          </w:p>
          <w:p>
            <w:pPr>
              <w:spacing w:line="360" w:lineRule="exact"/>
              <w:ind w:firstLine="420" w:firstLineChars="200"/>
              <w:rPr>
                <w:rFonts w:ascii="宋体" w:hAnsi="宋体"/>
                <w:szCs w:val="21"/>
              </w:rPr>
            </w:pPr>
            <w:r>
              <w:rPr>
                <w:rFonts w:hint="eastAsia" w:ascii="宋体" w:hAnsi="宋体"/>
                <w:szCs w:val="21"/>
              </w:rPr>
              <w:t>（4）包误差率上限值为 1×10-4；</w:t>
            </w:r>
          </w:p>
          <w:p>
            <w:pPr>
              <w:spacing w:line="360" w:lineRule="exact"/>
              <w:ind w:firstLine="420" w:firstLineChars="200"/>
              <w:rPr>
                <w:rFonts w:ascii="宋体" w:hAnsi="宋体"/>
                <w:szCs w:val="21"/>
              </w:rPr>
            </w:pPr>
            <w:r>
              <w:rPr>
                <w:rFonts w:hint="eastAsia" w:ascii="宋体" w:hAnsi="宋体"/>
                <w:szCs w:val="21"/>
              </w:rPr>
              <w:t>4.具备自愈保护功能接入段节点业务恢复时间小于50ms。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27" w:type="dxa"/>
            <w:noWrap w:val="0"/>
            <w:vAlign w:val="center"/>
          </w:tcPr>
          <w:p>
            <w:pPr>
              <w:spacing w:line="360" w:lineRule="exact"/>
              <w:rPr>
                <w:rFonts w:hint="eastAsia" w:ascii="宋体" w:hAnsi="宋体" w:eastAsia="宋体"/>
                <w:szCs w:val="21"/>
                <w:lang w:eastAsia="zh-CN"/>
              </w:rPr>
            </w:pPr>
            <w:r>
              <w:rPr>
                <w:rFonts w:hint="eastAsia" w:ascii="宋体" w:hAnsi="宋体"/>
                <w:szCs w:val="21"/>
                <w:lang w:val="en-US" w:eastAsia="zh-CN"/>
              </w:rPr>
              <w:t>4</w:t>
            </w:r>
          </w:p>
        </w:tc>
        <w:tc>
          <w:tcPr>
            <w:tcW w:w="1177" w:type="dxa"/>
            <w:noWrap w:val="0"/>
            <w:vAlign w:val="center"/>
          </w:tcPr>
          <w:p>
            <w:pPr>
              <w:spacing w:line="360" w:lineRule="exact"/>
              <w:rPr>
                <w:rFonts w:ascii="宋体" w:hAnsi="宋体"/>
                <w:szCs w:val="21"/>
              </w:rPr>
            </w:pPr>
            <w:r>
              <w:rPr>
                <w:rFonts w:hint="eastAsia" w:ascii="宋体" w:hAnsi="宋体"/>
                <w:szCs w:val="21"/>
              </w:rPr>
              <w:t>社区社保</w:t>
            </w:r>
            <w:r>
              <w:rPr>
                <w:rFonts w:hint="eastAsia" w:ascii="宋体" w:hAnsi="宋体"/>
                <w:szCs w:val="21"/>
                <w:lang w:eastAsia="zh-CN"/>
              </w:rPr>
              <w:t>经办机构</w:t>
            </w:r>
            <w:r>
              <w:rPr>
                <w:rFonts w:hint="eastAsia" w:ascii="宋体" w:hAnsi="宋体"/>
                <w:szCs w:val="21"/>
              </w:rPr>
              <w:t>专线租用服务</w:t>
            </w:r>
          </w:p>
        </w:tc>
        <w:tc>
          <w:tcPr>
            <w:tcW w:w="567" w:type="dxa"/>
            <w:noWrap w:val="0"/>
            <w:vAlign w:val="center"/>
          </w:tcPr>
          <w:p>
            <w:pPr>
              <w:spacing w:line="360" w:lineRule="exact"/>
              <w:rPr>
                <w:rFonts w:ascii="宋体" w:hAnsi="宋体"/>
                <w:szCs w:val="21"/>
              </w:rPr>
            </w:pPr>
            <w:r>
              <w:rPr>
                <w:rFonts w:hint="eastAsia" w:ascii="宋体" w:hAnsi="宋体"/>
                <w:szCs w:val="21"/>
              </w:rPr>
              <w:t>14</w:t>
            </w:r>
          </w:p>
        </w:tc>
        <w:tc>
          <w:tcPr>
            <w:tcW w:w="567" w:type="dxa"/>
            <w:noWrap w:val="0"/>
            <w:vAlign w:val="center"/>
          </w:tcPr>
          <w:p>
            <w:pPr>
              <w:spacing w:line="360" w:lineRule="exact"/>
              <w:rPr>
                <w:rFonts w:hint="eastAsia" w:ascii="宋体" w:hAnsi="宋体"/>
                <w:szCs w:val="21"/>
              </w:rPr>
            </w:pPr>
            <w:r>
              <w:rPr>
                <w:rFonts w:hint="eastAsia" w:ascii="宋体" w:hAnsi="宋体"/>
                <w:szCs w:val="21"/>
              </w:rPr>
              <w:t>条</w:t>
            </w:r>
          </w:p>
        </w:tc>
        <w:tc>
          <w:tcPr>
            <w:tcW w:w="5869" w:type="dxa"/>
            <w:noWrap w:val="0"/>
            <w:vAlign w:val="center"/>
          </w:tcPr>
          <w:p>
            <w:pPr>
              <w:spacing w:line="360" w:lineRule="exact"/>
              <w:ind w:firstLine="420" w:firstLineChars="200"/>
              <w:rPr>
                <w:rFonts w:ascii="宋体" w:hAnsi="宋体"/>
                <w:szCs w:val="21"/>
              </w:rPr>
            </w:pPr>
            <w:r>
              <w:rPr>
                <w:rFonts w:hint="eastAsia" w:ascii="宋体" w:hAnsi="宋体"/>
                <w:szCs w:val="21"/>
              </w:rPr>
              <w:t>从各社区社保</w:t>
            </w:r>
            <w:r>
              <w:rPr>
                <w:rFonts w:hint="eastAsia" w:ascii="宋体" w:hAnsi="宋体"/>
                <w:szCs w:val="21"/>
                <w:lang w:eastAsia="zh-CN"/>
              </w:rPr>
              <w:t>经办机构连</w:t>
            </w:r>
            <w:r>
              <w:rPr>
                <w:rFonts w:hint="eastAsia" w:ascii="宋体" w:hAnsi="宋体"/>
                <w:szCs w:val="21"/>
              </w:rPr>
              <w:t>接至自治区医保局中心机房（南宁市民族大道60号劳动保障大厦5楼）。</w:t>
            </w:r>
          </w:p>
          <w:p>
            <w:pPr>
              <w:spacing w:line="360" w:lineRule="exact"/>
              <w:ind w:firstLine="420" w:firstLineChars="200"/>
              <w:rPr>
                <w:rFonts w:ascii="宋体" w:hAnsi="宋体"/>
                <w:szCs w:val="21"/>
              </w:rPr>
            </w:pPr>
            <w:r>
              <w:rPr>
                <w:rFonts w:hint="eastAsia" w:ascii="宋体" w:hAnsi="宋体"/>
                <w:szCs w:val="21"/>
              </w:rPr>
              <w:t>传输带宽不低于20Mbps，提供开通及调试服务。</w:t>
            </w:r>
          </w:p>
          <w:p>
            <w:pPr>
              <w:spacing w:line="360" w:lineRule="exact"/>
              <w:ind w:firstLine="420" w:firstLineChars="200"/>
              <w:rPr>
                <w:rFonts w:hint="eastAsia" w:ascii="宋体" w:hAnsi="宋体"/>
                <w:szCs w:val="21"/>
              </w:rPr>
            </w:pPr>
            <w:r>
              <w:rPr>
                <w:rFonts w:hint="eastAsia" w:ascii="宋体" w:hAnsi="宋体"/>
                <w:szCs w:val="21"/>
              </w:rPr>
              <w:t>具体技术服务要求：</w:t>
            </w:r>
          </w:p>
          <w:p>
            <w:pPr>
              <w:spacing w:line="360" w:lineRule="exact"/>
              <w:ind w:firstLine="420" w:firstLineChars="200"/>
              <w:rPr>
                <w:rFonts w:ascii="宋体" w:hAnsi="宋体"/>
                <w:szCs w:val="21"/>
              </w:rPr>
            </w:pPr>
            <w:r>
              <w:rPr>
                <w:rFonts w:hint="eastAsia" w:ascii="宋体" w:hAnsi="宋体" w:eastAsia="宋体" w:cs="Times New Roman"/>
                <w:szCs w:val="21"/>
              </w:rPr>
              <w:t>★</w:t>
            </w:r>
            <w:r>
              <w:rPr>
                <w:rFonts w:hint="eastAsia" w:ascii="宋体" w:hAnsi="宋体"/>
                <w:szCs w:val="21"/>
              </w:rPr>
              <w:t>1.速率：上、下行不低于20Mbps；</w:t>
            </w:r>
          </w:p>
          <w:p>
            <w:pPr>
              <w:spacing w:line="360" w:lineRule="exact"/>
              <w:ind w:firstLine="420" w:firstLineChars="200"/>
              <w:rPr>
                <w:rFonts w:ascii="宋体" w:hAnsi="宋体"/>
                <w:szCs w:val="21"/>
              </w:rPr>
            </w:pPr>
            <w:r>
              <w:rPr>
                <w:rFonts w:hint="eastAsia" w:ascii="宋体" w:hAnsi="宋体"/>
                <w:szCs w:val="21"/>
              </w:rPr>
              <w:t>2.线路连接方式：IPRAN光纤专线线路或更先进的专用专线；</w:t>
            </w:r>
          </w:p>
          <w:p>
            <w:pPr>
              <w:spacing w:line="360" w:lineRule="exact"/>
              <w:ind w:firstLine="420" w:firstLineChars="200"/>
              <w:rPr>
                <w:rFonts w:ascii="宋体" w:hAnsi="宋体"/>
                <w:szCs w:val="21"/>
              </w:rPr>
            </w:pPr>
            <w:r>
              <w:rPr>
                <w:rFonts w:hint="eastAsia" w:ascii="宋体" w:hAnsi="宋体"/>
                <w:szCs w:val="21"/>
              </w:rPr>
              <w:t>3.线路技术指标：</w:t>
            </w:r>
          </w:p>
          <w:p>
            <w:pPr>
              <w:spacing w:line="360" w:lineRule="exact"/>
              <w:ind w:firstLine="420" w:firstLineChars="200"/>
              <w:rPr>
                <w:rFonts w:ascii="宋体" w:hAnsi="宋体"/>
                <w:szCs w:val="21"/>
              </w:rPr>
            </w:pPr>
            <w:r>
              <w:rPr>
                <w:rFonts w:hint="eastAsia" w:ascii="宋体" w:hAnsi="宋体"/>
              </w:rPr>
              <w:t>▲</w:t>
            </w:r>
            <w:r>
              <w:rPr>
                <w:rFonts w:hint="eastAsia" w:ascii="宋体" w:hAnsi="宋体"/>
                <w:szCs w:val="21"/>
              </w:rPr>
              <w:t>（1）线路可用率≥99.50%;</w:t>
            </w:r>
          </w:p>
          <w:p>
            <w:pPr>
              <w:spacing w:line="360" w:lineRule="exact"/>
              <w:ind w:firstLine="420" w:firstLineChars="200"/>
              <w:rPr>
                <w:rFonts w:ascii="宋体" w:hAnsi="宋体"/>
                <w:szCs w:val="21"/>
              </w:rPr>
            </w:pPr>
            <w:r>
              <w:rPr>
                <w:rFonts w:hint="eastAsia" w:ascii="宋体" w:hAnsi="宋体"/>
              </w:rPr>
              <w:t>▲</w:t>
            </w:r>
            <w:r>
              <w:rPr>
                <w:rFonts w:hint="eastAsia" w:ascii="宋体" w:hAnsi="宋体"/>
                <w:szCs w:val="21"/>
              </w:rPr>
              <w:t>（2）系统端到端的时延上限400ms，</w:t>
            </w:r>
          </w:p>
          <w:p>
            <w:pPr>
              <w:spacing w:line="360" w:lineRule="exact"/>
              <w:ind w:firstLine="420" w:firstLineChars="200"/>
              <w:rPr>
                <w:rFonts w:ascii="宋体" w:hAnsi="宋体"/>
                <w:szCs w:val="21"/>
              </w:rPr>
            </w:pPr>
            <w:r>
              <w:rPr>
                <w:rFonts w:hint="eastAsia" w:ascii="宋体" w:hAnsi="宋体"/>
                <w:szCs w:val="21"/>
              </w:rPr>
              <w:t>其中网络时延不超过50ms；</w:t>
            </w:r>
          </w:p>
          <w:p>
            <w:pPr>
              <w:spacing w:line="360" w:lineRule="exact"/>
              <w:ind w:firstLine="420" w:firstLineChars="200"/>
              <w:rPr>
                <w:rFonts w:ascii="宋体" w:hAnsi="宋体"/>
                <w:szCs w:val="21"/>
              </w:rPr>
            </w:pPr>
            <w:r>
              <w:rPr>
                <w:rFonts w:hint="eastAsia" w:ascii="宋体" w:hAnsi="宋体"/>
              </w:rPr>
              <w:t>▲</w:t>
            </w:r>
            <w:r>
              <w:rPr>
                <w:rFonts w:hint="eastAsia" w:ascii="宋体" w:hAnsi="宋体"/>
                <w:szCs w:val="21"/>
              </w:rPr>
              <w:t>（3）网络丢包率上限值为 1×10-3；</w:t>
            </w:r>
          </w:p>
          <w:p>
            <w:pPr>
              <w:spacing w:line="360" w:lineRule="exact"/>
              <w:ind w:firstLine="420" w:firstLineChars="200"/>
              <w:rPr>
                <w:rFonts w:ascii="宋体" w:hAnsi="宋体"/>
                <w:szCs w:val="21"/>
              </w:rPr>
            </w:pPr>
            <w:r>
              <w:rPr>
                <w:rFonts w:hint="eastAsia" w:ascii="宋体" w:hAnsi="宋体"/>
                <w:szCs w:val="21"/>
              </w:rPr>
              <w:t>（4）包误差率上限值为 1×10-4；</w:t>
            </w:r>
          </w:p>
          <w:p>
            <w:pPr>
              <w:spacing w:line="360" w:lineRule="exact"/>
              <w:ind w:firstLine="420" w:firstLineChars="200"/>
              <w:rPr>
                <w:rFonts w:ascii="宋体" w:hAnsi="宋体"/>
                <w:szCs w:val="21"/>
              </w:rPr>
            </w:pPr>
            <w:r>
              <w:rPr>
                <w:rFonts w:hint="eastAsia" w:ascii="宋体" w:hAnsi="宋体"/>
                <w:szCs w:val="21"/>
              </w:rPr>
              <w:t>4.具备自愈保护功能接入段节点业务恢复时间小于50ms。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27" w:type="dxa"/>
            <w:noWrap w:val="0"/>
            <w:vAlign w:val="center"/>
          </w:tcPr>
          <w:p>
            <w:pPr>
              <w:spacing w:line="360" w:lineRule="exact"/>
              <w:rPr>
                <w:rFonts w:hint="eastAsia" w:ascii="宋体" w:hAnsi="宋体" w:eastAsia="宋体"/>
                <w:szCs w:val="21"/>
                <w:lang w:eastAsia="zh-CN"/>
              </w:rPr>
            </w:pPr>
            <w:r>
              <w:rPr>
                <w:rFonts w:hint="eastAsia" w:ascii="宋体" w:hAnsi="宋体"/>
                <w:szCs w:val="21"/>
                <w:lang w:val="en-US" w:eastAsia="zh-CN"/>
              </w:rPr>
              <w:t>5</w:t>
            </w:r>
          </w:p>
        </w:tc>
        <w:tc>
          <w:tcPr>
            <w:tcW w:w="1177" w:type="dxa"/>
            <w:noWrap w:val="0"/>
            <w:vAlign w:val="center"/>
          </w:tcPr>
          <w:p>
            <w:pPr>
              <w:spacing w:line="360" w:lineRule="exact"/>
              <w:rPr>
                <w:rFonts w:ascii="宋体" w:hAnsi="宋体"/>
                <w:szCs w:val="21"/>
              </w:rPr>
            </w:pPr>
            <w:r>
              <w:rPr>
                <w:rFonts w:hint="eastAsia" w:ascii="宋体" w:hAnsi="宋体"/>
                <w:szCs w:val="21"/>
              </w:rPr>
              <w:t>村级卫生室VPN（虚拟专用网络）线路租用服务</w:t>
            </w:r>
          </w:p>
        </w:tc>
        <w:tc>
          <w:tcPr>
            <w:tcW w:w="567" w:type="dxa"/>
            <w:noWrap w:val="0"/>
            <w:vAlign w:val="center"/>
          </w:tcPr>
          <w:p>
            <w:pPr>
              <w:spacing w:line="360" w:lineRule="exact"/>
              <w:rPr>
                <w:rFonts w:ascii="宋体" w:hAnsi="宋体"/>
                <w:szCs w:val="21"/>
              </w:rPr>
            </w:pPr>
            <w:r>
              <w:rPr>
                <w:rFonts w:ascii="宋体" w:hAnsi="宋体"/>
                <w:szCs w:val="21"/>
              </w:rPr>
              <w:t>989</w:t>
            </w:r>
          </w:p>
        </w:tc>
        <w:tc>
          <w:tcPr>
            <w:tcW w:w="567" w:type="dxa"/>
            <w:noWrap w:val="0"/>
            <w:vAlign w:val="center"/>
          </w:tcPr>
          <w:p>
            <w:pPr>
              <w:spacing w:line="360" w:lineRule="exact"/>
              <w:rPr>
                <w:rFonts w:hint="eastAsia" w:ascii="宋体" w:hAnsi="宋体"/>
                <w:szCs w:val="21"/>
              </w:rPr>
            </w:pPr>
            <w:r>
              <w:rPr>
                <w:rFonts w:hint="eastAsia" w:ascii="宋体" w:hAnsi="宋体"/>
                <w:szCs w:val="21"/>
              </w:rPr>
              <w:t>条</w:t>
            </w:r>
          </w:p>
        </w:tc>
        <w:tc>
          <w:tcPr>
            <w:tcW w:w="5869" w:type="dxa"/>
            <w:noWrap w:val="0"/>
            <w:vAlign w:val="center"/>
          </w:tcPr>
          <w:p>
            <w:pPr>
              <w:spacing w:line="360" w:lineRule="exact"/>
              <w:ind w:firstLine="420" w:firstLineChars="200"/>
              <w:rPr>
                <w:rFonts w:ascii="宋体" w:hAnsi="宋体"/>
                <w:szCs w:val="21"/>
              </w:rPr>
            </w:pPr>
            <w:r>
              <w:rPr>
                <w:rFonts w:hint="eastAsia" w:ascii="宋体" w:hAnsi="宋体"/>
                <w:szCs w:val="21"/>
              </w:rPr>
              <w:t>传输带宽不低于12Mbps，提供开通及调试服务。</w:t>
            </w:r>
          </w:p>
          <w:p>
            <w:pPr>
              <w:spacing w:line="360" w:lineRule="exact"/>
              <w:ind w:firstLine="420" w:firstLineChars="200"/>
              <w:rPr>
                <w:rFonts w:ascii="宋体" w:hAnsi="宋体"/>
                <w:szCs w:val="21"/>
              </w:rPr>
            </w:pPr>
            <w:r>
              <w:rPr>
                <w:rFonts w:hint="eastAsia" w:ascii="宋体" w:hAnsi="宋体" w:eastAsia="宋体" w:cs="Times New Roman"/>
                <w:szCs w:val="21"/>
              </w:rPr>
              <w:t>★</w:t>
            </w:r>
            <w:r>
              <w:rPr>
                <w:rFonts w:hint="eastAsia" w:ascii="宋体" w:hAnsi="宋体"/>
                <w:szCs w:val="21"/>
              </w:rPr>
              <w:t>1.速率：12M或12M以上；</w:t>
            </w:r>
          </w:p>
          <w:p>
            <w:pPr>
              <w:spacing w:line="360" w:lineRule="exact"/>
              <w:ind w:firstLine="420" w:firstLineChars="200"/>
              <w:rPr>
                <w:rFonts w:ascii="宋体" w:hAnsi="宋体"/>
                <w:szCs w:val="21"/>
              </w:rPr>
            </w:pPr>
            <w:r>
              <w:rPr>
                <w:rFonts w:hint="eastAsia" w:ascii="宋体" w:hAnsi="宋体"/>
                <w:szCs w:val="21"/>
              </w:rPr>
              <w:t>2.线路连接方式：互联网VPN（虚拟专用网络）线路。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27" w:type="dxa"/>
            <w:noWrap w:val="0"/>
            <w:vAlign w:val="center"/>
          </w:tcPr>
          <w:p>
            <w:pPr>
              <w:spacing w:line="360" w:lineRule="exact"/>
              <w:rPr>
                <w:rFonts w:hint="eastAsia" w:ascii="宋体" w:hAnsi="宋体" w:eastAsia="宋体"/>
                <w:szCs w:val="21"/>
                <w:lang w:eastAsia="zh-CN"/>
              </w:rPr>
            </w:pPr>
            <w:r>
              <w:rPr>
                <w:rFonts w:hint="eastAsia" w:ascii="宋体" w:hAnsi="宋体"/>
                <w:szCs w:val="21"/>
                <w:lang w:val="en-US" w:eastAsia="zh-CN"/>
              </w:rPr>
              <w:t>6</w:t>
            </w:r>
          </w:p>
        </w:tc>
        <w:tc>
          <w:tcPr>
            <w:tcW w:w="1177" w:type="dxa"/>
            <w:noWrap w:val="0"/>
            <w:vAlign w:val="center"/>
          </w:tcPr>
          <w:p>
            <w:pPr>
              <w:spacing w:line="360" w:lineRule="exact"/>
              <w:rPr>
                <w:rFonts w:hint="eastAsia" w:ascii="宋体" w:hAnsi="宋体" w:eastAsia="宋体"/>
                <w:szCs w:val="21"/>
                <w:lang w:eastAsia="zh-CN"/>
              </w:rPr>
            </w:pPr>
            <w:r>
              <w:rPr>
                <w:rFonts w:hint="eastAsia" w:ascii="宋体" w:hAnsi="宋体"/>
                <w:szCs w:val="21"/>
              </w:rPr>
              <w:t>100M电子政务外网线路</w:t>
            </w:r>
            <w:r>
              <w:rPr>
                <w:rFonts w:hint="eastAsia" w:ascii="宋体" w:hAnsi="宋体"/>
                <w:szCs w:val="21"/>
                <w:lang w:eastAsia="zh-CN"/>
              </w:rPr>
              <w:t>租用服务</w:t>
            </w:r>
          </w:p>
        </w:tc>
        <w:tc>
          <w:tcPr>
            <w:tcW w:w="567" w:type="dxa"/>
            <w:noWrap w:val="0"/>
            <w:vAlign w:val="center"/>
          </w:tcPr>
          <w:p>
            <w:pPr>
              <w:spacing w:line="360" w:lineRule="exact"/>
              <w:rPr>
                <w:rFonts w:hint="default" w:ascii="宋体" w:hAnsi="宋体" w:eastAsia="宋体"/>
                <w:szCs w:val="21"/>
                <w:lang w:val="en-US" w:eastAsia="zh-CN"/>
              </w:rPr>
            </w:pPr>
            <w:r>
              <w:rPr>
                <w:rFonts w:hint="eastAsia" w:ascii="宋体" w:hAnsi="宋体"/>
                <w:szCs w:val="21"/>
                <w:lang w:val="en-US" w:eastAsia="zh-CN"/>
              </w:rPr>
              <w:t>5</w:t>
            </w:r>
          </w:p>
        </w:tc>
        <w:tc>
          <w:tcPr>
            <w:tcW w:w="567" w:type="dxa"/>
            <w:noWrap w:val="0"/>
            <w:vAlign w:val="center"/>
          </w:tcPr>
          <w:p>
            <w:pPr>
              <w:spacing w:line="360" w:lineRule="exact"/>
              <w:rPr>
                <w:rFonts w:hint="eastAsia" w:ascii="宋体" w:hAnsi="宋体"/>
                <w:szCs w:val="21"/>
              </w:rPr>
            </w:pPr>
            <w:r>
              <w:rPr>
                <w:rFonts w:hint="eastAsia" w:ascii="宋体" w:hAnsi="宋体"/>
                <w:szCs w:val="21"/>
              </w:rPr>
              <w:t>条</w:t>
            </w:r>
          </w:p>
        </w:tc>
        <w:tc>
          <w:tcPr>
            <w:tcW w:w="5869" w:type="dxa"/>
            <w:noWrap w:val="0"/>
            <w:vAlign w:val="center"/>
          </w:tcPr>
          <w:p>
            <w:pPr>
              <w:spacing w:line="360" w:lineRule="exact"/>
              <w:ind w:firstLine="420" w:firstLineChars="200"/>
              <w:rPr>
                <w:rFonts w:ascii="宋体" w:hAnsi="宋体"/>
                <w:szCs w:val="21"/>
              </w:rPr>
            </w:pPr>
            <w:r>
              <w:rPr>
                <w:rFonts w:hint="eastAsia" w:ascii="宋体" w:hAnsi="宋体"/>
                <w:szCs w:val="21"/>
              </w:rPr>
              <w:t>传输带宽不低于100Mbps，提供开通及调试服务。</w:t>
            </w:r>
          </w:p>
          <w:p>
            <w:pPr>
              <w:spacing w:line="360" w:lineRule="exact"/>
              <w:ind w:firstLine="420" w:firstLineChars="200"/>
              <w:rPr>
                <w:rFonts w:ascii="宋体" w:hAnsi="宋体"/>
                <w:szCs w:val="21"/>
              </w:rPr>
            </w:pPr>
            <w:r>
              <w:rPr>
                <w:rFonts w:hint="eastAsia" w:ascii="宋体" w:hAnsi="宋体" w:eastAsia="宋体" w:cs="Times New Roman"/>
                <w:szCs w:val="21"/>
              </w:rPr>
              <w:t>★</w:t>
            </w:r>
            <w:r>
              <w:rPr>
                <w:rFonts w:hint="eastAsia" w:ascii="宋体" w:hAnsi="宋体"/>
                <w:szCs w:val="21"/>
              </w:rPr>
              <w:t>1.速率：上、下行不低于100Mbps；</w:t>
            </w:r>
          </w:p>
          <w:p>
            <w:pPr>
              <w:spacing w:line="360" w:lineRule="exact"/>
              <w:ind w:firstLine="420" w:firstLineChars="200"/>
              <w:rPr>
                <w:rFonts w:ascii="宋体" w:hAnsi="宋体"/>
                <w:szCs w:val="21"/>
              </w:rPr>
            </w:pPr>
            <w:r>
              <w:rPr>
                <w:rFonts w:hint="eastAsia" w:ascii="宋体" w:hAnsi="宋体"/>
                <w:szCs w:val="21"/>
              </w:rPr>
              <w:t>2.线路连接方式：IPRAN光纤专线线路或更先进的专用专线；</w:t>
            </w:r>
          </w:p>
          <w:p>
            <w:pPr>
              <w:spacing w:line="360" w:lineRule="exact"/>
              <w:ind w:firstLine="420" w:firstLineChars="200"/>
              <w:rPr>
                <w:rFonts w:ascii="宋体" w:hAnsi="宋体"/>
                <w:szCs w:val="21"/>
              </w:rPr>
            </w:pPr>
            <w:r>
              <w:rPr>
                <w:rFonts w:hint="eastAsia" w:ascii="宋体" w:hAnsi="宋体"/>
                <w:szCs w:val="21"/>
              </w:rPr>
              <w:t>3.线路技术指标：</w:t>
            </w:r>
          </w:p>
          <w:p>
            <w:pPr>
              <w:spacing w:line="360" w:lineRule="exact"/>
              <w:ind w:firstLine="420" w:firstLineChars="200"/>
              <w:rPr>
                <w:rFonts w:ascii="宋体" w:hAnsi="宋体"/>
                <w:szCs w:val="21"/>
              </w:rPr>
            </w:pPr>
            <w:r>
              <w:rPr>
                <w:rFonts w:hint="eastAsia" w:ascii="宋体" w:hAnsi="宋体"/>
              </w:rPr>
              <w:t>▲</w:t>
            </w:r>
            <w:r>
              <w:rPr>
                <w:rFonts w:hint="eastAsia" w:ascii="宋体" w:hAnsi="宋体"/>
                <w:szCs w:val="21"/>
              </w:rPr>
              <w:t>（1）线路可用率≥99.50%;</w:t>
            </w:r>
          </w:p>
          <w:p>
            <w:pPr>
              <w:spacing w:line="360" w:lineRule="exact"/>
              <w:ind w:firstLine="420" w:firstLineChars="200"/>
              <w:rPr>
                <w:rFonts w:ascii="宋体" w:hAnsi="宋体"/>
                <w:szCs w:val="21"/>
              </w:rPr>
            </w:pPr>
            <w:r>
              <w:rPr>
                <w:rFonts w:hint="eastAsia" w:ascii="宋体" w:hAnsi="宋体"/>
              </w:rPr>
              <w:t>▲</w:t>
            </w:r>
            <w:r>
              <w:rPr>
                <w:rFonts w:hint="eastAsia" w:ascii="宋体" w:hAnsi="宋体"/>
                <w:szCs w:val="21"/>
              </w:rPr>
              <w:t>（2）系统端到端的时延上限400ms，</w:t>
            </w:r>
          </w:p>
          <w:p>
            <w:pPr>
              <w:spacing w:line="360" w:lineRule="exact"/>
              <w:ind w:firstLine="420" w:firstLineChars="200"/>
              <w:rPr>
                <w:rFonts w:ascii="宋体" w:hAnsi="宋体"/>
                <w:szCs w:val="21"/>
              </w:rPr>
            </w:pPr>
            <w:r>
              <w:rPr>
                <w:rFonts w:hint="eastAsia" w:ascii="宋体" w:hAnsi="宋体"/>
                <w:szCs w:val="21"/>
              </w:rPr>
              <w:t>其中网络时延不超过50ms；</w:t>
            </w:r>
          </w:p>
          <w:p>
            <w:pPr>
              <w:spacing w:line="360" w:lineRule="exact"/>
              <w:ind w:firstLine="420" w:firstLineChars="200"/>
              <w:rPr>
                <w:rFonts w:ascii="宋体" w:hAnsi="宋体"/>
                <w:szCs w:val="21"/>
              </w:rPr>
            </w:pPr>
            <w:r>
              <w:rPr>
                <w:rFonts w:hint="eastAsia" w:ascii="宋体" w:hAnsi="宋体"/>
              </w:rPr>
              <w:t>▲</w:t>
            </w:r>
            <w:r>
              <w:rPr>
                <w:rFonts w:hint="eastAsia" w:ascii="宋体" w:hAnsi="宋体"/>
                <w:szCs w:val="21"/>
              </w:rPr>
              <w:t>（3）网络丢包率上限值为 1×10-3；</w:t>
            </w:r>
          </w:p>
          <w:p>
            <w:pPr>
              <w:spacing w:line="360" w:lineRule="exact"/>
              <w:ind w:firstLine="420" w:firstLineChars="200"/>
              <w:rPr>
                <w:rFonts w:ascii="宋体" w:hAnsi="宋体"/>
                <w:szCs w:val="21"/>
              </w:rPr>
            </w:pPr>
            <w:r>
              <w:rPr>
                <w:rFonts w:hint="eastAsia" w:ascii="宋体" w:hAnsi="宋体"/>
                <w:szCs w:val="21"/>
              </w:rPr>
              <w:t>（4）包误差率上限值为 1×10-4；</w:t>
            </w:r>
          </w:p>
          <w:p>
            <w:pPr>
              <w:spacing w:line="360" w:lineRule="exact"/>
              <w:ind w:firstLine="420" w:firstLineChars="200"/>
              <w:rPr>
                <w:rFonts w:hint="eastAsia" w:ascii="宋体" w:hAnsi="宋体"/>
                <w:szCs w:val="21"/>
              </w:rPr>
            </w:pPr>
            <w:r>
              <w:rPr>
                <w:rFonts w:hint="eastAsia" w:ascii="宋体" w:hAnsi="宋体"/>
                <w:szCs w:val="21"/>
              </w:rPr>
              <w:t>4.具备自愈保护功能接入段节点业务恢复时间小于50ms。</w:t>
            </w:r>
          </w:p>
          <w:p>
            <w:pPr>
              <w:spacing w:line="360" w:lineRule="exact"/>
              <w:ind w:firstLine="420" w:firstLineChars="200"/>
              <w:rPr>
                <w:rFonts w:hint="default" w:ascii="宋体" w:hAnsi="宋体" w:eastAsia="宋体"/>
                <w:szCs w:val="21"/>
                <w:lang w:val="en-US" w:eastAsia="zh-CN"/>
              </w:rPr>
            </w:pPr>
            <w:r>
              <w:rPr>
                <w:rFonts w:hint="eastAsia" w:ascii="宋体" w:hAnsi="宋体"/>
                <w:szCs w:val="21"/>
                <w:lang w:val="en-US" w:eastAsia="zh-CN"/>
              </w:rPr>
              <w:t>5.含10个互联网固定IP地址。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27" w:type="dxa"/>
            <w:noWrap w:val="0"/>
            <w:vAlign w:val="center"/>
          </w:tcPr>
          <w:p>
            <w:pPr>
              <w:pStyle w:val="163"/>
              <w:bidi w:val="0"/>
              <w:ind w:firstLine="0" w:firstLineChars="0"/>
              <w:rPr>
                <w:rFonts w:hint="default" w:ascii="宋体" w:hAnsi="宋体" w:eastAsia="宋体"/>
                <w:color w:val="auto"/>
                <w:kern w:val="2"/>
                <w:sz w:val="21"/>
                <w:szCs w:val="21"/>
                <w:lang w:val="en-US" w:eastAsia="zh-CN" w:bidi="ar-SA"/>
              </w:rPr>
            </w:pPr>
            <w:r>
              <w:rPr>
                <w:rFonts w:hint="eastAsia"/>
                <w:color w:val="auto"/>
                <w:kern w:val="2"/>
                <w:sz w:val="21"/>
                <w:szCs w:val="21"/>
                <w:lang w:val="en-US" w:eastAsia="zh-CN" w:bidi="ar-SA"/>
              </w:rPr>
              <w:t>7</w:t>
            </w:r>
          </w:p>
        </w:tc>
        <w:tc>
          <w:tcPr>
            <w:tcW w:w="1177" w:type="dxa"/>
            <w:noWrap w:val="0"/>
            <w:vAlign w:val="center"/>
          </w:tcPr>
          <w:p>
            <w:pPr>
              <w:pStyle w:val="163"/>
              <w:bidi w:val="0"/>
              <w:rPr>
                <w:rFonts w:hint="eastAsia" w:ascii="宋体" w:hAnsi="宋体" w:eastAsia="宋体" w:cs="Times New Roman"/>
                <w:color w:val="auto"/>
                <w:kern w:val="2"/>
                <w:sz w:val="21"/>
                <w:szCs w:val="21"/>
                <w:lang w:val="en-US" w:eastAsia="zh-CN" w:bidi="ar-SA"/>
              </w:rPr>
            </w:pPr>
            <w:r>
              <w:rPr>
                <w:rFonts w:hint="eastAsia" w:cs="Times New Roman"/>
                <w:color w:val="auto"/>
              </w:rPr>
              <w:t>VPN全流量检测设备</w:t>
            </w:r>
            <w:r>
              <w:rPr>
                <w:rFonts w:hint="eastAsia" w:cs="Times New Roman"/>
                <w:color w:val="auto"/>
                <w:lang w:eastAsia="zh-CN"/>
              </w:rPr>
              <w:t>租用</w:t>
            </w:r>
            <w:r>
              <w:rPr>
                <w:rFonts w:hint="eastAsia" w:cs="Times New Roman"/>
                <w:color w:val="auto"/>
              </w:rPr>
              <w:t>服务</w:t>
            </w:r>
          </w:p>
        </w:tc>
        <w:tc>
          <w:tcPr>
            <w:tcW w:w="567" w:type="dxa"/>
            <w:noWrap w:val="0"/>
            <w:vAlign w:val="center"/>
          </w:tcPr>
          <w:p>
            <w:pPr>
              <w:pStyle w:val="163"/>
              <w:bidi w:val="0"/>
              <w:rPr>
                <w:rFonts w:hint="eastAsia" w:ascii="宋体" w:hAnsi="宋体" w:eastAsia="宋体" w:cs="Times New Roman"/>
                <w:color w:val="auto"/>
                <w:kern w:val="2"/>
                <w:sz w:val="21"/>
                <w:szCs w:val="21"/>
                <w:lang w:val="en-US" w:eastAsia="zh-CN" w:bidi="ar-SA"/>
              </w:rPr>
            </w:pPr>
            <w:r>
              <w:rPr>
                <w:rFonts w:hint="eastAsia" w:cs="Times New Roman"/>
                <w:color w:val="auto"/>
                <w:lang w:val="en-US" w:eastAsia="zh-CN"/>
              </w:rPr>
              <w:t>1</w:t>
            </w:r>
          </w:p>
        </w:tc>
        <w:tc>
          <w:tcPr>
            <w:tcW w:w="567" w:type="dxa"/>
            <w:noWrap w:val="0"/>
            <w:vAlign w:val="center"/>
          </w:tcPr>
          <w:p>
            <w:pPr>
              <w:pStyle w:val="163"/>
              <w:bidi w:val="0"/>
              <w:rPr>
                <w:rFonts w:hint="eastAsia" w:ascii="宋体" w:hAnsi="宋体" w:eastAsia="宋体" w:cs="Times New Roman"/>
                <w:kern w:val="2"/>
                <w:sz w:val="21"/>
                <w:szCs w:val="21"/>
                <w:lang w:val="en-US" w:eastAsia="zh-CN" w:bidi="ar-SA"/>
              </w:rPr>
            </w:pPr>
            <w:r>
              <w:rPr>
                <w:rFonts w:hint="eastAsia" w:cs="Times New Roman"/>
                <w:lang w:val="en-US" w:eastAsia="zh-CN"/>
              </w:rPr>
              <w:t>套</w:t>
            </w:r>
          </w:p>
        </w:tc>
        <w:tc>
          <w:tcPr>
            <w:tcW w:w="5869" w:type="dxa"/>
            <w:noWrap w:val="0"/>
            <w:vAlign w:val="center"/>
          </w:tcPr>
          <w:p>
            <w:pPr>
              <w:pStyle w:val="163"/>
              <w:spacing w:line="420" w:lineRule="atLeast"/>
              <w:ind w:firstLine="420" w:firstLineChars="200"/>
              <w:rPr>
                <w:color w:val="000000"/>
              </w:rPr>
            </w:pPr>
            <w:r>
              <w:rPr>
                <w:color w:val="000000"/>
              </w:rPr>
              <w:t>1.2U，业务面:</w:t>
            </w:r>
            <w:r>
              <w:rPr>
                <w:rFonts w:hint="eastAsia"/>
                <w:color w:val="000000"/>
              </w:rPr>
              <w:t>千兆电口≥6个，千兆光口≥4个，万兆光口≥4个，内存≥48GB，1+1冗余电源，≥4T硬盘；</w:t>
            </w:r>
          </w:p>
          <w:p>
            <w:pPr>
              <w:pStyle w:val="163"/>
              <w:spacing w:line="420" w:lineRule="atLeast"/>
              <w:ind w:firstLine="420" w:firstLineChars="200"/>
              <w:rPr>
                <w:color w:val="000000"/>
              </w:rPr>
            </w:pPr>
            <w:r>
              <w:rPr>
                <w:color w:val="000000"/>
              </w:rPr>
              <w:t>2.</w:t>
            </w:r>
            <w:r>
              <w:rPr>
                <w:rFonts w:hint="eastAsia"/>
                <w:color w:val="000000"/>
              </w:rPr>
              <w:t>整机吞吐</w:t>
            </w:r>
            <w:r>
              <w:rPr>
                <w:rFonts w:hint="eastAsia" w:ascii="宋体" w:hAnsi="宋体"/>
                <w:szCs w:val="21"/>
              </w:rPr>
              <w:t>≥</w:t>
            </w:r>
            <w:r>
              <w:rPr>
                <w:rFonts w:hint="eastAsia"/>
                <w:color w:val="000000"/>
              </w:rPr>
              <w:t>40Gbps，</w:t>
            </w:r>
            <w:r>
              <w:rPr>
                <w:rFonts w:hint="eastAsia"/>
                <w:color w:val="000000"/>
                <w:lang w:eastAsia="zh-CN"/>
              </w:rPr>
              <w:t>适用</w:t>
            </w:r>
            <w:r>
              <w:rPr>
                <w:rFonts w:hint="eastAsia"/>
                <w:color w:val="000000"/>
              </w:rPr>
              <w:t>带宽</w:t>
            </w:r>
            <w:r>
              <w:rPr>
                <w:rFonts w:hint="eastAsia" w:ascii="宋体" w:hAnsi="宋体"/>
                <w:szCs w:val="21"/>
              </w:rPr>
              <w:t>≥</w:t>
            </w:r>
            <w:r>
              <w:rPr>
                <w:rFonts w:hint="eastAsia"/>
                <w:color w:val="000000"/>
              </w:rPr>
              <w:t>5Gbps，监控IP地址数量≥10万</w:t>
            </w:r>
            <w:r>
              <w:rPr>
                <w:rFonts w:hint="eastAsia"/>
                <w:color w:val="000000"/>
                <w:lang w:eastAsia="zh-CN"/>
              </w:rPr>
              <w:t>，</w:t>
            </w:r>
            <w:r>
              <w:rPr>
                <w:rFonts w:hint="eastAsia"/>
                <w:color w:val="000000"/>
              </w:rPr>
              <w:t>3年维保授权；</w:t>
            </w:r>
          </w:p>
          <w:p>
            <w:pPr>
              <w:pStyle w:val="163"/>
              <w:spacing w:line="420" w:lineRule="atLeast"/>
              <w:ind w:firstLine="420" w:firstLineChars="200"/>
              <w:rPr>
                <w:color w:val="000000"/>
              </w:rPr>
            </w:pPr>
            <w:r>
              <w:rPr>
                <w:color w:val="000000"/>
              </w:rPr>
              <w:t>3.识别数据透传VPN协议Shadowsocks、ShadowsocksR、Vmess、Vless、Trojan等；识别特征VPN协议包括：PPTP、L2TP、IPSec、GRE等；识别代理协议：HTTP、SOCKS等；支持IP黑白名单，支持IP+端口方式拦载VPN；</w:t>
            </w:r>
          </w:p>
          <w:p>
            <w:pPr>
              <w:pStyle w:val="163"/>
              <w:spacing w:line="420" w:lineRule="atLeast"/>
              <w:ind w:firstLine="420" w:firstLineChars="200"/>
              <w:rPr>
                <w:color w:val="000000"/>
              </w:rPr>
            </w:pPr>
            <w:r>
              <w:rPr>
                <w:rFonts w:hint="eastAsia"/>
                <w:color w:val="000000"/>
              </w:rPr>
              <w:t>4.内置行为特征库与行为情报库，完整支持特征库及情报库在线、离线双模式更新；</w:t>
            </w:r>
          </w:p>
          <w:p>
            <w:pPr>
              <w:pStyle w:val="163"/>
              <w:spacing w:line="420" w:lineRule="atLeast"/>
              <w:ind w:firstLine="420" w:firstLineChars="200"/>
              <w:rPr>
                <w:rFonts w:hint="default"/>
                <w:color w:val="000000"/>
              </w:rPr>
            </w:pPr>
            <w:r>
              <w:rPr>
                <w:color w:val="000000"/>
              </w:rPr>
              <w:t>5.支持全量 dns流和网站请求流量审计</w:t>
            </w:r>
            <w:r>
              <w:rPr>
                <w:rFonts w:hint="eastAsia"/>
                <w:color w:val="000000"/>
                <w:lang w:eastAsia="zh-CN"/>
              </w:rPr>
              <w:t>等</w:t>
            </w:r>
            <w:r>
              <w:rPr>
                <w:color w:val="000000"/>
              </w:rPr>
              <w:t>；</w:t>
            </w:r>
          </w:p>
          <w:p>
            <w:pPr>
              <w:pStyle w:val="163"/>
              <w:bidi w:val="0"/>
              <w:ind w:firstLine="420" w:firstLineChars="200"/>
              <w:rPr>
                <w:rFonts w:hint="eastAsia" w:eastAsia="宋体"/>
                <w:color w:val="000000"/>
                <w:lang w:eastAsia="zh-CN"/>
              </w:rPr>
            </w:pPr>
            <w:r>
              <w:rPr>
                <w:color w:val="000000"/>
              </w:rPr>
              <w:t>6.部署在钦州市电子政务外网核心机房内</w:t>
            </w:r>
            <w:r>
              <w:rPr>
                <w:rFonts w:hint="eastAsia"/>
                <w:color w:val="000000"/>
                <w:lang w:eastAsia="zh-CN"/>
              </w:rPr>
              <w:t>；</w:t>
            </w:r>
          </w:p>
          <w:p>
            <w:pPr>
              <w:pStyle w:val="163"/>
              <w:bidi w:val="0"/>
              <w:ind w:firstLine="420" w:firstLineChars="200"/>
              <w:rPr>
                <w:rFonts w:hint="eastAsia"/>
                <w:color w:val="000000"/>
                <w:lang w:val="en-US" w:eastAsia="zh-CN"/>
              </w:rPr>
            </w:pPr>
            <w:r>
              <w:rPr>
                <w:rFonts w:hint="eastAsia" w:ascii="宋体" w:hAnsi="宋体"/>
              </w:rPr>
              <w:t>▲</w:t>
            </w:r>
            <w:r>
              <w:rPr>
                <w:rFonts w:hint="eastAsia"/>
                <w:color w:val="000000"/>
                <w:lang w:val="en-US" w:eastAsia="zh-CN"/>
              </w:rPr>
              <w:t>7.支持独立化的防范虚拟专用网络非法访问界面配置；支持防范虚拟专用网络非法访问日志本地记录和单独大屏幕展示，不借助第三方平台（供应商需提供产品功能界面截图并加盖公章）；</w:t>
            </w:r>
          </w:p>
          <w:p>
            <w:pPr>
              <w:pStyle w:val="163"/>
              <w:bidi w:val="0"/>
              <w:ind w:firstLine="420" w:firstLineChars="200"/>
              <w:rPr>
                <w:rFonts w:hint="eastAsia"/>
                <w:color w:val="000000"/>
                <w:lang w:val="en-US" w:eastAsia="zh-CN"/>
              </w:rPr>
            </w:pPr>
            <w:r>
              <w:rPr>
                <w:rFonts w:hint="eastAsia" w:ascii="宋体" w:hAnsi="宋体"/>
              </w:rPr>
              <w:t>▲</w:t>
            </w:r>
            <w:r>
              <w:rPr>
                <w:rFonts w:hint="eastAsia"/>
                <w:color w:val="000000"/>
                <w:lang w:val="en-US" w:eastAsia="zh-CN"/>
              </w:rPr>
              <w:t>8.支持超过120+的代理软件配置监测或阻断，其中包含clash、无界、Ghelper、Shadowrocket、ExpressVPN、Pigcha等，并支持报表模块统计（供应商需提供产品功能界面截图并加盖公章）；</w:t>
            </w:r>
          </w:p>
          <w:p>
            <w:pPr>
              <w:pStyle w:val="163"/>
              <w:bidi w:val="0"/>
              <w:ind w:firstLine="420" w:firstLineChars="200"/>
              <w:rPr>
                <w:rFonts w:hint="eastAsia"/>
                <w:color w:val="000000"/>
                <w:lang w:val="en-US" w:eastAsia="zh-CN"/>
              </w:rPr>
            </w:pPr>
            <w:r>
              <w:rPr>
                <w:rFonts w:hint="eastAsia" w:ascii="宋体" w:hAnsi="宋体"/>
              </w:rPr>
              <w:t>▲</w:t>
            </w:r>
            <w:r>
              <w:rPr>
                <w:rFonts w:hint="eastAsia"/>
                <w:color w:val="000000"/>
                <w:lang w:val="en-US" w:eastAsia="zh-CN"/>
              </w:rPr>
              <w:t>9.支持智能识别模式和快速识别模式，在智能识别模式下应用引擎尽可能地用各种方式识别网络流量，在快速识别模式下应用引擎将关闭部分智能分析功能以提高性能（供应商需提供产品功能界面截图并加盖公章）。</w:t>
            </w:r>
          </w:p>
          <w:p>
            <w:pPr>
              <w:pStyle w:val="163"/>
              <w:bidi w:val="0"/>
              <w:ind w:firstLine="420" w:firstLineChars="200"/>
              <w:rPr>
                <w:rFonts w:hint="eastAsia"/>
                <w:color w:val="000000"/>
                <w:lang w:val="en-US" w:eastAsia="zh-CN"/>
              </w:rPr>
            </w:pPr>
            <w:r>
              <w:rPr>
                <w:rFonts w:hint="eastAsia"/>
                <w:color w:val="000000"/>
                <w:lang w:val="en-US" w:eastAsia="zh-CN"/>
              </w:rPr>
              <w:t>10.支持网桥模式，以透明方式串接在网络中；支持网关模式，支持NAT、路由转发、DHCP、GRE、OSPF等功能；支持电口Bypass；部署模式切换无需重启设备；</w:t>
            </w:r>
          </w:p>
          <w:p>
            <w:pPr>
              <w:pStyle w:val="163"/>
              <w:bidi w:val="0"/>
              <w:ind w:firstLine="420" w:firstLineChars="200"/>
              <w:rPr>
                <w:rFonts w:hint="eastAsia"/>
                <w:color w:val="000000"/>
                <w:lang w:val="en-US" w:eastAsia="zh-CN"/>
              </w:rPr>
            </w:pPr>
            <w:r>
              <w:rPr>
                <w:rFonts w:hint="eastAsia"/>
                <w:color w:val="000000"/>
                <w:lang w:val="en-US" w:eastAsia="zh-CN"/>
              </w:rPr>
              <w:t>11.支持将日志记录发送至第三方平台进行数据分析和呈现，发送数据支持蝶式交换加密算法；</w:t>
            </w:r>
          </w:p>
          <w:p>
            <w:pPr>
              <w:pStyle w:val="163"/>
              <w:bidi w:val="0"/>
              <w:ind w:firstLine="420" w:firstLineChars="200"/>
              <w:rPr>
                <w:rFonts w:hint="eastAsia"/>
                <w:color w:val="000000"/>
                <w:lang w:val="en-US" w:eastAsia="zh-CN"/>
              </w:rPr>
            </w:pPr>
            <w:r>
              <w:rPr>
                <w:rFonts w:hint="eastAsia"/>
                <w:color w:val="000000"/>
                <w:lang w:val="en-US" w:eastAsia="zh-CN"/>
              </w:rPr>
              <w:t>12.支持IP准入、MAC准入、IP+MAC准入、短信认证、微信公众号认证、APP认证、IC卡认证、二维码认证、互联网钉钉认证、企业微信认证，其中微信认证支持通过小程序获取手机号；支持对接深澜、城市热点、PPPOE、安美等常见认证服务器；</w:t>
            </w:r>
          </w:p>
          <w:p>
            <w:pPr>
              <w:pStyle w:val="163"/>
              <w:bidi w:val="0"/>
              <w:ind w:firstLine="420" w:firstLineChars="200"/>
              <w:rPr>
                <w:rFonts w:hint="eastAsia"/>
                <w:color w:val="000000"/>
                <w:lang w:val="en-US" w:eastAsia="zh-CN"/>
              </w:rPr>
            </w:pPr>
            <w:r>
              <w:rPr>
                <w:rFonts w:hint="eastAsia"/>
                <w:color w:val="000000"/>
                <w:lang w:val="en-US" w:eastAsia="zh-CN"/>
              </w:rPr>
              <w:t>13.支持基于控制策略做策略分析，可针对冲突策略、冗余策略、隐藏策略等7种策略输出相应的分析建议，其中包括数量和宽松度分布，帮助更好梳理策略。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27" w:type="dxa"/>
            <w:noWrap w:val="0"/>
            <w:vAlign w:val="center"/>
          </w:tcPr>
          <w:p>
            <w:pPr>
              <w:pStyle w:val="163"/>
              <w:spacing w:line="420" w:lineRule="atLeast"/>
              <w:jc w:val="center"/>
              <w:rPr>
                <w:rFonts w:hint="default" w:ascii="宋体" w:hAnsi="宋体" w:eastAsia="宋体"/>
                <w:kern w:val="2"/>
                <w:sz w:val="21"/>
                <w:szCs w:val="21"/>
                <w:lang w:val="en-US" w:eastAsia="zh-CN" w:bidi="ar-SA"/>
              </w:rPr>
            </w:pPr>
            <w:r>
              <w:rPr>
                <w:rFonts w:hint="eastAsia"/>
                <w:kern w:val="2"/>
                <w:sz w:val="21"/>
                <w:szCs w:val="21"/>
                <w:lang w:val="en-US" w:eastAsia="zh-CN" w:bidi="ar-SA"/>
              </w:rPr>
              <w:t>8</w:t>
            </w:r>
          </w:p>
        </w:tc>
        <w:tc>
          <w:tcPr>
            <w:tcW w:w="1177" w:type="dxa"/>
            <w:noWrap w:val="0"/>
            <w:vAlign w:val="center"/>
          </w:tcPr>
          <w:p>
            <w:pPr>
              <w:pStyle w:val="163"/>
              <w:spacing w:line="420" w:lineRule="atLeast"/>
              <w:rPr>
                <w:rFonts w:hint="eastAsia" w:ascii="宋体" w:hAnsi="宋体" w:eastAsia="宋体"/>
                <w:kern w:val="2"/>
                <w:sz w:val="21"/>
                <w:szCs w:val="21"/>
                <w:lang w:val="en-US" w:eastAsia="zh-CN" w:bidi="ar-SA"/>
              </w:rPr>
            </w:pPr>
            <w:r>
              <w:t>钦州市电子政务外网防火墙病毒库授权服务</w:t>
            </w:r>
          </w:p>
        </w:tc>
        <w:tc>
          <w:tcPr>
            <w:tcW w:w="567" w:type="dxa"/>
            <w:noWrap w:val="0"/>
            <w:vAlign w:val="center"/>
          </w:tcPr>
          <w:p>
            <w:pPr>
              <w:pStyle w:val="163"/>
              <w:spacing w:line="420" w:lineRule="atLeast"/>
              <w:jc w:val="center"/>
              <w:rPr>
                <w:rFonts w:hint="eastAsia" w:ascii="宋体" w:hAnsi="宋体" w:eastAsia="宋体"/>
                <w:kern w:val="2"/>
                <w:sz w:val="21"/>
                <w:szCs w:val="21"/>
                <w:lang w:val="en-US" w:eastAsia="zh-CN" w:bidi="ar-SA"/>
              </w:rPr>
            </w:pPr>
            <w:r>
              <w:t>1</w:t>
            </w:r>
          </w:p>
        </w:tc>
        <w:tc>
          <w:tcPr>
            <w:tcW w:w="567" w:type="dxa"/>
            <w:noWrap w:val="0"/>
            <w:vAlign w:val="center"/>
          </w:tcPr>
          <w:p>
            <w:pPr>
              <w:spacing w:line="360" w:lineRule="exact"/>
              <w:rPr>
                <w:rFonts w:hint="eastAsia" w:ascii="宋体" w:hAnsi="宋体"/>
                <w:szCs w:val="21"/>
              </w:rPr>
            </w:pPr>
            <w:r>
              <w:t>项</w:t>
            </w:r>
          </w:p>
        </w:tc>
        <w:tc>
          <w:tcPr>
            <w:tcW w:w="5869" w:type="dxa"/>
            <w:noWrap w:val="0"/>
            <w:vAlign w:val="center"/>
          </w:tcPr>
          <w:p>
            <w:pPr>
              <w:pStyle w:val="163"/>
              <w:spacing w:line="420" w:lineRule="atLeast"/>
              <w:rPr>
                <w:color w:val="000000"/>
              </w:rPr>
            </w:pPr>
            <w:r>
              <w:rPr>
                <w:color w:val="000000"/>
              </w:rPr>
              <w:t>钦州市电子政务外网防火墙病毒库授权后防火墙支持以下功能：</w:t>
            </w:r>
          </w:p>
          <w:p>
            <w:pPr>
              <w:pStyle w:val="163"/>
              <w:spacing w:line="420" w:lineRule="atLeast"/>
              <w:ind w:firstLine="420" w:firstLineChars="200"/>
              <w:rPr>
                <w:color w:val="000000"/>
              </w:rPr>
            </w:pPr>
            <w:r>
              <w:rPr>
                <w:color w:val="000000"/>
              </w:rPr>
              <w:t>1.支持双栈安全策略，即支持在一条安全策略中同时配置ipv4和ipv6地址；</w:t>
            </w:r>
          </w:p>
          <w:p>
            <w:pPr>
              <w:pStyle w:val="163"/>
              <w:spacing w:line="420" w:lineRule="atLeast"/>
              <w:ind w:firstLine="420" w:firstLineChars="200"/>
              <w:rPr>
                <w:color w:val="000000"/>
              </w:rPr>
            </w:pPr>
            <w:r>
              <w:rPr>
                <w:color w:val="000000"/>
              </w:rPr>
              <w:t>2.入侵防御及病毒防护:支持的签名数量不少于12000 条，CVE 签名数量不少于8000条，漏洞详情官方可查询等；</w:t>
            </w:r>
          </w:p>
          <w:p>
            <w:pPr>
              <w:pStyle w:val="163"/>
              <w:spacing w:line="420" w:lineRule="atLeast"/>
              <w:ind w:firstLine="420" w:firstLineChars="200"/>
              <w:rPr>
                <w:color w:val="000000"/>
              </w:rPr>
            </w:pPr>
            <w:r>
              <w:rPr>
                <w:color w:val="000000"/>
              </w:rPr>
              <w:t>3.支持HTTP、FTP、POP3、IMAP4、SMTP、SMB、NFS 等7种协议的病毒检测；支持对压缩格式病毒的检出能力和防御能力，最大支持7层压缩格式文件病毒文件检测，能够查看到压缩格式和病毒名等。</w:t>
            </w:r>
          </w:p>
          <w:p>
            <w:pPr>
              <w:pStyle w:val="163"/>
              <w:spacing w:line="420" w:lineRule="atLeast"/>
              <w:ind w:firstLine="420" w:firstLineChars="200"/>
              <w:rPr>
                <w:color w:val="000000"/>
              </w:rPr>
            </w:pPr>
            <w:r>
              <w:rPr>
                <w:color w:val="000000"/>
              </w:rPr>
              <w:t>4.防火墙整机IPv4网络层吞吐量(双向)≥78.9Gbps，IPv6网络层吞吐量(双向)≥55.6Gbps;</w:t>
            </w:r>
          </w:p>
          <w:p>
            <w:pPr>
              <w:pStyle w:val="163"/>
              <w:spacing w:line="420" w:lineRule="atLeast"/>
              <w:ind w:firstLine="420" w:firstLineChars="200"/>
              <w:rPr>
                <w:color w:val="000000"/>
              </w:rPr>
            </w:pPr>
            <w:r>
              <w:rPr>
                <w:color w:val="000000"/>
              </w:rPr>
              <w:t>5.防火墙整机IPv4应用层吞吐量(单向)≥12.9Gbps，IPv6应用层吞吐量(单向)≥12.5Gbps;</w:t>
            </w:r>
          </w:p>
          <w:p>
            <w:pPr>
              <w:pStyle w:val="163"/>
              <w:spacing w:line="420" w:lineRule="atLeast"/>
              <w:ind w:firstLine="420" w:firstLineChars="200"/>
              <w:rPr>
                <w:color w:val="000000"/>
              </w:rPr>
            </w:pPr>
            <w:r>
              <w:rPr>
                <w:color w:val="000000"/>
              </w:rPr>
              <w:t>6.IPSec VPN吞吐量≥30Gbps，SSL VPN吞吐量≥3Gbps，IPSec VPN隧道数≥15000，SSL VPN最大并发在线用户数≥5000且配置100个SSL VPN授权；</w:t>
            </w:r>
          </w:p>
          <w:p>
            <w:pPr>
              <w:spacing w:line="360" w:lineRule="exact"/>
              <w:ind w:firstLine="420" w:firstLineChars="200"/>
              <w:rPr>
                <w:rFonts w:hint="eastAsia" w:ascii="宋体" w:hAnsi="宋体"/>
                <w:szCs w:val="21"/>
              </w:rPr>
            </w:pPr>
            <w:r>
              <w:rPr>
                <w:color w:val="000000"/>
              </w:rPr>
              <w:t>7.标准机架式1U设备,管理口≥1；千兆电口≥16；万兆光口≥12；40G光口≥2，产品采用自主研发的主控芯片、交换芯片、加速芯片等关键芯片，CPU核数≥32，内存≥16GB。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27" w:type="dxa"/>
            <w:noWrap w:val="0"/>
            <w:vAlign w:val="center"/>
          </w:tcPr>
          <w:p>
            <w:pPr>
              <w:pStyle w:val="163"/>
              <w:spacing w:line="420" w:lineRule="atLeast"/>
              <w:jc w:val="center"/>
              <w:rPr>
                <w:rFonts w:hint="default"/>
                <w:kern w:val="2"/>
                <w:sz w:val="21"/>
                <w:szCs w:val="21"/>
                <w:lang w:val="en-US" w:eastAsia="zh-CN" w:bidi="ar-SA"/>
              </w:rPr>
            </w:pPr>
            <w:r>
              <w:rPr>
                <w:rFonts w:hint="eastAsia"/>
                <w:kern w:val="2"/>
                <w:sz w:val="21"/>
                <w:szCs w:val="21"/>
                <w:lang w:val="en-US" w:eastAsia="zh-CN" w:bidi="ar-SA"/>
              </w:rPr>
              <w:t>9</w:t>
            </w:r>
          </w:p>
        </w:tc>
        <w:tc>
          <w:tcPr>
            <w:tcW w:w="1177" w:type="dxa"/>
            <w:noWrap w:val="0"/>
            <w:vAlign w:val="center"/>
          </w:tcPr>
          <w:p>
            <w:pPr>
              <w:pStyle w:val="163"/>
              <w:spacing w:line="420" w:lineRule="atLeast"/>
            </w:pPr>
            <w:r>
              <w:t>摄像头租用服务</w:t>
            </w:r>
          </w:p>
        </w:tc>
        <w:tc>
          <w:tcPr>
            <w:tcW w:w="567" w:type="dxa"/>
            <w:noWrap w:val="0"/>
            <w:vAlign w:val="center"/>
          </w:tcPr>
          <w:p>
            <w:pPr>
              <w:pStyle w:val="163"/>
              <w:spacing w:line="420" w:lineRule="atLeast"/>
              <w:jc w:val="center"/>
              <w:rPr>
                <w:rFonts w:hint="eastAsia" w:eastAsia="宋体"/>
                <w:lang w:val="en-US" w:eastAsia="zh-CN"/>
              </w:rPr>
            </w:pPr>
            <w:r>
              <w:rPr>
                <w:rFonts w:hint="eastAsia"/>
                <w:lang w:val="en-US" w:eastAsia="zh-CN"/>
              </w:rPr>
              <w:t>2</w:t>
            </w:r>
          </w:p>
        </w:tc>
        <w:tc>
          <w:tcPr>
            <w:tcW w:w="567" w:type="dxa"/>
            <w:noWrap w:val="0"/>
            <w:vAlign w:val="center"/>
          </w:tcPr>
          <w:p>
            <w:pPr>
              <w:spacing w:line="360" w:lineRule="exact"/>
              <w:rPr>
                <w:rFonts w:hint="eastAsia" w:ascii="宋体" w:hAnsi="宋体" w:eastAsia="宋体"/>
                <w:szCs w:val="21"/>
                <w:lang w:eastAsia="zh-CN"/>
              </w:rPr>
            </w:pPr>
            <w:r>
              <w:rPr>
                <w:rFonts w:hint="eastAsia" w:ascii="宋体" w:hAnsi="宋体"/>
                <w:szCs w:val="21"/>
                <w:lang w:eastAsia="zh-CN"/>
              </w:rPr>
              <w:t>个</w:t>
            </w:r>
          </w:p>
        </w:tc>
        <w:tc>
          <w:tcPr>
            <w:tcW w:w="5869" w:type="dxa"/>
            <w:noWrap w:val="0"/>
            <w:vAlign w:val="center"/>
          </w:tcPr>
          <w:p>
            <w:pPr>
              <w:pStyle w:val="163"/>
              <w:spacing w:line="420" w:lineRule="atLeast"/>
              <w:ind w:firstLine="420" w:firstLineChars="200"/>
            </w:pPr>
            <w:r>
              <w:t>1.不低于400万像素，分辨率不低于2560×1440；</w:t>
            </w:r>
          </w:p>
          <w:p>
            <w:pPr>
              <w:spacing w:line="360" w:lineRule="exact"/>
              <w:ind w:firstLine="420" w:firstLineChars="200"/>
              <w:rPr>
                <w:color w:val="000000"/>
              </w:rPr>
            </w:pPr>
            <w:r>
              <w:rPr>
                <w:rFonts w:ascii="Times New Roman" w:hAnsi="Times New Roman"/>
              </w:rPr>
              <w:t>2.支持移动侦测、人脸识别、车牌识别、周界警戒(绊线入侵、区域入侵)、客流统计、人脸检测、非机动车检测等。</w:t>
            </w:r>
          </w:p>
        </w:tc>
      </w:tr>
    </w:tbl>
    <w:p>
      <w:pPr>
        <w:tabs>
          <w:tab w:val="left" w:pos="180"/>
          <w:tab w:val="left" w:pos="1620"/>
        </w:tabs>
        <w:spacing w:line="400" w:lineRule="exact"/>
        <w:ind w:firstLine="402" w:firstLineChars="200"/>
        <w:textAlignment w:val="baseline"/>
        <w:rPr>
          <w:b/>
          <w:sz w:val="20"/>
          <w:szCs w:val="21"/>
        </w:rPr>
      </w:pPr>
    </w:p>
    <w:p>
      <w:pPr>
        <w:tabs>
          <w:tab w:val="left" w:pos="180"/>
          <w:tab w:val="left" w:pos="1620"/>
        </w:tabs>
        <w:spacing w:line="400" w:lineRule="exact"/>
        <w:ind w:firstLine="840" w:firstLineChars="400"/>
        <w:textAlignment w:val="baseline"/>
        <w:rPr>
          <w:rFonts w:hint="eastAsia" w:ascii="宋体" w:hAnsi="宋体" w:cs="宋体"/>
          <w:szCs w:val="21"/>
        </w:rPr>
      </w:pPr>
    </w:p>
    <w:p>
      <w:pPr>
        <w:tabs>
          <w:tab w:val="left" w:pos="180"/>
          <w:tab w:val="left" w:pos="1620"/>
        </w:tabs>
        <w:spacing w:line="400" w:lineRule="exact"/>
        <w:ind w:firstLine="840" w:firstLineChars="400"/>
        <w:textAlignment w:val="baseline"/>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tabs>
          <w:tab w:val="left" w:pos="180"/>
          <w:tab w:val="left" w:pos="1620"/>
        </w:tabs>
        <w:spacing w:line="400" w:lineRule="exact"/>
        <w:ind w:firstLine="840" w:firstLineChars="400"/>
        <w:textAlignment w:val="baseline"/>
        <w:rPr>
          <w:rFonts w:hint="eastAsia" w:ascii="宋体" w:hAnsi="宋体" w:cs="宋体"/>
          <w:szCs w:val="21"/>
        </w:rPr>
      </w:pP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5"/>
        <w:gridCol w:w="7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2" w:type="dxa"/>
            <w:gridSpan w:val="2"/>
            <w:vAlign w:val="center"/>
          </w:tcPr>
          <w:p>
            <w:pPr>
              <w:spacing w:line="400" w:lineRule="exact"/>
              <w:rPr>
                <w:rFonts w:hint="eastAsia" w:ascii="黑体" w:hAnsi="黑体" w:eastAsia="黑体" w:cs="黑体"/>
                <w:bCs/>
                <w:color w:val="auto"/>
                <w:sz w:val="28"/>
                <w:szCs w:val="28"/>
                <w:highlight w:val="none"/>
                <w:vertAlign w:val="baseline"/>
                <w:lang w:val="en-US" w:eastAsia="zh-CN"/>
              </w:rPr>
            </w:pPr>
            <w:r>
              <w:rPr>
                <w:rFonts w:hint="eastAsia" w:ascii="宋体" w:hAnsi="宋体" w:cs="宋体"/>
                <w:b/>
                <w:bCs/>
                <w:color w:val="auto"/>
                <w:szCs w:val="21"/>
              </w:rPr>
              <w:t>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5" w:type="dxa"/>
            <w:vAlign w:val="center"/>
          </w:tcPr>
          <w:p>
            <w:pPr>
              <w:numPr>
                <w:ilvl w:val="0"/>
                <w:numId w:val="0"/>
              </w:numPr>
              <w:spacing w:line="500" w:lineRule="exact"/>
              <w:jc w:val="center"/>
              <w:rPr>
                <w:rFonts w:hint="eastAsia" w:ascii="宋体" w:hAnsi="宋体" w:eastAsia="宋体" w:cs="Arial"/>
                <w:bCs/>
                <w:color w:val="000000"/>
                <w:kern w:val="2"/>
                <w:sz w:val="21"/>
                <w:szCs w:val="21"/>
                <w:lang w:val="en-US" w:eastAsia="zh-CN" w:bidi="ar-SA"/>
              </w:rPr>
            </w:pPr>
            <w:r>
              <w:rPr>
                <w:rFonts w:hint="eastAsia" w:ascii="宋体" w:hAnsi="宋体" w:eastAsia="宋体" w:cs="Arial"/>
                <w:bCs/>
                <w:color w:val="000000"/>
                <w:kern w:val="2"/>
                <w:sz w:val="21"/>
                <w:szCs w:val="21"/>
                <w:lang w:val="en-US" w:eastAsia="zh-CN" w:bidi="ar-SA"/>
              </w:rPr>
              <w:t>服务期限</w:t>
            </w:r>
          </w:p>
        </w:tc>
        <w:tc>
          <w:tcPr>
            <w:tcW w:w="7497" w:type="dxa"/>
          </w:tcPr>
          <w:p>
            <w:pPr>
              <w:keepNext w:val="0"/>
              <w:keepLines w:val="0"/>
              <w:pageBreakBefore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宋体" w:hAnsi="宋体" w:eastAsia="宋体" w:cs="Arial"/>
                <w:bCs/>
                <w:color w:val="000000"/>
                <w:kern w:val="2"/>
                <w:sz w:val="21"/>
                <w:szCs w:val="21"/>
                <w:lang w:val="en-US" w:eastAsia="zh-CN" w:bidi="ar-SA"/>
              </w:rPr>
            </w:pPr>
            <w:r>
              <w:rPr>
                <w:rFonts w:hint="eastAsia" w:ascii="宋体" w:hAnsi="宋体" w:eastAsia="宋体" w:cs="Arial"/>
                <w:bCs/>
                <w:color w:val="000000"/>
                <w:kern w:val="2"/>
                <w:sz w:val="21"/>
                <w:szCs w:val="21"/>
                <w:lang w:val="en-US" w:eastAsia="zh-CN" w:bidi="ar-SA"/>
              </w:rPr>
              <w:t>服务期限为3年(自最终验收合格之日起)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5" w:type="dxa"/>
            <w:vAlign w:val="center"/>
          </w:tcPr>
          <w:p>
            <w:pPr>
              <w:numPr>
                <w:ilvl w:val="0"/>
                <w:numId w:val="0"/>
              </w:numPr>
              <w:spacing w:line="500" w:lineRule="exact"/>
              <w:ind w:left="0" w:leftChars="0" w:firstLine="0" w:firstLineChars="0"/>
              <w:jc w:val="center"/>
              <w:rPr>
                <w:rFonts w:hint="eastAsia" w:ascii="宋体" w:hAnsi="宋体" w:eastAsia="宋体" w:cs="Times New Roman"/>
                <w:bCs w:val="0"/>
                <w:spacing w:val="0"/>
                <w:kern w:val="2"/>
                <w:sz w:val="21"/>
                <w:szCs w:val="21"/>
                <w:lang w:val="en-US" w:eastAsia="zh-CN" w:bidi="ar-SA"/>
              </w:rPr>
            </w:pPr>
            <w:r>
              <w:rPr>
                <w:rFonts w:hint="eastAsia" w:ascii="宋体" w:hAnsi="宋体" w:eastAsia="宋体" w:cs="Times New Roman"/>
                <w:bCs w:val="0"/>
                <w:spacing w:val="0"/>
                <w:kern w:val="2"/>
                <w:sz w:val="21"/>
                <w:szCs w:val="21"/>
                <w:lang w:val="en-US" w:eastAsia="zh-CN" w:bidi="ar-SA"/>
              </w:rPr>
              <w:t>交付期限</w:t>
            </w:r>
          </w:p>
        </w:tc>
        <w:tc>
          <w:tcPr>
            <w:tcW w:w="7497" w:type="dxa"/>
            <w:vAlign w:val="top"/>
          </w:tcPr>
          <w:p>
            <w:pPr>
              <w:keepNext w:val="0"/>
              <w:keepLines w:val="0"/>
              <w:pageBreakBefore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宋体" w:hAnsi="宋体" w:eastAsia="宋体" w:cs="Times New Roman"/>
                <w:bCs w:val="0"/>
                <w:spacing w:val="0"/>
                <w:kern w:val="2"/>
                <w:sz w:val="21"/>
                <w:szCs w:val="21"/>
                <w:lang w:val="en-US" w:eastAsia="zh-CN" w:bidi="ar-SA"/>
              </w:rPr>
            </w:pPr>
            <w:r>
              <w:rPr>
                <w:rFonts w:hint="eastAsia" w:ascii="宋体" w:hAnsi="宋体" w:eastAsia="宋体" w:cs="Times New Roman"/>
                <w:bCs w:val="0"/>
                <w:spacing w:val="0"/>
                <w:kern w:val="2"/>
                <w:sz w:val="21"/>
                <w:szCs w:val="21"/>
                <w:lang w:val="en-US" w:eastAsia="zh-CN" w:bidi="ar-SA"/>
              </w:rPr>
              <w:t>自签订合同之日起</w:t>
            </w:r>
            <w:r>
              <w:rPr>
                <w:rFonts w:hint="eastAsia" w:ascii="宋体" w:hAnsi="宋体" w:cs="Times New Roman"/>
                <w:bCs w:val="0"/>
                <w:spacing w:val="0"/>
                <w:kern w:val="2"/>
                <w:sz w:val="21"/>
                <w:szCs w:val="21"/>
                <w:lang w:val="en-US" w:eastAsia="zh-CN" w:bidi="ar-SA"/>
              </w:rPr>
              <w:t>30</w:t>
            </w:r>
            <w:r>
              <w:rPr>
                <w:rFonts w:hint="eastAsia" w:ascii="宋体" w:hAnsi="宋体" w:eastAsia="宋体" w:cs="Times New Roman"/>
                <w:bCs w:val="0"/>
                <w:spacing w:val="0"/>
                <w:kern w:val="2"/>
                <w:sz w:val="21"/>
                <w:szCs w:val="21"/>
                <w:lang w:val="en-US" w:eastAsia="zh-CN" w:bidi="ar-SA"/>
              </w:rPr>
              <w:t>个日历天内交付使用。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5" w:type="dxa"/>
            <w:vAlign w:val="center"/>
          </w:tcPr>
          <w:p>
            <w:pPr>
              <w:numPr>
                <w:ilvl w:val="0"/>
                <w:numId w:val="0"/>
              </w:numPr>
              <w:spacing w:line="500" w:lineRule="exact"/>
              <w:jc w:val="center"/>
              <w:rPr>
                <w:rFonts w:hint="eastAsia" w:ascii="黑体" w:hAnsi="黑体" w:eastAsia="黑体" w:cs="黑体"/>
                <w:b w:val="0"/>
                <w:bCs w:val="0"/>
                <w:color w:val="FF0000"/>
                <w:sz w:val="28"/>
                <w:szCs w:val="28"/>
                <w:highlight w:val="none"/>
                <w:vertAlign w:val="baseline"/>
                <w:lang w:val="en-US" w:eastAsia="zh-CN"/>
              </w:rPr>
            </w:pPr>
            <w:r>
              <w:rPr>
                <w:rFonts w:hint="eastAsia" w:ascii="宋体" w:hAnsi="宋体" w:eastAsia="宋体" w:cs="Times New Roman"/>
                <w:bCs w:val="0"/>
                <w:spacing w:val="0"/>
                <w:kern w:val="2"/>
                <w:sz w:val="21"/>
                <w:szCs w:val="21"/>
                <w:lang w:val="en-US" w:eastAsia="zh-CN" w:bidi="ar-SA"/>
              </w:rPr>
              <w:t>交付地点</w:t>
            </w:r>
          </w:p>
        </w:tc>
        <w:tc>
          <w:tcPr>
            <w:tcW w:w="7497" w:type="dxa"/>
          </w:tcPr>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黑体" w:hAnsi="黑体" w:eastAsia="黑体" w:cs="黑体"/>
                <w:bCs/>
                <w:color w:val="FF0000"/>
                <w:sz w:val="28"/>
                <w:szCs w:val="28"/>
                <w:highlight w:val="none"/>
                <w:vertAlign w:val="baseline"/>
                <w:lang w:val="en-US" w:eastAsia="zh-CN"/>
              </w:rPr>
            </w:pPr>
            <w:r>
              <w:rPr>
                <w:rFonts w:hint="eastAsia" w:ascii="宋体" w:hAnsi="宋体" w:eastAsia="宋体" w:cs="Times New Roman"/>
                <w:bCs w:val="0"/>
                <w:spacing w:val="0"/>
                <w:kern w:val="2"/>
                <w:sz w:val="21"/>
                <w:szCs w:val="21"/>
                <w:lang w:val="en-US" w:eastAsia="zh-CN" w:bidi="ar-SA"/>
              </w:rPr>
              <w:t>采购人指定地</w:t>
            </w:r>
            <w:r>
              <w:rPr>
                <w:rFonts w:hint="eastAsia" w:ascii="宋体" w:hAnsi="宋体" w:eastAsia="宋体" w:cs="Times New Roman"/>
                <w:bCs w:val="0"/>
                <w:color w:val="auto"/>
                <w:spacing w:val="0"/>
                <w:kern w:val="2"/>
                <w:sz w:val="21"/>
                <w:szCs w:val="21"/>
                <w:lang w:val="en-US" w:eastAsia="zh-CN" w:bidi="ar-SA"/>
              </w:rPr>
              <w:t>点（详见附件1）。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5" w:type="dxa"/>
            <w:vAlign w:val="center"/>
          </w:tcPr>
          <w:p>
            <w:pPr>
              <w:numPr>
                <w:ilvl w:val="0"/>
                <w:numId w:val="0"/>
              </w:numPr>
              <w:spacing w:line="500" w:lineRule="exact"/>
              <w:jc w:val="center"/>
              <w:rPr>
                <w:rFonts w:hint="eastAsia" w:ascii="宋体" w:hAnsi="宋体" w:eastAsia="宋体" w:cs="Times New Roman"/>
                <w:bCs w:val="0"/>
                <w:spacing w:val="0"/>
                <w:kern w:val="2"/>
                <w:sz w:val="21"/>
                <w:szCs w:val="21"/>
                <w:lang w:val="en-US" w:eastAsia="zh-CN" w:bidi="ar-SA"/>
              </w:rPr>
            </w:pPr>
            <w:r>
              <w:rPr>
                <w:rFonts w:hint="eastAsia" w:ascii="宋体" w:hAnsi="宋体" w:eastAsia="宋体" w:cs="Times New Roman"/>
                <w:bCs w:val="0"/>
                <w:spacing w:val="0"/>
                <w:kern w:val="2"/>
                <w:sz w:val="21"/>
                <w:szCs w:val="21"/>
                <w:lang w:val="en-US" w:eastAsia="zh-CN" w:bidi="ar-SA"/>
              </w:rPr>
              <w:t>付款方式</w:t>
            </w:r>
          </w:p>
        </w:tc>
        <w:tc>
          <w:tcPr>
            <w:tcW w:w="7497" w:type="dxa"/>
          </w:tcPr>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Times New Roman"/>
                <w:bCs w:val="0"/>
                <w:spacing w:val="0"/>
                <w:kern w:val="2"/>
                <w:sz w:val="21"/>
                <w:szCs w:val="21"/>
                <w:lang w:val="en-US" w:eastAsia="zh-CN" w:bidi="ar-SA"/>
              </w:rPr>
            </w:pPr>
            <w:r>
              <w:rPr>
                <w:rFonts w:cs="微软雅黑"/>
              </w:rPr>
              <w:t>项目合同金额分三年</w:t>
            </w:r>
            <w:r>
              <w:rPr>
                <w:rFonts w:hint="eastAsia" w:cs="微软雅黑"/>
                <w:lang w:eastAsia="zh-CN"/>
              </w:rPr>
              <w:t>平均</w:t>
            </w:r>
            <w:r>
              <w:rPr>
                <w:rFonts w:cs="微软雅黑"/>
              </w:rPr>
              <w:t>支付</w:t>
            </w:r>
            <w:r>
              <w:rPr>
                <w:rFonts w:hint="eastAsia" w:cs="微软雅黑"/>
                <w:lang w:eastAsia="zh-CN"/>
              </w:rPr>
              <w:t>，</w:t>
            </w:r>
            <w:r>
              <w:rPr>
                <w:rFonts w:cs="微软雅黑"/>
              </w:rPr>
              <w:t>每年服务期满后支付该年度费用，以后年度费用依次类推</w:t>
            </w:r>
            <w:r>
              <w:rPr>
                <w:rFonts w:hint="eastAsia" w:cs="微软雅黑"/>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5" w:type="dxa"/>
            <w:vAlign w:val="center"/>
          </w:tcPr>
          <w:p>
            <w:pPr>
              <w:numPr>
                <w:ilvl w:val="0"/>
                <w:numId w:val="0"/>
              </w:numPr>
              <w:spacing w:line="500" w:lineRule="exact"/>
              <w:jc w:val="center"/>
              <w:rPr>
                <w:rFonts w:hint="eastAsia" w:ascii="宋体" w:hAnsi="宋体" w:eastAsia="宋体" w:cs="Times New Roman"/>
                <w:bCs w:val="0"/>
                <w:spacing w:val="0"/>
                <w:kern w:val="2"/>
                <w:sz w:val="21"/>
                <w:szCs w:val="21"/>
                <w:lang w:val="en-US" w:eastAsia="zh-CN" w:bidi="ar-SA"/>
              </w:rPr>
            </w:pPr>
            <w:r>
              <w:rPr>
                <w:rFonts w:hint="eastAsia" w:ascii="宋体" w:hAnsi="宋体" w:eastAsia="宋体" w:cs="Times New Roman"/>
                <w:bCs w:val="0"/>
                <w:spacing w:val="0"/>
                <w:kern w:val="2"/>
                <w:sz w:val="21"/>
                <w:szCs w:val="21"/>
                <w:lang w:val="en-US" w:eastAsia="zh-CN" w:bidi="ar-SA"/>
              </w:rPr>
              <w:t>服务要求</w:t>
            </w:r>
          </w:p>
        </w:tc>
        <w:tc>
          <w:tcPr>
            <w:tcW w:w="7497" w:type="dxa"/>
          </w:tcPr>
          <w:p>
            <w:pPr>
              <w:pStyle w:val="163"/>
              <w:keepNext w:val="0"/>
              <w:keepLines w:val="0"/>
              <w:pageBreakBefore w:val="0"/>
              <w:kinsoku/>
              <w:wordWrap/>
              <w:overflowPunct/>
              <w:topLinePunct w:val="0"/>
              <w:autoSpaceDE/>
              <w:autoSpaceDN/>
              <w:bidi w:val="0"/>
              <w:adjustRightInd/>
              <w:snapToGrid/>
              <w:spacing w:line="460" w:lineRule="exact"/>
              <w:ind w:firstLine="0" w:firstLineChars="0"/>
              <w:jc w:val="left"/>
              <w:textAlignment w:val="auto"/>
              <w:rPr>
                <w:rFonts w:hint="eastAsia" w:ascii="宋体" w:hAnsi="宋体" w:eastAsia="宋体" w:cs="Times New Roman"/>
                <w:bCs w:val="0"/>
                <w:spacing w:val="0"/>
                <w:kern w:val="2"/>
                <w:sz w:val="21"/>
                <w:szCs w:val="21"/>
                <w:lang w:val="en-US" w:eastAsia="zh-CN" w:bidi="ar-SA"/>
              </w:rPr>
            </w:pPr>
            <w:r>
              <w:rPr>
                <w:rFonts w:hint="eastAsia" w:ascii="宋体" w:hAnsi="宋体" w:eastAsia="宋体" w:cs="Times New Roman"/>
                <w:bCs w:val="0"/>
                <w:spacing w:val="0"/>
                <w:kern w:val="2"/>
                <w:sz w:val="21"/>
                <w:szCs w:val="21"/>
                <w:lang w:val="en-US" w:eastAsia="zh-CN" w:bidi="ar-SA"/>
              </w:rPr>
              <w:t>（1）</w:t>
            </w:r>
            <w:r>
              <w:t>本项目要求一次性安装完毕。交付保障：供应商至少要提供实施人员8人，实施车辆2辆。</w:t>
            </w:r>
          </w:p>
          <w:p>
            <w:pPr>
              <w:pStyle w:val="163"/>
              <w:keepNext w:val="0"/>
              <w:keepLines w:val="0"/>
              <w:pageBreakBefore w:val="0"/>
              <w:kinsoku/>
              <w:wordWrap/>
              <w:overflowPunct/>
              <w:topLinePunct w:val="0"/>
              <w:autoSpaceDE/>
              <w:autoSpaceDN/>
              <w:bidi w:val="0"/>
              <w:adjustRightInd/>
              <w:snapToGrid/>
              <w:spacing w:line="460" w:lineRule="exact"/>
              <w:ind w:firstLine="0" w:firstLineChars="0"/>
              <w:jc w:val="left"/>
              <w:textAlignment w:val="auto"/>
              <w:rPr>
                <w:color w:val="auto"/>
              </w:rPr>
            </w:pPr>
            <w:r>
              <w:rPr>
                <w:rFonts w:hint="eastAsia" w:ascii="宋体" w:hAnsi="宋体" w:cs="Times New Roman"/>
                <w:bCs w:val="0"/>
                <w:spacing w:val="0"/>
                <w:kern w:val="2"/>
                <w:sz w:val="21"/>
                <w:szCs w:val="21"/>
                <w:lang w:val="en-US" w:eastAsia="zh-CN" w:bidi="ar-SA"/>
              </w:rPr>
              <w:t>（2）</w:t>
            </w:r>
            <w:r>
              <w:t>供应商拟投入的项目经理应具备</w:t>
            </w:r>
            <w:r>
              <w:rPr>
                <w:rFonts w:cs="Arial"/>
                <w:bCs/>
                <w:color w:val="000000"/>
              </w:rPr>
              <w:t>通信工程中级工程师</w:t>
            </w:r>
            <w:r>
              <w:t>或系统分析师证书等与本项</w:t>
            </w:r>
            <w:r>
              <w:rPr>
                <w:color w:val="auto"/>
              </w:rPr>
              <w:t>目相关的证书。</w:t>
            </w:r>
          </w:p>
          <w:p>
            <w:pPr>
              <w:pStyle w:val="163"/>
              <w:keepNext w:val="0"/>
              <w:keepLines w:val="0"/>
              <w:pageBreakBefore w:val="0"/>
              <w:kinsoku/>
              <w:wordWrap/>
              <w:overflowPunct/>
              <w:topLinePunct w:val="0"/>
              <w:autoSpaceDE/>
              <w:autoSpaceDN/>
              <w:bidi w:val="0"/>
              <w:adjustRightInd/>
              <w:snapToGrid/>
              <w:spacing w:line="460" w:lineRule="exact"/>
              <w:ind w:firstLine="0" w:firstLineChars="0"/>
              <w:jc w:val="left"/>
              <w:textAlignment w:val="auto"/>
              <w:rPr>
                <w:rFonts w:hint="eastAsia" w:eastAsia="宋体"/>
                <w:color w:val="auto"/>
                <w:lang w:eastAsia="zh-CN"/>
              </w:rPr>
            </w:pPr>
            <w:r>
              <w:rPr>
                <w:rFonts w:hint="eastAsia" w:cs="Arial"/>
                <w:bCs/>
                <w:color w:val="auto"/>
                <w:szCs w:val="21"/>
                <w:highlight w:val="none"/>
                <w:lang w:eastAsia="zh-CN"/>
              </w:rPr>
              <w:t>（</w:t>
            </w:r>
            <w:r>
              <w:rPr>
                <w:rFonts w:hint="eastAsia" w:ascii="宋体" w:hAnsi="宋体" w:cs="Arial"/>
                <w:bCs/>
                <w:color w:val="auto"/>
                <w:szCs w:val="21"/>
                <w:highlight w:val="none"/>
                <w:lang w:val="en-US" w:eastAsia="zh-CN"/>
              </w:rPr>
              <w:t>3</w:t>
            </w:r>
            <w:r>
              <w:rPr>
                <w:rFonts w:hint="eastAsia" w:ascii="宋体" w:hAnsi="宋体" w:cs="Arial"/>
                <w:bCs/>
                <w:color w:val="auto"/>
                <w:szCs w:val="21"/>
                <w:highlight w:val="none"/>
                <w:lang w:eastAsia="zh-CN"/>
              </w:rPr>
              <w:t>）</w:t>
            </w:r>
            <w:r>
              <w:rPr>
                <w:rFonts w:hint="eastAsia" w:ascii="宋体" w:hAnsi="宋体" w:cs="Arial"/>
                <w:bCs/>
                <w:color w:val="auto"/>
                <w:szCs w:val="21"/>
                <w:highlight w:val="none"/>
              </w:rPr>
              <w:t>供应商拟投入运维人员</w:t>
            </w:r>
            <w:r>
              <w:rPr>
                <w:rFonts w:hint="eastAsia" w:ascii="宋体" w:hAnsi="宋体" w:cs="Arial"/>
                <w:bCs/>
                <w:color w:val="auto"/>
                <w:szCs w:val="21"/>
                <w:highlight w:val="none"/>
                <w:lang w:val="en-US" w:eastAsia="zh-CN"/>
              </w:rPr>
              <w:t>应具</w:t>
            </w:r>
            <w:r>
              <w:rPr>
                <w:rFonts w:hint="eastAsia" w:cs="Arial"/>
                <w:bCs/>
                <w:color w:val="auto"/>
                <w:szCs w:val="21"/>
                <w:highlight w:val="none"/>
                <w:lang w:val="en-US" w:eastAsia="zh-CN"/>
              </w:rPr>
              <w:t>备</w:t>
            </w:r>
            <w:r>
              <w:rPr>
                <w:rFonts w:hint="eastAsia" w:ascii="宋体" w:hAnsi="宋体" w:cs="Arial"/>
                <w:bCs/>
                <w:color w:val="auto"/>
                <w:szCs w:val="21"/>
                <w:highlight w:val="none"/>
              </w:rPr>
              <w:t>与本项目相关专业的职称或具有国家认可的机构颁发专业能力证书</w:t>
            </w:r>
            <w:r>
              <w:rPr>
                <w:rFonts w:hint="eastAsia" w:cs="Arial"/>
                <w:bCs/>
                <w:color w:val="auto"/>
                <w:szCs w:val="21"/>
                <w:highlight w:val="none"/>
                <w:lang w:eastAsia="zh-CN"/>
              </w:rPr>
              <w:t>。</w:t>
            </w:r>
          </w:p>
          <w:p>
            <w:pPr>
              <w:keepNext w:val="0"/>
              <w:keepLines w:val="0"/>
              <w:pageBreakBefore w:val="0"/>
              <w:tabs>
                <w:tab w:val="left" w:pos="180"/>
                <w:tab w:val="left" w:pos="1620"/>
              </w:tabs>
              <w:kinsoku/>
              <w:wordWrap/>
              <w:overflowPunct/>
              <w:topLinePunct w:val="0"/>
              <w:autoSpaceDE/>
              <w:autoSpaceDN/>
              <w:bidi w:val="0"/>
              <w:adjustRightInd/>
              <w:snapToGrid/>
              <w:spacing w:line="460" w:lineRule="exact"/>
              <w:ind w:firstLine="0" w:firstLineChars="0"/>
              <w:jc w:val="left"/>
              <w:textAlignment w:val="auto"/>
              <w:rPr>
                <w:rFonts w:hint="eastAsia" w:ascii="宋体" w:hAnsi="宋体" w:eastAsia="宋体" w:cs="Times New Roman"/>
                <w:bCs w:val="0"/>
                <w:spacing w:val="0"/>
                <w:kern w:val="2"/>
                <w:sz w:val="21"/>
                <w:szCs w:val="21"/>
                <w:lang w:val="en-US" w:eastAsia="zh-CN" w:bidi="ar-SA"/>
              </w:rPr>
            </w:pPr>
            <w:r>
              <w:rPr>
                <w:rFonts w:hint="eastAsia" w:ascii="宋体" w:hAnsi="宋体" w:cs="Times New Roman"/>
                <w:bCs w:val="0"/>
                <w:spacing w:val="0"/>
                <w:kern w:val="2"/>
                <w:sz w:val="21"/>
                <w:szCs w:val="21"/>
                <w:lang w:val="en-US" w:eastAsia="zh-CN" w:bidi="ar-SA"/>
              </w:rPr>
              <w:t>（4）</w:t>
            </w:r>
            <w:r>
              <w:rPr>
                <w:rFonts w:hint="eastAsia" w:ascii="宋体" w:hAnsi="宋体" w:eastAsia="宋体" w:cs="Times New Roman"/>
                <w:bCs w:val="0"/>
                <w:spacing w:val="0"/>
                <w:kern w:val="2"/>
                <w:sz w:val="21"/>
                <w:szCs w:val="21"/>
                <w:lang w:val="en-US" w:eastAsia="zh-CN" w:bidi="ar-SA"/>
              </w:rPr>
              <w:t>培训要求：成交供应商须至少提供二次培训,第一次为现场安装调试培训，现场培训3名以上技术人员，培训时间不少于1天，达到能独立、熟练操作和维护的程度。</w:t>
            </w:r>
          </w:p>
          <w:p>
            <w:pPr>
              <w:pStyle w:val="106"/>
              <w:keepNext w:val="0"/>
              <w:keepLines w:val="0"/>
              <w:pageBreakBefore w:val="0"/>
              <w:kinsoku/>
              <w:wordWrap/>
              <w:overflowPunct/>
              <w:topLinePunct w:val="0"/>
              <w:autoSpaceDE/>
              <w:autoSpaceDN/>
              <w:bidi w:val="0"/>
              <w:adjustRightInd/>
              <w:snapToGrid/>
              <w:spacing w:line="460" w:lineRule="exact"/>
              <w:ind w:firstLine="0" w:firstLineChars="0"/>
              <w:jc w:val="left"/>
              <w:textAlignment w:val="auto"/>
              <w:rPr>
                <w:rFonts w:hint="eastAsia" w:ascii="宋体" w:hAnsi="宋体" w:eastAsia="宋体" w:cs="Times New Roman"/>
                <w:bCs w:val="0"/>
                <w:spacing w:val="0"/>
                <w:kern w:val="2"/>
                <w:sz w:val="21"/>
                <w:szCs w:val="21"/>
                <w:lang w:val="en-US" w:eastAsia="zh-CN" w:bidi="ar-SA"/>
              </w:rPr>
            </w:pPr>
            <w:r>
              <w:rPr>
                <w:rFonts w:hint="eastAsia" w:ascii="宋体" w:hAnsi="宋体" w:eastAsia="宋体" w:cs="Times New Roman"/>
                <w:bCs w:val="0"/>
                <w:spacing w:val="0"/>
                <w:kern w:val="2"/>
                <w:sz w:val="21"/>
                <w:szCs w:val="21"/>
                <w:lang w:val="en-US" w:eastAsia="zh-CN" w:bidi="ar-SA"/>
              </w:rPr>
              <w:t>（</w:t>
            </w:r>
            <w:r>
              <w:rPr>
                <w:rFonts w:hint="eastAsia" w:ascii="宋体" w:hAnsi="宋体" w:cs="Times New Roman"/>
                <w:bCs w:val="0"/>
                <w:spacing w:val="0"/>
                <w:kern w:val="2"/>
                <w:sz w:val="21"/>
                <w:szCs w:val="21"/>
                <w:lang w:val="en-US" w:eastAsia="zh-CN" w:bidi="ar-SA"/>
              </w:rPr>
              <w:t>5</w:t>
            </w:r>
            <w:r>
              <w:rPr>
                <w:rFonts w:hint="eastAsia" w:ascii="宋体" w:hAnsi="宋体" w:eastAsia="宋体" w:cs="Times New Roman"/>
                <w:bCs w:val="0"/>
                <w:spacing w:val="0"/>
                <w:kern w:val="2"/>
                <w:sz w:val="21"/>
                <w:szCs w:val="21"/>
                <w:lang w:val="en-US" w:eastAsia="zh-CN" w:bidi="ar-SA"/>
              </w:rPr>
              <w:t>）提供巡检维护服务，在服务期内，每2月提供1次</w:t>
            </w:r>
            <w:r>
              <w:rPr>
                <w:rFonts w:hint="eastAsia" w:ascii="宋体" w:hAnsi="宋体" w:cs="Times New Roman"/>
                <w:bCs w:val="0"/>
                <w:spacing w:val="0"/>
                <w:kern w:val="2"/>
                <w:sz w:val="21"/>
                <w:szCs w:val="21"/>
                <w:lang w:val="en-US" w:eastAsia="zh-CN" w:bidi="ar-SA"/>
              </w:rPr>
              <w:t>巡检</w:t>
            </w:r>
            <w:r>
              <w:rPr>
                <w:rFonts w:hint="eastAsia" w:ascii="宋体" w:hAnsi="宋体" w:eastAsia="宋体" w:cs="Times New Roman"/>
                <w:bCs w:val="0"/>
                <w:spacing w:val="0"/>
                <w:kern w:val="2"/>
                <w:sz w:val="21"/>
                <w:szCs w:val="21"/>
                <w:lang w:val="en-US" w:eastAsia="zh-CN" w:bidi="ar-SA"/>
              </w:rPr>
              <w:t>服务，检测系统运行情况，并做好系统运行记录，每年至少提供6次巡检。提供7×24小时客服电话服务，故障响应时间小于10分钟，一小时内到达现场。按照故障程度，一般故障2小时内修复；重大故障8小时内修复；如遇特殊情况，故障修复时间最长不超过12小时。如需更换备件，备件更换时间不能超过4小时。由于不可抗力的原因（如重大自然灾害等）造成的损坏不受此时限限制。制定应急保障预案，安排专人负责核心设备和易发生故障设备的现场维护和技术保障。突发事件期间，做好重要部位的安全保障，增加巡检次数。除外，供应商应制定“不定期回访 ＋ 故障响应”的售后服务工作模式，建立日常监控制度，将通过电话、远程指导等方式实现随时处理各种故障，当发生重大故障无法解决时，供应商应在故障发生后4小时内派工程师到达现场进行解决。</w:t>
            </w:r>
          </w:p>
          <w:p>
            <w:pPr>
              <w:keepNext w:val="0"/>
              <w:keepLines w:val="0"/>
              <w:pageBreakBefore w:val="0"/>
              <w:widowControl/>
              <w:kinsoku/>
              <w:wordWrap/>
              <w:overflowPunct/>
              <w:topLinePunct w:val="0"/>
              <w:autoSpaceDE/>
              <w:autoSpaceDN/>
              <w:bidi w:val="0"/>
              <w:adjustRightInd/>
              <w:snapToGrid/>
              <w:spacing w:line="460" w:lineRule="exact"/>
              <w:ind w:firstLine="0" w:firstLineChars="0"/>
              <w:jc w:val="left"/>
              <w:textAlignment w:val="auto"/>
              <w:rPr>
                <w:rFonts w:cs="微软雅黑"/>
              </w:rPr>
            </w:pPr>
            <w:r>
              <w:rPr>
                <w:rFonts w:hint="eastAsia"/>
                <w:lang w:eastAsia="zh-CN"/>
              </w:rPr>
              <w:t>（</w:t>
            </w:r>
            <w:r>
              <w:rPr>
                <w:rFonts w:hint="eastAsia"/>
                <w:lang w:val="en-US" w:eastAsia="zh-CN"/>
              </w:rPr>
              <w:t>6</w:t>
            </w:r>
            <w:r>
              <w:rPr>
                <w:rFonts w:hint="eastAsia"/>
                <w:lang w:eastAsia="zh-CN"/>
              </w:rPr>
              <w:t>）</w:t>
            </w:r>
            <w:r>
              <w:t>维护要求：为了满足本项目的运维服务要求，运维服务人员不少于5人，售后维护服务车辆不少于2辆。</w:t>
            </w:r>
          </w:p>
        </w:tc>
      </w:tr>
    </w:tbl>
    <w:p>
      <w:pPr>
        <w:tabs>
          <w:tab w:val="left" w:pos="180"/>
          <w:tab w:val="left" w:pos="1620"/>
        </w:tabs>
        <w:spacing w:line="400" w:lineRule="exact"/>
        <w:ind w:firstLine="840" w:firstLineChars="400"/>
        <w:textAlignment w:val="baseline"/>
        <w:rPr>
          <w:rFonts w:hint="eastAsia" w:ascii="宋体" w:hAnsi="宋体" w:cs="宋体"/>
          <w:szCs w:val="21"/>
        </w:rPr>
      </w:pPr>
    </w:p>
    <w:p>
      <w:pPr>
        <w:tabs>
          <w:tab w:val="left" w:pos="180"/>
          <w:tab w:val="left" w:pos="1620"/>
        </w:tabs>
        <w:spacing w:line="400" w:lineRule="exact"/>
        <w:ind w:firstLine="840" w:firstLineChars="400"/>
        <w:textAlignment w:val="baseline"/>
        <w:rPr>
          <w:rFonts w:hint="eastAsia" w:ascii="宋体" w:hAnsi="宋体" w:cs="宋体"/>
          <w:szCs w:val="21"/>
        </w:rPr>
      </w:pPr>
    </w:p>
    <w:p>
      <w:pPr>
        <w:tabs>
          <w:tab w:val="left" w:pos="180"/>
          <w:tab w:val="left" w:pos="1620"/>
        </w:tabs>
        <w:spacing w:line="400" w:lineRule="exact"/>
        <w:ind w:firstLine="840" w:firstLineChars="400"/>
        <w:textAlignment w:val="baseline"/>
        <w:rPr>
          <w:rFonts w:hint="eastAsia" w:ascii="宋体" w:hAnsi="宋体" w:cs="宋体"/>
          <w:szCs w:val="21"/>
        </w:rPr>
      </w:pPr>
    </w:p>
    <w:bookmarkEnd w:id="51"/>
    <w:bookmarkEnd w:id="52"/>
    <w:p>
      <w:pPr>
        <w:widowControl/>
        <w:spacing w:line="320" w:lineRule="exact"/>
        <w:jc w:val="left"/>
      </w:pPr>
    </w:p>
    <w:p>
      <w:pPr>
        <w:rPr>
          <w:rFonts w:hint="eastAsia" w:hAnsi="宋体"/>
          <w:b/>
          <w:color w:val="auto"/>
          <w:sz w:val="32"/>
          <w:szCs w:val="32"/>
          <w:highlight w:val="none"/>
          <w:lang w:val="en-US" w:eastAsia="zh-CN"/>
        </w:rPr>
      </w:pPr>
    </w:p>
    <w:p>
      <w:pPr>
        <w:rPr>
          <w:rFonts w:hint="eastAsia" w:asciiTheme="minorHAnsi" w:hAnsiTheme="minorHAnsi" w:eastAsiaTheme="minorHAnsi"/>
          <w:color w:val="auto"/>
          <w:sz w:val="48"/>
          <w:highlight w:val="none"/>
        </w:rPr>
      </w:pPr>
      <w:r>
        <w:rPr>
          <w:rFonts w:hint="eastAsia" w:hAnsi="宋体"/>
          <w:b/>
          <w:color w:val="auto"/>
          <w:sz w:val="32"/>
          <w:szCs w:val="32"/>
          <w:highlight w:val="none"/>
          <w:lang w:val="en-US" w:eastAsia="zh-CN"/>
        </w:rPr>
        <w:t>附件1：</w:t>
      </w:r>
    </w:p>
    <w:tbl>
      <w:tblPr>
        <w:tblStyle w:val="42"/>
        <w:tblW w:w="1058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43"/>
        <w:gridCol w:w="922"/>
        <w:gridCol w:w="2619"/>
        <w:gridCol w:w="3383"/>
        <w:gridCol w:w="1189"/>
        <w:gridCol w:w="948"/>
        <w:gridCol w:w="7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0580" w:type="dxa"/>
            <w:gridSpan w:val="7"/>
            <w:tcBorders>
              <w:top w:val="nil"/>
              <w:left w:val="nil"/>
              <w:bottom w:val="nil"/>
              <w:right w:val="nil"/>
            </w:tcBorders>
            <w:shd w:val="clear" w:color="auto" w:fill="auto"/>
            <w:vAlign w:val="center"/>
          </w:tcPr>
          <w:p>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32"/>
                <w:szCs w:val="32"/>
                <w:u w:val="none"/>
              </w:rPr>
            </w:pPr>
            <w:r>
              <w:rPr>
                <w:rFonts w:hint="eastAsia" w:ascii="方正小标宋_GBK" w:hAnsi="方正小标宋_GBK" w:eastAsia="方正小标宋_GBK" w:cs="方正小标宋_GBK"/>
                <w:i w:val="0"/>
                <w:iCs w:val="0"/>
                <w:color w:val="auto"/>
                <w:kern w:val="0"/>
                <w:sz w:val="32"/>
                <w:szCs w:val="32"/>
                <w:u w:val="none"/>
                <w:lang w:val="en-US" w:eastAsia="zh-CN" w:bidi="ar"/>
              </w:rPr>
              <w:t>钦州市电子</w:t>
            </w:r>
            <w:r>
              <w:rPr>
                <w:rFonts w:hint="eastAsia" w:ascii="方正小标宋_GBK" w:hAnsi="方正小标宋_GBK" w:eastAsia="方正小标宋_GBK" w:cs="方正小标宋_GBK"/>
                <w:i w:val="0"/>
                <w:iCs w:val="0"/>
                <w:color w:val="000000"/>
                <w:kern w:val="0"/>
                <w:sz w:val="32"/>
                <w:szCs w:val="32"/>
                <w:u w:val="none"/>
                <w:lang w:val="en-US" w:eastAsia="zh-CN" w:bidi="ar"/>
              </w:rPr>
              <w:t>政务外网（钦州市镇级、村级卫生室社保专线）服务采购清单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804" w:type="dxa"/>
            <w:gridSpan w:val="6"/>
            <w:tcBorders>
              <w:top w:val="nil"/>
              <w:left w:val="nil"/>
              <w:bottom w:val="nil"/>
              <w:right w:val="nil"/>
            </w:tcBorders>
            <w:shd w:val="clear" w:color="auto" w:fill="auto"/>
            <w:vAlign w:val="center"/>
          </w:tcPr>
          <w:p>
            <w:pPr>
              <w:keepNext w:val="0"/>
              <w:keepLines w:val="0"/>
              <w:widowControl/>
              <w:suppressLineNumbers w:val="0"/>
              <w:jc w:val="left"/>
              <w:textAlignment w:val="center"/>
              <w:rPr>
                <w:rFonts w:ascii="方正黑体_GBK" w:hAnsi="方正黑体_GBK" w:eastAsia="方正黑体_GBK" w:cs="方正黑体_GBK"/>
                <w:i w:val="0"/>
                <w:iCs w:val="0"/>
                <w:color w:val="000000"/>
                <w:sz w:val="22"/>
                <w:szCs w:val="22"/>
                <w:u w:val="none"/>
              </w:rPr>
            </w:pPr>
            <w:r>
              <w:rPr>
                <w:rFonts w:hint="eastAsia" w:ascii="方正黑体_GBK" w:hAnsi="方正黑体_GBK" w:eastAsia="方正黑体_GBK" w:cs="方正黑体_GBK"/>
                <w:i w:val="0"/>
                <w:iCs w:val="0"/>
                <w:color w:val="000000"/>
                <w:kern w:val="0"/>
                <w:sz w:val="22"/>
                <w:szCs w:val="22"/>
                <w:u w:val="none"/>
                <w:lang w:val="en-US" w:eastAsia="zh-CN" w:bidi="ar"/>
              </w:rPr>
              <w:t>一、67个镇级社保经办机构专线租用服务</w:t>
            </w:r>
          </w:p>
        </w:tc>
        <w:tc>
          <w:tcPr>
            <w:tcW w:w="776" w:type="dxa"/>
            <w:tcBorders>
              <w:top w:val="nil"/>
              <w:left w:val="nil"/>
              <w:bottom w:val="nil"/>
              <w:right w:val="nil"/>
            </w:tcBorders>
            <w:shd w:val="clear" w:color="auto" w:fill="auto"/>
            <w:vAlign w:val="center"/>
          </w:tcPr>
          <w:p>
            <w:pPr>
              <w:jc w:val="center"/>
              <w:rPr>
                <w:rFonts w:hint="eastAsia" w:ascii="方正黑体_GBK" w:hAnsi="方正黑体_GBK" w:eastAsia="方正黑体_GBK" w:cs="方正黑体_GBK"/>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方正楷体_GBK" w:hAnsi="方正楷体_GBK" w:eastAsia="方正楷体_GBK" w:cs="方正楷体_GBK"/>
                <w:i w:val="0"/>
                <w:iCs w:val="0"/>
                <w:color w:val="000000"/>
                <w:sz w:val="22"/>
                <w:szCs w:val="22"/>
                <w:u w:val="none"/>
              </w:rPr>
            </w:pPr>
            <w:r>
              <w:rPr>
                <w:rFonts w:hint="eastAsia" w:ascii="方正楷体_GBK" w:hAnsi="方正楷体_GBK" w:eastAsia="方正楷体_GBK" w:cs="方正楷体_GBK"/>
                <w:i w:val="0"/>
                <w:iCs w:val="0"/>
                <w:color w:val="000000"/>
                <w:kern w:val="0"/>
                <w:sz w:val="22"/>
                <w:szCs w:val="22"/>
                <w:u w:val="none"/>
                <w:lang w:val="en-US" w:eastAsia="zh-CN" w:bidi="ar"/>
              </w:rPr>
              <w:t>序号</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楷体_GBK" w:hAnsi="方正楷体_GBK" w:eastAsia="方正楷体_GBK" w:cs="方正楷体_GBK"/>
                <w:i w:val="0"/>
                <w:iCs w:val="0"/>
                <w:color w:val="000000"/>
                <w:sz w:val="22"/>
                <w:szCs w:val="22"/>
                <w:u w:val="none"/>
              </w:rPr>
            </w:pPr>
            <w:r>
              <w:rPr>
                <w:rFonts w:hint="eastAsia" w:ascii="方正楷体_GBK" w:hAnsi="方正楷体_GBK" w:eastAsia="方正楷体_GBK" w:cs="方正楷体_GBK"/>
                <w:i w:val="0"/>
                <w:iCs w:val="0"/>
                <w:color w:val="000000"/>
                <w:kern w:val="0"/>
                <w:sz w:val="22"/>
                <w:szCs w:val="22"/>
                <w:u w:val="none"/>
                <w:lang w:val="en-US" w:eastAsia="zh-CN" w:bidi="ar"/>
              </w:rPr>
              <w:t>县（区）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楷体_GBK" w:hAnsi="方正楷体_GBK" w:eastAsia="方正楷体_GBK" w:cs="方正楷体_GBK"/>
                <w:i w:val="0"/>
                <w:iCs w:val="0"/>
                <w:color w:val="000000"/>
                <w:sz w:val="22"/>
                <w:szCs w:val="22"/>
                <w:u w:val="none"/>
              </w:rPr>
            </w:pPr>
            <w:r>
              <w:rPr>
                <w:rFonts w:hint="eastAsia" w:ascii="方正楷体_GBK" w:hAnsi="方正楷体_GBK" w:eastAsia="方正楷体_GBK" w:cs="方正楷体_GBK"/>
                <w:i w:val="0"/>
                <w:iCs w:val="0"/>
                <w:color w:val="000000"/>
                <w:kern w:val="0"/>
                <w:sz w:val="22"/>
                <w:szCs w:val="22"/>
                <w:u w:val="none"/>
                <w:lang w:val="en-US" w:eastAsia="zh-CN" w:bidi="ar"/>
              </w:rPr>
              <w:t>单位</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楷体_GBK" w:hAnsi="方正楷体_GBK" w:eastAsia="方正楷体_GBK" w:cs="方正楷体_GBK"/>
                <w:i w:val="0"/>
                <w:iCs w:val="0"/>
                <w:color w:val="000000"/>
                <w:sz w:val="22"/>
                <w:szCs w:val="22"/>
                <w:u w:val="none"/>
              </w:rPr>
            </w:pPr>
            <w:r>
              <w:rPr>
                <w:rFonts w:hint="eastAsia" w:ascii="方正楷体_GBK" w:hAnsi="方正楷体_GBK" w:eastAsia="方正楷体_GBK" w:cs="方正楷体_GBK"/>
                <w:i w:val="0"/>
                <w:iCs w:val="0"/>
                <w:color w:val="000000"/>
                <w:kern w:val="0"/>
                <w:sz w:val="22"/>
                <w:szCs w:val="22"/>
                <w:u w:val="none"/>
                <w:lang w:val="en-US" w:eastAsia="zh-CN" w:bidi="ar"/>
              </w:rPr>
              <w:t>安装地址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楷体_GBK" w:hAnsi="方正楷体_GBK" w:eastAsia="方正楷体_GBK" w:cs="方正楷体_GBK"/>
                <w:i w:val="0"/>
                <w:iCs w:val="0"/>
                <w:color w:val="000000"/>
                <w:sz w:val="22"/>
                <w:szCs w:val="22"/>
                <w:u w:val="none"/>
              </w:rPr>
            </w:pPr>
            <w:r>
              <w:rPr>
                <w:rFonts w:hint="eastAsia" w:ascii="方正楷体_GBK" w:hAnsi="方正楷体_GBK" w:eastAsia="方正楷体_GBK" w:cs="方正楷体_GBK"/>
                <w:i w:val="0"/>
                <w:iCs w:val="0"/>
                <w:color w:val="000000"/>
                <w:kern w:val="0"/>
                <w:sz w:val="22"/>
                <w:szCs w:val="22"/>
                <w:u w:val="none"/>
                <w:lang w:val="en-US" w:eastAsia="zh-CN" w:bidi="ar"/>
              </w:rPr>
              <w:t>带宽（M）</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楷体_GBK" w:hAnsi="方正楷体_GBK" w:eastAsia="方正楷体_GBK" w:cs="方正楷体_GBK"/>
                <w:i w:val="0"/>
                <w:iCs w:val="0"/>
                <w:color w:val="000000"/>
                <w:sz w:val="22"/>
                <w:szCs w:val="22"/>
                <w:u w:val="none"/>
              </w:rPr>
            </w:pPr>
            <w:r>
              <w:rPr>
                <w:rFonts w:hint="eastAsia" w:ascii="方正楷体_GBK" w:hAnsi="方正楷体_GBK" w:eastAsia="方正楷体_GBK" w:cs="方正楷体_GBK"/>
                <w:i w:val="0"/>
                <w:iCs w:val="0"/>
                <w:color w:val="000000"/>
                <w:kern w:val="0"/>
                <w:sz w:val="22"/>
                <w:szCs w:val="22"/>
                <w:u w:val="none"/>
                <w:lang w:val="en-US" w:eastAsia="zh-CN" w:bidi="ar"/>
              </w:rPr>
              <w:t>数量（条）</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楷体_GBK" w:hAnsi="方正楷体_GBK" w:eastAsia="方正楷体_GBK" w:cs="方正楷体_GBK"/>
                <w:i w:val="0"/>
                <w:iCs w:val="0"/>
                <w:color w:val="000000"/>
                <w:sz w:val="22"/>
                <w:szCs w:val="22"/>
                <w:u w:val="none"/>
              </w:rPr>
            </w:pPr>
            <w:r>
              <w:rPr>
                <w:rFonts w:hint="eastAsia" w:ascii="方正楷体_GBK" w:hAnsi="方正楷体_GBK" w:eastAsia="方正楷体_GBK" w:cs="方正楷体_GBK"/>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那蒙镇便民服务中心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那蒙镇政府大楼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大垌镇便民服务中心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大垌镇政府大楼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小董镇便民服务中心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小董镇政府大楼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板城镇便民服务中心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板城镇政府大楼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长滩镇便民服务中心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长滩镇政府大楼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新棠镇便民服务中心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新棠镇政府大楼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平吉镇便民服务中心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平吉镇政府大楼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青塘镇便民服务中心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青塘镇政府大楼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大寺镇便民服务中心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大寺镇政府大楼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大直镇便民服务中心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大直镇政府大楼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贵台镇便民服务中心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贵台镇政府大楼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长田街道办便民服务中心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长田街道城北社区公共服务中心</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子材街道办便民服务中心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文峰北路</w:t>
            </w:r>
            <w:r>
              <w:rPr>
                <w:rFonts w:hint="default" w:ascii="Times New Roman" w:hAnsi="Times New Roman" w:eastAsia="方正仿宋_GBK" w:cs="Times New Roman"/>
                <w:i w:val="0"/>
                <w:iCs w:val="0"/>
                <w:color w:val="000000"/>
                <w:kern w:val="0"/>
                <w:sz w:val="22"/>
                <w:szCs w:val="22"/>
                <w:u w:val="none"/>
                <w:lang w:val="en-US" w:eastAsia="zh-CN" w:bidi="ar"/>
              </w:rPr>
              <w:t>20</w:t>
            </w:r>
            <w:r>
              <w:rPr>
                <w:rStyle w:val="164"/>
                <w:lang w:val="en-US" w:eastAsia="zh-CN" w:bidi="ar"/>
              </w:rPr>
              <w:t>号子材街道办</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鸿亭街道办便民服务中心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扬帆北大道鸿亭街道办</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文峰街道办便民服务中心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钦南区文苑街文峰街道</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向阳街道办便民服务中心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钦南区新华路向阳街道</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水东街道办便民服务中心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南珠东大街</w:t>
            </w:r>
            <w:r>
              <w:rPr>
                <w:rFonts w:hint="default" w:ascii="Times New Roman" w:hAnsi="Times New Roman" w:eastAsia="方正仿宋_GBK" w:cs="Times New Roman"/>
                <w:i w:val="0"/>
                <w:iCs w:val="0"/>
                <w:color w:val="000000"/>
                <w:kern w:val="0"/>
                <w:sz w:val="22"/>
                <w:szCs w:val="22"/>
                <w:u w:val="none"/>
                <w:lang w:val="en-US" w:eastAsia="zh-CN" w:bidi="ar"/>
              </w:rPr>
              <w:t>100</w:t>
            </w:r>
            <w:r>
              <w:rPr>
                <w:rStyle w:val="164"/>
                <w:lang w:val="en-US" w:eastAsia="zh-CN" w:bidi="ar"/>
              </w:rPr>
              <w:t>号水东街道</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南珠街道办便民服务中心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钦南区凤岭五巷南珠街道</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久隆镇便民服务中心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久隆镇镇政府大楼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那丽镇便民服务中心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那丽镇镇政府大楼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丽光场镇便民服务中心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丽光场镇政府大楼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那思镇便民服务中心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那思镇镇政府大楼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那彭镇便民服务中心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那彭镇镇政府大楼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大番坡镇便民服务中心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大番坡镇镇政府大楼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沙埠镇便民服务中心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沙埠镇镇政府大楼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黄屋屯镇便民服务中心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黄屋屯镇镇政府大楼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康熙岭镇便民服务中心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康熙岭镇镇政府大楼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犀牛脚镇便民服务中心</w:t>
            </w:r>
          </w:p>
        </w:tc>
        <w:tc>
          <w:tcPr>
            <w:tcW w:w="338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犀牛脚镇镇政府大楼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东场镇便民服务中心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东场镇镇政府大楼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龙门港镇便民服务中心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龙门港镇镇政府大楼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尖山街道镇便民服务中心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尖山镇政府大楼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灵城街道办便民服务中心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灵城镇向阳路</w:t>
            </w:r>
            <w:r>
              <w:rPr>
                <w:rFonts w:hint="default" w:ascii="Times New Roman" w:hAnsi="Times New Roman" w:eastAsia="方正仿宋_GBK" w:cs="Times New Roman"/>
                <w:i w:val="0"/>
                <w:iCs w:val="0"/>
                <w:color w:val="000000"/>
                <w:kern w:val="0"/>
                <w:sz w:val="22"/>
                <w:szCs w:val="22"/>
                <w:u w:val="none"/>
                <w:lang w:val="en-US" w:eastAsia="zh-CN" w:bidi="ar"/>
              </w:rPr>
              <w:t>11</w:t>
            </w:r>
            <w:r>
              <w:rPr>
                <w:rStyle w:val="164"/>
                <w:lang w:val="en-US" w:eastAsia="zh-CN" w:bidi="ar"/>
              </w:rPr>
              <w:t>号灵城街道办</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三海街道办便民服务中心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灵城环秀路三海街道办</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新圩镇便民服务中心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灵山县新圩镇政府大楼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佛子镇便民服务中心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灵山县佛子镇政府大楼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武利镇便民服务中心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灵山县武利镇政府大楼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烟墩镇便民服务中心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灵山县烟墩镇政府大楼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平南镇便民服务中心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灵山县平南镇政府大楼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太平镇便民服务中心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灵山县太平镇政府大楼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陆屋镇便民服务中心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灵山县陆屋镇政府大楼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石塘镇便民服务中心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灵山县石塘镇政府大楼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三隆镇便民服务中心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灵山县三隆镇政府大楼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伯劳镇便民服务中心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灵山县伯劳镇政府大楼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平山镇便民服务中心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灵山县平山镇镇政府大楼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檀圩镇便民服务中心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灵山县檀圩镇镇政府大楼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那隆镇便民服务中心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灵山县那隆镇镇政府大楼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旧州镇便民服务中心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灵山县旧州镇镇政府大楼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丰塘镇便民服务中心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灵山县丰塘镇镇政府大楼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沙坪镇便民服务中心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灵山县沙坪镇镇政府大楼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文利镇便民服务中心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灵山县文利镇镇政府大楼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浦北县小江街道办便民服务中心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浦北县小江镇小江街道</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浦北县江城街道办便民服务中心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浦北县东滨路江城街道</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浦北县乐民镇便民服务中心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浦北县乐民镇镇政府大楼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浦北县福旺镇便民服务中心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浦北县福旺镇镇政府大楼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浦北县三合镇便民服务中心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浦北县三合镇镇政府大楼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浦北县大成镇便民服务中心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浦北县大成镇镇政府大楼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浦北县北通镇便民服务中心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浦北县北通镇镇政府大楼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浦北县寨圩镇便民服务中心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浦北县寨圩镇镇政府大楼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浦北县张黄镇便民服务中心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浦北县张黄镇镇政府大楼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浦北县平睦镇便民服务中心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浦北县平睦镇镇政府大楼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浦北县泉水镇便民服务中心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浦北县泉水镇镇政府大楼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浦北县白石水镇便民服务中心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浦北县白石水镇镇政府大楼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浦北县六硍镇便民服务中心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浦北县六硍镇镇政府大楼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浦北县石埇镇便民服务中心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浦北县石埇镇镇政府大楼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浦北县龙门镇便民服务中心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浦北县龙门镇镇政府大楼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浦北县官垌镇便民服务中心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浦北县官垌镇镇政府大楼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浦北县安石镇便民服务中心</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浦北县安石镇镇政府大楼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0580" w:type="dxa"/>
            <w:gridSpan w:val="7"/>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二、14个社区社保经办机构专线租用服务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楷体_GBK" w:hAnsi="方正楷体_GBK" w:eastAsia="方正楷体_GBK" w:cs="方正楷体_GBK"/>
                <w:i w:val="0"/>
                <w:iCs w:val="0"/>
                <w:color w:val="000000"/>
                <w:sz w:val="22"/>
                <w:szCs w:val="22"/>
                <w:u w:val="none"/>
              </w:rPr>
            </w:pPr>
            <w:r>
              <w:rPr>
                <w:rFonts w:hint="eastAsia" w:ascii="方正楷体_GBK" w:hAnsi="方正楷体_GBK" w:eastAsia="方正楷体_GBK" w:cs="方正楷体_GBK"/>
                <w:i w:val="0"/>
                <w:iCs w:val="0"/>
                <w:color w:val="000000"/>
                <w:kern w:val="0"/>
                <w:sz w:val="22"/>
                <w:szCs w:val="22"/>
                <w:u w:val="none"/>
                <w:lang w:val="en-US" w:eastAsia="zh-CN" w:bidi="ar"/>
              </w:rPr>
              <w:t>序号</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楷体_GBK" w:hAnsi="方正楷体_GBK" w:eastAsia="方正楷体_GBK" w:cs="方正楷体_GBK"/>
                <w:i w:val="0"/>
                <w:iCs w:val="0"/>
                <w:color w:val="000000"/>
                <w:sz w:val="22"/>
                <w:szCs w:val="22"/>
                <w:u w:val="none"/>
              </w:rPr>
            </w:pPr>
            <w:r>
              <w:rPr>
                <w:rFonts w:hint="eastAsia" w:ascii="方正楷体_GBK" w:hAnsi="方正楷体_GBK" w:eastAsia="方正楷体_GBK" w:cs="方正楷体_GBK"/>
                <w:i w:val="0"/>
                <w:iCs w:val="0"/>
                <w:color w:val="000000"/>
                <w:kern w:val="0"/>
                <w:sz w:val="22"/>
                <w:szCs w:val="22"/>
                <w:u w:val="none"/>
                <w:lang w:val="en-US" w:eastAsia="zh-CN" w:bidi="ar"/>
              </w:rPr>
              <w:t>县（区）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楷体_GBK" w:hAnsi="方正楷体_GBK" w:eastAsia="方正楷体_GBK" w:cs="方正楷体_GBK"/>
                <w:i w:val="0"/>
                <w:iCs w:val="0"/>
                <w:color w:val="000000"/>
                <w:sz w:val="22"/>
                <w:szCs w:val="22"/>
                <w:u w:val="none"/>
              </w:rPr>
            </w:pPr>
            <w:r>
              <w:rPr>
                <w:rFonts w:hint="eastAsia" w:ascii="方正楷体_GBK" w:hAnsi="方正楷体_GBK" w:eastAsia="方正楷体_GBK" w:cs="方正楷体_GBK"/>
                <w:i w:val="0"/>
                <w:iCs w:val="0"/>
                <w:color w:val="000000"/>
                <w:kern w:val="0"/>
                <w:sz w:val="22"/>
                <w:szCs w:val="22"/>
                <w:u w:val="none"/>
                <w:lang w:val="en-US" w:eastAsia="zh-CN" w:bidi="ar"/>
              </w:rPr>
              <w:t>单位</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楷体_GBK" w:hAnsi="方正楷体_GBK" w:eastAsia="方正楷体_GBK" w:cs="方正楷体_GBK"/>
                <w:i w:val="0"/>
                <w:iCs w:val="0"/>
                <w:color w:val="000000"/>
                <w:sz w:val="22"/>
                <w:szCs w:val="22"/>
                <w:u w:val="none"/>
              </w:rPr>
            </w:pPr>
            <w:r>
              <w:rPr>
                <w:rFonts w:hint="eastAsia" w:ascii="方正楷体_GBK" w:hAnsi="方正楷体_GBK" w:eastAsia="方正楷体_GBK" w:cs="方正楷体_GBK"/>
                <w:i w:val="0"/>
                <w:iCs w:val="0"/>
                <w:color w:val="000000"/>
                <w:kern w:val="0"/>
                <w:sz w:val="22"/>
                <w:szCs w:val="22"/>
                <w:u w:val="none"/>
                <w:lang w:val="en-US" w:eastAsia="zh-CN" w:bidi="ar"/>
              </w:rPr>
              <w:t>安装地址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楷体_GBK" w:hAnsi="方正楷体_GBK" w:eastAsia="方正楷体_GBK" w:cs="方正楷体_GBK"/>
                <w:i w:val="0"/>
                <w:iCs w:val="0"/>
                <w:color w:val="000000"/>
                <w:sz w:val="22"/>
                <w:szCs w:val="22"/>
                <w:u w:val="none"/>
              </w:rPr>
            </w:pPr>
            <w:r>
              <w:rPr>
                <w:rFonts w:hint="eastAsia" w:ascii="方正楷体_GBK" w:hAnsi="方正楷体_GBK" w:eastAsia="方正楷体_GBK" w:cs="方正楷体_GBK"/>
                <w:i w:val="0"/>
                <w:iCs w:val="0"/>
                <w:color w:val="000000"/>
                <w:kern w:val="0"/>
                <w:sz w:val="22"/>
                <w:szCs w:val="22"/>
                <w:u w:val="none"/>
                <w:lang w:val="en-US" w:eastAsia="zh-CN" w:bidi="ar"/>
              </w:rPr>
              <w:t>带宽（M）</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楷体_GBK" w:hAnsi="方正楷体_GBK" w:eastAsia="方正楷体_GBK" w:cs="方正楷体_GBK"/>
                <w:i w:val="0"/>
                <w:iCs w:val="0"/>
                <w:color w:val="000000"/>
                <w:sz w:val="22"/>
                <w:szCs w:val="22"/>
                <w:u w:val="none"/>
              </w:rPr>
            </w:pPr>
            <w:r>
              <w:rPr>
                <w:rFonts w:hint="eastAsia" w:ascii="方正楷体_GBK" w:hAnsi="方正楷体_GBK" w:eastAsia="方正楷体_GBK" w:cs="方正楷体_GBK"/>
                <w:i w:val="0"/>
                <w:iCs w:val="0"/>
                <w:color w:val="000000"/>
                <w:kern w:val="0"/>
                <w:sz w:val="22"/>
                <w:szCs w:val="22"/>
                <w:u w:val="none"/>
                <w:lang w:val="en-US" w:eastAsia="zh-CN" w:bidi="ar"/>
              </w:rPr>
              <w:t>数量（条）</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楷体_GBK" w:hAnsi="方正楷体_GBK" w:eastAsia="方正楷体_GBK" w:cs="方正楷体_GBK"/>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文峰街道文昌社区</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文峰街道文昌社区</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文峰街道三宣堂社区</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文峰街道三宣堂社区</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文峰街道中山社区</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文峰街道中山社区</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文峰街道东风社区</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文峰街道东风社区</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文峰街道新隆社区</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文峰街道新隆社区</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文峰街道江滨社区</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文峰街道江滨社区</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向阳街道城中南社区</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向阳街道城中南社区</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向阳街道新兴社区</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向阳街道新兴社区</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水东街道大沙垌社区</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水东街道大沙垌社区</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水东街道东南社区</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水东街道东南社区</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水东街道五里桥社区</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水东街道五里桥社区</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南珠街道城西社区</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南珠街道城西社区</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南珠街道高岭社区</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南珠街道高岭社区</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南珠街道鸿泰社区</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南珠街道鸿泰社区</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058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黑体_GBK" w:hAnsi="方正黑体_GBK" w:eastAsia="方正黑体_GBK" w:cs="方正黑体_GBK"/>
                <w:i w:val="0"/>
                <w:iCs w:val="0"/>
                <w:color w:val="000000"/>
                <w:sz w:val="22"/>
                <w:szCs w:val="22"/>
                <w:u w:val="none"/>
              </w:rPr>
            </w:pPr>
            <w:r>
              <w:rPr>
                <w:rFonts w:hint="eastAsia" w:ascii="方正黑体_GBK" w:hAnsi="方正黑体_GBK" w:eastAsia="方正黑体_GBK" w:cs="方正黑体_GBK"/>
                <w:i w:val="0"/>
                <w:iCs w:val="0"/>
                <w:color w:val="000000"/>
                <w:kern w:val="0"/>
                <w:sz w:val="22"/>
                <w:szCs w:val="22"/>
                <w:u w:val="none"/>
                <w:lang w:val="en-US" w:eastAsia="zh-CN" w:bidi="ar"/>
              </w:rPr>
              <w:t>三、989个村级卫生室VPN（虚拟专用网络）线路租用服务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楷体_GBK" w:hAnsi="方正楷体_GBK" w:eastAsia="方正楷体_GBK" w:cs="方正楷体_GBK"/>
                <w:i w:val="0"/>
                <w:iCs w:val="0"/>
                <w:color w:val="000000"/>
                <w:sz w:val="22"/>
                <w:szCs w:val="22"/>
                <w:u w:val="none"/>
              </w:rPr>
            </w:pPr>
            <w:r>
              <w:rPr>
                <w:rFonts w:hint="eastAsia" w:ascii="方正楷体_GBK" w:hAnsi="方正楷体_GBK" w:eastAsia="方正楷体_GBK" w:cs="方正楷体_GBK"/>
                <w:i w:val="0"/>
                <w:iCs w:val="0"/>
                <w:color w:val="000000"/>
                <w:kern w:val="0"/>
                <w:sz w:val="22"/>
                <w:szCs w:val="22"/>
                <w:u w:val="none"/>
                <w:lang w:val="en-US" w:eastAsia="zh-CN" w:bidi="ar"/>
              </w:rPr>
              <w:t>序号</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楷体_GBK" w:hAnsi="方正楷体_GBK" w:eastAsia="方正楷体_GBK" w:cs="方正楷体_GBK"/>
                <w:i w:val="0"/>
                <w:iCs w:val="0"/>
                <w:color w:val="000000"/>
                <w:sz w:val="22"/>
                <w:szCs w:val="22"/>
                <w:u w:val="none"/>
              </w:rPr>
            </w:pPr>
            <w:r>
              <w:rPr>
                <w:rFonts w:hint="eastAsia" w:ascii="方正楷体_GBK" w:hAnsi="方正楷体_GBK" w:eastAsia="方正楷体_GBK" w:cs="方正楷体_GBK"/>
                <w:i w:val="0"/>
                <w:iCs w:val="0"/>
                <w:color w:val="000000"/>
                <w:kern w:val="0"/>
                <w:sz w:val="22"/>
                <w:szCs w:val="22"/>
                <w:u w:val="none"/>
                <w:lang w:val="en-US" w:eastAsia="zh-CN" w:bidi="ar"/>
              </w:rPr>
              <w:t>县（区）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楷体_GBK" w:hAnsi="方正楷体_GBK" w:eastAsia="方正楷体_GBK" w:cs="方正楷体_GBK"/>
                <w:i w:val="0"/>
                <w:iCs w:val="0"/>
                <w:color w:val="000000"/>
                <w:sz w:val="22"/>
                <w:szCs w:val="22"/>
                <w:u w:val="none"/>
              </w:rPr>
            </w:pPr>
            <w:r>
              <w:rPr>
                <w:rFonts w:hint="eastAsia" w:ascii="方正楷体_GBK" w:hAnsi="方正楷体_GBK" w:eastAsia="方正楷体_GBK" w:cs="方正楷体_GBK"/>
                <w:i w:val="0"/>
                <w:iCs w:val="0"/>
                <w:color w:val="000000"/>
                <w:kern w:val="0"/>
                <w:sz w:val="22"/>
                <w:szCs w:val="22"/>
                <w:u w:val="none"/>
                <w:lang w:val="en-US" w:eastAsia="zh-CN" w:bidi="ar"/>
              </w:rPr>
              <w:t>镇（街道）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楷体_GBK" w:hAnsi="方正楷体_GBK" w:eastAsia="方正楷体_GBK" w:cs="方正楷体_GBK"/>
                <w:i w:val="0"/>
                <w:iCs w:val="0"/>
                <w:color w:val="000000"/>
                <w:sz w:val="22"/>
                <w:szCs w:val="22"/>
                <w:u w:val="none"/>
              </w:rPr>
            </w:pPr>
            <w:r>
              <w:rPr>
                <w:rFonts w:hint="eastAsia" w:ascii="方正楷体_GBK" w:hAnsi="方正楷体_GBK" w:eastAsia="方正楷体_GBK" w:cs="方正楷体_GBK"/>
                <w:i w:val="0"/>
                <w:iCs w:val="0"/>
                <w:color w:val="000000"/>
                <w:kern w:val="0"/>
                <w:sz w:val="22"/>
                <w:szCs w:val="22"/>
                <w:u w:val="none"/>
                <w:lang w:val="en-US" w:eastAsia="zh-CN" w:bidi="ar"/>
              </w:rPr>
              <w:t>安装地址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楷体_GBK" w:hAnsi="方正楷体_GBK" w:eastAsia="方正楷体_GBK" w:cs="方正楷体_GBK"/>
                <w:i w:val="0"/>
                <w:iCs w:val="0"/>
                <w:color w:val="000000"/>
                <w:sz w:val="22"/>
                <w:szCs w:val="22"/>
                <w:u w:val="none"/>
              </w:rPr>
            </w:pPr>
            <w:r>
              <w:rPr>
                <w:rFonts w:hint="eastAsia" w:ascii="方正楷体_GBK" w:hAnsi="方正楷体_GBK" w:eastAsia="方正楷体_GBK" w:cs="方正楷体_GBK"/>
                <w:i w:val="0"/>
                <w:iCs w:val="0"/>
                <w:color w:val="000000"/>
                <w:kern w:val="0"/>
                <w:sz w:val="22"/>
                <w:szCs w:val="22"/>
                <w:u w:val="none"/>
                <w:lang w:val="en-US" w:eastAsia="zh-CN" w:bidi="ar"/>
              </w:rPr>
              <w:t>带宽（M）</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楷体_GBK" w:hAnsi="方正楷体_GBK" w:eastAsia="方正楷体_GBK" w:cs="方正楷体_GBK"/>
                <w:i w:val="0"/>
                <w:iCs w:val="0"/>
                <w:color w:val="000000"/>
                <w:sz w:val="22"/>
                <w:szCs w:val="22"/>
                <w:u w:val="none"/>
              </w:rPr>
            </w:pPr>
            <w:r>
              <w:rPr>
                <w:rFonts w:hint="eastAsia" w:ascii="方正楷体_GBK" w:hAnsi="方正楷体_GBK" w:eastAsia="方正楷体_GBK" w:cs="方正楷体_GBK"/>
                <w:i w:val="0"/>
                <w:iCs w:val="0"/>
                <w:color w:val="000000"/>
                <w:kern w:val="0"/>
                <w:sz w:val="22"/>
                <w:szCs w:val="22"/>
                <w:u w:val="none"/>
                <w:lang w:val="en-US" w:eastAsia="zh-CN" w:bidi="ar"/>
              </w:rPr>
              <w:t>数量（条）</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楷体_GBK" w:hAnsi="方正楷体_GBK" w:eastAsia="方正楷体_GBK" w:cs="方正楷体_GBK"/>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9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那丽镇</w:t>
            </w:r>
          </w:p>
        </w:tc>
        <w:tc>
          <w:tcPr>
            <w:tcW w:w="338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那雾塘村卫生室</w:t>
            </w:r>
          </w:p>
        </w:tc>
        <w:tc>
          <w:tcPr>
            <w:tcW w:w="1189"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那丽镇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电艮村卫生室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那丽镇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三多竹村卫生室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那丽镇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马鞍岭村卫生室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那丽镇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崩塘村卫生室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那丽镇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芦荻竹村卫生室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那丽镇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那丽村卫生室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那丽镇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充包村卫生室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那丽镇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土地田村卫生室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那丽镇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嫦娥垌村卫生室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沙埠镇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大石古村卫生室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沙埠镇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大岭村卫生室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沙埠镇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下南山村卫生室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沙埠镇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沙寮村卫生室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沙埠镇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油路村卫生室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沙埠镇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桥坪村卫生室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沙埠镇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海棠村卫生室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沙埠镇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沙埠村卫生室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沙埠镇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田寮村卫生室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沙埠镇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分界村卫生室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沙埠镇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坭桥村卫生室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沙埠镇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平艮村卫生室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沙埠镇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望埠村卫生室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沙埠镇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油埠村卫生室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沙埠镇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明天村卫生室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大番坡镇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葵子村卫生室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大番坡镇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青龙村卫生室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大番坡镇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大窝口村卫生室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大番坡镇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沙坡村卫生室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大番坡镇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大番坡村卫生室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大番坡镇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辣椒槌村卫生室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大番坡镇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茅坡村卫生室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大番坡镇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板桥村卫生室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那彭镇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那彭卫生室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那彭镇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彭新卫生室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那彭镇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担坳卫生室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那彭镇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六湖卫生室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那彭镇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英学卫生室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那彭镇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清湖卫生室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那彭镇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凤凰岗卫生室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那彭镇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那里卫生室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那彭镇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那勉卫生室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那彭镇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屋背卫生室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那彭镇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那蒟卫生室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那彭镇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白沙卫生室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那彭镇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后立卫生室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黄屋屯镇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金竹村卫生室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黄屋屯镇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屯光村卫生室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黄屋屯镇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大冲村卫生室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黄屋屯镇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屯北村卫生室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黄屋屯镇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屯南村卫生室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黄屋屯镇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圩埠村卫生室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黄屋屯镇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屯显村卫生室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黄屋屯镇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料连村卫生室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黄屋屯镇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西显村卫生室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黄屋屯镇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田寮村卫生室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黄屋屯镇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屯胜村卫生室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黄屋屯镇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屯安村卫生室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黄屋屯镇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屯利村卫生室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黄屋屯镇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加其村卫生室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黄屋屯镇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塘营村卫生室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黄屋屯镇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屯西村卫生室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久隆镇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久隆村卫生室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久隆镇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黎屋村卫生室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久隆镇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沙田村卫生室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久隆镇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丁屋村卫生室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久隆镇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高桥村卫生室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久隆镇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水铺村卫生室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久隆镇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那庆村卫生室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久隆镇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新明村卫生室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久隆镇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平新村卫生室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久隆镇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白鹤村卫生室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久隆镇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青草村卫生室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久隆镇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大岭村卫生室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久隆镇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高明村卫生室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久隆镇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新圩村卫生室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久隆镇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石安村卫生室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久隆镇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细岭头村卫生室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久隆镇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荷木村卫生室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尖山镇　</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尖山村委卫生室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尖山镇　</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西沟村委卫生室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尖山镇　</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黄坡督村委卫生室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尖山镇　</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谷仓村委卫生室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尖山镇　</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九鸦村委卫生室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尖山镇　</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犁头嘴村委卫生室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尖山镇　</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排榜村委卫生室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丽光场</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凤凰管区卫生室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丽光场</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均田管区卫生室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丽光场</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新屋管区卫生室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丽光场</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国营连队卫生室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丽光场</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国营十一队卫生室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那思镇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那思村委卫生室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那思镇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米子村委卫生室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那思镇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那京村委卫生室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那思镇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禄宦塘村委卫生室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那思镇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合江村委卫生室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那思镇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定蒙村委卫生室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那思镇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牛寮水村委卫生室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那思镇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茶兰垌村委卫生室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那思镇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塘低村委卫生室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那思镇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扁陂村委卫生室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康熙岭镇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傍钦村卫生室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康熙岭镇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高沙村卫生室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康熙岭镇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西围村卫生室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康熙岭镇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新平村卫生室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康熙岭镇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诗家村卫生室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康熙岭镇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白鸡村卫生室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康熙岭镇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板坪村卫生室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康熙岭镇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横山村卫生室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康熙岭镇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长坡村卫生室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康熙岭镇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团和村卫生室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康熙岭镇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新营村卫生室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康熙岭镇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新南村卫生室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小董镇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榃楼村卫生室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小董镇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奇陵村卫生室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小董镇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板董村卫生室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小董镇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龙眼村卫生室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小董镇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逍遥村卫生室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小董镇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吉水村卫生室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小董镇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那陵村卫生室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小董镇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西陵村卫生室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小董镇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那料村卫生室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小董镇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多隆村卫生室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小董镇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榃头村卫生室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小董镇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那学村卫生室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小董镇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那兰村卫生室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小董镇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东联村卫生室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小董镇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那道村卫生室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小董镇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中花村卫生室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大寺镇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百庆卫生室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大寺镇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那葛卫生室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大寺镇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屯首卫生室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大寺镇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南间卫生室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大寺镇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广琅卫生室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大寺镇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宿禾卫生室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大寺镇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大寺卫生室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大寺镇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屯强卫生室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大寺镇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大寺镇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五宁卫生室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大寺镇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敦民卫生室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大寺镇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新晓卫生室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大寺镇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四联卫生室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大寺镇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天安卫生室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大寺镇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那河卫生室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大寺镇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三益卫生室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大寺镇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三门滩卫生室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大寺镇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屯妙卫生室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平吉镇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牛江村卫生室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平吉镇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贤架村卫生室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平吉镇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古秀村卫生室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平吉镇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白鹤垌村卫生室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平吉镇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八仙村卫生室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平吉镇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古隆村卫生室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平吉镇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新胜村卫生室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平吉镇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平沙村卫生室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平吉镇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垭塘村卫生室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平吉镇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三冬村卫生室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平吉镇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朱林村卫生室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平吉镇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榃标村卫生室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平吉镇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榃兰村卫生室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平吉镇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平里村卫生室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平吉镇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广平村卫生室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平吉镇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大田坪村卫生室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平吉镇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永隆村卫生室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平吉镇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平吉村卫生室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平吉镇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彭良村卫生室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大直镇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那桃村卫生室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大直镇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义和村卫生室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大直镇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英雄村卫生室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大直镇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派亩村卫生室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大直镇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富雄村卫生室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大直镇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彭久村卫生室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大直镇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那泮村卫生室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大直镇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屯笔村卫生室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大直镇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双那村卫生室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大直镇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大直村委卫生室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大直镇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王岗村卫生室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大直镇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屯品村卫生室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大直镇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屯宽村卫生室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大直镇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那么村卫生室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大直镇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天岩村卫生室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大直镇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米拱村卫生室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大直镇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那光村卫生室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大直镇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大利村卫生室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大直镇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那天村卫生室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大直镇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屯蒙村卫生室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大直镇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胜利村卫生室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大直镇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充文村卫生室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那蒙镇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陂角村卫生室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那蒙镇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竹山村卫生室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那蒙镇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屯周村卫生室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那蒙镇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六马村卫生室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那蒙镇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四维村卫生室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那蒙镇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碰山村卫生室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那蒙镇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那桂村卫生室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那蒙镇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那蒙村卫生室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那蒙镇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岳马村卫生室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那蒙镇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朱砂村卫生室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那蒙镇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板选村卫生室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那蒙镇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屯里村卫生室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那蒙镇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平福村卫生室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新棠镇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新棠卫生室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新棠镇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屯林卫生室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新棠镇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南局卫生室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新棠镇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平况卫生室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新棠镇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那黎卫生室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新棠镇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南忠卫生室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新棠镇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屯王卫生室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新棠镇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屯楼卫生室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210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新棠镇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榃忠卫生室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211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青塘镇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那路村委卫生室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212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青塘镇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决竹村委卫生室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213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青塘镇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青苏村委卫生室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214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青塘镇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大岐村委卫生室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215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青塘镇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青塘村委卫生室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216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青塘镇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红村村委卫生室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217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青塘镇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华岭村委卫生室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218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青塘镇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高峰村委卫生室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219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青塘镇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青全村委卫生室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220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青塘镇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榃山村委卫生室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221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青塘镇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青华村委卫生室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222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青塘镇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新村村委卫生室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223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青塘镇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榃甫村委卫生室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224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大垌镇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大垌村卫生室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225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大垌镇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米家村卫生室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226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大垌镇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大塘村卫生室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227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大垌镇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平山村卫生室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228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大垌镇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良田村卫生室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229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大垌镇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歌标村卫生室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230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大垌镇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江表村卫生室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231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大垌镇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横岭村卫生室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232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大垌镇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平辽村卫生室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233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大垌镇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大片村卫生室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234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长滩镇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淡读卫生室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235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长滩镇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古勉卫生室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236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长滩镇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连丰卫生室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237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长滩镇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马朝卫生室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238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长滩镇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那谷卫生室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239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长滩镇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那袅卫生室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长滩镇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荣庆卫生室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长滩镇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上汶卫生室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长滩镇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胜利卫生室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长滩镇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榃袅卫生室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长滩镇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屯六卫生室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长滩镇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屯巷卫生室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长滩镇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新铺卫生室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长滩镇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新勤卫生室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板城镇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众仁村卫生室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板城镇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厚孟村卫生室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250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板城镇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中心村卫生室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251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板城镇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三联村卫生室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252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板城镇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宁家村卫生室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253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板城镇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六虾村卫生室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254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板城镇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屯茂村卫生室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255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板城镇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竹山村卫生室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256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板城镇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屯车村卫生室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257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板城镇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牛寮村卫生室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258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板城镇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板中村卫生室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259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板城镇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朝阳村卫生室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260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板城镇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新城村卫生室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261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板城镇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高龙村卫生室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262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板城镇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那觅村卫生室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263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板城镇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那芳村卫生室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264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板城镇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红华村卫生室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265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板城镇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飞跃村卫生室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266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贵台镇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爱国村卫生室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267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贵台镇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那逻村卫生室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268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贵台镇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那朴村卫生室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269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贵台镇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洞利村卫生室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270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贵台镇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那略村卫生室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271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贵台镇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那桃村卫生室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272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贵台镇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大路村卫生室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273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贵台镇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百美村卫生室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274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贵台镇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那美村卫生室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275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贵台镇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屯良村卫生室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276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长田街道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皇马村卫生室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277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犀牛脚镇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平山村卫生室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278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犀牛脚镇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大灶村卫生室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279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犀牛脚镇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大环村卫生室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280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犀牛脚镇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犀牛脚村一卫生室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281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犀牛脚镇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犀牛脚村二卫生室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282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犀牛脚镇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三娘湾村卫生室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283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犀牛脚镇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联民村卫生室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284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犀牛脚镇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白路村卫生室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285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犀牛脚镇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船厂村卫生室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286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犀牛脚镇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岭脚村卫生室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287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犀牛脚镇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沙角村一卫生室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288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犀牛脚镇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沙角村二卫生室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289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犀牛脚镇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西寮村卫生室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290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犀牛脚镇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炮台村卫生室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291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犀牛脚镇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岭门村卫生室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292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犀牛脚镇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西坑村卫生室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293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犀牛脚镇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大坪村卫生室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294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犀牛脚镇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新联村卫生室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295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犀牛脚镇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埠头村卫生室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296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犀牛脚镇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丹寮村卫生室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297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犀牛脚镇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乌雷村卫生室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298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东场镇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东场村卫生室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299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东场镇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上寮村卫生室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300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东场镇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白木村卫生室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301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东场镇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英窝村卫生室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302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东场镇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高塘村卫生室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303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东场镇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六加村卫生室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304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东场镇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关塘村卫生室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305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龙门港镇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东村卫生室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306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龙门港镇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北村卫生室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307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钦南区</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龙门港镇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西村卫生室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308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陆屋镇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新坪村卫生室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309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陆屋镇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南湖村卫生室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310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陆屋镇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杨屋村卫生室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311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陆屋镇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企石村卫生室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312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陆屋镇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那檀村卫生室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313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陆屋镇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马安村卫生室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314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陆屋镇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申安村卫生室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315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陆屋镇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广隆村卫生室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316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陆屋镇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卢屋村卫生室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317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陆屋镇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沙塘村卫生室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318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陆屋镇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广笪村卫生室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319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陆屋镇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王猛村卫生室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320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陆屋镇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新村村卫生室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321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陆屋镇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水茫村卫生室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322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陆屋镇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福星村卫生室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323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陆屋镇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莲塘村卫生室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324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陆屋镇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石子岭村卫生室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325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陆屋镇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富久村卫生室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326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陆屋镇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卢屋坪村卫生室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327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陆屋镇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教坪村卫生室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328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陆屋镇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新营村卫生室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329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陆屋镇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坝基村卫生室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330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陆屋镇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陆东村卫生室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331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陆屋镇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华麓村卫生室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332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陆屋镇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松木山村卫生室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333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陆屋镇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沙田村卫生室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334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陆屋镇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广江村卫生室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335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陆屋镇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古城村卫生室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336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陆屋镇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陆屋村（含社区）卫生室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337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文利镇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文利村卫生室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338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文利镇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马达村卫生室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339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文利镇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马达村卫生一分所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340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文利镇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驲面村卫生室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341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文利镇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驲面村卫生一分所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342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文利镇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驲面村卫生二分所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343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文利镇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南城村卫生室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344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文利镇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南城村卫生一分所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345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文利镇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黎头村卫生室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346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文利镇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黎头村卫生一分所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347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文利镇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公服村卫生室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348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文利镇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东冲村卫生室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349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文利镇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甲叉村卫生室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350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文利镇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甲叉村卫生一分所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351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文利镇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香山村卫生室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352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文利镇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香山村卫生一分所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353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文利镇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横山村卫生所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354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文利镇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升平村卫生室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355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文利镇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升平村卫生一分所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356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文利镇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升平村卫生二分所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357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文利镇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升平村卫生三分所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358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文利镇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升平村卫生四分所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359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文利镇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升平村卫生五分所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文利镇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升和村卫生室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文利镇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升和村卫生一分所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文利镇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谷埠村卫生室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文利镇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搭简村卫生室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文利镇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升安村卫生室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武利镇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桥山卫生所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武利镇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鱼良卫生所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武利镇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大沙卫生所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武利镇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高李卫生所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武利镇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叉口卫生所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370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武利镇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龙塘卫生所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371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武利镇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三角卫生所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372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武利镇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大黎卫生所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373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武利镇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望坪卫生所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374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武利镇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后背卫生分所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375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武利镇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竹坡卫生分所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376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武利镇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街委卫生所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377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武利镇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龙舞卫生所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378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武利镇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安金卫生所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379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武利镇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明山卫生分所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380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武利镇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汉塘卫生分所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381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武利镇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教塘卫生所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382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武利镇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新亮卫生所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383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武利镇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长岗卫生所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384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武利镇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珠理卫生分所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385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三隆村委卫生室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386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鲁塘村委卫生室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387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下埠村委卫生室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388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石梯村委卫生室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389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横岗村委卫生室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390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龙楼村委卫生室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391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上楼村委卫生室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392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陈屋山村委卫生室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393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金东村委卫生室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394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罩云村委卫生室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395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大田江村委卫生室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396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石碑村委卫生室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397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关塘村委卫生室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398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大马村委卫生室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399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龙山村委卫生室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400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金西村委卫生室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401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蚌降村委卫生室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402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檀圩镇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檀圩村卫生室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403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檀圩镇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谢赖村卫生室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404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檀圩镇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石球湖卫生室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405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檀圩镇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牛路村卫生室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406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檀圩镇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见田村卫生室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407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檀圩镇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湴山村卫生室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408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檀圩镇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村心村卫生室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409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檀圩镇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茶亭村卫生室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410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檀圩镇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塘坡村卫生室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411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檀圩镇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东岸村卫生室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412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檀圩镇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沙井村卫生室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413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檀圩镇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龙屈塘村卫生室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414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檀圩镇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四联村卫生室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415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檀圩镇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黄楼村卫生室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416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檀圩镇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大水垌村卫生室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417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檀圩镇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社岭村卫生室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418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檀圩镇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三合水村卫生室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419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檀圩镇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保子村卫生室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420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檀圩镇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华屏村卫生室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421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檀圩镇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桥梓村卫生室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422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檀圩镇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甘梅村卫生室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423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檀圩镇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竹围村卫生室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424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檀圩镇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大垌田村卫生室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425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平山镇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新庄卫生室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426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平山镇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夏塘卫生室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427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平山镇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灵家卫生室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428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平山镇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高塘卫生室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429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平山镇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山村卫生室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430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平山镇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平坡卫生室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431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平山镇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山秀卫生室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432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平山镇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大路排卫生室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433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平山镇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平山社区卫生室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434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平山镇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平山村委卫生室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435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平山镇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汉垌卫生室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436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平山镇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插花卫生室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437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平山镇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同古卫生室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438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平山镇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思林卫生室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439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平山镇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古朴卫生室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440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平山镇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龙垌卫生室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441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平山镇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里村卫生室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442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平山镇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贾村卫生室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443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沙坪镇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榃璞村卫生室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444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沙坪镇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七里村卫生室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445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沙坪镇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那琅村卫生室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446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沙坪镇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思榜村卫生室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447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沙坪镇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旧圩村卫生室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448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沙坪镇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苗实村卫生室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449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沙坪镇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沙坪村卫生室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450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沙坪镇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古天村卫生室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451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沙坪镇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桂塘村卫生室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452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沙坪镇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金科村卫生室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453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沙坪镇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双六村卫生室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454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沙坪镇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旺屋村卫生室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455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沙坪镇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井冲村卫生室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456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沙坪镇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龙门村卫生室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457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伯劳镇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伯劳镇盆山村卫生室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458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伯劳镇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伯劳镇灵塘村卫生室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459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伯劳镇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伯劳镇伯劳村卫生室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460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伯劳镇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伯劳镇红坎村卫生室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461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伯劳镇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伯劳镇良坪村卫生室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462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伯劳镇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伯劳镇邓阳村卫生室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463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伯劳镇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伯劳镇箔竹村卫生室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464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伯劳镇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伯劳镇新民村卫生室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465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伯劳镇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伯劳镇燕坪村卫生室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466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伯劳镇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伯劳镇平心村卫生室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467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伯劳镇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伯劳镇山塘村卫生室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468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伯劳镇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伯劳镇埤肚村卫生室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469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伯劳镇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伯劳镇新禾村卫生室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470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伯劳镇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伯劳镇伯凤村卫生室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471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伯劳镇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伯劳镇六槛村卫生室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472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伯劳镇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伯劳镇大路村卫生室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473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伯劳镇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伯劳镇木棉村卫生室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474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伯劳镇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伯劳镇淡屋村卫生室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475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伯劳镇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伯劳镇宦楼村卫生室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476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伯劳镇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伯劳镇万利村卫生室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477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伯劳镇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伯劳镇彭屋村卫生室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478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丰塘镇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友僚村卫生室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479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丰塘镇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石陂村卫生室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480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丰塘镇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大湴村卫生室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481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丰塘镇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修竹村卫生室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482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丰塘镇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榃朴村卫生室（</w:t>
            </w:r>
            <w:r>
              <w:rPr>
                <w:rFonts w:hint="default" w:ascii="Times New Roman" w:hAnsi="Times New Roman" w:eastAsia="宋体" w:cs="Times New Roman"/>
                <w:i w:val="0"/>
                <w:iCs w:val="0"/>
                <w:color w:val="000000"/>
                <w:kern w:val="0"/>
                <w:sz w:val="22"/>
                <w:szCs w:val="22"/>
                <w:u w:val="none"/>
                <w:lang w:val="en-US" w:eastAsia="zh-CN" w:bidi="ar"/>
              </w:rPr>
              <w:t>1</w:t>
            </w:r>
            <w:r>
              <w:rPr>
                <w:rStyle w:val="164"/>
                <w:lang w:val="en-US" w:eastAsia="zh-CN" w:bidi="ar"/>
              </w:rPr>
              <w:t>分所）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483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丰塘镇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陂塘村卫生室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484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丰塘镇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大丰村卫生室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485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丰塘镇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睦村卫生室（</w:t>
            </w:r>
            <w:r>
              <w:rPr>
                <w:rFonts w:hint="default" w:ascii="Times New Roman" w:hAnsi="Times New Roman" w:eastAsia="宋体" w:cs="Times New Roman"/>
                <w:i w:val="0"/>
                <w:iCs w:val="0"/>
                <w:color w:val="000000"/>
                <w:kern w:val="0"/>
                <w:sz w:val="22"/>
                <w:szCs w:val="22"/>
                <w:u w:val="none"/>
                <w:lang w:val="en-US" w:eastAsia="zh-CN" w:bidi="ar"/>
              </w:rPr>
              <w:t>1</w:t>
            </w:r>
            <w:r>
              <w:rPr>
                <w:rStyle w:val="164"/>
                <w:lang w:val="en-US" w:eastAsia="zh-CN" w:bidi="ar"/>
              </w:rPr>
              <w:t>分所）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486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丰塘镇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平岭村卫生室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487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丰塘镇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六颜村卫生室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488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丰塘镇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礼回村卫生室（</w:t>
            </w:r>
            <w:r>
              <w:rPr>
                <w:rFonts w:hint="default" w:ascii="Times New Roman" w:hAnsi="Times New Roman" w:eastAsia="宋体" w:cs="Times New Roman"/>
                <w:i w:val="0"/>
                <w:iCs w:val="0"/>
                <w:color w:val="000000"/>
                <w:kern w:val="0"/>
                <w:sz w:val="22"/>
                <w:szCs w:val="22"/>
                <w:u w:val="none"/>
                <w:lang w:val="en-US" w:eastAsia="zh-CN" w:bidi="ar"/>
              </w:rPr>
              <w:t>1</w:t>
            </w:r>
            <w:r>
              <w:rPr>
                <w:rStyle w:val="164"/>
                <w:lang w:val="en-US" w:eastAsia="zh-CN" w:bidi="ar"/>
              </w:rPr>
              <w:t>分所）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489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丰塘镇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桥笪村卫生室（</w:t>
            </w:r>
            <w:r>
              <w:rPr>
                <w:rFonts w:hint="default" w:ascii="Times New Roman" w:hAnsi="Times New Roman" w:eastAsia="宋体" w:cs="Times New Roman"/>
                <w:i w:val="0"/>
                <w:iCs w:val="0"/>
                <w:color w:val="000000"/>
                <w:kern w:val="0"/>
                <w:sz w:val="22"/>
                <w:szCs w:val="22"/>
                <w:u w:val="none"/>
                <w:lang w:val="en-US" w:eastAsia="zh-CN" w:bidi="ar"/>
              </w:rPr>
              <w:t>1</w:t>
            </w:r>
            <w:r>
              <w:rPr>
                <w:rStyle w:val="164"/>
                <w:lang w:val="en-US" w:eastAsia="zh-CN" w:bidi="ar"/>
              </w:rPr>
              <w:t>分所）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490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丰塘镇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高华村卫生室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491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丰塘镇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川心村卫生室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492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丰塘镇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潭龙村卫生室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493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丰塘镇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董永村卫生室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494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丰塘镇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沙塘村卫生室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495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丰塘镇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丰塘村卫生室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496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石塘镇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石塘村卫生室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497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石塘镇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塘美村卫生室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498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石塘镇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苏村卫生室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499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石塘镇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大化村卫生室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500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石塘镇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俄境村卫生室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501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石塘镇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镇安村卫生室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502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石塘镇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洞心村卫生室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503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石塘镇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东安村卫生室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504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石塘镇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兆庄村卫生室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505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石塘镇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吉安村卫生室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506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石塘镇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红星村卫生室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507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石塘镇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深水村卫生室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508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石塘镇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上流村卫生室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509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石塘镇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廖村卫生室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510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石塘镇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平历村卫生室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511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石塘镇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木山村卫生室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512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石塘镇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白花村卫生室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513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太平镇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太平村村卫生室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514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太平镇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枫木村村卫生室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515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太平镇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镇南村村卫生室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516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太平镇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佳芝村村卫生室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517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太平镇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九冬村村卫生室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518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太平镇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那沙村村卫生室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519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太平镇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永安村村卫生室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520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太平镇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清水村村卫生室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521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太平镇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大塘村村卫生室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522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太平镇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千里村村卫生室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523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太平镇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华楠村村卫生室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524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太平镇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那案村村卫生室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525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太平镇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立石村村卫生室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526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太平镇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那驮村村卫生室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527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太平镇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池塘村村卫生室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528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太平镇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茂萱村村卫生室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529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太平镇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那璞村村卫生室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530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太平镇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思明村村卫生室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531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太平镇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稔荖村村卫生室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532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太平镇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那隆村村卫生室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533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太平镇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那廉村村卫生室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534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太平镇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谭有村村卫生室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535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太平镇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那谐村村卫生室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536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太平镇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六谭村村卫生室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537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太平镇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西华村村卫生室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538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太平镇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那马村村卫生室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539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太平镇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公家村村卫生室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540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太平镇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那线村村卫生室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541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太平镇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屯仁村村卫生室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542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陈垌村委卫生室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543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新田村委卫生室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544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长福村委卫生室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545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芳塘村委卫生室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546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西岸村委卫生室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547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峡岭村委卫生室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548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思法村委卫生室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549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充头村委卫生室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550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高兰村委卫生室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551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尤甘村委卫生室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552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龙窟村委卫生室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553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枫木村委卫生室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554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水冲村委卫生室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555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路司村委卫生室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556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马槽村委卫生室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557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塘表村委卫生室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558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茶子村委卫生室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559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高埠村委卫生室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560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清水降村委卫生室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561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上江村委卫生室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562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江东村委卫生室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563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那垌村委卫生室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564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灵一村委卫生室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565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灵二村委卫生室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566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大平村委卫生室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567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中安村委卫生室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568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六安村委卫生室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569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大山村委卫生室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570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坭桥村委卫生室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571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那隆镇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斌屋村委卫生室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572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佛子镇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佛子村卫生所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573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佛子镇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佛子村卫生所</w:t>
            </w:r>
            <w:r>
              <w:rPr>
                <w:rFonts w:hint="default" w:ascii="Times New Roman" w:hAnsi="Times New Roman" w:eastAsia="宋体" w:cs="Times New Roman"/>
                <w:i w:val="0"/>
                <w:iCs w:val="0"/>
                <w:color w:val="000000"/>
                <w:kern w:val="0"/>
                <w:sz w:val="22"/>
                <w:szCs w:val="22"/>
                <w:u w:val="none"/>
                <w:lang w:val="en-US" w:eastAsia="zh-CN" w:bidi="ar"/>
              </w:rPr>
              <w:t>2</w:t>
            </w:r>
            <w:r>
              <w:rPr>
                <w:rStyle w:val="164"/>
                <w:lang w:val="en-US" w:eastAsia="zh-CN" w:bidi="ar"/>
              </w:rPr>
              <w:t>分所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574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佛子镇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大坡村卫生所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575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佛子镇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大坡村卫生所</w:t>
            </w:r>
            <w:r>
              <w:rPr>
                <w:rFonts w:hint="default" w:ascii="Times New Roman" w:hAnsi="Times New Roman" w:eastAsia="宋体" w:cs="Times New Roman"/>
                <w:i w:val="0"/>
                <w:iCs w:val="0"/>
                <w:color w:val="000000"/>
                <w:kern w:val="0"/>
                <w:sz w:val="22"/>
                <w:szCs w:val="22"/>
                <w:u w:val="none"/>
                <w:lang w:val="en-US" w:eastAsia="zh-CN" w:bidi="ar"/>
              </w:rPr>
              <w:t>1</w:t>
            </w:r>
            <w:r>
              <w:rPr>
                <w:rStyle w:val="164"/>
                <w:lang w:val="en-US" w:eastAsia="zh-CN" w:bidi="ar"/>
              </w:rPr>
              <w:t>分所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576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佛子镇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大坡村卫生所</w:t>
            </w:r>
            <w:r>
              <w:rPr>
                <w:rFonts w:hint="default" w:ascii="Times New Roman" w:hAnsi="Times New Roman" w:eastAsia="宋体" w:cs="Times New Roman"/>
                <w:i w:val="0"/>
                <w:iCs w:val="0"/>
                <w:color w:val="000000"/>
                <w:kern w:val="0"/>
                <w:sz w:val="22"/>
                <w:szCs w:val="22"/>
                <w:u w:val="none"/>
                <w:lang w:val="en-US" w:eastAsia="zh-CN" w:bidi="ar"/>
              </w:rPr>
              <w:t>2</w:t>
            </w:r>
            <w:r>
              <w:rPr>
                <w:rStyle w:val="164"/>
                <w:lang w:val="en-US" w:eastAsia="zh-CN" w:bidi="ar"/>
              </w:rPr>
              <w:t>分所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577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佛子镇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新塘村卫生所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578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佛子镇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新塘村卫生所</w:t>
            </w:r>
            <w:r>
              <w:rPr>
                <w:rFonts w:hint="default" w:ascii="Times New Roman" w:hAnsi="Times New Roman" w:eastAsia="宋体" w:cs="Times New Roman"/>
                <w:i w:val="0"/>
                <w:iCs w:val="0"/>
                <w:color w:val="000000"/>
                <w:kern w:val="0"/>
                <w:sz w:val="22"/>
                <w:szCs w:val="22"/>
                <w:u w:val="none"/>
                <w:lang w:val="en-US" w:eastAsia="zh-CN" w:bidi="ar"/>
              </w:rPr>
              <w:t>1</w:t>
            </w:r>
            <w:r>
              <w:rPr>
                <w:rStyle w:val="164"/>
                <w:lang w:val="en-US" w:eastAsia="zh-CN" w:bidi="ar"/>
              </w:rPr>
              <w:t>分所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579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佛子镇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桂山村卫生所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580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佛子镇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桂山村卫生所</w:t>
            </w:r>
            <w:r>
              <w:rPr>
                <w:rFonts w:hint="default" w:ascii="Times New Roman" w:hAnsi="Times New Roman" w:eastAsia="宋体" w:cs="Times New Roman"/>
                <w:i w:val="0"/>
                <w:iCs w:val="0"/>
                <w:color w:val="000000"/>
                <w:kern w:val="0"/>
                <w:sz w:val="22"/>
                <w:szCs w:val="22"/>
                <w:u w:val="none"/>
                <w:lang w:val="en-US" w:eastAsia="zh-CN" w:bidi="ar"/>
              </w:rPr>
              <w:t>1</w:t>
            </w:r>
            <w:r>
              <w:rPr>
                <w:rStyle w:val="164"/>
                <w:lang w:val="en-US" w:eastAsia="zh-CN" w:bidi="ar"/>
              </w:rPr>
              <w:t>分所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581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佛子镇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桂山村卫生所</w:t>
            </w:r>
            <w:r>
              <w:rPr>
                <w:rFonts w:hint="default" w:ascii="Times New Roman" w:hAnsi="Times New Roman" w:eastAsia="宋体" w:cs="Times New Roman"/>
                <w:i w:val="0"/>
                <w:iCs w:val="0"/>
                <w:color w:val="000000"/>
                <w:kern w:val="0"/>
                <w:sz w:val="22"/>
                <w:szCs w:val="22"/>
                <w:u w:val="none"/>
                <w:lang w:val="en-US" w:eastAsia="zh-CN" w:bidi="ar"/>
              </w:rPr>
              <w:t>3</w:t>
            </w:r>
            <w:r>
              <w:rPr>
                <w:rStyle w:val="164"/>
                <w:lang w:val="en-US" w:eastAsia="zh-CN" w:bidi="ar"/>
              </w:rPr>
              <w:t>分所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582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佛子镇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五一村卫生所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583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佛子镇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元眼村卫生所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584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佛子镇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元眼村卫生所</w:t>
            </w:r>
            <w:r>
              <w:rPr>
                <w:rFonts w:hint="default" w:ascii="Times New Roman" w:hAnsi="Times New Roman" w:eastAsia="宋体" w:cs="Times New Roman"/>
                <w:i w:val="0"/>
                <w:iCs w:val="0"/>
                <w:color w:val="000000"/>
                <w:kern w:val="0"/>
                <w:sz w:val="22"/>
                <w:szCs w:val="22"/>
                <w:u w:val="none"/>
                <w:lang w:val="en-US" w:eastAsia="zh-CN" w:bidi="ar"/>
              </w:rPr>
              <w:t>1</w:t>
            </w:r>
            <w:r>
              <w:rPr>
                <w:rStyle w:val="164"/>
                <w:lang w:val="en-US" w:eastAsia="zh-CN" w:bidi="ar"/>
              </w:rPr>
              <w:t>分所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585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佛子镇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清湖村卫生所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586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佛子镇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清湖村卫生所</w:t>
            </w:r>
            <w:r>
              <w:rPr>
                <w:rFonts w:hint="default" w:ascii="Times New Roman" w:hAnsi="Times New Roman" w:eastAsia="宋体" w:cs="Times New Roman"/>
                <w:i w:val="0"/>
                <w:iCs w:val="0"/>
                <w:color w:val="000000"/>
                <w:kern w:val="0"/>
                <w:sz w:val="22"/>
                <w:szCs w:val="22"/>
                <w:u w:val="none"/>
                <w:lang w:val="en-US" w:eastAsia="zh-CN" w:bidi="ar"/>
              </w:rPr>
              <w:t>1</w:t>
            </w:r>
            <w:r>
              <w:rPr>
                <w:rStyle w:val="164"/>
                <w:lang w:val="en-US" w:eastAsia="zh-CN" w:bidi="ar"/>
              </w:rPr>
              <w:t>分所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587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佛子镇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大芦村卫生所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588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佛子镇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大芦村卫生所</w:t>
            </w:r>
            <w:r>
              <w:rPr>
                <w:rFonts w:hint="default" w:ascii="Times New Roman" w:hAnsi="Times New Roman" w:eastAsia="宋体" w:cs="Times New Roman"/>
                <w:i w:val="0"/>
                <w:iCs w:val="0"/>
                <w:color w:val="000000"/>
                <w:kern w:val="0"/>
                <w:sz w:val="22"/>
                <w:szCs w:val="22"/>
                <w:u w:val="none"/>
                <w:lang w:val="en-US" w:eastAsia="zh-CN" w:bidi="ar"/>
              </w:rPr>
              <w:t>2</w:t>
            </w:r>
            <w:r>
              <w:rPr>
                <w:rStyle w:val="164"/>
                <w:lang w:val="en-US" w:eastAsia="zh-CN" w:bidi="ar"/>
              </w:rPr>
              <w:t>分所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589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佛子镇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大芦村卫生所</w:t>
            </w:r>
            <w:r>
              <w:rPr>
                <w:rFonts w:hint="default" w:ascii="Times New Roman" w:hAnsi="Times New Roman" w:eastAsia="宋体" w:cs="Times New Roman"/>
                <w:i w:val="0"/>
                <w:iCs w:val="0"/>
                <w:color w:val="000000"/>
                <w:kern w:val="0"/>
                <w:sz w:val="22"/>
                <w:szCs w:val="22"/>
                <w:u w:val="none"/>
                <w:lang w:val="en-US" w:eastAsia="zh-CN" w:bidi="ar"/>
              </w:rPr>
              <w:t>3</w:t>
            </w:r>
            <w:r>
              <w:rPr>
                <w:rStyle w:val="164"/>
                <w:lang w:val="en-US" w:eastAsia="zh-CN" w:bidi="ar"/>
              </w:rPr>
              <w:t>分所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590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佛子镇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辣了村卫生所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591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佛子镇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睦象村卫生所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592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佛子镇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睦象村卫生所</w:t>
            </w:r>
            <w:r>
              <w:rPr>
                <w:rFonts w:hint="default" w:ascii="Times New Roman" w:hAnsi="Times New Roman" w:eastAsia="宋体" w:cs="Times New Roman"/>
                <w:i w:val="0"/>
                <w:iCs w:val="0"/>
                <w:color w:val="000000"/>
                <w:kern w:val="0"/>
                <w:sz w:val="22"/>
                <w:szCs w:val="22"/>
                <w:u w:val="none"/>
                <w:lang w:val="en-US" w:eastAsia="zh-CN" w:bidi="ar"/>
              </w:rPr>
              <w:t>1</w:t>
            </w:r>
            <w:r>
              <w:rPr>
                <w:rStyle w:val="164"/>
                <w:lang w:val="en-US" w:eastAsia="zh-CN" w:bidi="ar"/>
              </w:rPr>
              <w:t>分所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593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佛子镇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睦象村卫生所</w:t>
            </w:r>
            <w:r>
              <w:rPr>
                <w:rFonts w:hint="default" w:ascii="Times New Roman" w:hAnsi="Times New Roman" w:eastAsia="宋体" w:cs="Times New Roman"/>
                <w:i w:val="0"/>
                <w:iCs w:val="0"/>
                <w:color w:val="000000"/>
                <w:kern w:val="0"/>
                <w:sz w:val="22"/>
                <w:szCs w:val="22"/>
                <w:u w:val="none"/>
                <w:lang w:val="en-US" w:eastAsia="zh-CN" w:bidi="ar"/>
              </w:rPr>
              <w:t>2</w:t>
            </w:r>
            <w:r>
              <w:rPr>
                <w:rStyle w:val="164"/>
                <w:lang w:val="en-US" w:eastAsia="zh-CN" w:bidi="ar"/>
              </w:rPr>
              <w:t>分所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594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佛子镇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新村村卫生所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595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佛子镇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新村村卫生所</w:t>
            </w:r>
            <w:r>
              <w:rPr>
                <w:rFonts w:hint="default" w:ascii="Times New Roman" w:hAnsi="Times New Roman" w:eastAsia="宋体" w:cs="Times New Roman"/>
                <w:i w:val="0"/>
                <w:iCs w:val="0"/>
                <w:color w:val="000000"/>
                <w:kern w:val="0"/>
                <w:sz w:val="22"/>
                <w:szCs w:val="22"/>
                <w:u w:val="none"/>
                <w:lang w:val="en-US" w:eastAsia="zh-CN" w:bidi="ar"/>
              </w:rPr>
              <w:t>1</w:t>
            </w:r>
            <w:r>
              <w:rPr>
                <w:rStyle w:val="164"/>
                <w:lang w:val="en-US" w:eastAsia="zh-CN" w:bidi="ar"/>
              </w:rPr>
              <w:t>分所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596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佛子镇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龙渊村卫生所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597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佛子镇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府灵村卫生所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598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佛子镇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府灵村卫生所</w:t>
            </w:r>
            <w:r>
              <w:rPr>
                <w:rFonts w:hint="default" w:ascii="Times New Roman" w:hAnsi="Times New Roman" w:eastAsia="宋体" w:cs="Times New Roman"/>
                <w:i w:val="0"/>
                <w:iCs w:val="0"/>
                <w:color w:val="000000"/>
                <w:kern w:val="0"/>
                <w:sz w:val="22"/>
                <w:szCs w:val="22"/>
                <w:u w:val="none"/>
                <w:lang w:val="en-US" w:eastAsia="zh-CN" w:bidi="ar"/>
              </w:rPr>
              <w:t>1</w:t>
            </w:r>
            <w:r>
              <w:rPr>
                <w:rStyle w:val="164"/>
                <w:lang w:val="en-US" w:eastAsia="zh-CN" w:bidi="ar"/>
              </w:rPr>
              <w:t>分所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599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佛子镇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芳兰村卫生所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600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佛子镇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芳兰村卫生所</w:t>
            </w:r>
            <w:r>
              <w:rPr>
                <w:rFonts w:hint="default" w:ascii="Times New Roman" w:hAnsi="Times New Roman" w:eastAsia="宋体" w:cs="Times New Roman"/>
                <w:i w:val="0"/>
                <w:iCs w:val="0"/>
                <w:color w:val="000000"/>
                <w:kern w:val="0"/>
                <w:sz w:val="22"/>
                <w:szCs w:val="22"/>
                <w:u w:val="none"/>
                <w:lang w:val="en-US" w:eastAsia="zh-CN" w:bidi="ar"/>
              </w:rPr>
              <w:t>1</w:t>
            </w:r>
            <w:r>
              <w:rPr>
                <w:rStyle w:val="164"/>
                <w:lang w:val="en-US" w:eastAsia="zh-CN" w:bidi="ar"/>
              </w:rPr>
              <w:t>分所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601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佛子镇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芳兰村卫生所</w:t>
            </w:r>
            <w:r>
              <w:rPr>
                <w:rFonts w:hint="default" w:ascii="Times New Roman" w:hAnsi="Times New Roman" w:eastAsia="宋体" w:cs="Times New Roman"/>
                <w:i w:val="0"/>
                <w:iCs w:val="0"/>
                <w:color w:val="000000"/>
                <w:kern w:val="0"/>
                <w:sz w:val="22"/>
                <w:szCs w:val="22"/>
                <w:u w:val="none"/>
                <w:lang w:val="en-US" w:eastAsia="zh-CN" w:bidi="ar"/>
              </w:rPr>
              <w:t>2</w:t>
            </w:r>
            <w:r>
              <w:rPr>
                <w:rStyle w:val="164"/>
                <w:lang w:val="en-US" w:eastAsia="zh-CN" w:bidi="ar"/>
              </w:rPr>
              <w:t>分所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602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佛子镇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将加村卫生所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603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佛子镇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象山村卫生所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604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佛子镇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泗洲村卫生所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605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三海街道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三多卫生室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606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三海街道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三海卫生室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607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三海街道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新垌卫生室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608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三海街道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那艮卫生室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609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三海街道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黄膳卫生室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610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三海街道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英爪卫生室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611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三海街道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苏屋卫生室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612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三海街道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旺圩卫生室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613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三海街道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枚埠卫生室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614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三海街道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大塘卫生室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615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三海街道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梓木卫生室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616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三海街道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石龙卫生室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617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三海街道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新大卫生室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618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三海街道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独岭卫生室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619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三海街道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三勤卫生室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620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三海街道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十里卫生室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621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三海街道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流屋埠卫生室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622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三海街道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双鹤社区卫生室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623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三海街道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那艮卫生室</w:t>
            </w:r>
            <w:r>
              <w:rPr>
                <w:rFonts w:hint="default" w:ascii="Times New Roman" w:hAnsi="Times New Roman" w:eastAsia="宋体" w:cs="Times New Roman"/>
                <w:i w:val="0"/>
                <w:iCs w:val="0"/>
                <w:color w:val="000000"/>
                <w:kern w:val="0"/>
                <w:sz w:val="22"/>
                <w:szCs w:val="22"/>
                <w:u w:val="none"/>
                <w:lang w:val="en-US" w:eastAsia="zh-CN" w:bidi="ar"/>
              </w:rPr>
              <w:t>1</w:t>
            </w:r>
            <w:r>
              <w:rPr>
                <w:rStyle w:val="164"/>
                <w:lang w:val="en-US" w:eastAsia="zh-CN" w:bidi="ar"/>
              </w:rPr>
              <w:t>分所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624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平南镇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平南村卫生室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625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平南镇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石基村卫生室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626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平南镇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北峡村卫生室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627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平南镇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驾马村卫生室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628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平南镇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大洋村卫生室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629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平南镇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塘肚村卫生室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630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平南镇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金银村卫生室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631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平南镇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鲁塘村卫生室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632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平南镇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大宾村卫生室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633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平南镇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三里村卫生室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634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平南镇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大山塘村卫生室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635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平南镇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硖木村卫生室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636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平南镇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杨梅村卫生室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637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平南镇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古僚村卫生室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638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平南镇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岭平村卫生室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639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平南镇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勒菜村卫生室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640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平南镇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新魁村卫生室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641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平南镇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白花村卫生室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642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平南镇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桃禾村卫生室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643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灵城街道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白木村卫生室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644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灵城街道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白水村卫生室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645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灵城街道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前进村卫生室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646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灵城街道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谭礼村卫生室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647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灵城街道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棠梨村卫生室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648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灵城街道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梓崇村卫生室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649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烟墩镇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烟墩村卫生室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650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烟墩镇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三联村卫生室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651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烟墩镇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古榕村卫生室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652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烟墩镇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佳平村卫生室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653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烟墩镇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司练村卫生室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654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烟墩镇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邓塘村卫生室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655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烟墩镇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长麓村卫生室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656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烟墩镇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莲塘村卫生室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657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烟墩镇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六局村卫生室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658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烟墩镇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六加村卫生室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659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烟墩镇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西冲村卫生室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660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烟墩镇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峡口村卫生室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661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烟墩镇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大远村卫生室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662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烟墩镇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那合村卫生室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663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烟墩镇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茅针村卫生室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664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烟墩镇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六凤村卫生室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665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烟墩镇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妙庄村卫生室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666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烟墩镇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三岔村卫生室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667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烟墩镇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石堆村卫生室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668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烟墩镇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凤山村卫生室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669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旧州镇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双凤村卫生室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670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旧州镇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师岭村卫生室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671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旧州镇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长安村卫生室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672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旧州镇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双金村卫生室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673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旧州镇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长基村卫生室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674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旧州镇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六额村卫生室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675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旧州镇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塘寮村卫生室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676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旧州镇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旧州村卫生室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677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旧州镇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石柱村卫生室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678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旧州镇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北龙村卫生室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679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旧州镇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围屋村卫生室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680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旧州镇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下浪村卫生室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681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旧州镇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上耕村卫生室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682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旧州镇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上井村卫生室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683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旧州镇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沉木村卫生室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684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旧州镇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那良村卫生室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685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旧州镇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兵马村卫生室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686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旧州镇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新湾村卫生室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687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旧州镇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教马村卫生室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688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旧州镇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西屯村卫生室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689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旧州镇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民主村卫生室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690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旧州镇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樟木村卫生室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691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旧州镇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六华村卫生室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692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旧州镇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古修村卫生室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693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旧州镇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张高村卫生室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694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旧州镇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大岭村卫生室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695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旧州镇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青松村卫生室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696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旧州镇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石桥村卫生室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697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旧州镇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横塘村卫生室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698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秧地塘卫生室</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699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大里卫生室</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700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蒙塘卫生室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701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渌一卫生室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702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渌二卫生室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703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塘排卫生室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704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官屯卫生室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705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沙路卫生室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706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尧家卫生室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707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洲塘卫生室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708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稔坡卫生室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709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漂塘卫生室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710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元屋岭卫生室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711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古文卫生室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712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邓家卫生室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713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萍塘卫生室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714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那东卫生室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715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急水卫生所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716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茶田卫生室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717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白坭岭卫生室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718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夏村卫生室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719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秦屋山卫生室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720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梯始卫生室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721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容家卫生室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722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六峰卫生室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723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佛垌卫生室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724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新院卫生室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725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上塘卫生室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726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晏村卫生室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727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平王卫生室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728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独树卫生室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729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灵山县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街委卫生所</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730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泉水镇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泉新村委卫生室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731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泉水镇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小蒙屯村委卫生室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732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泉水镇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坭江村委卫生室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733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泉水镇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平阳村委卫生室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734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泉水镇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横流村委卫生室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735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泉水镇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碰山村委卫生室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736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泉水镇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旧州村委卫生室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737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石埇镇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旺盛江村委卫生室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738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石埇镇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石埇村委卫生室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739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石埇镇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长山村委卫生室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740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石埇镇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文昌村委卫生室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741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石埇镇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坡子坪村委卫生室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742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石埇镇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八东村委卫生室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743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石埇镇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油滩村委卫生室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744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安石镇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安石村卫生室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745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安石镇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坡村村卫生室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746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安石镇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石凉村卫生室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747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安石镇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平山村卫生室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748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安石镇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六江村卫生室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749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安石镇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禁山村卫生室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750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安石镇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马坪村卫生室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751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安石镇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新塘村卫生室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752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安石镇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大坡村卫生室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753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安石镇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三亚村卫生室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754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安石镇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南江村卫生室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755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张黄镇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新桥村委卫生室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756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张黄镇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邓平村委卫生室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757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张黄镇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江平村委卫生室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758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张黄镇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米埠村委卫生室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759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张黄镇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山埇村委卫生室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760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张黄镇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元坝村委卫生室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761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张黄镇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江背村委卫生室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762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张黄镇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福山村委卫生室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763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张黄镇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普林村委卫生室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764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张黄镇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大平村委卫生室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765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张黄镇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木根村委卫生室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766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张黄镇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合山村委卫生室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767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张黄镇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洋水村委卫生室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768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张黄镇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学堂村委卫生室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769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张黄镇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鸡冠村委卫生室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770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张黄镇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马屋村委卫生室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771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张黄镇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十字村委卫生室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772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张黄镇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长岭村委卫生室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773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张黄镇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阳春村委卫生室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774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张黄镇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罗家村委卫生室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775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张黄镇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大坡村委卫生室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776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张黄镇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六罗村委卫生室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777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张黄镇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大村村委卫生室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778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白石水镇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新圩村委卫生室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779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白石水镇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红岭村委卫生室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780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白石水镇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高联村委卫生室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781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白石水镇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大塘村委卫生室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782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白石水镇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那回村委卫生室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783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白石水镇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双龙村委卫生室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784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白石水镇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陈依村委卫生室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785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白石水镇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五黄村委卫生室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786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白石水镇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中林村委卫生室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787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白石水镇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良江村委卫生室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788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白石水镇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良田村委卫生室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789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白石水镇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南明村委卫生室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790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大成镇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板铺村卫生室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791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大成镇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大成村卫生室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792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大成镇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到耽村卫生室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793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大成镇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符竹村卫生室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794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大成镇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柑子根村卫生室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795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大成镇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较车村卫生室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796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大成镇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联成村卫生室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797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大成镇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金街村卫生室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798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大成镇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六村村卫生室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799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大成镇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六鸣村卫生室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800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大成镇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六平村卫生室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801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大成镇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六角村卫生室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802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大成镇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罗城村卫生室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803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大成镇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罗南村卫生室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804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大成镇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金联村卫生室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805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北通镇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北山村委卫生室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806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北通镇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平坡村委卫生室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807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北通镇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清湖村委卫生室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808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北通镇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高林村委卫生室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809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北通镇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中屯村委卫生室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810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北通镇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旱田村委卫生室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811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北通镇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博学村委卫生室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812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北通镇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良庄村委卫生室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813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北通镇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兰田村委卫生室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814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北通镇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楠垌村委卫生室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815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北通镇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社根村委卫生室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816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北通镇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佛新村委卫生室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817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北通镇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那新村委卫生室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818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北通镇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那良村委卫生室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819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三合镇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桥头村委卫生室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820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三合镇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太安村委卫生室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821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三合镇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三鸽村委卫生室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822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三合镇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塘岸村委卫生室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823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三合镇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新村村委卫生室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824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三合镇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赵坪村委卫生室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825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三合镇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长安村委卫生室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826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三合镇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马头村委卫生室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827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三合镇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定更村委卫生室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828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龙门镇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平黄村委卫生室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829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龙门镇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王坡村委卫生室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830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龙门镇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六林村委卫生室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831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龙门镇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平垌村委卫生室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832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龙门镇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甘宁村委卫生室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833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龙门镇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高明村委卫生室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834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龙门镇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平江村委卫生室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835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龙门镇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长平村委卫生室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836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龙门镇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林塘村委卫生室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837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龙门镇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莲塘村委卫生室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838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龙门镇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江埠村委卫生室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839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龙门镇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姜花村委卫生室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840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龙门镇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马兰村委卫生室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841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龙门镇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滑竹村委卫生室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842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龙门镇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林垌村委卫生室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843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龙门镇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塘田村委卫生室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844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龙门镇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学塘村委卫生室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845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龙门镇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茅家村委卫生室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846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龙门镇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中南村委卫生室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847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龙门镇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龙新村委卫生室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848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龙门镇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读冲村委卫生室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849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龙门镇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大坡村委卫生室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850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龙门镇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新田村委卫生室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851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龙门镇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新丰村委卫生室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852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龙门镇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高坡村委卫生室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853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龙门镇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日新村委卫生室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854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龙门镇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居木村委卫生室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855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小江街道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黎木村委卫生室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856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小江街道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光明村委卫生室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857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小江街道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凤平村委卫生室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858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小江街道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苏村村委卫生室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859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小江街道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平马村委卫生室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860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小江街道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街口村委卫生室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861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小江街道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六新村委卫生室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862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小江街道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新南村委卫生室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863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小江街道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和平村委卫生室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864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小江街道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沙场村委卫生室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865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小江街道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沙江村委卫生室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866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小江街道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云坊村委卫生室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867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小江街道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文山社区卫生室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868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小江街道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西塘社区卫生室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869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小江街道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健群村委卫生室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870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小江街道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田山社区卫生室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871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江城街道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桥山村委卫生室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872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江城街道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六桥村委卫生室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873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江城街道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塘胜村委卫生室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874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江城街道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塘头社区卫生室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875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江城街道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木麻根社区卫生室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876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江城街道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中心村委卫生室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877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江城街道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林村村委卫生室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878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江城街道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公家村委卫生室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879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江城街道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樟家村委卫生室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880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江城街道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梅江村委卫生室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881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江城街道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长田村委卫生室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882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江城街道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合群村委卫生室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883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江城街道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青春村委卫生室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884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江城街道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北河社区卫生室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885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江城街道</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平六村委卫生室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886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福旺镇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福旺村委卫生室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887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福旺镇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凤山村委卫生室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888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福旺镇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北兰村委卫生室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889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福旺镇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六寮村委卫生室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890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福旺镇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南山村委卫生室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891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福旺镇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大湾村委卫生室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892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福旺镇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下垌村委卫生室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893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福旺镇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中山村委卫生室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894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福旺镇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石均村委卫生室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895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福旺镇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玉叶村委卫生室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896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福旺镇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坡心村委卫生室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897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福旺镇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镇脚村委卫生室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898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福旺镇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大双村委卫生室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899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福旺镇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武溪村委卫生室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900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福旺镇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长昆村委卫生室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901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福旺镇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万垌村委卫生室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902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福旺镇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华新村委卫生室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903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福旺镇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枫木村委卫生室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904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福旺镇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龙眼村委卫生室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905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福旺镇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莞塘村委卫生室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906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福旺镇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六合村委卫生室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907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福旺镇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大田村委卫生室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908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福旺镇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大垌村委卫生室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909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福旺镇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长塘村委卫生室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910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福旺镇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古立村委卫生室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911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寨圩镇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寨圩村委卫生室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912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寨圩镇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仁旺村委卫生室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913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寨圩镇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丰门村委卫生室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914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寨圩镇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柘木村委卫生室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915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寨圩镇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兰门村委卫生室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916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寨圩镇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子厄村委卫生室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917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寨圩镇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土东村委卫生室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918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寨圩镇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乌石村委卫生室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919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寨圩镇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平塘村委卫生室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920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寨圩镇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康乐村委卫生室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921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寨圩镇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歌棉村委卫生室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922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寨圩镇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大江口村委卫生室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923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寨圩镇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竹较村委卫生室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924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寨圩镇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甘村村委卫生室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925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寨圩镇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伯家村委卫生室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926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寨圩镇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朋山村委卫生室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927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寨圩镇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亚旺村委卫生室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928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寨圩镇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分村村委卫生室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929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寨圩镇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平村村委卫生室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930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寨圩镇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秋香村委卫生室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931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寨圩镇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三江村委卫生室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932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平睦镇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平睦村委卫生室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933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平睦镇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旺贵村委卫生室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934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平睦镇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平安村委卫生室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935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平睦镇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五峰村委卫生室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936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平睦镇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富足村委卫生室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937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平睦镇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茂平村委卫生室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938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平睦镇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新塘村委卫生室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939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平睦镇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官屋村委卫生室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940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平睦镇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新丰村委卫生室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941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平睦镇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良村村委卫生室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942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平睦镇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六峰村委卫生室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943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乐民镇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乐民村委卫生室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944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乐民镇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平佳村委卫生室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945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乐民镇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蒙竹村委卫生室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946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乐民镇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社头村委卫生室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947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乐民镇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白石村委卫生室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948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乐民镇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金康村委卫生室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949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乐民镇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西角村委卫生室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950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乐民镇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黄马村委卫生室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951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乐民镇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山鸡村委卫生室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952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乐民镇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高山村委卫生室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953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乐民镇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马朗村委卫生室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954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乐民镇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莫村村委卫生室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955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六硍镇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六硍村委卫生室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956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六硍镇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白花村委卫生室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957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六硍镇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民生村委卫生室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958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六硍镇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六台村委卫生室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959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六硍镇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石合村委卫生室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960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六硍镇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新华村委卫生室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961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六硍镇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门楼村委卫生室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962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六硍镇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旺塘村委卫生室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963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六硍镇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木格村委卫生室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964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六硍镇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关埲村委卫生室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965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六硍镇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新坡村委卫生室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966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六硍镇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大能村委卫生室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967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六硍镇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横岗村委卫生室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968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六硍镇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六秀村委卫生室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969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六硍镇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横岭村委卫生室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970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六硍镇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官村村委卫生室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971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六硍镇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垌心村委卫生室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972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六硍镇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塘肚村委卫生室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973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官垌镇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垌口村委卫生室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974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官垌镇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月光村委卫生室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975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官垌镇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江口村委卫生室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976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官垌镇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龙地村委卫生室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977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官垌镇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芳田村卫生室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978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官垌镇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垌表村卫生室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979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官垌镇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平石村卫生室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980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官垌镇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官垌村卫生室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981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官垌镇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旺冲村卫生室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982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官垌镇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福明村卫生室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983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官垌镇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文峰村卫生室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984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官垌镇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东叶景村卫生室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985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官垌镇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甜竹村卫生室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986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官垌镇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文明村卫生室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987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官垌镇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群生村卫生室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988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官垌镇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历山村卫生室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989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浦北县</w:t>
            </w:r>
          </w:p>
        </w:tc>
        <w:tc>
          <w:tcPr>
            <w:tcW w:w="2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官垌镇</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64"/>
                <w:lang w:val="en-US" w:eastAsia="zh-CN" w:bidi="ar"/>
              </w:rPr>
              <w:t>大岸村卫生室</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058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黑体_GBK" w:hAnsi="方正黑体_GBK" w:eastAsia="方正黑体_GBK" w:cs="方正黑体_GBK"/>
                <w:i w:val="0"/>
                <w:iCs w:val="0"/>
                <w:color w:val="000000"/>
                <w:sz w:val="22"/>
                <w:szCs w:val="22"/>
                <w:u w:val="none"/>
              </w:rPr>
            </w:pPr>
            <w:r>
              <w:rPr>
                <w:rFonts w:hint="eastAsia" w:ascii="方正黑体_GBK" w:hAnsi="方正黑体_GBK" w:eastAsia="方正黑体_GBK" w:cs="方正黑体_GBK"/>
                <w:i w:val="0"/>
                <w:iCs w:val="0"/>
                <w:color w:val="000000"/>
                <w:kern w:val="0"/>
                <w:sz w:val="22"/>
                <w:szCs w:val="22"/>
                <w:u w:val="none"/>
                <w:lang w:val="en-US" w:eastAsia="zh-CN" w:bidi="ar"/>
              </w:rPr>
              <w:t>四、5条电子政务外网预留线路租用服务（含10个互联网固定IP地址）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楷体_GBK" w:hAnsi="方正楷体_GBK" w:eastAsia="方正楷体_GBK" w:cs="方正楷体_GBK"/>
                <w:i w:val="0"/>
                <w:iCs w:val="0"/>
                <w:color w:val="000000"/>
                <w:sz w:val="22"/>
                <w:szCs w:val="22"/>
                <w:u w:val="none"/>
              </w:rPr>
            </w:pPr>
            <w:r>
              <w:rPr>
                <w:rFonts w:hint="eastAsia" w:ascii="方正楷体_GBK" w:hAnsi="方正楷体_GBK" w:eastAsia="方正楷体_GBK" w:cs="方正楷体_GBK"/>
                <w:i w:val="0"/>
                <w:iCs w:val="0"/>
                <w:color w:val="000000"/>
                <w:kern w:val="0"/>
                <w:sz w:val="22"/>
                <w:szCs w:val="22"/>
                <w:u w:val="none"/>
                <w:lang w:val="en-US" w:eastAsia="zh-CN" w:bidi="ar"/>
              </w:rPr>
              <w:t>序号</w:t>
            </w:r>
          </w:p>
        </w:tc>
        <w:tc>
          <w:tcPr>
            <w:tcW w:w="6924" w:type="dxa"/>
            <w:gridSpan w:val="3"/>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方正楷体_GBK" w:hAnsi="方正楷体_GBK" w:eastAsia="方正楷体_GBK" w:cs="方正楷体_GBK"/>
                <w:i w:val="0"/>
                <w:iCs w:val="0"/>
                <w:color w:val="000000"/>
                <w:sz w:val="22"/>
                <w:szCs w:val="22"/>
                <w:u w:val="none"/>
              </w:rPr>
            </w:pPr>
            <w:r>
              <w:rPr>
                <w:rFonts w:hint="eastAsia" w:ascii="方正楷体_GBK" w:hAnsi="方正楷体_GBK" w:eastAsia="方正楷体_GBK" w:cs="方正楷体_GBK"/>
                <w:i w:val="0"/>
                <w:iCs w:val="0"/>
                <w:color w:val="000000"/>
                <w:kern w:val="0"/>
                <w:sz w:val="22"/>
                <w:szCs w:val="22"/>
                <w:u w:val="none"/>
                <w:lang w:val="en-US" w:eastAsia="zh-CN" w:bidi="ar"/>
              </w:rPr>
              <w:t>线路名称</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楷体_GBK" w:hAnsi="方正楷体_GBK" w:eastAsia="方正楷体_GBK" w:cs="方正楷体_GBK"/>
                <w:i w:val="0"/>
                <w:iCs w:val="0"/>
                <w:color w:val="000000"/>
                <w:sz w:val="22"/>
                <w:szCs w:val="22"/>
                <w:u w:val="none"/>
              </w:rPr>
            </w:pPr>
            <w:r>
              <w:rPr>
                <w:rFonts w:hint="eastAsia" w:ascii="方正楷体_GBK" w:hAnsi="方正楷体_GBK" w:eastAsia="方正楷体_GBK" w:cs="方正楷体_GBK"/>
                <w:i w:val="0"/>
                <w:iCs w:val="0"/>
                <w:color w:val="000000"/>
                <w:kern w:val="0"/>
                <w:sz w:val="22"/>
                <w:szCs w:val="22"/>
                <w:u w:val="none"/>
                <w:lang w:val="en-US" w:eastAsia="zh-CN" w:bidi="ar"/>
              </w:rPr>
              <w:t>带宽（M）</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楷体_GBK" w:hAnsi="方正楷体_GBK" w:eastAsia="方正楷体_GBK" w:cs="方正楷体_GBK"/>
                <w:i w:val="0"/>
                <w:iCs w:val="0"/>
                <w:color w:val="000000"/>
                <w:sz w:val="22"/>
                <w:szCs w:val="22"/>
                <w:u w:val="none"/>
              </w:rPr>
            </w:pPr>
            <w:r>
              <w:rPr>
                <w:rFonts w:hint="eastAsia" w:ascii="方正楷体_GBK" w:hAnsi="方正楷体_GBK" w:eastAsia="方正楷体_GBK" w:cs="方正楷体_GBK"/>
                <w:i w:val="0"/>
                <w:iCs w:val="0"/>
                <w:color w:val="000000"/>
                <w:kern w:val="0"/>
                <w:sz w:val="22"/>
                <w:szCs w:val="22"/>
                <w:u w:val="none"/>
                <w:lang w:val="en-US" w:eastAsia="zh-CN" w:bidi="ar"/>
              </w:rPr>
              <w:t>数量（条）</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楷体_GBK" w:hAnsi="方正楷体_GBK" w:eastAsia="方正楷体_GBK" w:cs="方正楷体_GBK"/>
                <w:i w:val="0"/>
                <w:iCs w:val="0"/>
                <w:color w:val="000000"/>
                <w:sz w:val="22"/>
                <w:szCs w:val="22"/>
                <w:u w:val="none"/>
              </w:rPr>
            </w:pPr>
            <w:r>
              <w:rPr>
                <w:rFonts w:hint="eastAsia" w:ascii="方正楷体_GBK" w:hAnsi="方正楷体_GBK" w:eastAsia="方正楷体_GBK" w:cs="方正楷体_GBK"/>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8"/>
              <w:ind w:left="0" w:leftChars="0" w:firstLine="0" w:firstLineChars="0"/>
              <w:jc w:val="center"/>
              <w:rPr>
                <w:rFonts w:hint="default" w:ascii="方正楷体_GBK" w:hAnsi="方正楷体_GBK" w:eastAsia="方正楷体_GBK" w:cs="方正楷体_GBK"/>
                <w:i w:val="0"/>
                <w:iCs w:val="0"/>
                <w:color w:val="000000"/>
                <w:kern w:val="0"/>
                <w:sz w:val="22"/>
                <w:szCs w:val="22"/>
                <w:u w:val="none"/>
                <w:lang w:val="en-US" w:eastAsia="zh-CN" w:bidi="ar"/>
              </w:rPr>
            </w:pPr>
            <w:r>
              <w:rPr>
                <w:rFonts w:hint="eastAsia" w:ascii="方正楷体_GBK" w:hAnsi="方正楷体_GBK" w:eastAsia="方正楷体_GBK" w:cs="方正楷体_GBK"/>
                <w:i w:val="0"/>
                <w:iCs w:val="0"/>
                <w:color w:val="000000"/>
                <w:kern w:val="0"/>
                <w:sz w:val="22"/>
                <w:szCs w:val="22"/>
                <w:u w:val="none"/>
                <w:lang w:val="en-US" w:eastAsia="zh-CN" w:bidi="ar"/>
              </w:rPr>
              <w:t>1</w:t>
            </w:r>
          </w:p>
        </w:tc>
        <w:tc>
          <w:tcPr>
            <w:tcW w:w="6924" w:type="dxa"/>
            <w:gridSpan w:val="3"/>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ind w:firstLine="1980" w:firstLineChars="90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电子政务外网预留线路</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楷体_GBK" w:hAnsi="方正楷体_GBK" w:eastAsia="方正楷体_GBK" w:cs="方正楷体_GBK"/>
                <w:i w:val="0"/>
                <w:iCs w:val="0"/>
                <w:color w:val="000000"/>
                <w:kern w:val="0"/>
                <w:sz w:val="22"/>
                <w:szCs w:val="22"/>
                <w:u w:val="none"/>
                <w:lang w:val="en-US" w:eastAsia="zh-CN" w:bidi="ar"/>
              </w:rPr>
            </w:pPr>
            <w:r>
              <w:rPr>
                <w:rFonts w:hint="eastAsia" w:ascii="方正楷体_GBK" w:hAnsi="方正楷体_GBK" w:eastAsia="方正楷体_GBK" w:cs="方正楷体_GBK"/>
                <w:i w:val="0"/>
                <w:iCs w:val="0"/>
                <w:color w:val="000000"/>
                <w:kern w:val="0"/>
                <w:sz w:val="22"/>
                <w:szCs w:val="22"/>
                <w:u w:val="none"/>
                <w:lang w:val="en-US" w:eastAsia="zh-CN" w:bidi="ar"/>
              </w:rPr>
              <w:t>100</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楷体_GBK" w:hAnsi="方正楷体_GBK" w:eastAsia="方正楷体_GBK" w:cs="方正楷体_GBK"/>
                <w:i w:val="0"/>
                <w:iCs w:val="0"/>
                <w:color w:val="000000"/>
                <w:kern w:val="0"/>
                <w:sz w:val="22"/>
                <w:szCs w:val="22"/>
                <w:u w:val="none"/>
                <w:lang w:val="en-US" w:eastAsia="zh-CN" w:bidi="ar"/>
              </w:rPr>
            </w:pPr>
            <w:r>
              <w:rPr>
                <w:rFonts w:hint="eastAsia" w:ascii="方正楷体_GBK" w:hAnsi="方正楷体_GBK" w:eastAsia="方正楷体_GBK" w:cs="方正楷体_GBK"/>
                <w:i w:val="0"/>
                <w:iCs w:val="0"/>
                <w:color w:val="000000"/>
                <w:kern w:val="0"/>
                <w:sz w:val="22"/>
                <w:szCs w:val="22"/>
                <w:u w:val="none"/>
                <w:lang w:val="en-US" w:eastAsia="zh-CN" w:bidi="ar"/>
              </w:rPr>
              <w:t>5</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楷体_GBK" w:hAnsi="方正楷体_GBK" w:eastAsia="方正楷体_GBK" w:cs="方正楷体_GBK"/>
                <w:i w:val="0"/>
                <w:iCs w:val="0"/>
                <w:color w:val="000000"/>
                <w:kern w:val="0"/>
                <w:sz w:val="22"/>
                <w:szCs w:val="22"/>
                <w:u w:val="none"/>
                <w:lang w:val="en-US" w:eastAsia="zh-CN" w:bidi="ar"/>
              </w:rPr>
            </w:pPr>
            <w:r>
              <w:rPr>
                <w:rFonts w:hint="eastAsia" w:ascii="方正楷体_GBK" w:hAnsi="方正楷体_GBK" w:eastAsia="方正楷体_GBK" w:cs="方正楷体_GBK"/>
                <w:i w:val="0"/>
                <w:iCs w:val="0"/>
                <w:color w:val="000000"/>
                <w:kern w:val="0"/>
                <w:sz w:val="22"/>
                <w:szCs w:val="22"/>
                <w:u w:val="none"/>
                <w:lang w:val="en-US" w:eastAsia="zh-CN" w:bidi="ar"/>
              </w:rPr>
              <w:t>含10个互联网固定IP地址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1058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黑体_GBK" w:hAnsi="方正黑体_GBK" w:eastAsia="方正黑体_GBK" w:cs="方正黑体_GBK"/>
                <w:i w:val="0"/>
                <w:iCs w:val="0"/>
                <w:color w:val="000000"/>
                <w:sz w:val="22"/>
                <w:szCs w:val="22"/>
                <w:u w:val="none"/>
              </w:rPr>
            </w:pPr>
            <w:r>
              <w:rPr>
                <w:rFonts w:hint="eastAsia" w:ascii="方正黑体_GBK" w:hAnsi="方正黑体_GBK" w:eastAsia="方正黑体_GBK" w:cs="方正黑体_GBK"/>
                <w:i w:val="0"/>
                <w:iCs w:val="0"/>
                <w:color w:val="000000"/>
                <w:kern w:val="0"/>
                <w:sz w:val="22"/>
                <w:szCs w:val="22"/>
                <w:u w:val="none"/>
                <w:lang w:val="en-US" w:eastAsia="zh-CN" w:bidi="ar"/>
              </w:rPr>
              <w:t>五、设备等租用服务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楷体_GBK" w:hAnsi="方正楷体_GBK" w:eastAsia="方正楷体_GBK" w:cs="方正楷体_GBK"/>
                <w:i w:val="0"/>
                <w:iCs w:val="0"/>
                <w:color w:val="000000"/>
                <w:sz w:val="22"/>
                <w:szCs w:val="22"/>
                <w:u w:val="none"/>
              </w:rPr>
            </w:pPr>
            <w:r>
              <w:rPr>
                <w:rFonts w:hint="eastAsia" w:ascii="方正楷体_GBK" w:hAnsi="方正楷体_GBK" w:eastAsia="方正楷体_GBK" w:cs="方正楷体_GBK"/>
                <w:i w:val="0"/>
                <w:iCs w:val="0"/>
                <w:color w:val="000000"/>
                <w:kern w:val="0"/>
                <w:sz w:val="22"/>
                <w:szCs w:val="22"/>
                <w:u w:val="none"/>
                <w:lang w:val="en-US" w:eastAsia="zh-CN" w:bidi="ar"/>
              </w:rPr>
              <w:t>序号</w:t>
            </w:r>
          </w:p>
        </w:tc>
        <w:tc>
          <w:tcPr>
            <w:tcW w:w="81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楷体_GBK" w:hAnsi="方正楷体_GBK" w:eastAsia="方正楷体_GBK" w:cs="方正楷体_GBK"/>
                <w:i w:val="0"/>
                <w:iCs w:val="0"/>
                <w:color w:val="000000"/>
                <w:sz w:val="22"/>
                <w:szCs w:val="22"/>
                <w:u w:val="none"/>
              </w:rPr>
            </w:pPr>
            <w:r>
              <w:rPr>
                <w:rFonts w:hint="eastAsia" w:ascii="方正楷体_GBK" w:hAnsi="方正楷体_GBK" w:eastAsia="方正楷体_GBK" w:cs="方正楷体_GBK"/>
                <w:i w:val="0"/>
                <w:iCs w:val="0"/>
                <w:color w:val="000000"/>
                <w:kern w:val="0"/>
                <w:sz w:val="22"/>
                <w:szCs w:val="22"/>
                <w:u w:val="none"/>
                <w:lang w:val="en-US" w:eastAsia="zh-CN" w:bidi="ar"/>
              </w:rPr>
              <w:t>名称</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楷体_GBK" w:hAnsi="方正楷体_GBK" w:eastAsia="方正楷体_GBK" w:cs="方正楷体_GBK"/>
                <w:i w:val="0"/>
                <w:iCs w:val="0"/>
                <w:color w:val="000000"/>
                <w:sz w:val="22"/>
                <w:szCs w:val="22"/>
                <w:u w:val="none"/>
              </w:rPr>
            </w:pPr>
            <w:r>
              <w:rPr>
                <w:rFonts w:hint="eastAsia" w:ascii="方正楷体_GBK" w:hAnsi="方正楷体_GBK" w:eastAsia="方正楷体_GBK" w:cs="方正楷体_GBK"/>
                <w:i w:val="0"/>
                <w:iCs w:val="0"/>
                <w:color w:val="000000"/>
                <w:kern w:val="0"/>
                <w:sz w:val="22"/>
                <w:szCs w:val="22"/>
                <w:u w:val="none"/>
                <w:lang w:val="en-US" w:eastAsia="zh-CN" w:bidi="ar"/>
              </w:rPr>
              <w:t>数量（项、个）</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楷体_GBK" w:hAnsi="方正楷体_GBK" w:eastAsia="方正楷体_GBK" w:cs="方正楷体_GBK"/>
                <w:i w:val="0"/>
                <w:iCs w:val="0"/>
                <w:color w:val="000000"/>
                <w:sz w:val="22"/>
                <w:szCs w:val="22"/>
                <w:u w:val="none"/>
              </w:rPr>
            </w:pPr>
            <w:r>
              <w:rPr>
                <w:rFonts w:hint="eastAsia" w:ascii="方正楷体_GBK" w:hAnsi="方正楷体_GBK" w:eastAsia="方正楷体_GBK" w:cs="方正楷体_GBK"/>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81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VPN</w:t>
            </w:r>
            <w:r>
              <w:rPr>
                <w:rStyle w:val="164"/>
                <w:lang w:val="en-US" w:eastAsia="zh-CN" w:bidi="ar"/>
              </w:rPr>
              <w:t>防火墙租用服务</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81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钦州市电子政务外网接入防火墙租用服务</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cs="Times New Roman"/>
                <w:i w:val="0"/>
                <w:iCs w:val="0"/>
                <w:color w:val="000000"/>
                <w:kern w:val="0"/>
                <w:sz w:val="22"/>
                <w:szCs w:val="22"/>
                <w:u w:val="none"/>
                <w:lang w:val="en-US" w:eastAsia="zh-CN" w:bidi="ar"/>
              </w:rPr>
              <w:t>3</w:t>
            </w:r>
          </w:p>
        </w:tc>
        <w:tc>
          <w:tcPr>
            <w:tcW w:w="81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钦州市电子政务外网防火墙病毒库授权服务</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eastAsia" w:cs="Times New Roman"/>
                <w:i w:val="0"/>
                <w:iCs w:val="0"/>
                <w:color w:val="000000"/>
                <w:kern w:val="0"/>
                <w:sz w:val="22"/>
                <w:szCs w:val="22"/>
                <w:u w:val="none"/>
                <w:lang w:val="en-US" w:eastAsia="zh-CN" w:bidi="ar"/>
              </w:rPr>
              <w:t>4</w:t>
            </w:r>
          </w:p>
        </w:tc>
        <w:tc>
          <w:tcPr>
            <w:tcW w:w="81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VPN全流量检测设备租用服务</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5</w:t>
            </w:r>
          </w:p>
        </w:tc>
        <w:tc>
          <w:tcPr>
            <w:tcW w:w="81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摄像头租用服务</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2</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sz w:val="22"/>
                <w:szCs w:val="22"/>
                <w:u w:val="none"/>
              </w:rPr>
              <w:t>安装位置位于浦北县福旺镇六合村内，并将视频推送至钦州市雪亮平台，含线路、运维等全部费用。</w:t>
            </w:r>
          </w:p>
        </w:tc>
      </w:tr>
    </w:tbl>
    <w:p>
      <w:pPr>
        <w:rPr>
          <w:rFonts w:hint="eastAsia"/>
        </w:rPr>
      </w:pPr>
    </w:p>
    <w:p>
      <w:pPr>
        <w:pStyle w:val="3"/>
        <w:spacing w:line="400" w:lineRule="exact"/>
        <w:rPr>
          <w:rFonts w:hint="eastAsia" w:asciiTheme="minorHAnsi" w:hAnsiTheme="minorHAnsi" w:eastAsiaTheme="minorHAnsi"/>
          <w:color w:val="auto"/>
          <w:sz w:val="48"/>
          <w:highlight w:val="none"/>
        </w:rPr>
      </w:pPr>
    </w:p>
    <w:p>
      <w:pPr>
        <w:pStyle w:val="3"/>
        <w:spacing w:line="400" w:lineRule="exact"/>
        <w:rPr>
          <w:rFonts w:hint="eastAsia" w:asciiTheme="minorHAnsi" w:hAnsiTheme="minorHAnsi" w:eastAsiaTheme="minorHAnsi"/>
          <w:color w:val="auto"/>
          <w:sz w:val="48"/>
          <w:highlight w:val="none"/>
        </w:rPr>
      </w:pPr>
    </w:p>
    <w:p>
      <w:pPr>
        <w:pStyle w:val="3"/>
        <w:spacing w:line="400" w:lineRule="exact"/>
        <w:rPr>
          <w:rFonts w:hint="eastAsia" w:asciiTheme="minorHAnsi" w:hAnsiTheme="minorHAnsi" w:eastAsiaTheme="minorHAnsi"/>
          <w:color w:val="auto"/>
          <w:sz w:val="48"/>
          <w:highlight w:val="none"/>
        </w:rPr>
      </w:pPr>
    </w:p>
    <w:p>
      <w:pPr>
        <w:pStyle w:val="3"/>
        <w:spacing w:line="400" w:lineRule="exact"/>
        <w:rPr>
          <w:rFonts w:hint="eastAsia" w:asciiTheme="minorHAnsi" w:hAnsiTheme="minorHAnsi" w:eastAsiaTheme="minorHAnsi"/>
          <w:color w:val="auto"/>
          <w:sz w:val="48"/>
          <w:highlight w:val="none"/>
        </w:rPr>
      </w:pPr>
    </w:p>
    <w:p>
      <w:pPr>
        <w:pStyle w:val="3"/>
        <w:spacing w:line="400" w:lineRule="exact"/>
        <w:rPr>
          <w:rFonts w:hint="eastAsia" w:asciiTheme="minorHAnsi" w:hAnsiTheme="minorHAnsi" w:eastAsiaTheme="minorHAnsi"/>
          <w:color w:val="auto"/>
          <w:sz w:val="48"/>
          <w:highlight w:val="none"/>
        </w:rPr>
      </w:pPr>
    </w:p>
    <w:p>
      <w:pPr>
        <w:rPr>
          <w:rFonts w:hint="eastAsia" w:asciiTheme="minorHAnsi" w:hAnsiTheme="minorHAnsi" w:eastAsiaTheme="minorHAnsi"/>
          <w:color w:val="auto"/>
          <w:sz w:val="48"/>
          <w:highlight w:val="none"/>
        </w:rPr>
      </w:pPr>
    </w:p>
    <w:p>
      <w:pPr>
        <w:rPr>
          <w:rFonts w:hint="eastAsia" w:asciiTheme="minorHAnsi" w:hAnsiTheme="minorHAnsi" w:eastAsiaTheme="minorHAnsi"/>
          <w:color w:val="auto"/>
          <w:sz w:val="48"/>
          <w:highlight w:val="none"/>
        </w:rPr>
      </w:pPr>
    </w:p>
    <w:p>
      <w:pPr>
        <w:rPr>
          <w:rFonts w:hint="eastAsia" w:asciiTheme="minorHAnsi" w:hAnsiTheme="minorHAnsi" w:eastAsiaTheme="minorHAnsi"/>
          <w:color w:val="auto"/>
          <w:sz w:val="48"/>
          <w:highlight w:val="none"/>
        </w:rPr>
      </w:pPr>
    </w:p>
    <w:p>
      <w:pPr>
        <w:rPr>
          <w:rFonts w:hint="eastAsia" w:asciiTheme="minorHAnsi" w:hAnsiTheme="minorHAnsi" w:eastAsiaTheme="minorHAnsi"/>
          <w:color w:val="auto"/>
          <w:sz w:val="48"/>
          <w:highlight w:val="none"/>
        </w:rPr>
      </w:pPr>
    </w:p>
    <w:p>
      <w:pPr>
        <w:rPr>
          <w:rFonts w:hint="eastAsia" w:asciiTheme="minorHAnsi" w:hAnsiTheme="minorHAnsi" w:eastAsiaTheme="minorHAnsi"/>
          <w:color w:val="auto"/>
          <w:sz w:val="48"/>
          <w:highlight w:val="none"/>
        </w:rPr>
      </w:pPr>
    </w:p>
    <w:p>
      <w:pPr>
        <w:pStyle w:val="3"/>
        <w:spacing w:line="400" w:lineRule="exact"/>
        <w:rPr>
          <w:rFonts w:hint="eastAsia" w:asciiTheme="minorHAnsi" w:hAnsiTheme="minorHAnsi" w:eastAsiaTheme="minorHAnsi"/>
          <w:color w:val="auto"/>
          <w:sz w:val="48"/>
          <w:highlight w:val="none"/>
        </w:rPr>
      </w:pPr>
    </w:p>
    <w:p>
      <w:pPr>
        <w:pStyle w:val="3"/>
        <w:spacing w:line="400" w:lineRule="exact"/>
        <w:rPr>
          <w:rFonts w:hint="eastAsia" w:asciiTheme="minorHAnsi" w:hAnsiTheme="minorHAnsi" w:eastAsiaTheme="minorHAnsi"/>
          <w:color w:val="auto"/>
          <w:sz w:val="48"/>
          <w:highlight w:val="none"/>
        </w:rPr>
      </w:pPr>
    </w:p>
    <w:p>
      <w:pPr>
        <w:pStyle w:val="3"/>
        <w:spacing w:line="400" w:lineRule="exact"/>
        <w:rPr>
          <w:rFonts w:asciiTheme="minorHAnsi" w:hAnsiTheme="minorHAnsi" w:eastAsiaTheme="minorHAnsi"/>
          <w:color w:val="auto"/>
          <w:sz w:val="48"/>
          <w:highlight w:val="none"/>
        </w:rPr>
      </w:pPr>
      <w:r>
        <w:rPr>
          <w:rFonts w:hint="eastAsia" w:asciiTheme="minorHAnsi" w:hAnsiTheme="minorHAnsi" w:eastAsiaTheme="minorHAnsi"/>
          <w:color w:val="auto"/>
          <w:sz w:val="48"/>
          <w:highlight w:val="none"/>
        </w:rPr>
        <w:t>第三章  供应商须知</w:t>
      </w:r>
      <w:bookmarkEnd w:id="50"/>
    </w:p>
    <w:p>
      <w:pPr>
        <w:jc w:val="center"/>
        <w:rPr>
          <w:rFonts w:ascii="仿宋_GB2312" w:hAnsi="宋体" w:eastAsia="仿宋_GB2312"/>
          <w:b/>
          <w:color w:val="auto"/>
          <w:sz w:val="32"/>
          <w:szCs w:val="32"/>
          <w:highlight w:val="none"/>
        </w:rPr>
      </w:pPr>
      <w:r>
        <w:rPr>
          <w:rFonts w:ascii="仿宋_GB2312" w:hAnsi="宋体" w:eastAsia="仿宋_GB2312"/>
          <w:b/>
          <w:color w:val="auto"/>
          <w:sz w:val="32"/>
          <w:szCs w:val="32"/>
          <w:highlight w:val="none"/>
        </w:rPr>
        <w:br w:type="page"/>
      </w:r>
    </w:p>
    <w:p>
      <w:pPr>
        <w:rPr>
          <w:color w:val="auto"/>
          <w:highlight w:val="none"/>
        </w:rPr>
      </w:pPr>
    </w:p>
    <w:p>
      <w:pPr>
        <w:jc w:val="center"/>
        <w:rPr>
          <w:rFonts w:ascii="黑体" w:hAnsi="黑体" w:eastAsia="黑体"/>
          <w:b/>
          <w:color w:val="auto"/>
          <w:sz w:val="32"/>
          <w:szCs w:val="32"/>
          <w:highlight w:val="none"/>
        </w:rPr>
      </w:pPr>
      <w:r>
        <w:rPr>
          <w:rFonts w:hint="eastAsia" w:ascii="黑体" w:hAnsi="黑体" w:eastAsia="黑体"/>
          <w:b/>
          <w:color w:val="auto"/>
          <w:sz w:val="32"/>
          <w:szCs w:val="32"/>
          <w:highlight w:val="none"/>
        </w:rPr>
        <w:t>一、供应商须知前附表</w:t>
      </w:r>
    </w:p>
    <w:tbl>
      <w:tblPr>
        <w:tblStyle w:val="42"/>
        <w:tblW w:w="9351" w:type="dxa"/>
        <w:jc w:val="center"/>
        <w:tblLayout w:type="fixed"/>
        <w:tblCellMar>
          <w:top w:w="0" w:type="dxa"/>
          <w:left w:w="108" w:type="dxa"/>
          <w:bottom w:w="0" w:type="dxa"/>
          <w:right w:w="108" w:type="dxa"/>
        </w:tblCellMar>
      </w:tblPr>
      <w:tblGrid>
        <w:gridCol w:w="704"/>
        <w:gridCol w:w="8647"/>
      </w:tblGrid>
      <w:tr>
        <w:tblPrEx>
          <w:tblCellMar>
            <w:top w:w="0" w:type="dxa"/>
            <w:left w:w="108" w:type="dxa"/>
            <w:bottom w:w="0" w:type="dxa"/>
            <w:right w:w="108" w:type="dxa"/>
          </w:tblCellMar>
        </w:tblPrEx>
        <w:trPr>
          <w:trHeight w:val="502"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页码</w:t>
            </w:r>
          </w:p>
        </w:tc>
        <w:tc>
          <w:tcPr>
            <w:tcW w:w="8647" w:type="dxa"/>
            <w:tcBorders>
              <w:top w:val="single" w:color="000000" w:sz="4" w:space="0"/>
              <w:left w:val="nil"/>
              <w:bottom w:val="single" w:color="000000" w:sz="4" w:space="0"/>
              <w:right w:val="single" w:color="000000" w:sz="4" w:space="0"/>
            </w:tcBorders>
            <w:vAlign w:val="center"/>
          </w:tcPr>
          <w:p>
            <w:pPr>
              <w:widowControl/>
              <w:spacing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内    容</w:t>
            </w:r>
          </w:p>
        </w:tc>
      </w:tr>
      <w:tr>
        <w:tblPrEx>
          <w:tblCellMar>
            <w:top w:w="0" w:type="dxa"/>
            <w:left w:w="108" w:type="dxa"/>
            <w:bottom w:w="0" w:type="dxa"/>
            <w:right w:w="108" w:type="dxa"/>
          </w:tblCellMar>
        </w:tblPrEx>
        <w:trPr>
          <w:trHeight w:val="1190"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8647" w:type="dxa"/>
            <w:tcBorders>
              <w:top w:val="single" w:color="000000" w:sz="4" w:space="0"/>
              <w:left w:val="nil"/>
              <w:bottom w:val="single" w:color="000000" w:sz="4" w:space="0"/>
              <w:right w:val="single" w:color="000000" w:sz="4" w:space="0"/>
            </w:tcBorders>
            <w:vAlign w:val="center"/>
          </w:tcPr>
          <w:p>
            <w:pPr>
              <w:spacing w:line="440" w:lineRule="exact"/>
              <w:ind w:right="-334" w:rightChars="-159"/>
              <w:rPr>
                <w:rStyle w:val="49"/>
                <w:rFonts w:hint="eastAsia" w:eastAsia="宋体"/>
                <w:color w:val="auto"/>
                <w:szCs w:val="21"/>
                <w:highlight w:val="none"/>
                <w:u w:val="none"/>
                <w:lang w:eastAsia="zh-CN"/>
              </w:rPr>
            </w:pPr>
            <w:r>
              <w:rPr>
                <w:rFonts w:ascii="宋体" w:hAnsi="宋体" w:cs="宋体"/>
                <w:color w:val="auto"/>
                <w:kern w:val="0"/>
                <w:szCs w:val="21"/>
                <w:highlight w:val="none"/>
              </w:rPr>
              <w:fldChar w:fldCharType="begin"/>
            </w:r>
            <w:r>
              <w:rPr>
                <w:rFonts w:hint="eastAsia" w:ascii="宋体" w:hAnsi="宋体" w:cs="宋体"/>
                <w:color w:val="auto"/>
                <w:kern w:val="0"/>
                <w:szCs w:val="21"/>
                <w:highlight w:val="none"/>
              </w:rPr>
              <w:instrText xml:space="preserve">HYPERLINK </w:instrText>
            </w:r>
            <w:r>
              <w:rPr>
                <w:rFonts w:ascii="宋体" w:hAnsi="宋体" w:cs="宋体"/>
                <w:color w:val="auto"/>
                <w:kern w:val="0"/>
                <w:szCs w:val="21"/>
                <w:highlight w:val="none"/>
              </w:rPr>
              <w:instrText xml:space="preserve"> \l "_一、总_则"</w:instrText>
            </w:r>
            <w:r>
              <w:rPr>
                <w:rFonts w:ascii="宋体" w:hAnsi="宋体" w:cs="宋体"/>
                <w:color w:val="auto"/>
                <w:kern w:val="0"/>
                <w:szCs w:val="21"/>
                <w:highlight w:val="none"/>
              </w:rPr>
              <w:fldChar w:fldCharType="separate"/>
            </w:r>
            <w:r>
              <w:rPr>
                <w:rStyle w:val="49"/>
                <w:rFonts w:hint="eastAsia" w:ascii="宋体" w:hAnsi="宋体" w:cs="宋体"/>
                <w:color w:val="auto"/>
                <w:kern w:val="0"/>
                <w:szCs w:val="21"/>
                <w:highlight w:val="none"/>
                <w:u w:val="none"/>
              </w:rPr>
              <w:t>项目名称：</w:t>
            </w:r>
            <w:r>
              <w:rPr>
                <w:rFonts w:hint="eastAsia" w:ascii="宋体" w:hAnsi="宋体"/>
                <w:szCs w:val="21"/>
                <w:lang w:eastAsia="zh-CN"/>
              </w:rPr>
              <w:t>钦州市电子政务外网（钦州市镇级、村级卫生室社保专线）服务采购</w:t>
            </w:r>
          </w:p>
          <w:p>
            <w:pPr>
              <w:widowControl/>
              <w:spacing w:line="440" w:lineRule="exact"/>
              <w:rPr>
                <w:rFonts w:hint="eastAsia" w:ascii="宋体" w:hAnsi="宋体" w:eastAsia="宋体"/>
                <w:color w:val="auto"/>
                <w:szCs w:val="21"/>
                <w:highlight w:val="none"/>
                <w:lang w:eastAsia="zh-CN"/>
              </w:rPr>
            </w:pPr>
            <w:r>
              <w:rPr>
                <w:rStyle w:val="49"/>
                <w:rFonts w:hint="eastAsia" w:ascii="宋体" w:hAnsi="宋体"/>
                <w:color w:val="auto"/>
                <w:szCs w:val="21"/>
                <w:highlight w:val="none"/>
                <w:u w:val="none"/>
              </w:rPr>
              <w:t>项目编号：</w:t>
            </w:r>
            <w:r>
              <w:rPr>
                <w:rFonts w:ascii="宋体" w:hAnsi="宋体" w:cs="宋体"/>
                <w:color w:val="auto"/>
                <w:kern w:val="0"/>
                <w:szCs w:val="21"/>
                <w:highlight w:val="none"/>
              </w:rPr>
              <w:fldChar w:fldCharType="end"/>
            </w:r>
            <w:r>
              <w:rPr>
                <w:rFonts w:hint="eastAsia" w:ascii="宋体" w:hAnsi="宋体"/>
                <w:bCs/>
                <w:color w:val="auto"/>
                <w:highlight w:val="none"/>
                <w:lang w:eastAsia="zh-CN"/>
              </w:rPr>
              <w:t>QZZC2026-C3-990039-QZSZ</w:t>
            </w:r>
          </w:p>
        </w:tc>
      </w:tr>
      <w:tr>
        <w:tblPrEx>
          <w:tblCellMar>
            <w:top w:w="0" w:type="dxa"/>
            <w:left w:w="108" w:type="dxa"/>
            <w:bottom w:w="0" w:type="dxa"/>
            <w:right w:w="108" w:type="dxa"/>
          </w:tblCellMar>
        </w:tblPrEx>
        <w:trPr>
          <w:trHeight w:val="1136"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8647" w:type="dxa"/>
            <w:tcBorders>
              <w:top w:val="single" w:color="000000" w:sz="4" w:space="0"/>
              <w:left w:val="nil"/>
              <w:bottom w:val="single" w:color="000000" w:sz="4" w:space="0"/>
              <w:right w:val="single" w:color="000000" w:sz="4" w:space="0"/>
            </w:tcBorders>
            <w:vAlign w:val="center"/>
          </w:tcPr>
          <w:p>
            <w:pPr>
              <w:spacing w:line="440" w:lineRule="exact"/>
              <w:rPr>
                <w:rStyle w:val="49"/>
                <w:rFonts w:ascii="宋体" w:hAnsi="宋体"/>
                <w:color w:val="auto"/>
                <w:szCs w:val="21"/>
                <w:highlight w:val="none"/>
                <w:u w:val="none"/>
              </w:rPr>
            </w:pPr>
            <w:r>
              <w:rPr>
                <w:rStyle w:val="49"/>
                <w:rFonts w:ascii="宋体" w:hAnsi="宋体"/>
                <w:color w:val="auto"/>
                <w:szCs w:val="21"/>
                <w:highlight w:val="none"/>
                <w:u w:val="none"/>
              </w:rPr>
              <w:fldChar w:fldCharType="begin"/>
            </w:r>
            <w:r>
              <w:rPr>
                <w:rStyle w:val="49"/>
                <w:rFonts w:hint="eastAsia" w:ascii="宋体" w:hAnsi="宋体"/>
                <w:color w:val="auto"/>
                <w:szCs w:val="21"/>
                <w:highlight w:val="none"/>
                <w:u w:val="none"/>
              </w:rPr>
              <w:instrText xml:space="preserve">HYPERLINK </w:instrText>
            </w:r>
            <w:r>
              <w:rPr>
                <w:rStyle w:val="49"/>
                <w:rFonts w:ascii="宋体" w:hAnsi="宋体"/>
                <w:color w:val="auto"/>
                <w:szCs w:val="21"/>
                <w:highlight w:val="none"/>
                <w:u w:val="none"/>
              </w:rPr>
              <w:instrText xml:space="preserve"> \l "_一、总_则"</w:instrText>
            </w:r>
            <w:r>
              <w:rPr>
                <w:rStyle w:val="49"/>
                <w:rFonts w:ascii="宋体" w:hAnsi="宋体"/>
                <w:color w:val="auto"/>
                <w:szCs w:val="21"/>
                <w:highlight w:val="none"/>
                <w:u w:val="none"/>
              </w:rPr>
              <w:fldChar w:fldCharType="separate"/>
            </w:r>
            <w:r>
              <w:rPr>
                <w:rStyle w:val="49"/>
                <w:rFonts w:hint="eastAsia" w:ascii="宋体" w:hAnsi="宋体"/>
                <w:color w:val="auto"/>
                <w:szCs w:val="21"/>
                <w:highlight w:val="none"/>
                <w:u w:val="none"/>
              </w:rPr>
              <w:t>供应商资格：</w:t>
            </w:r>
          </w:p>
          <w:p>
            <w:pPr>
              <w:spacing w:line="440" w:lineRule="exact"/>
              <w:rPr>
                <w:rStyle w:val="49"/>
                <w:rFonts w:ascii="宋体" w:hAnsi="宋体"/>
                <w:color w:val="auto"/>
                <w:szCs w:val="21"/>
                <w:highlight w:val="none"/>
                <w:u w:val="none"/>
              </w:rPr>
            </w:pPr>
            <w:r>
              <w:rPr>
                <w:rStyle w:val="49"/>
                <w:rFonts w:hint="eastAsia" w:ascii="宋体" w:hAnsi="宋体"/>
                <w:color w:val="auto"/>
                <w:szCs w:val="21"/>
                <w:highlight w:val="none"/>
                <w:u w:val="none"/>
              </w:rPr>
              <w:t>1.满足《中华人民共和国政府采购法》第二十二条规定</w:t>
            </w:r>
          </w:p>
          <w:p>
            <w:pPr>
              <w:spacing w:line="400" w:lineRule="exact"/>
              <w:rPr>
                <w:rStyle w:val="49"/>
                <w:rFonts w:ascii="宋体" w:hAnsi="宋体"/>
                <w:color w:val="auto"/>
                <w:szCs w:val="21"/>
                <w:highlight w:val="none"/>
                <w:u w:val="none"/>
              </w:rPr>
            </w:pPr>
            <w:r>
              <w:rPr>
                <w:rStyle w:val="49"/>
                <w:rFonts w:hint="eastAsia" w:ascii="宋体" w:hAnsi="宋体"/>
                <w:color w:val="auto"/>
                <w:szCs w:val="21"/>
                <w:highlight w:val="none"/>
                <w:u w:val="none"/>
              </w:rPr>
              <w:t>2.落实政府采购政策需满足的资格要求：无</w:t>
            </w:r>
          </w:p>
          <w:p>
            <w:pPr>
              <w:spacing w:line="440" w:lineRule="exact"/>
              <w:rPr>
                <w:rFonts w:ascii="宋体" w:hAnsi="宋体"/>
                <w:color w:val="auto"/>
                <w:szCs w:val="21"/>
                <w:highlight w:val="none"/>
              </w:rPr>
            </w:pPr>
            <w:r>
              <w:rPr>
                <w:rStyle w:val="49"/>
                <w:rFonts w:hint="eastAsia" w:ascii="宋体" w:hAnsi="宋体"/>
                <w:color w:val="auto"/>
                <w:szCs w:val="21"/>
                <w:highlight w:val="none"/>
                <w:u w:val="none"/>
              </w:rPr>
              <w:t>3.本项目的特定资格要求：无</w:t>
            </w:r>
            <w:r>
              <w:rPr>
                <w:rStyle w:val="49"/>
                <w:rFonts w:ascii="宋体" w:hAnsi="宋体"/>
                <w:color w:val="auto"/>
                <w:szCs w:val="21"/>
                <w:highlight w:val="none"/>
                <w:u w:val="none"/>
              </w:rPr>
              <w:fldChar w:fldCharType="end"/>
            </w:r>
          </w:p>
        </w:tc>
      </w:tr>
      <w:tr>
        <w:tblPrEx>
          <w:tblCellMar>
            <w:top w:w="0" w:type="dxa"/>
            <w:left w:w="108" w:type="dxa"/>
            <w:bottom w:w="0" w:type="dxa"/>
            <w:right w:w="108" w:type="dxa"/>
          </w:tblCellMar>
        </w:tblPrEx>
        <w:trPr>
          <w:trHeight w:val="1112"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rPr>
                <w:rFonts w:ascii="宋体" w:hAnsi="宋体" w:cs="宋体"/>
                <w:color w:val="auto"/>
                <w:kern w:val="0"/>
                <w:szCs w:val="21"/>
                <w:highlight w:val="none"/>
              </w:rPr>
            </w:pPr>
            <w:r>
              <w:rPr>
                <w:rFonts w:ascii="宋体" w:hAnsi="宋体" w:cs="宋体"/>
                <w:color w:val="auto"/>
                <w:kern w:val="0"/>
                <w:szCs w:val="21"/>
                <w:highlight w:val="none"/>
              </w:rPr>
              <w:t>3</w:t>
            </w:r>
          </w:p>
        </w:tc>
        <w:tc>
          <w:tcPr>
            <w:tcW w:w="8647" w:type="dxa"/>
            <w:tcBorders>
              <w:top w:val="single" w:color="000000" w:sz="4" w:space="0"/>
              <w:left w:val="nil"/>
              <w:bottom w:val="single" w:color="000000" w:sz="4" w:space="0"/>
              <w:right w:val="single" w:color="000000" w:sz="4" w:space="0"/>
            </w:tcBorders>
            <w:vAlign w:val="center"/>
          </w:tcPr>
          <w:p>
            <w:pPr>
              <w:spacing w:line="440" w:lineRule="exact"/>
              <w:rPr>
                <w:rFonts w:ascii="宋体" w:hAnsi="宋体"/>
                <w:color w:val="auto"/>
                <w:highlight w:val="none"/>
              </w:rPr>
            </w:pPr>
            <w:r>
              <w:rPr>
                <w:color w:val="auto"/>
                <w:highlight w:val="none"/>
              </w:rPr>
              <w:fldChar w:fldCharType="begin"/>
            </w:r>
            <w:r>
              <w:rPr>
                <w:color w:val="auto"/>
                <w:highlight w:val="none"/>
              </w:rPr>
              <w:instrText xml:space="preserve"> HYPERLINK \l "_（五）报价" </w:instrText>
            </w:r>
            <w:r>
              <w:rPr>
                <w:color w:val="auto"/>
                <w:highlight w:val="none"/>
              </w:rPr>
              <w:fldChar w:fldCharType="separate"/>
            </w:r>
            <w:r>
              <w:rPr>
                <w:rStyle w:val="49"/>
                <w:rFonts w:hint="eastAsia" w:ascii="宋体" w:hAnsi="宋体" w:cs="宋体"/>
                <w:color w:val="auto"/>
                <w:kern w:val="0"/>
                <w:szCs w:val="21"/>
                <w:highlight w:val="none"/>
                <w:u w:val="none"/>
              </w:rPr>
              <w:t>报价：供应商的报价必须按采购文件或政府采购云平台规定的格式填写，并在规定时间内提交最后报价。</w:t>
            </w:r>
            <w:r>
              <w:rPr>
                <w:rStyle w:val="49"/>
                <w:rFonts w:hint="eastAsia" w:ascii="宋体" w:hAnsi="宋体" w:cs="宋体"/>
                <w:color w:val="auto"/>
                <w:kern w:val="0"/>
                <w:szCs w:val="21"/>
                <w:highlight w:val="none"/>
                <w:u w:val="none"/>
              </w:rPr>
              <w:fldChar w:fldCharType="end"/>
            </w:r>
          </w:p>
        </w:tc>
      </w:tr>
      <w:tr>
        <w:tblPrEx>
          <w:tblCellMar>
            <w:top w:w="0" w:type="dxa"/>
            <w:left w:w="108" w:type="dxa"/>
            <w:bottom w:w="0" w:type="dxa"/>
            <w:right w:w="108" w:type="dxa"/>
          </w:tblCellMar>
        </w:tblPrEx>
        <w:trPr>
          <w:trHeight w:val="2173"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c>
          <w:tcPr>
            <w:tcW w:w="8647" w:type="dxa"/>
            <w:tcBorders>
              <w:top w:val="single" w:color="000000" w:sz="4" w:space="0"/>
              <w:left w:val="nil"/>
              <w:bottom w:val="single" w:color="000000" w:sz="4" w:space="0"/>
              <w:right w:val="single" w:color="000000" w:sz="4" w:space="0"/>
            </w:tcBorders>
            <w:vAlign w:val="center"/>
          </w:tcPr>
          <w:p>
            <w:pPr>
              <w:widowControl/>
              <w:spacing w:line="440" w:lineRule="exact"/>
              <w:rPr>
                <w:rStyle w:val="49"/>
                <w:rFonts w:ascii="宋体" w:hAnsi="宋体"/>
                <w:color w:val="auto"/>
                <w:szCs w:val="21"/>
                <w:highlight w:val="none"/>
                <w:u w:val="none"/>
              </w:rPr>
            </w:pPr>
            <w:r>
              <w:rPr>
                <w:rFonts w:ascii="宋体" w:hAnsi="宋体" w:cs="宋体"/>
                <w:color w:val="auto"/>
                <w:kern w:val="0"/>
                <w:szCs w:val="21"/>
                <w:highlight w:val="none"/>
              </w:rPr>
              <w:fldChar w:fldCharType="begin"/>
            </w:r>
            <w:r>
              <w:rPr>
                <w:rFonts w:hint="eastAsia" w:ascii="宋体" w:hAnsi="宋体" w:cs="宋体"/>
                <w:color w:val="auto"/>
                <w:kern w:val="0"/>
                <w:szCs w:val="21"/>
                <w:highlight w:val="none"/>
              </w:rPr>
              <w:instrText xml:space="preserve">HYPERLINK </w:instrText>
            </w:r>
            <w:r>
              <w:rPr>
                <w:rFonts w:ascii="宋体" w:hAnsi="宋体" w:cs="宋体"/>
                <w:color w:val="auto"/>
                <w:kern w:val="0"/>
                <w:szCs w:val="21"/>
                <w:highlight w:val="none"/>
              </w:rPr>
              <w:instrText xml:space="preserve"> \l "_四、响应文件开启"</w:instrText>
            </w:r>
            <w:r>
              <w:rPr>
                <w:rFonts w:ascii="宋体" w:hAnsi="宋体" w:cs="宋体"/>
                <w:color w:val="auto"/>
                <w:kern w:val="0"/>
                <w:szCs w:val="21"/>
                <w:highlight w:val="none"/>
              </w:rPr>
              <w:fldChar w:fldCharType="separate"/>
            </w:r>
            <w:r>
              <w:rPr>
                <w:rStyle w:val="49"/>
                <w:rFonts w:hint="eastAsia" w:ascii="宋体" w:hAnsi="宋体" w:cs="宋体"/>
                <w:color w:val="auto"/>
                <w:kern w:val="0"/>
                <w:szCs w:val="21"/>
                <w:highlight w:val="none"/>
                <w:u w:val="none"/>
              </w:rPr>
              <w:t>响应文件提交截止时间及开启时间：</w:t>
            </w:r>
            <w:r>
              <w:rPr>
                <w:rFonts w:hint="eastAsia" w:ascii="宋体" w:hAnsi="宋体"/>
                <w:color w:val="auto"/>
                <w:szCs w:val="21"/>
                <w:highlight w:val="none"/>
              </w:rPr>
              <w:t>202</w:t>
            </w:r>
            <w:r>
              <w:rPr>
                <w:rFonts w:hint="eastAsia" w:ascii="宋体" w:hAnsi="宋体"/>
                <w:color w:val="auto"/>
                <w:szCs w:val="21"/>
                <w:highlight w:val="none"/>
                <w:lang w:val="en-US" w:eastAsia="zh-CN"/>
              </w:rPr>
              <w:t>6</w:t>
            </w:r>
            <w:r>
              <w:rPr>
                <w:rFonts w:hint="eastAsia" w:ascii="宋体" w:hAnsi="宋体"/>
                <w:bCs/>
                <w:color w:val="auto"/>
                <w:szCs w:val="21"/>
                <w:highlight w:val="none"/>
              </w:rPr>
              <w:t>年</w:t>
            </w:r>
            <w:r>
              <w:rPr>
                <w:rFonts w:hint="eastAsia" w:ascii="宋体" w:hAnsi="宋体"/>
                <w:bCs/>
                <w:color w:val="auto"/>
                <w:szCs w:val="21"/>
                <w:highlight w:val="none"/>
                <w:lang w:val="en-US" w:eastAsia="zh-CN"/>
              </w:rPr>
              <w:t>3</w:t>
            </w:r>
            <w:r>
              <w:rPr>
                <w:rFonts w:hint="eastAsia" w:ascii="宋体" w:hAnsi="宋体"/>
                <w:bCs/>
                <w:color w:val="auto"/>
                <w:szCs w:val="21"/>
                <w:highlight w:val="none"/>
              </w:rPr>
              <w:t>月</w:t>
            </w:r>
            <w:r>
              <w:rPr>
                <w:rFonts w:hint="eastAsia" w:ascii="宋体" w:hAnsi="宋体"/>
                <w:bCs/>
                <w:color w:val="auto"/>
                <w:szCs w:val="21"/>
                <w:highlight w:val="none"/>
                <w:lang w:val="en-US" w:eastAsia="zh-CN"/>
              </w:rPr>
              <w:t>10</w:t>
            </w:r>
            <w:r>
              <w:rPr>
                <w:rFonts w:hint="eastAsia" w:ascii="宋体" w:hAnsi="宋体"/>
                <w:bCs/>
                <w:color w:val="auto"/>
                <w:szCs w:val="21"/>
                <w:highlight w:val="none"/>
              </w:rPr>
              <w:t>日</w:t>
            </w:r>
            <w:r>
              <w:rPr>
                <w:rFonts w:hint="eastAsia"/>
                <w:color w:val="auto"/>
                <w:highlight w:val="none"/>
                <w:lang w:val="en-US" w:eastAsia="zh-CN"/>
              </w:rPr>
              <w:t>9</w:t>
            </w:r>
            <w:r>
              <w:rPr>
                <w:color w:val="auto"/>
                <w:highlight w:val="none"/>
              </w:rPr>
              <w:t>:</w:t>
            </w:r>
            <w:r>
              <w:rPr>
                <w:rFonts w:hint="eastAsia"/>
                <w:color w:val="auto"/>
                <w:highlight w:val="none"/>
                <w:lang w:val="en-US" w:eastAsia="zh-CN"/>
              </w:rPr>
              <w:t>30</w:t>
            </w:r>
            <w:r>
              <w:rPr>
                <w:rStyle w:val="49"/>
                <w:rFonts w:hint="eastAsia" w:ascii="宋体" w:hAnsi="宋体"/>
                <w:color w:val="auto"/>
                <w:szCs w:val="21"/>
                <w:highlight w:val="none"/>
                <w:u w:val="none"/>
              </w:rPr>
              <w:t>。</w:t>
            </w:r>
          </w:p>
          <w:p>
            <w:pPr>
              <w:widowControl/>
              <w:spacing w:line="440" w:lineRule="exact"/>
              <w:rPr>
                <w:color w:val="auto"/>
                <w:highlight w:val="none"/>
              </w:rPr>
            </w:pPr>
            <w:r>
              <w:rPr>
                <w:rStyle w:val="49"/>
                <w:rFonts w:hint="eastAsia"/>
                <w:b/>
                <w:color w:val="auto"/>
                <w:szCs w:val="21"/>
                <w:highlight w:val="none"/>
                <w:u w:val="none"/>
              </w:rPr>
              <w:t>注意事项：</w:t>
            </w:r>
            <w:r>
              <w:rPr>
                <w:rStyle w:val="49"/>
                <w:rFonts w:hint="eastAsia"/>
                <w:bCs/>
                <w:color w:val="auto"/>
                <w:highlight w:val="none"/>
                <w:u w:val="none"/>
              </w:rPr>
              <w:t>供应商法定代表人</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负责人</w:t>
            </w:r>
            <w:r>
              <w:rPr>
                <w:rFonts w:hint="eastAsia" w:ascii="宋体" w:hAnsi="宋体"/>
                <w:color w:val="auto"/>
                <w:szCs w:val="21"/>
                <w:highlight w:val="none"/>
                <w:lang w:eastAsia="zh-CN"/>
              </w:rPr>
              <w:t>）</w:t>
            </w:r>
            <w:r>
              <w:rPr>
                <w:rStyle w:val="49"/>
                <w:rFonts w:hint="eastAsia"/>
                <w:bCs/>
                <w:color w:val="auto"/>
                <w:highlight w:val="none"/>
                <w:u w:val="none"/>
              </w:rPr>
              <w:t>或委托代理人须按时登录政采云远程开标大厅，保持全程在线并关注评审磋商进度，评审期间磋商小组提出澄清等要求时，供应商须在规定时间内进行在线应答，否则按采购文件或政采云平台的相关规定执行。</w:t>
            </w:r>
            <w:r>
              <w:rPr>
                <w:rFonts w:ascii="宋体" w:hAnsi="宋体" w:cs="宋体"/>
                <w:color w:val="auto"/>
                <w:kern w:val="0"/>
                <w:szCs w:val="21"/>
                <w:highlight w:val="none"/>
              </w:rPr>
              <w:fldChar w:fldCharType="end"/>
            </w:r>
          </w:p>
        </w:tc>
      </w:tr>
      <w:tr>
        <w:tblPrEx>
          <w:tblCellMar>
            <w:top w:w="0" w:type="dxa"/>
            <w:left w:w="108" w:type="dxa"/>
            <w:bottom w:w="0" w:type="dxa"/>
            <w:right w:w="108" w:type="dxa"/>
          </w:tblCellMar>
        </w:tblPrEx>
        <w:trPr>
          <w:trHeight w:val="925"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5</w:t>
            </w:r>
          </w:p>
        </w:tc>
        <w:tc>
          <w:tcPr>
            <w:tcW w:w="8647" w:type="dxa"/>
            <w:tcBorders>
              <w:top w:val="single" w:color="000000" w:sz="4" w:space="0"/>
              <w:left w:val="nil"/>
              <w:bottom w:val="single" w:color="000000" w:sz="4" w:space="0"/>
              <w:right w:val="single" w:color="000000" w:sz="4" w:space="0"/>
            </w:tcBorders>
            <w:vAlign w:val="center"/>
          </w:tcPr>
          <w:p>
            <w:pPr>
              <w:widowControl/>
              <w:spacing w:line="440" w:lineRule="exact"/>
              <w:rPr>
                <w:rStyle w:val="49"/>
                <w:rFonts w:ascii="宋体" w:hAnsi="宋体" w:cs="宋体"/>
                <w:color w:val="auto"/>
                <w:kern w:val="0"/>
                <w:szCs w:val="21"/>
                <w:highlight w:val="none"/>
                <w:u w:val="none"/>
              </w:rPr>
            </w:pPr>
            <w:r>
              <w:rPr>
                <w:rFonts w:ascii="宋体" w:hAnsi="宋体" w:cs="宋体"/>
                <w:color w:val="auto"/>
                <w:kern w:val="0"/>
                <w:szCs w:val="21"/>
                <w:highlight w:val="none"/>
              </w:rPr>
              <w:fldChar w:fldCharType="begin"/>
            </w:r>
            <w:r>
              <w:rPr>
                <w:rFonts w:ascii="宋体" w:hAnsi="宋体" w:cs="宋体"/>
                <w:color w:val="auto"/>
                <w:kern w:val="0"/>
                <w:szCs w:val="21"/>
                <w:highlight w:val="none"/>
              </w:rPr>
              <w:instrText xml:space="preserve"> HYPERLINK  \l "_五、评审与磋商"</w:instrText>
            </w:r>
            <w:r>
              <w:rPr>
                <w:rFonts w:ascii="宋体" w:hAnsi="宋体" w:cs="宋体"/>
                <w:color w:val="auto"/>
                <w:kern w:val="0"/>
                <w:szCs w:val="21"/>
                <w:highlight w:val="none"/>
              </w:rPr>
              <w:fldChar w:fldCharType="separate"/>
            </w:r>
            <w:r>
              <w:rPr>
                <w:rStyle w:val="49"/>
                <w:rFonts w:ascii="宋体" w:hAnsi="宋体" w:cs="宋体"/>
                <w:color w:val="auto"/>
                <w:kern w:val="0"/>
                <w:szCs w:val="21"/>
                <w:highlight w:val="none"/>
                <w:u w:val="none"/>
              </w:rPr>
              <w:t>评审及磋商：</w:t>
            </w:r>
          </w:p>
          <w:p>
            <w:pPr>
              <w:widowControl/>
              <w:spacing w:line="440" w:lineRule="exact"/>
              <w:rPr>
                <w:rFonts w:ascii="宋体" w:hAnsi="宋体" w:cs="宋体"/>
                <w:color w:val="auto"/>
                <w:kern w:val="0"/>
                <w:szCs w:val="21"/>
                <w:highlight w:val="none"/>
              </w:rPr>
            </w:pPr>
            <w:r>
              <w:rPr>
                <w:rStyle w:val="49"/>
                <w:rFonts w:hint="eastAsia" w:ascii="宋体" w:hAnsi="宋体" w:cs="宋体"/>
                <w:color w:val="auto"/>
                <w:kern w:val="0"/>
                <w:szCs w:val="21"/>
                <w:highlight w:val="none"/>
                <w:u w:val="none"/>
              </w:rPr>
              <w:t>磋商小组成员根据磋商文件规定的评审程序、评审方法和评审标准进行独立评审，与符合条件的供应商就采购货物和服务事宜进行磋商，供应商按照磋商文件的要求提交报价。</w:t>
            </w:r>
            <w:r>
              <w:rPr>
                <w:rFonts w:ascii="宋体" w:hAnsi="宋体" w:cs="宋体"/>
                <w:color w:val="auto"/>
                <w:kern w:val="0"/>
                <w:szCs w:val="21"/>
                <w:highlight w:val="none"/>
              </w:rPr>
              <w:fldChar w:fldCharType="end"/>
            </w:r>
          </w:p>
        </w:tc>
      </w:tr>
      <w:tr>
        <w:tblPrEx>
          <w:tblCellMar>
            <w:top w:w="0" w:type="dxa"/>
            <w:left w:w="108" w:type="dxa"/>
            <w:bottom w:w="0" w:type="dxa"/>
            <w:right w:w="108" w:type="dxa"/>
          </w:tblCellMar>
        </w:tblPrEx>
        <w:trPr>
          <w:trHeight w:val="801"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6</w:t>
            </w:r>
          </w:p>
        </w:tc>
        <w:tc>
          <w:tcPr>
            <w:tcW w:w="8647" w:type="dxa"/>
            <w:tcBorders>
              <w:top w:val="single" w:color="000000" w:sz="4" w:space="0"/>
              <w:left w:val="nil"/>
              <w:bottom w:val="single" w:color="000000" w:sz="4" w:space="0"/>
              <w:right w:val="single" w:color="000000" w:sz="4" w:space="0"/>
            </w:tcBorders>
            <w:vAlign w:val="center"/>
          </w:tcPr>
          <w:p>
            <w:pPr>
              <w:widowControl/>
              <w:spacing w:line="440" w:lineRule="exact"/>
              <w:rPr>
                <w:rFonts w:ascii="宋体" w:hAnsi="宋体" w:cs="宋体"/>
                <w:color w:val="auto"/>
                <w:kern w:val="0"/>
                <w:szCs w:val="21"/>
                <w:highlight w:val="none"/>
              </w:rPr>
            </w:pPr>
            <w:r>
              <w:rPr>
                <w:color w:val="auto"/>
                <w:highlight w:val="none"/>
              </w:rPr>
              <w:fldChar w:fldCharType="begin"/>
            </w:r>
            <w:r>
              <w:rPr>
                <w:color w:val="auto"/>
                <w:highlight w:val="none"/>
              </w:rPr>
              <w:instrText xml:space="preserve"> HYPERLINK \l "_第四章__评定标准及推荐原则" </w:instrText>
            </w:r>
            <w:r>
              <w:rPr>
                <w:color w:val="auto"/>
                <w:highlight w:val="none"/>
              </w:rPr>
              <w:fldChar w:fldCharType="separate"/>
            </w:r>
            <w:r>
              <w:rPr>
                <w:rStyle w:val="49"/>
                <w:rFonts w:hint="eastAsia" w:ascii="宋体" w:hAnsi="宋体" w:cs="宋体"/>
                <w:color w:val="auto"/>
                <w:kern w:val="0"/>
                <w:szCs w:val="21"/>
                <w:highlight w:val="none"/>
                <w:u w:val="none"/>
              </w:rPr>
              <w:t>评定方法：</w:t>
            </w:r>
            <w:r>
              <w:rPr>
                <w:rStyle w:val="49"/>
                <w:rFonts w:hint="eastAsia"/>
                <w:color w:val="auto"/>
                <w:highlight w:val="none"/>
                <w:u w:val="none"/>
              </w:rPr>
              <w:t>详见第四章《评定标准及推荐原则》。</w:t>
            </w:r>
            <w:r>
              <w:rPr>
                <w:rStyle w:val="49"/>
                <w:rFonts w:hint="eastAsia"/>
                <w:color w:val="auto"/>
                <w:highlight w:val="none"/>
                <w:u w:val="none"/>
              </w:rPr>
              <w:fldChar w:fldCharType="end"/>
            </w:r>
          </w:p>
        </w:tc>
      </w:tr>
      <w:tr>
        <w:tblPrEx>
          <w:tblCellMar>
            <w:top w:w="0" w:type="dxa"/>
            <w:left w:w="108" w:type="dxa"/>
            <w:bottom w:w="0" w:type="dxa"/>
            <w:right w:w="108" w:type="dxa"/>
          </w:tblCellMar>
        </w:tblPrEx>
        <w:trPr>
          <w:trHeight w:val="1136"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7</w:t>
            </w:r>
          </w:p>
        </w:tc>
        <w:tc>
          <w:tcPr>
            <w:tcW w:w="8647" w:type="dxa"/>
            <w:tcBorders>
              <w:top w:val="single" w:color="000000" w:sz="4" w:space="0"/>
              <w:left w:val="nil"/>
              <w:bottom w:val="single" w:color="000000" w:sz="4" w:space="0"/>
              <w:right w:val="single" w:color="000000" w:sz="4" w:space="0"/>
            </w:tcBorders>
            <w:vAlign w:val="center"/>
          </w:tcPr>
          <w:p>
            <w:pPr>
              <w:widowControl/>
              <w:spacing w:line="440" w:lineRule="exact"/>
              <w:rPr>
                <w:rFonts w:ascii="宋体" w:hAnsi="宋体" w:cs="宋体"/>
                <w:color w:val="auto"/>
                <w:kern w:val="0"/>
                <w:szCs w:val="21"/>
                <w:highlight w:val="none"/>
              </w:rPr>
            </w:pPr>
            <w:r>
              <w:rPr>
                <w:color w:val="auto"/>
                <w:highlight w:val="none"/>
              </w:rPr>
              <w:fldChar w:fldCharType="begin"/>
            </w:r>
            <w:r>
              <w:rPr>
                <w:color w:val="auto"/>
                <w:highlight w:val="none"/>
              </w:rPr>
              <w:instrText xml:space="preserve"> HYPERLINK \l "_十、其他事项" </w:instrText>
            </w:r>
            <w:r>
              <w:rPr>
                <w:color w:val="auto"/>
                <w:highlight w:val="none"/>
              </w:rPr>
              <w:fldChar w:fldCharType="separate"/>
            </w:r>
            <w:r>
              <w:rPr>
                <w:rStyle w:val="49"/>
                <w:rFonts w:hint="eastAsia" w:ascii="宋体" w:hAnsi="宋体" w:cs="宋体"/>
                <w:color w:val="auto"/>
                <w:kern w:val="0"/>
                <w:szCs w:val="21"/>
                <w:highlight w:val="none"/>
                <w:u w:val="none"/>
              </w:rPr>
              <w:t>代理服务费：按钦州市物价局“钦市价费〔2013﹞4号”文件，以差额定率累进法计算。成交供应商须按成交金额缴纳相应的代理服务费。</w:t>
            </w:r>
            <w:r>
              <w:rPr>
                <w:rStyle w:val="49"/>
                <w:rFonts w:hint="eastAsia" w:ascii="宋体" w:hAnsi="宋体" w:cs="宋体"/>
                <w:color w:val="auto"/>
                <w:kern w:val="0"/>
                <w:szCs w:val="21"/>
                <w:highlight w:val="none"/>
                <w:u w:val="none"/>
              </w:rPr>
              <w:fldChar w:fldCharType="end"/>
            </w:r>
          </w:p>
        </w:tc>
      </w:tr>
    </w:tbl>
    <w:p>
      <w:pPr>
        <w:rPr>
          <w:color w:val="auto"/>
          <w:highlight w:val="none"/>
        </w:rPr>
      </w:pPr>
      <w:bookmarkStart w:id="53" w:name="_Toc420505403"/>
    </w:p>
    <w:p>
      <w:pPr>
        <w:jc w:val="center"/>
        <w:rPr>
          <w:rFonts w:ascii="黑体" w:hAnsi="黑体" w:eastAsia="黑体"/>
          <w:b/>
          <w:bCs/>
          <w:color w:val="auto"/>
          <w:sz w:val="32"/>
          <w:szCs w:val="32"/>
          <w:highlight w:val="none"/>
        </w:rPr>
      </w:pPr>
    </w:p>
    <w:p>
      <w:pPr>
        <w:jc w:val="center"/>
        <w:rPr>
          <w:rFonts w:ascii="黑体" w:hAnsi="黑体" w:eastAsia="黑体"/>
          <w:b/>
          <w:bCs/>
          <w:color w:val="auto"/>
          <w:sz w:val="32"/>
          <w:szCs w:val="32"/>
          <w:highlight w:val="none"/>
        </w:rPr>
      </w:pPr>
    </w:p>
    <w:p>
      <w:pPr>
        <w:jc w:val="center"/>
        <w:rPr>
          <w:rFonts w:ascii="黑体" w:hAnsi="黑体" w:eastAsia="黑体"/>
          <w:b/>
          <w:bCs/>
          <w:color w:val="auto"/>
          <w:sz w:val="32"/>
          <w:szCs w:val="32"/>
          <w:highlight w:val="none"/>
        </w:rPr>
      </w:pPr>
    </w:p>
    <w:p>
      <w:pPr>
        <w:jc w:val="center"/>
        <w:rPr>
          <w:rFonts w:ascii="黑体" w:hAnsi="黑体" w:eastAsia="黑体"/>
          <w:b/>
          <w:bCs/>
          <w:color w:val="auto"/>
          <w:sz w:val="32"/>
          <w:szCs w:val="32"/>
          <w:highlight w:val="none"/>
        </w:rPr>
      </w:pPr>
    </w:p>
    <w:p>
      <w:pPr>
        <w:jc w:val="center"/>
        <w:rPr>
          <w:rFonts w:ascii="黑体" w:hAnsi="黑体" w:eastAsia="黑体"/>
          <w:b/>
          <w:bCs/>
          <w:color w:val="auto"/>
          <w:sz w:val="32"/>
          <w:szCs w:val="32"/>
          <w:highlight w:val="none"/>
        </w:rPr>
      </w:pPr>
    </w:p>
    <w:p>
      <w:pPr>
        <w:jc w:val="center"/>
        <w:rPr>
          <w:rFonts w:ascii="黑体" w:hAnsi="黑体" w:eastAsia="黑体"/>
          <w:b/>
          <w:bCs/>
          <w:color w:val="auto"/>
          <w:sz w:val="32"/>
          <w:szCs w:val="32"/>
          <w:highlight w:val="none"/>
        </w:rPr>
      </w:pPr>
      <w:r>
        <w:rPr>
          <w:rFonts w:hint="eastAsia" w:ascii="黑体" w:hAnsi="黑体" w:eastAsia="黑体"/>
          <w:b/>
          <w:bCs/>
          <w:color w:val="auto"/>
          <w:sz w:val="32"/>
          <w:szCs w:val="32"/>
          <w:highlight w:val="none"/>
        </w:rPr>
        <w:t>二、供应商须知</w:t>
      </w:r>
      <w:bookmarkEnd w:id="53"/>
    </w:p>
    <w:p>
      <w:pPr>
        <w:pStyle w:val="4"/>
        <w:spacing w:line="420" w:lineRule="exact"/>
        <w:rPr>
          <w:color w:val="auto"/>
          <w:highlight w:val="none"/>
        </w:rPr>
      </w:pPr>
      <w:bookmarkStart w:id="54" w:name="_一、总_则"/>
      <w:bookmarkEnd w:id="54"/>
      <w:r>
        <w:rPr>
          <w:rFonts w:hint="eastAsia"/>
          <w:color w:val="auto"/>
          <w:highlight w:val="none"/>
        </w:rPr>
        <w:t>一、总　则</w:t>
      </w:r>
    </w:p>
    <w:p>
      <w:pPr>
        <w:spacing w:line="406" w:lineRule="exact"/>
        <w:ind w:firstLine="210" w:firstLineChars="100"/>
        <w:rPr>
          <w:rFonts w:ascii="宋体" w:hAnsi="宋体"/>
          <w:color w:val="auto"/>
          <w:szCs w:val="21"/>
          <w:highlight w:val="none"/>
        </w:rPr>
      </w:pPr>
      <w:r>
        <w:rPr>
          <w:rFonts w:hint="eastAsia" w:ascii="宋体" w:hAnsi="宋体"/>
          <w:color w:val="auto"/>
          <w:szCs w:val="21"/>
          <w:highlight w:val="none"/>
        </w:rPr>
        <w:t>（一）适用范围</w:t>
      </w:r>
    </w:p>
    <w:p>
      <w:pPr>
        <w:spacing w:line="406" w:lineRule="exact"/>
        <w:ind w:right="-334" w:rightChars="-159" w:firstLine="420"/>
        <w:rPr>
          <w:rFonts w:hint="eastAsia" w:eastAsia="宋体"/>
          <w:color w:val="auto"/>
          <w:szCs w:val="21"/>
          <w:highlight w:val="none"/>
          <w:lang w:eastAsia="zh-CN"/>
        </w:rPr>
      </w:pPr>
      <w:r>
        <w:rPr>
          <w:rFonts w:ascii="宋体"/>
          <w:color w:val="auto"/>
          <w:highlight w:val="none"/>
        </w:rPr>
        <w:t>1.</w:t>
      </w:r>
      <w:r>
        <w:rPr>
          <w:rFonts w:hint="eastAsia" w:ascii="宋体"/>
          <w:color w:val="auto"/>
          <w:highlight w:val="none"/>
        </w:rPr>
        <w:t>项目名称：</w:t>
      </w:r>
      <w:r>
        <w:rPr>
          <w:rFonts w:hint="eastAsia" w:ascii="宋体" w:hAnsi="宋体"/>
          <w:color w:val="auto"/>
          <w:szCs w:val="21"/>
          <w:highlight w:val="none"/>
          <w:lang w:eastAsia="zh-CN"/>
        </w:rPr>
        <w:t>钦州市电子政务外网（钦州市镇级、村级卫生室社保专线）服务采购</w:t>
      </w:r>
    </w:p>
    <w:p>
      <w:pPr>
        <w:spacing w:line="406" w:lineRule="exact"/>
        <w:ind w:right="-334" w:rightChars="-159" w:firstLine="420"/>
        <w:rPr>
          <w:rFonts w:hint="eastAsia" w:eastAsia="宋体"/>
          <w:color w:val="auto"/>
          <w:highlight w:val="none"/>
          <w:lang w:eastAsia="zh-CN"/>
        </w:rPr>
      </w:pPr>
      <w:r>
        <w:rPr>
          <w:color w:val="auto"/>
          <w:szCs w:val="21"/>
          <w:highlight w:val="none"/>
        </w:rPr>
        <w:t>2.</w:t>
      </w:r>
      <w:r>
        <w:rPr>
          <w:rFonts w:hint="eastAsia"/>
          <w:color w:val="auto"/>
          <w:highlight w:val="none"/>
        </w:rPr>
        <w:t>项目编号：</w:t>
      </w:r>
      <w:r>
        <w:rPr>
          <w:rFonts w:hint="eastAsia"/>
          <w:color w:val="auto"/>
          <w:highlight w:val="none"/>
          <w:lang w:eastAsia="zh-CN"/>
        </w:rPr>
        <w:t>QZZC2026-C3-990039-QZSZ</w:t>
      </w:r>
    </w:p>
    <w:p>
      <w:pPr>
        <w:spacing w:line="406" w:lineRule="exact"/>
        <w:ind w:right="-334" w:rightChars="-159" w:firstLine="420"/>
        <w:rPr>
          <w:color w:val="auto"/>
          <w:szCs w:val="21"/>
          <w:highlight w:val="none"/>
        </w:rPr>
      </w:pPr>
      <w:r>
        <w:rPr>
          <w:rFonts w:hint="eastAsia" w:hAnsi="宋体"/>
          <w:color w:val="auto"/>
          <w:highlight w:val="none"/>
        </w:rPr>
        <w:t>本文件仅适用于本文件中所叙述的货物、服务类政府采购项目。</w:t>
      </w:r>
    </w:p>
    <w:p>
      <w:pPr>
        <w:spacing w:line="406" w:lineRule="exact"/>
        <w:ind w:firstLine="210" w:firstLineChars="100"/>
        <w:rPr>
          <w:rFonts w:ascii="宋体" w:hAnsi="宋体"/>
          <w:color w:val="auto"/>
          <w:szCs w:val="21"/>
          <w:highlight w:val="none"/>
        </w:rPr>
      </w:pPr>
      <w:r>
        <w:rPr>
          <w:rFonts w:hint="eastAsia" w:ascii="宋体" w:hAnsi="宋体"/>
          <w:color w:val="auto"/>
          <w:szCs w:val="21"/>
          <w:highlight w:val="none"/>
        </w:rPr>
        <w:t>（二）定义</w:t>
      </w:r>
    </w:p>
    <w:p>
      <w:pPr>
        <w:spacing w:line="406" w:lineRule="exact"/>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采购人</w:t>
      </w:r>
      <w:r>
        <w:rPr>
          <w:rFonts w:hint="eastAsia" w:ascii="宋体" w:hAnsi="宋体"/>
          <w:color w:val="auto"/>
          <w:szCs w:val="21"/>
          <w:highlight w:val="none"/>
        </w:rPr>
        <w:t>”</w:t>
      </w:r>
      <w:r>
        <w:rPr>
          <w:rFonts w:ascii="宋体" w:hAnsi="宋体"/>
          <w:color w:val="auto"/>
          <w:szCs w:val="21"/>
          <w:highlight w:val="none"/>
        </w:rPr>
        <w:t>是指依法进行政府采购的国家机关、事业单位、团体组织。</w:t>
      </w:r>
    </w:p>
    <w:p>
      <w:pPr>
        <w:spacing w:line="406" w:lineRule="exact"/>
        <w:ind w:firstLine="420" w:firstLineChars="200"/>
        <w:rPr>
          <w:rFonts w:ascii="宋体" w:hAnsi="宋体"/>
          <w:color w:val="auto"/>
          <w:szCs w:val="21"/>
          <w:highlight w:val="none"/>
        </w:rPr>
      </w:pPr>
      <w:r>
        <w:rPr>
          <w:rFonts w:hint="eastAsia" w:ascii="宋体" w:hAnsi="宋体"/>
          <w:color w:val="auto"/>
          <w:szCs w:val="21"/>
          <w:highlight w:val="none"/>
        </w:rPr>
        <w:t>2.“供应商”是指响应本文件要求，参加磋商的法人</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负责人</w:t>
      </w:r>
      <w:r>
        <w:rPr>
          <w:rFonts w:hint="eastAsia" w:ascii="宋体" w:hAnsi="宋体"/>
          <w:color w:val="auto"/>
          <w:szCs w:val="21"/>
          <w:highlight w:val="none"/>
          <w:lang w:eastAsia="zh-CN"/>
        </w:rPr>
        <w:t>）</w:t>
      </w:r>
      <w:r>
        <w:rPr>
          <w:rFonts w:hint="eastAsia" w:ascii="宋体" w:hAnsi="宋体"/>
          <w:color w:val="auto"/>
          <w:szCs w:val="21"/>
          <w:highlight w:val="none"/>
        </w:rPr>
        <w:t>或其他组织。如果该供应商在本次采购项目中成交,即成为“成交供应商”。</w:t>
      </w:r>
    </w:p>
    <w:p>
      <w:pPr>
        <w:spacing w:line="406" w:lineRule="exact"/>
        <w:ind w:firstLine="420" w:firstLineChars="200"/>
        <w:rPr>
          <w:rFonts w:ascii="宋体" w:hAnsi="宋体"/>
          <w:color w:val="auto"/>
          <w:szCs w:val="21"/>
          <w:highlight w:val="none"/>
        </w:rPr>
      </w:pPr>
      <w:r>
        <w:rPr>
          <w:rFonts w:hint="eastAsia" w:ascii="宋体" w:hAnsi="宋体"/>
          <w:color w:val="auto"/>
          <w:szCs w:val="21"/>
          <w:highlight w:val="none"/>
        </w:rPr>
        <w:t>3</w:t>
      </w:r>
      <w:r>
        <w:rPr>
          <w:rFonts w:ascii="宋体" w:hAnsi="宋体"/>
          <w:color w:val="auto"/>
          <w:szCs w:val="21"/>
          <w:highlight w:val="none"/>
        </w:rPr>
        <w:t>.</w:t>
      </w:r>
      <w:r>
        <w:rPr>
          <w:rFonts w:hint="eastAsia" w:ascii="宋体" w:hAnsi="宋体"/>
          <w:color w:val="auto"/>
          <w:szCs w:val="21"/>
          <w:highlight w:val="none"/>
        </w:rPr>
        <w:t>“采购代理机构”是指</w:t>
      </w:r>
      <w:r>
        <w:rPr>
          <w:rFonts w:hint="eastAsia" w:ascii="宋体" w:hAnsi="宋体"/>
          <w:color w:val="auto"/>
          <w:highlight w:val="none"/>
        </w:rPr>
        <w:t>钦州市政府采购中心。</w:t>
      </w:r>
    </w:p>
    <w:p>
      <w:pPr>
        <w:spacing w:line="406" w:lineRule="exact"/>
        <w:ind w:firstLine="420" w:firstLineChars="200"/>
        <w:rPr>
          <w:rFonts w:ascii="宋体" w:hAnsi="宋体"/>
          <w:color w:val="auto"/>
          <w:szCs w:val="21"/>
          <w:highlight w:val="none"/>
        </w:rPr>
      </w:pPr>
      <w:r>
        <w:rPr>
          <w:rFonts w:hint="eastAsia" w:ascii="宋体" w:hAnsi="宋体"/>
          <w:color w:val="auto"/>
          <w:szCs w:val="21"/>
          <w:highlight w:val="none"/>
        </w:rPr>
        <w:t>4</w:t>
      </w:r>
      <w:r>
        <w:rPr>
          <w:rFonts w:ascii="宋体" w:hAnsi="宋体"/>
          <w:color w:val="auto"/>
          <w:szCs w:val="21"/>
          <w:highlight w:val="none"/>
        </w:rPr>
        <w:t>.</w:t>
      </w:r>
      <w:r>
        <w:rPr>
          <w:rFonts w:hint="eastAsia" w:ascii="宋体" w:hAnsi="宋体"/>
          <w:color w:val="auto"/>
          <w:szCs w:val="21"/>
          <w:highlight w:val="none"/>
        </w:rPr>
        <w:t>“货物和服务”是指本次采购文件中所采购的各种形态和种类的产品以及其提供的服务。</w:t>
      </w:r>
    </w:p>
    <w:p>
      <w:pPr>
        <w:spacing w:line="406" w:lineRule="exact"/>
        <w:ind w:firstLine="420" w:firstLineChars="200"/>
        <w:rPr>
          <w:rFonts w:ascii="宋体" w:hAnsi="宋体"/>
          <w:color w:val="auto"/>
          <w:szCs w:val="21"/>
          <w:highlight w:val="none"/>
        </w:rPr>
      </w:pPr>
      <w:r>
        <w:rPr>
          <w:rFonts w:hint="eastAsia" w:ascii="宋体" w:hAnsi="宋体"/>
          <w:color w:val="auto"/>
          <w:szCs w:val="21"/>
          <w:highlight w:val="none"/>
        </w:rPr>
        <w:t>5</w:t>
      </w:r>
      <w:r>
        <w:rPr>
          <w:rFonts w:ascii="宋体" w:hAnsi="宋体"/>
          <w:color w:val="auto"/>
          <w:szCs w:val="21"/>
          <w:highlight w:val="none"/>
        </w:rPr>
        <w:t>.</w:t>
      </w:r>
      <w:r>
        <w:rPr>
          <w:rFonts w:hint="eastAsia" w:ascii="宋体" w:hAnsi="宋体"/>
          <w:color w:val="auto"/>
          <w:szCs w:val="21"/>
          <w:highlight w:val="none"/>
        </w:rPr>
        <w:t>“竞争性磋商采购文件”是指采用竞争性磋商方式进行政府采购的指导文件，简称“磋商文件”或“采购文件”。</w:t>
      </w:r>
    </w:p>
    <w:p>
      <w:pPr>
        <w:spacing w:line="406" w:lineRule="exact"/>
        <w:ind w:firstLine="420" w:firstLineChars="200"/>
        <w:rPr>
          <w:rFonts w:ascii="宋体" w:hAnsi="宋体"/>
          <w:color w:val="auto"/>
          <w:szCs w:val="21"/>
          <w:highlight w:val="none"/>
        </w:rPr>
      </w:pPr>
      <w:r>
        <w:rPr>
          <w:rFonts w:ascii="宋体" w:hAnsi="宋体"/>
          <w:color w:val="auto"/>
          <w:szCs w:val="21"/>
          <w:highlight w:val="none"/>
        </w:rPr>
        <w:t>6.</w:t>
      </w:r>
      <w:r>
        <w:rPr>
          <w:rFonts w:hint="eastAsia" w:ascii="宋体" w:hAnsi="宋体"/>
          <w:color w:val="auto"/>
          <w:szCs w:val="21"/>
          <w:highlight w:val="none"/>
        </w:rPr>
        <w:t>“响应文件”是指供应商根据采购文件要求，编制包含技术、服务和报价等所有内容的响应文件。</w:t>
      </w:r>
    </w:p>
    <w:p>
      <w:pPr>
        <w:spacing w:line="406" w:lineRule="exact"/>
        <w:ind w:firstLine="420" w:firstLineChars="200"/>
        <w:rPr>
          <w:rFonts w:ascii="宋体" w:hAnsi="宋体"/>
          <w:color w:val="auto"/>
          <w:szCs w:val="21"/>
          <w:highlight w:val="none"/>
        </w:rPr>
      </w:pPr>
      <w:r>
        <w:rPr>
          <w:rFonts w:ascii="宋体" w:hAnsi="宋体"/>
          <w:color w:val="auto"/>
          <w:szCs w:val="21"/>
          <w:highlight w:val="none"/>
        </w:rPr>
        <w:t>7.</w:t>
      </w:r>
      <w:r>
        <w:rPr>
          <w:rFonts w:hint="eastAsia" w:ascii="宋体" w:hAnsi="宋体"/>
          <w:color w:val="auto"/>
          <w:szCs w:val="21"/>
          <w:highlight w:val="none"/>
        </w:rPr>
        <w:t>“书面形式”</w:t>
      </w:r>
      <w:r>
        <w:rPr>
          <w:rFonts w:ascii="Helvetica" w:hAnsi="Helvetica"/>
          <w:color w:val="auto"/>
          <w:szCs w:val="21"/>
          <w:highlight w:val="none"/>
        </w:rPr>
        <w:t>是</w:t>
      </w:r>
      <w:r>
        <w:rPr>
          <w:rFonts w:hint="eastAsia" w:ascii="Helvetica" w:hAnsi="Helvetica"/>
          <w:color w:val="auto"/>
          <w:szCs w:val="21"/>
          <w:highlight w:val="none"/>
        </w:rPr>
        <w:t>指</w:t>
      </w:r>
      <w:r>
        <w:rPr>
          <w:rFonts w:ascii="Helvetica" w:hAnsi="Helvetica"/>
          <w:color w:val="auto"/>
          <w:szCs w:val="21"/>
          <w:highlight w:val="none"/>
        </w:rPr>
        <w:t>合同书、信件、电报、电传、传真等可以有形地表现所载内容的形式。</w:t>
      </w:r>
    </w:p>
    <w:p>
      <w:pPr>
        <w:spacing w:line="406" w:lineRule="exact"/>
        <w:ind w:firstLine="211" w:firstLineChars="100"/>
        <w:rPr>
          <w:rFonts w:ascii="宋体" w:hAnsi="宋体"/>
          <w:b/>
          <w:color w:val="auto"/>
          <w:szCs w:val="21"/>
          <w:highlight w:val="none"/>
        </w:rPr>
      </w:pPr>
      <w:r>
        <w:rPr>
          <w:rFonts w:hint="eastAsia" w:ascii="宋体" w:hAnsi="宋体"/>
          <w:b/>
          <w:color w:val="auto"/>
          <w:szCs w:val="21"/>
          <w:highlight w:val="none"/>
        </w:rPr>
        <w:t>（三）供应商资格</w:t>
      </w:r>
    </w:p>
    <w:p>
      <w:pPr>
        <w:spacing w:line="406" w:lineRule="exact"/>
        <w:ind w:firstLine="420" w:firstLineChars="200"/>
        <w:rPr>
          <w:color w:val="auto"/>
          <w:highlight w:val="none"/>
        </w:rPr>
      </w:pPr>
      <w:r>
        <w:rPr>
          <w:rFonts w:hint="eastAsia"/>
          <w:color w:val="auto"/>
          <w:highlight w:val="none"/>
        </w:rPr>
        <w:t>供应商的资格要求详见“供应商须知前附表”。</w:t>
      </w:r>
    </w:p>
    <w:p>
      <w:pPr>
        <w:spacing w:line="406" w:lineRule="exact"/>
        <w:ind w:firstLine="211" w:firstLineChars="100"/>
        <w:rPr>
          <w:b/>
          <w:bCs/>
          <w:color w:val="auto"/>
          <w:highlight w:val="none"/>
        </w:rPr>
      </w:pPr>
      <w:r>
        <w:rPr>
          <w:rFonts w:hint="eastAsia"/>
          <w:b/>
          <w:bCs/>
          <w:color w:val="auto"/>
          <w:highlight w:val="none"/>
        </w:rPr>
        <w:t>（四）采购方式</w:t>
      </w:r>
    </w:p>
    <w:p>
      <w:pPr>
        <w:snapToGrid w:val="0"/>
        <w:spacing w:line="406" w:lineRule="exact"/>
        <w:ind w:firstLine="420" w:firstLineChars="200"/>
        <w:rPr>
          <w:rFonts w:ascii="宋体" w:hAnsi="宋体"/>
          <w:color w:val="auto"/>
          <w:szCs w:val="21"/>
          <w:highlight w:val="none"/>
        </w:rPr>
      </w:pPr>
      <w:r>
        <w:rPr>
          <w:rFonts w:hint="eastAsia" w:ascii="宋体" w:hAnsi="宋体"/>
          <w:color w:val="auto"/>
          <w:szCs w:val="21"/>
          <w:highlight w:val="none"/>
        </w:rPr>
        <w:t>竞争性磋商</w:t>
      </w:r>
    </w:p>
    <w:p>
      <w:pPr>
        <w:spacing w:line="406" w:lineRule="exact"/>
        <w:ind w:firstLine="211" w:firstLineChars="100"/>
        <w:rPr>
          <w:b/>
          <w:bCs/>
          <w:color w:val="auto"/>
          <w:highlight w:val="none"/>
        </w:rPr>
      </w:pPr>
      <w:bookmarkStart w:id="55" w:name="_Toc254970671"/>
      <w:bookmarkStart w:id="56" w:name="_Toc254970530"/>
      <w:bookmarkStart w:id="57" w:name="_Toc353785281"/>
      <w:bookmarkStart w:id="58" w:name="_Toc352700410"/>
      <w:r>
        <w:rPr>
          <w:rFonts w:hint="eastAsia"/>
          <w:b/>
          <w:bCs/>
          <w:color w:val="auto"/>
          <w:highlight w:val="none"/>
        </w:rPr>
        <w:t>（五）代理委托</w:t>
      </w:r>
      <w:bookmarkEnd w:id="55"/>
      <w:bookmarkEnd w:id="56"/>
      <w:bookmarkEnd w:id="57"/>
      <w:bookmarkEnd w:id="58"/>
    </w:p>
    <w:p>
      <w:pPr>
        <w:snapToGrid w:val="0"/>
        <w:spacing w:line="406" w:lineRule="exact"/>
        <w:ind w:firstLine="420" w:firstLineChars="200"/>
        <w:rPr>
          <w:rFonts w:ascii="宋体" w:hAnsi="宋体" w:cs="Courier New"/>
          <w:bCs/>
          <w:color w:val="auto"/>
          <w:szCs w:val="21"/>
          <w:highlight w:val="none"/>
        </w:rPr>
      </w:pPr>
      <w:r>
        <w:rPr>
          <w:rFonts w:hint="eastAsia" w:ascii="宋体" w:hAnsi="宋体" w:cs="Courier New"/>
          <w:bCs/>
          <w:color w:val="auto"/>
          <w:szCs w:val="21"/>
          <w:highlight w:val="none"/>
        </w:rPr>
        <w:t>委托磋商的供应商须提供授权委托书（格式见第六章）。</w:t>
      </w:r>
    </w:p>
    <w:p>
      <w:pPr>
        <w:spacing w:line="406" w:lineRule="exact"/>
        <w:ind w:firstLine="211" w:firstLineChars="100"/>
        <w:rPr>
          <w:b/>
          <w:bCs/>
          <w:color w:val="auto"/>
          <w:highlight w:val="none"/>
        </w:rPr>
      </w:pPr>
      <w:bookmarkStart w:id="59" w:name="_Toc352700411"/>
      <w:bookmarkStart w:id="60" w:name="_Toc353785282"/>
      <w:bookmarkStart w:id="61" w:name="_Toc254970672"/>
      <w:bookmarkStart w:id="62" w:name="_Toc254970531"/>
      <w:r>
        <w:rPr>
          <w:rFonts w:hint="eastAsia"/>
          <w:b/>
          <w:bCs/>
          <w:color w:val="auto"/>
          <w:highlight w:val="none"/>
        </w:rPr>
        <w:t>（六）磋商费用</w:t>
      </w:r>
      <w:bookmarkEnd w:id="59"/>
      <w:bookmarkEnd w:id="60"/>
      <w:bookmarkEnd w:id="61"/>
      <w:bookmarkEnd w:id="62"/>
    </w:p>
    <w:p>
      <w:pPr>
        <w:snapToGrid w:val="0"/>
        <w:spacing w:line="406" w:lineRule="exact"/>
        <w:ind w:firstLine="420" w:firstLineChars="200"/>
        <w:rPr>
          <w:rFonts w:ascii="宋体" w:hAnsi="宋体"/>
          <w:color w:val="auto"/>
          <w:szCs w:val="21"/>
          <w:highlight w:val="none"/>
        </w:rPr>
      </w:pPr>
      <w:r>
        <w:rPr>
          <w:rFonts w:hint="eastAsia" w:ascii="宋体" w:hAnsi="宋体"/>
          <w:color w:val="auto"/>
          <w:szCs w:val="21"/>
          <w:highlight w:val="none"/>
        </w:rPr>
        <w:t>供应商自行承担所有与磋商有关的全部费用。</w:t>
      </w:r>
    </w:p>
    <w:p>
      <w:pPr>
        <w:spacing w:line="406" w:lineRule="exact"/>
        <w:ind w:firstLine="211" w:firstLineChars="100"/>
        <w:rPr>
          <w:b/>
          <w:bCs/>
          <w:color w:val="auto"/>
          <w:highlight w:val="none"/>
        </w:rPr>
      </w:pPr>
      <w:bookmarkStart w:id="63" w:name="_Toc352700413"/>
      <w:bookmarkStart w:id="64" w:name="_Toc353785283"/>
      <w:r>
        <w:rPr>
          <w:rFonts w:hint="eastAsia"/>
          <w:b/>
          <w:bCs/>
          <w:color w:val="auto"/>
          <w:highlight w:val="none"/>
        </w:rPr>
        <w:t>（七）转包与分包</w:t>
      </w:r>
      <w:bookmarkEnd w:id="63"/>
      <w:bookmarkEnd w:id="64"/>
    </w:p>
    <w:p>
      <w:pPr>
        <w:snapToGrid w:val="0"/>
        <w:spacing w:line="406" w:lineRule="exact"/>
        <w:ind w:firstLine="420" w:firstLineChars="200"/>
        <w:rPr>
          <w:rFonts w:ascii="宋体" w:hAnsi="宋体" w:cs="宋体"/>
          <w:color w:val="auto"/>
          <w:kern w:val="0"/>
          <w:szCs w:val="21"/>
          <w:highlight w:val="none"/>
        </w:rPr>
      </w:pPr>
      <w:r>
        <w:rPr>
          <w:rFonts w:ascii="宋体" w:hAnsi="宋体" w:cs="宋体"/>
          <w:color w:val="auto"/>
          <w:kern w:val="0"/>
          <w:szCs w:val="21"/>
          <w:highlight w:val="none"/>
        </w:rPr>
        <w:t>1.</w:t>
      </w:r>
      <w:r>
        <w:rPr>
          <w:rFonts w:hint="eastAsia" w:ascii="宋体" w:hAnsi="宋体" w:cs="宋体"/>
          <w:color w:val="auto"/>
          <w:kern w:val="0"/>
          <w:szCs w:val="21"/>
          <w:highlight w:val="none"/>
        </w:rPr>
        <w:t>本项目不允许转包。</w:t>
      </w:r>
    </w:p>
    <w:p>
      <w:pPr>
        <w:snapToGrid w:val="0"/>
        <w:spacing w:line="406" w:lineRule="exact"/>
        <w:ind w:firstLine="420" w:firstLineChars="200"/>
        <w:rPr>
          <w:rFonts w:ascii="宋体" w:hAnsi="宋体" w:cs="宋体"/>
          <w:color w:val="auto"/>
          <w:kern w:val="0"/>
          <w:szCs w:val="21"/>
          <w:highlight w:val="none"/>
        </w:rPr>
      </w:pPr>
      <w:r>
        <w:rPr>
          <w:rFonts w:ascii="宋体" w:hAnsi="宋体" w:cs="宋体"/>
          <w:color w:val="auto"/>
          <w:kern w:val="0"/>
          <w:szCs w:val="21"/>
          <w:highlight w:val="none"/>
        </w:rPr>
        <w:t>2.</w:t>
      </w:r>
      <w:r>
        <w:rPr>
          <w:rFonts w:hint="eastAsia" w:ascii="宋体" w:hAnsi="宋体" w:cs="宋体"/>
          <w:color w:val="auto"/>
          <w:kern w:val="0"/>
          <w:szCs w:val="21"/>
          <w:highlight w:val="none"/>
        </w:rPr>
        <w:t>采购人允许采用分包方式履行合同的，应当在采购文件中明确可以分包履行的具体内容、金额或者比例。</w:t>
      </w:r>
    </w:p>
    <w:p>
      <w:pPr>
        <w:snapToGrid w:val="0"/>
        <w:spacing w:line="406" w:lineRule="exact"/>
        <w:ind w:firstLine="420" w:firstLineChars="200"/>
        <w:rPr>
          <w:rFonts w:ascii="宋体" w:hAnsi="宋体" w:cs="宋体"/>
          <w:color w:val="auto"/>
          <w:kern w:val="0"/>
          <w:szCs w:val="21"/>
          <w:highlight w:val="none"/>
        </w:rPr>
      </w:pPr>
      <w:r>
        <w:rPr>
          <w:rFonts w:ascii="宋体" w:hAnsi="宋体" w:cs="宋体"/>
          <w:color w:val="auto"/>
          <w:kern w:val="0"/>
          <w:szCs w:val="21"/>
          <w:highlight w:val="none"/>
        </w:rPr>
        <w:t>3.</w:t>
      </w:r>
      <w:r>
        <w:rPr>
          <w:rFonts w:hint="eastAsia" w:ascii="宋体" w:hAnsi="宋体" w:cs="宋体"/>
          <w:color w:val="auto"/>
          <w:kern w:val="0"/>
          <w:szCs w:val="21"/>
          <w:highlight w:val="none"/>
        </w:rPr>
        <w:t>依据《政府采购促进中小企业发展管理办法》规定享受扶持政策获得政府采购合同的，小微企业不得将合同分包给大中型企业，中型企业不得将合同分包给大型企业。</w:t>
      </w:r>
    </w:p>
    <w:p>
      <w:pPr>
        <w:spacing w:line="406" w:lineRule="exact"/>
        <w:ind w:firstLine="211" w:firstLineChars="100"/>
        <w:rPr>
          <w:b/>
          <w:bCs/>
          <w:color w:val="auto"/>
          <w:highlight w:val="none"/>
        </w:rPr>
      </w:pPr>
      <w:bookmarkStart w:id="65" w:name="_Toc353785284"/>
      <w:bookmarkStart w:id="66" w:name="_Toc254970532"/>
      <w:bookmarkStart w:id="67" w:name="_Toc352700414"/>
      <w:bookmarkStart w:id="68" w:name="_Toc254970673"/>
      <w:r>
        <w:rPr>
          <w:rFonts w:hint="eastAsia"/>
          <w:b/>
          <w:bCs/>
          <w:color w:val="auto"/>
          <w:highlight w:val="none"/>
        </w:rPr>
        <w:t>（八）特别说明</w:t>
      </w:r>
      <w:bookmarkEnd w:id="65"/>
      <w:bookmarkEnd w:id="66"/>
      <w:bookmarkEnd w:id="67"/>
      <w:bookmarkEnd w:id="68"/>
    </w:p>
    <w:p>
      <w:pPr>
        <w:pStyle w:val="24"/>
        <w:snapToGrid w:val="0"/>
        <w:spacing w:line="406" w:lineRule="exact"/>
        <w:ind w:firstLine="420"/>
        <w:rPr>
          <w:rFonts w:hAnsi="宋体"/>
          <w:color w:val="auto"/>
          <w:highlight w:val="none"/>
        </w:rPr>
      </w:pPr>
      <w:r>
        <w:rPr>
          <w:rFonts w:hAnsi="宋体"/>
          <w:color w:val="auto"/>
          <w:highlight w:val="none"/>
        </w:rPr>
        <w:t>1.</w:t>
      </w:r>
      <w:r>
        <w:rPr>
          <w:rFonts w:hint="eastAsia" w:hAnsi="宋体"/>
          <w:color w:val="auto"/>
          <w:highlight w:val="none"/>
        </w:rPr>
        <w:t>单位负责人为同一人或者存在直接控股、管理关系的不同的供应商，不得参加同一合同项下的政府采购活动，否则其响应文件将被视为无效。为采购项目提供整体设计、规范编制或者项目管理、监理、检测等服务的供应商，不得再参加该采购项目的其他采购活动。</w:t>
      </w:r>
    </w:p>
    <w:p>
      <w:pPr>
        <w:pStyle w:val="24"/>
        <w:snapToGrid w:val="0"/>
        <w:spacing w:line="406" w:lineRule="exact"/>
        <w:ind w:firstLine="420"/>
        <w:rPr>
          <w:rFonts w:hAnsi="宋体"/>
          <w:color w:val="auto"/>
          <w:highlight w:val="none"/>
        </w:rPr>
      </w:pPr>
      <w:r>
        <w:rPr>
          <w:rFonts w:hAnsi="宋体"/>
          <w:color w:val="auto"/>
          <w:highlight w:val="none"/>
        </w:rPr>
        <w:t>2.</w:t>
      </w:r>
      <w:r>
        <w:rPr>
          <w:rFonts w:hint="eastAsia" w:hAnsi="宋体"/>
          <w:color w:val="auto"/>
          <w:highlight w:val="none"/>
        </w:rPr>
        <w:t>采用竞争性磋商采购方式采购的政府购买服务项目(含政府和社会资本合作项目)，在采购过程中符合要求的供应商(社会资本)只有2家的，竞争性磋商采购活动可以继续进行。采购过程中符合要求的供应商(社会资本)只有1家的，本中心将终止竞争性磋商采购活动，发布项目终止公告并说明原因，重新开展采购活动。</w:t>
      </w:r>
    </w:p>
    <w:p>
      <w:pPr>
        <w:spacing w:line="406" w:lineRule="exact"/>
        <w:ind w:firstLine="211" w:firstLineChars="100"/>
        <w:rPr>
          <w:b/>
          <w:bCs/>
          <w:color w:val="auto"/>
          <w:highlight w:val="none"/>
        </w:rPr>
      </w:pPr>
      <w:bookmarkStart w:id="69" w:name="_Toc353785285"/>
      <w:bookmarkStart w:id="70" w:name="_Toc254970533"/>
      <w:bookmarkStart w:id="71" w:name="_Toc254970674"/>
      <w:bookmarkStart w:id="72" w:name="_Toc352700415"/>
      <w:r>
        <w:rPr>
          <w:rFonts w:hint="eastAsia"/>
          <w:b/>
          <w:bCs/>
          <w:color w:val="auto"/>
          <w:highlight w:val="none"/>
        </w:rPr>
        <w:t>（九）询问、质疑和投诉</w:t>
      </w:r>
      <w:bookmarkEnd w:id="69"/>
      <w:bookmarkEnd w:id="70"/>
      <w:bookmarkEnd w:id="71"/>
      <w:bookmarkEnd w:id="72"/>
    </w:p>
    <w:p>
      <w:pPr>
        <w:pStyle w:val="24"/>
        <w:snapToGrid w:val="0"/>
        <w:spacing w:line="406" w:lineRule="exact"/>
        <w:ind w:firstLine="420"/>
        <w:rPr>
          <w:rFonts w:hAnsi="宋体"/>
          <w:bCs/>
          <w:color w:val="auto"/>
          <w:highlight w:val="none"/>
        </w:rPr>
      </w:pPr>
      <w:r>
        <w:rPr>
          <w:rFonts w:hAnsi="宋体"/>
          <w:bCs/>
          <w:color w:val="auto"/>
          <w:highlight w:val="none"/>
        </w:rPr>
        <w:t>1.</w:t>
      </w:r>
      <w:r>
        <w:rPr>
          <w:rFonts w:hint="eastAsia" w:ascii="Arial" w:hAnsi="Arial" w:cs="Arial"/>
          <w:color w:val="auto"/>
          <w:kern w:val="0"/>
          <w:highlight w:val="none"/>
        </w:rPr>
        <w:t>供应商</w:t>
      </w:r>
      <w:r>
        <w:rPr>
          <w:rFonts w:ascii="Arial" w:hAnsi="Arial" w:cs="Arial"/>
          <w:color w:val="auto"/>
          <w:kern w:val="0"/>
          <w:highlight w:val="none"/>
        </w:rPr>
        <w:t>对政府采购活动事项有疑问的，可以向采购人</w:t>
      </w:r>
      <w:r>
        <w:rPr>
          <w:rFonts w:hint="eastAsia" w:ascii="Arial" w:hAnsi="Arial" w:cs="Arial"/>
          <w:color w:val="auto"/>
          <w:kern w:val="0"/>
          <w:highlight w:val="none"/>
        </w:rPr>
        <w:t>或本中心</w:t>
      </w:r>
      <w:r>
        <w:rPr>
          <w:rFonts w:ascii="Arial" w:hAnsi="Arial" w:cs="Arial"/>
          <w:color w:val="auto"/>
          <w:kern w:val="0"/>
          <w:highlight w:val="none"/>
        </w:rPr>
        <w:t>提出询问，采购人</w:t>
      </w:r>
      <w:r>
        <w:rPr>
          <w:rFonts w:hint="eastAsia" w:ascii="Arial" w:hAnsi="Arial" w:cs="Arial"/>
          <w:color w:val="auto"/>
          <w:kern w:val="0"/>
          <w:highlight w:val="none"/>
        </w:rPr>
        <w:t>或本中心当在3个工作日内对供应商依法提出的询问作出答复</w:t>
      </w:r>
      <w:r>
        <w:rPr>
          <w:rFonts w:ascii="Arial" w:hAnsi="Arial" w:cs="Arial"/>
          <w:color w:val="auto"/>
          <w:kern w:val="0"/>
          <w:highlight w:val="none"/>
        </w:rPr>
        <w:t>，但答复的内容不得涉及商业秘密。</w:t>
      </w:r>
    </w:p>
    <w:p>
      <w:pPr>
        <w:pStyle w:val="24"/>
        <w:snapToGrid w:val="0"/>
        <w:spacing w:line="406" w:lineRule="exact"/>
        <w:ind w:firstLine="420"/>
        <w:rPr>
          <w:rFonts w:hAnsi="宋体"/>
          <w:bCs/>
          <w:color w:val="auto"/>
          <w:highlight w:val="none"/>
        </w:rPr>
      </w:pPr>
      <w:r>
        <w:rPr>
          <w:rFonts w:hAnsi="宋体"/>
          <w:bCs/>
          <w:color w:val="auto"/>
          <w:highlight w:val="none"/>
        </w:rPr>
        <w:t>2.</w:t>
      </w:r>
      <w:r>
        <w:rPr>
          <w:rFonts w:hint="eastAsia" w:hAnsi="宋体"/>
          <w:bCs/>
          <w:color w:val="auto"/>
          <w:highlight w:val="none"/>
        </w:rPr>
        <w:t>供应商认为采购文件、采购过程或成交结果使自己的合法权益受到损害的，</w:t>
      </w:r>
      <w:r>
        <w:rPr>
          <w:rFonts w:hAnsi="宋体"/>
          <w:bCs/>
          <w:color w:val="auto"/>
          <w:highlight w:val="none"/>
        </w:rPr>
        <w:t>可以在知道或者应知其权益受到损害之日起7个工作日内</w:t>
      </w:r>
      <w:r>
        <w:rPr>
          <w:rFonts w:hint="eastAsia" w:hAnsi="宋体"/>
          <w:bCs/>
          <w:color w:val="auto"/>
          <w:highlight w:val="none"/>
        </w:rPr>
        <w:t>，</w:t>
      </w:r>
      <w:r>
        <w:rPr>
          <w:rFonts w:cs="Arial"/>
          <w:color w:val="auto"/>
          <w:highlight w:val="none"/>
        </w:rPr>
        <w:t>以书面形式(</w:t>
      </w:r>
      <w:r>
        <w:rPr>
          <w:rFonts w:hint="eastAsia" w:cs="Arial"/>
          <w:color w:val="auto"/>
          <w:highlight w:val="none"/>
        </w:rPr>
        <w:t>政采云平台</w:t>
      </w:r>
      <w:r>
        <w:rPr>
          <w:rFonts w:cs="Arial"/>
          <w:color w:val="auto"/>
          <w:highlight w:val="none"/>
        </w:rPr>
        <w:t>)</w:t>
      </w:r>
      <w:r>
        <w:rPr>
          <w:rFonts w:hint="eastAsia" w:cs="Arial"/>
          <w:color w:val="auto"/>
          <w:highlight w:val="none"/>
        </w:rPr>
        <w:t>向</w:t>
      </w:r>
      <w:r>
        <w:rPr>
          <w:rFonts w:cs="Arial"/>
          <w:color w:val="auto"/>
          <w:highlight w:val="none"/>
        </w:rPr>
        <w:t>采购人、</w:t>
      </w:r>
      <w:r>
        <w:rPr>
          <w:rFonts w:hint="eastAsia" w:cs="Arial"/>
          <w:color w:val="auto"/>
          <w:highlight w:val="none"/>
        </w:rPr>
        <w:t>本中心</w:t>
      </w:r>
      <w:r>
        <w:rPr>
          <w:rFonts w:cs="Arial"/>
          <w:color w:val="auto"/>
          <w:highlight w:val="none"/>
        </w:rPr>
        <w:t>提出质疑。</w:t>
      </w:r>
      <w:r>
        <w:rPr>
          <w:rFonts w:hint="eastAsia" w:hAnsi="宋体"/>
          <w:bCs/>
          <w:color w:val="auto"/>
          <w:highlight w:val="none"/>
        </w:rPr>
        <w:t>供应商必须在法定质疑期内一次性提出针对同一采购程序环节的质疑。</w:t>
      </w:r>
      <w:r>
        <w:rPr>
          <w:rFonts w:hint="eastAsia" w:hAnsi="宋体" w:cs="宋体"/>
          <w:color w:val="auto"/>
          <w:highlight w:val="none"/>
        </w:rPr>
        <w:t>供应商应知其权益受到损害之日，是指：</w:t>
      </w:r>
    </w:p>
    <w:p>
      <w:pPr>
        <w:pStyle w:val="24"/>
        <w:adjustRightInd w:val="0"/>
        <w:snapToGrid w:val="0"/>
        <w:spacing w:line="406" w:lineRule="exact"/>
        <w:ind w:firstLine="308" w:firstLineChars="147"/>
        <w:rPr>
          <w:rFonts w:hAnsi="宋体"/>
          <w:bCs/>
          <w:color w:val="auto"/>
          <w:highlight w:val="none"/>
        </w:rPr>
      </w:pPr>
      <w:r>
        <w:rPr>
          <w:rFonts w:hint="eastAsia" w:hAnsi="宋体"/>
          <w:bCs/>
          <w:color w:val="auto"/>
          <w:highlight w:val="none"/>
        </w:rPr>
        <w:t>(</w:t>
      </w:r>
      <w:r>
        <w:rPr>
          <w:rFonts w:hAnsi="宋体"/>
          <w:bCs/>
          <w:color w:val="auto"/>
          <w:highlight w:val="none"/>
        </w:rPr>
        <w:t>1)</w:t>
      </w:r>
      <w:r>
        <w:rPr>
          <w:rFonts w:hint="eastAsia" w:hAnsi="宋体"/>
          <w:bCs/>
          <w:color w:val="auto"/>
          <w:highlight w:val="none"/>
        </w:rPr>
        <w:t>对采购文件提出质疑的，为获取采购文件之日；</w:t>
      </w:r>
    </w:p>
    <w:p>
      <w:pPr>
        <w:pStyle w:val="24"/>
        <w:adjustRightInd w:val="0"/>
        <w:snapToGrid w:val="0"/>
        <w:spacing w:line="406" w:lineRule="exact"/>
        <w:ind w:firstLine="308" w:firstLineChars="147"/>
        <w:rPr>
          <w:rFonts w:hAnsi="宋体"/>
          <w:bCs/>
          <w:color w:val="auto"/>
          <w:highlight w:val="none"/>
        </w:rPr>
      </w:pPr>
      <w:r>
        <w:rPr>
          <w:rFonts w:hint="eastAsia" w:hAnsi="宋体"/>
          <w:bCs/>
          <w:color w:val="auto"/>
          <w:highlight w:val="none"/>
        </w:rPr>
        <w:t>(</w:t>
      </w:r>
      <w:r>
        <w:rPr>
          <w:rFonts w:hAnsi="宋体"/>
          <w:bCs/>
          <w:color w:val="auto"/>
          <w:highlight w:val="none"/>
        </w:rPr>
        <w:t>2)</w:t>
      </w:r>
      <w:r>
        <w:rPr>
          <w:rFonts w:hint="eastAsia" w:hAnsi="宋体"/>
          <w:bCs/>
          <w:color w:val="auto"/>
          <w:highlight w:val="none"/>
        </w:rPr>
        <w:t>对采购过程提出质疑的，为各采购程序环节结束之日；</w:t>
      </w:r>
    </w:p>
    <w:p>
      <w:pPr>
        <w:widowControl/>
        <w:adjustRightInd w:val="0"/>
        <w:snapToGrid w:val="0"/>
        <w:spacing w:line="406" w:lineRule="exact"/>
        <w:ind w:firstLine="102" w:firstLineChars="49"/>
        <w:jc w:val="left"/>
        <w:rPr>
          <w:rFonts w:ascii="宋体" w:hAnsi="宋体" w:cs="Courier New"/>
          <w:bCs/>
          <w:color w:val="auto"/>
          <w:szCs w:val="21"/>
          <w:highlight w:val="none"/>
        </w:rPr>
      </w:pPr>
      <w:r>
        <w:rPr>
          <w:rFonts w:hint="eastAsia" w:ascii="宋体" w:hAnsi="宋体" w:cs="Courier New"/>
          <w:bCs/>
          <w:color w:val="auto"/>
          <w:szCs w:val="21"/>
          <w:highlight w:val="none"/>
        </w:rPr>
        <w:t xml:space="preserve">  (</w:t>
      </w:r>
      <w:r>
        <w:rPr>
          <w:rFonts w:ascii="宋体" w:hAnsi="宋体" w:cs="Courier New"/>
          <w:bCs/>
          <w:color w:val="auto"/>
          <w:szCs w:val="21"/>
          <w:highlight w:val="none"/>
        </w:rPr>
        <w:t>3)</w:t>
      </w:r>
      <w:r>
        <w:rPr>
          <w:rFonts w:hint="eastAsia" w:ascii="宋体" w:hAnsi="宋体" w:cs="Courier New"/>
          <w:bCs/>
          <w:color w:val="auto"/>
          <w:szCs w:val="21"/>
          <w:highlight w:val="none"/>
        </w:rPr>
        <w:t>对成交结果提出质疑的，为成交结果公告期限届满之日。</w:t>
      </w:r>
    </w:p>
    <w:p>
      <w:pPr>
        <w:widowControl/>
        <w:adjustRightInd w:val="0"/>
        <w:snapToGrid w:val="0"/>
        <w:spacing w:line="406" w:lineRule="exact"/>
        <w:ind w:firstLine="420"/>
        <w:jc w:val="left"/>
        <w:rPr>
          <w:rFonts w:ascii="宋体" w:hAnsi="宋体" w:cs="Courier New"/>
          <w:bCs/>
          <w:color w:val="auto"/>
          <w:szCs w:val="21"/>
          <w:highlight w:val="none"/>
        </w:rPr>
      </w:pPr>
      <w:r>
        <w:rPr>
          <w:rFonts w:ascii="宋体" w:hAnsi="宋体" w:cs="Courier New"/>
          <w:bCs/>
          <w:color w:val="auto"/>
          <w:szCs w:val="21"/>
          <w:highlight w:val="none"/>
        </w:rPr>
        <w:t>3.</w:t>
      </w:r>
      <w:r>
        <w:rPr>
          <w:rFonts w:hint="eastAsia" w:hAnsi="宋体"/>
          <w:color w:val="auto"/>
          <w:highlight w:val="none"/>
        </w:rPr>
        <w:t>供应商对采购人、本中心质疑答复不满意或者采购人、本中心未在规定时间内作出答复的，可以在答复期满后十五个工作日内向同级采购监管部门投诉。</w:t>
      </w:r>
    </w:p>
    <w:p>
      <w:pPr>
        <w:pStyle w:val="24"/>
        <w:snapToGrid w:val="0"/>
        <w:spacing w:line="406" w:lineRule="exact"/>
        <w:ind w:firstLine="420"/>
        <w:rPr>
          <w:rFonts w:hAnsi="宋体"/>
          <w:bCs/>
          <w:color w:val="auto"/>
          <w:highlight w:val="none"/>
        </w:rPr>
      </w:pPr>
      <w:r>
        <w:rPr>
          <w:rFonts w:hAnsi="宋体"/>
          <w:bCs/>
          <w:color w:val="auto"/>
          <w:highlight w:val="none"/>
        </w:rPr>
        <w:t>4.</w:t>
      </w:r>
      <w:r>
        <w:rPr>
          <w:rFonts w:hint="eastAsia" w:hAnsi="宋体"/>
          <w:bCs/>
          <w:color w:val="auto"/>
          <w:highlight w:val="none"/>
        </w:rPr>
        <w:t>质疑、投诉应当采用书面形式，质疑书、投诉书均应明确阐述采购文件、采购过程或成交结果中使自己合法权益受到损害的实质性内容，提供相关事实、依据和证据及其来源或线索，便于有关单位调查、答复和处理。（质疑、投诉不接受传真形式）</w:t>
      </w:r>
    </w:p>
    <w:p>
      <w:pPr>
        <w:spacing w:line="406" w:lineRule="exact"/>
        <w:ind w:firstLine="420"/>
        <w:rPr>
          <w:color w:val="auto"/>
          <w:highlight w:val="none"/>
        </w:rPr>
      </w:pPr>
      <w:r>
        <w:rPr>
          <w:rFonts w:hint="eastAsia"/>
          <w:color w:val="auto"/>
          <w:highlight w:val="none"/>
        </w:rPr>
        <w:t>质疑部门联系方式：钦州市政府采购中心    0777-288600</w:t>
      </w:r>
      <w:r>
        <w:rPr>
          <w:color w:val="auto"/>
          <w:highlight w:val="none"/>
        </w:rPr>
        <w:t>2</w:t>
      </w:r>
    </w:p>
    <w:p>
      <w:pPr>
        <w:spacing w:line="420" w:lineRule="exact"/>
        <w:ind w:firstLine="420"/>
        <w:rPr>
          <w:rFonts w:hAnsi="宋体" w:cs="宋体"/>
          <w:color w:val="auto"/>
          <w:kern w:val="0"/>
          <w:highlight w:val="none"/>
        </w:rPr>
      </w:pPr>
      <w:r>
        <w:rPr>
          <w:rFonts w:hint="eastAsia"/>
          <w:color w:val="auto"/>
          <w:highlight w:val="none"/>
        </w:rPr>
        <w:t>采购监管部门联系方式：</w:t>
      </w:r>
      <w:r>
        <w:rPr>
          <w:rFonts w:hint="eastAsia" w:hAnsi="宋体" w:cs="宋体"/>
          <w:color w:val="auto"/>
          <w:kern w:val="0"/>
          <w:highlight w:val="none"/>
        </w:rPr>
        <w:t>钦州市财政局      0777-2895258</w:t>
      </w:r>
    </w:p>
    <w:p>
      <w:pPr>
        <w:spacing w:line="406" w:lineRule="exact"/>
        <w:ind w:firstLine="420"/>
        <w:rPr>
          <w:color w:val="auto"/>
          <w:highlight w:val="none"/>
        </w:rPr>
      </w:pPr>
    </w:p>
    <w:p>
      <w:pPr>
        <w:spacing w:line="406" w:lineRule="exact"/>
        <w:ind w:firstLine="211" w:firstLineChars="100"/>
        <w:rPr>
          <w:b/>
          <w:bCs/>
          <w:color w:val="auto"/>
          <w:highlight w:val="none"/>
        </w:rPr>
      </w:pPr>
      <w:r>
        <w:rPr>
          <w:rFonts w:hint="eastAsia"/>
          <w:b/>
          <w:bCs/>
          <w:color w:val="auto"/>
          <w:highlight w:val="none"/>
        </w:rPr>
        <w:t xml:space="preserve">（十）查询媒体 </w:t>
      </w:r>
      <w:r>
        <w:rPr>
          <w:rFonts w:hint="eastAsia"/>
          <w:color w:val="auto"/>
          <w:highlight w:val="none"/>
        </w:rPr>
        <w:t>中国政府采购网、</w:t>
      </w:r>
      <w:r>
        <w:rPr>
          <w:color w:val="auto"/>
          <w:highlight w:val="none"/>
        </w:rPr>
        <w:fldChar w:fldCharType="begin"/>
      </w:r>
      <w:r>
        <w:rPr>
          <w:color w:val="auto"/>
          <w:highlight w:val="none"/>
        </w:rPr>
        <w:instrText xml:space="preserve"> HYPERLINK "http://zfcg.gxzf.gov.cn/" </w:instrText>
      </w:r>
      <w:r>
        <w:rPr>
          <w:color w:val="auto"/>
          <w:highlight w:val="none"/>
        </w:rPr>
        <w:fldChar w:fldCharType="separate"/>
      </w:r>
      <w:r>
        <w:rPr>
          <w:rStyle w:val="49"/>
          <w:rFonts w:hint="eastAsia" w:hAnsi="宋体"/>
          <w:color w:val="auto"/>
          <w:highlight w:val="none"/>
          <w:u w:val="none"/>
        </w:rPr>
        <w:t>广西政府采购网</w:t>
      </w:r>
      <w:r>
        <w:rPr>
          <w:rStyle w:val="49"/>
          <w:rFonts w:hint="eastAsia" w:hAnsi="宋体"/>
          <w:color w:val="auto"/>
          <w:highlight w:val="none"/>
          <w:u w:val="none"/>
        </w:rPr>
        <w:fldChar w:fldCharType="end"/>
      </w:r>
      <w:r>
        <w:rPr>
          <w:rFonts w:hint="eastAsia" w:hAnsi="宋体"/>
          <w:color w:val="auto"/>
          <w:highlight w:val="none"/>
        </w:rPr>
        <w:t>。</w:t>
      </w:r>
    </w:p>
    <w:p>
      <w:pPr>
        <w:pStyle w:val="4"/>
        <w:spacing w:line="406" w:lineRule="exact"/>
        <w:rPr>
          <w:color w:val="auto"/>
          <w:highlight w:val="none"/>
        </w:rPr>
      </w:pPr>
      <w:bookmarkStart w:id="73" w:name="_Toc353785286"/>
      <w:bookmarkStart w:id="74" w:name="_Toc352700416"/>
      <w:r>
        <w:rPr>
          <w:rFonts w:hint="eastAsia"/>
          <w:color w:val="auto"/>
          <w:highlight w:val="none"/>
        </w:rPr>
        <w:t>二、竞争性磋商采购文件</w:t>
      </w:r>
      <w:bookmarkEnd w:id="73"/>
      <w:bookmarkEnd w:id="74"/>
    </w:p>
    <w:p>
      <w:pPr>
        <w:spacing w:line="406" w:lineRule="exact"/>
        <w:ind w:firstLine="211" w:firstLineChars="100"/>
        <w:rPr>
          <w:b/>
          <w:bCs/>
          <w:color w:val="auto"/>
          <w:highlight w:val="none"/>
        </w:rPr>
      </w:pPr>
      <w:bookmarkStart w:id="75" w:name="_Toc352700417"/>
      <w:bookmarkStart w:id="76" w:name="_Toc353785287"/>
      <w:r>
        <w:rPr>
          <w:rFonts w:hint="eastAsia"/>
          <w:b/>
          <w:bCs/>
          <w:color w:val="auto"/>
          <w:highlight w:val="none"/>
        </w:rPr>
        <w:t>（一）竞争性磋商采购文件的组成</w:t>
      </w:r>
      <w:bookmarkEnd w:id="75"/>
      <w:bookmarkEnd w:id="76"/>
    </w:p>
    <w:p>
      <w:pPr>
        <w:pStyle w:val="24"/>
        <w:snapToGrid w:val="0"/>
        <w:spacing w:line="406" w:lineRule="exact"/>
        <w:ind w:firstLine="420" w:firstLineChars="200"/>
        <w:rPr>
          <w:rFonts w:hAnsi="宋体"/>
          <w:color w:val="auto"/>
          <w:highlight w:val="none"/>
        </w:rPr>
      </w:pPr>
      <w:r>
        <w:rPr>
          <w:rFonts w:hint="eastAsia" w:hAnsi="宋体"/>
          <w:color w:val="auto"/>
          <w:highlight w:val="none"/>
        </w:rPr>
        <w:t>第一章 竞争性磋商公告</w:t>
      </w:r>
    </w:p>
    <w:p>
      <w:pPr>
        <w:pStyle w:val="24"/>
        <w:snapToGrid w:val="0"/>
        <w:spacing w:line="406" w:lineRule="exact"/>
        <w:ind w:firstLine="420" w:firstLineChars="200"/>
        <w:rPr>
          <w:rFonts w:hAnsi="宋体"/>
          <w:color w:val="auto"/>
          <w:highlight w:val="none"/>
        </w:rPr>
      </w:pPr>
      <w:r>
        <w:rPr>
          <w:rFonts w:hint="eastAsia" w:hAnsi="宋体"/>
          <w:color w:val="auto"/>
          <w:highlight w:val="none"/>
        </w:rPr>
        <w:t>第二章 项目需求</w:t>
      </w:r>
    </w:p>
    <w:p>
      <w:pPr>
        <w:pStyle w:val="24"/>
        <w:snapToGrid w:val="0"/>
        <w:spacing w:line="406" w:lineRule="exact"/>
        <w:ind w:firstLine="420" w:firstLineChars="200"/>
        <w:rPr>
          <w:rFonts w:hAnsi="宋体"/>
          <w:color w:val="auto"/>
          <w:highlight w:val="none"/>
        </w:rPr>
      </w:pPr>
      <w:r>
        <w:rPr>
          <w:rFonts w:hint="eastAsia" w:hAnsi="宋体"/>
          <w:color w:val="auto"/>
          <w:highlight w:val="none"/>
        </w:rPr>
        <w:t>第三章 供应商须知</w:t>
      </w:r>
    </w:p>
    <w:p>
      <w:pPr>
        <w:pStyle w:val="24"/>
        <w:snapToGrid w:val="0"/>
        <w:spacing w:line="406" w:lineRule="exact"/>
        <w:ind w:firstLine="420" w:firstLineChars="200"/>
        <w:rPr>
          <w:rFonts w:hAnsi="宋体"/>
          <w:color w:val="auto"/>
          <w:highlight w:val="none"/>
        </w:rPr>
      </w:pPr>
      <w:r>
        <w:rPr>
          <w:rFonts w:hint="eastAsia" w:hAnsi="宋体"/>
          <w:color w:val="auto"/>
          <w:highlight w:val="none"/>
        </w:rPr>
        <w:t>第四章 评定标准及推荐原则</w:t>
      </w:r>
    </w:p>
    <w:p>
      <w:pPr>
        <w:pStyle w:val="24"/>
        <w:snapToGrid w:val="0"/>
        <w:spacing w:line="406" w:lineRule="exact"/>
        <w:ind w:firstLine="420" w:firstLineChars="200"/>
        <w:rPr>
          <w:rFonts w:hAnsi="宋体"/>
          <w:color w:val="auto"/>
          <w:highlight w:val="none"/>
        </w:rPr>
      </w:pPr>
      <w:r>
        <w:rPr>
          <w:rFonts w:hint="eastAsia" w:hAnsi="宋体"/>
          <w:color w:val="auto"/>
          <w:highlight w:val="none"/>
        </w:rPr>
        <w:t>第五章 合同文本</w:t>
      </w:r>
    </w:p>
    <w:p>
      <w:pPr>
        <w:pStyle w:val="24"/>
        <w:snapToGrid w:val="0"/>
        <w:spacing w:line="406" w:lineRule="exact"/>
        <w:ind w:firstLine="420" w:firstLineChars="200"/>
        <w:rPr>
          <w:rFonts w:hAnsi="宋体"/>
          <w:color w:val="auto"/>
          <w:highlight w:val="none"/>
        </w:rPr>
      </w:pPr>
      <w:r>
        <w:rPr>
          <w:rFonts w:hint="eastAsia" w:hAnsi="宋体"/>
          <w:color w:val="auto"/>
          <w:highlight w:val="none"/>
        </w:rPr>
        <w:t>第六章 响应文件格式</w:t>
      </w:r>
    </w:p>
    <w:p>
      <w:pPr>
        <w:spacing w:line="406" w:lineRule="exact"/>
        <w:ind w:firstLine="211" w:firstLineChars="100"/>
        <w:rPr>
          <w:b/>
          <w:bCs/>
          <w:color w:val="auto"/>
          <w:highlight w:val="none"/>
        </w:rPr>
      </w:pPr>
      <w:bookmarkStart w:id="77" w:name="_Toc352700419"/>
      <w:bookmarkStart w:id="78" w:name="_Toc353785289"/>
      <w:r>
        <w:rPr>
          <w:rFonts w:hint="eastAsia"/>
          <w:b/>
          <w:bCs/>
          <w:color w:val="auto"/>
          <w:highlight w:val="none"/>
        </w:rPr>
        <w:t>（二）竞争性磋商采购文件的澄清与修改</w:t>
      </w:r>
      <w:bookmarkEnd w:id="77"/>
      <w:bookmarkEnd w:id="78"/>
    </w:p>
    <w:p>
      <w:pPr>
        <w:pStyle w:val="24"/>
        <w:snapToGrid w:val="0"/>
        <w:spacing w:line="406" w:lineRule="exact"/>
        <w:ind w:firstLine="420"/>
        <w:jc w:val="left"/>
        <w:rPr>
          <w:rFonts w:hAnsi="宋体"/>
          <w:color w:val="auto"/>
          <w:highlight w:val="none"/>
        </w:rPr>
      </w:pPr>
      <w:r>
        <w:rPr>
          <w:rFonts w:hint="eastAsia" w:hAnsi="宋体"/>
          <w:color w:val="auto"/>
          <w:highlight w:val="none"/>
        </w:rPr>
        <w:t>1</w:t>
      </w:r>
      <w:r>
        <w:rPr>
          <w:rFonts w:hAnsi="宋体"/>
          <w:color w:val="auto"/>
          <w:highlight w:val="none"/>
        </w:rPr>
        <w:t>.</w:t>
      </w:r>
      <w:r>
        <w:rPr>
          <w:rFonts w:hint="eastAsia" w:hAnsi="宋体"/>
          <w:color w:val="auto"/>
          <w:highlight w:val="none"/>
        </w:rPr>
        <w:t>提交首次响应文件截止之日前，采购人、本中心或者磋商小组可以对已发出的磋商文件进行必要的澄清或者修改，澄清或者修改的内容作为磋商文件的组成部分。澄清或者修改应当在原公告发布媒体上发布澄清公告。澄清或者修改的内容可能影响响应文件编制的，采购人、本中心应当在提交首次响应文件截止至少</w:t>
      </w:r>
      <w:r>
        <w:rPr>
          <w:rFonts w:hAnsi="宋体"/>
          <w:color w:val="auto"/>
          <w:highlight w:val="none"/>
        </w:rPr>
        <w:t>5</w:t>
      </w:r>
      <w:r>
        <w:rPr>
          <w:rFonts w:hint="eastAsia" w:hAnsi="宋体"/>
          <w:color w:val="auto"/>
          <w:highlight w:val="none"/>
        </w:rPr>
        <w:t>日前，以书面形式通知所有依法获取磋商文件的供应商，不足</w:t>
      </w:r>
      <w:r>
        <w:rPr>
          <w:rFonts w:hAnsi="宋体"/>
          <w:color w:val="auto"/>
          <w:highlight w:val="none"/>
        </w:rPr>
        <w:t>5</w:t>
      </w:r>
      <w:r>
        <w:rPr>
          <w:rFonts w:hint="eastAsia" w:hAnsi="宋体"/>
          <w:color w:val="auto"/>
          <w:highlight w:val="none"/>
        </w:rPr>
        <w:t>日的，采购人、本中心应当顺延提交首次响应文件截止之日。</w:t>
      </w:r>
    </w:p>
    <w:p>
      <w:pPr>
        <w:pStyle w:val="24"/>
        <w:snapToGrid w:val="0"/>
        <w:spacing w:line="406" w:lineRule="exact"/>
        <w:ind w:firstLine="420"/>
        <w:jc w:val="left"/>
        <w:rPr>
          <w:rFonts w:hAnsi="宋体"/>
          <w:color w:val="auto"/>
          <w:highlight w:val="none"/>
        </w:rPr>
      </w:pPr>
      <w:r>
        <w:rPr>
          <w:rFonts w:hint="eastAsia" w:hAnsi="宋体"/>
          <w:color w:val="auto"/>
          <w:highlight w:val="none"/>
        </w:rPr>
        <w:t>2</w:t>
      </w:r>
      <w:r>
        <w:rPr>
          <w:rFonts w:hAnsi="宋体"/>
          <w:color w:val="auto"/>
          <w:highlight w:val="none"/>
        </w:rPr>
        <w:t>.</w:t>
      </w:r>
      <w:r>
        <w:rPr>
          <w:rFonts w:hint="eastAsia" w:hAnsi="宋体"/>
          <w:color w:val="auto"/>
          <w:highlight w:val="none"/>
        </w:rPr>
        <w:t>提供期限届满后，获取磋商文件的供应商不足3家的，本中心可以顺延提供期限，并予公告。</w:t>
      </w:r>
    </w:p>
    <w:p>
      <w:pPr>
        <w:pStyle w:val="4"/>
        <w:spacing w:line="406" w:lineRule="exact"/>
        <w:rPr>
          <w:color w:val="auto"/>
          <w:highlight w:val="none"/>
        </w:rPr>
      </w:pPr>
      <w:bookmarkStart w:id="79" w:name="_三、响应文件"/>
      <w:bookmarkEnd w:id="79"/>
      <w:r>
        <w:rPr>
          <w:rFonts w:hint="eastAsia"/>
          <w:color w:val="auto"/>
          <w:highlight w:val="none"/>
        </w:rPr>
        <w:t>三、响应文件</w:t>
      </w:r>
    </w:p>
    <w:p>
      <w:pPr>
        <w:spacing w:line="406" w:lineRule="exact"/>
        <w:ind w:firstLine="211" w:firstLineChars="100"/>
        <w:rPr>
          <w:rFonts w:hAnsi="宋体"/>
          <w:b/>
          <w:bCs/>
          <w:color w:val="auto"/>
          <w:highlight w:val="none"/>
        </w:rPr>
      </w:pPr>
      <w:r>
        <w:rPr>
          <w:rFonts w:hint="eastAsia" w:hAnsi="宋体"/>
          <w:b/>
          <w:bCs/>
          <w:color w:val="auto"/>
          <w:highlight w:val="none"/>
        </w:rPr>
        <w:t>（一）供应商的风险</w:t>
      </w:r>
    </w:p>
    <w:p>
      <w:pPr>
        <w:spacing w:line="406" w:lineRule="exact"/>
        <w:ind w:firstLine="420"/>
        <w:rPr>
          <w:rFonts w:hAnsi="宋体"/>
          <w:color w:val="auto"/>
          <w:highlight w:val="none"/>
        </w:rPr>
      </w:pPr>
      <w:r>
        <w:rPr>
          <w:rFonts w:hAnsi="宋体"/>
          <w:color w:val="auto"/>
          <w:highlight w:val="none"/>
        </w:rPr>
        <w:t>1.</w:t>
      </w:r>
      <w:r>
        <w:rPr>
          <w:rFonts w:hint="eastAsia" w:hAnsi="宋体"/>
          <w:color w:val="auto"/>
          <w:highlight w:val="none"/>
        </w:rPr>
        <w:t>供应商应当按照磋商文件的要求编制响应文件，并对其提交的响应文件的真实性、合法性承担法律责任。</w:t>
      </w:r>
    </w:p>
    <w:p>
      <w:pPr>
        <w:spacing w:line="406" w:lineRule="exact"/>
        <w:ind w:firstLine="420"/>
        <w:rPr>
          <w:rFonts w:hAnsi="宋体"/>
          <w:color w:val="auto"/>
          <w:highlight w:val="none"/>
        </w:rPr>
      </w:pPr>
      <w:r>
        <w:rPr>
          <w:rFonts w:hAnsi="宋体"/>
          <w:color w:val="auto"/>
          <w:highlight w:val="none"/>
        </w:rPr>
        <w:t>2.</w:t>
      </w:r>
      <w:r>
        <w:rPr>
          <w:rFonts w:hint="eastAsia" w:hAnsi="宋体"/>
          <w:color w:val="auto"/>
          <w:highlight w:val="none"/>
        </w:rPr>
        <w:t>供应商在采购活动中提供任何虚假材料的，磋商小组将报财政部门查处。</w:t>
      </w:r>
    </w:p>
    <w:p>
      <w:pPr>
        <w:snapToGrid w:val="0"/>
        <w:spacing w:line="406" w:lineRule="exact"/>
        <w:ind w:firstLine="211" w:firstLineChars="100"/>
        <w:rPr>
          <w:rFonts w:ascii="宋体" w:hAnsi="宋体"/>
          <w:b/>
          <w:color w:val="auto"/>
          <w:szCs w:val="21"/>
          <w:highlight w:val="none"/>
        </w:rPr>
      </w:pPr>
      <w:r>
        <w:rPr>
          <w:rFonts w:hint="eastAsia" w:hAnsi="宋体"/>
          <w:b/>
          <w:bCs/>
          <w:color w:val="auto"/>
          <w:highlight w:val="none"/>
        </w:rPr>
        <w:t>（二）</w:t>
      </w:r>
      <w:r>
        <w:rPr>
          <w:rFonts w:hint="eastAsia" w:ascii="宋体" w:hAnsi="宋体"/>
          <w:b/>
          <w:color w:val="auto"/>
          <w:szCs w:val="21"/>
          <w:highlight w:val="none"/>
        </w:rPr>
        <w:t>响应文件的组成</w:t>
      </w:r>
    </w:p>
    <w:p>
      <w:pPr>
        <w:snapToGrid w:val="0"/>
        <w:spacing w:line="406" w:lineRule="exact"/>
        <w:ind w:firstLine="422"/>
        <w:rPr>
          <w:rFonts w:ascii="宋体" w:hAnsi="宋体"/>
          <w:b/>
          <w:color w:val="auto"/>
          <w:szCs w:val="21"/>
          <w:highlight w:val="none"/>
        </w:rPr>
      </w:pPr>
      <w:bookmarkStart w:id="80" w:name="_Hlk92285760"/>
      <w:r>
        <w:rPr>
          <w:rFonts w:ascii="宋体" w:hAnsi="宋体"/>
          <w:b/>
          <w:color w:val="auto"/>
          <w:szCs w:val="21"/>
          <w:highlight w:val="none"/>
        </w:rPr>
        <w:t>1.</w:t>
      </w:r>
      <w:r>
        <w:rPr>
          <w:rFonts w:hint="eastAsia" w:ascii="宋体" w:hAnsi="宋体"/>
          <w:b/>
          <w:color w:val="auto"/>
          <w:szCs w:val="21"/>
          <w:highlight w:val="none"/>
        </w:rPr>
        <w:t>资格文件：</w:t>
      </w:r>
    </w:p>
    <w:p>
      <w:pPr>
        <w:tabs>
          <w:tab w:val="left" w:pos="3870"/>
          <w:tab w:val="left" w:pos="4085"/>
        </w:tabs>
        <w:snapToGrid w:val="0"/>
        <w:spacing w:line="406" w:lineRule="exact"/>
        <w:ind w:firstLine="420"/>
        <w:rPr>
          <w:rFonts w:ascii="宋体" w:hAnsi="宋体"/>
          <w:color w:val="auto"/>
          <w:szCs w:val="21"/>
          <w:highlight w:val="none"/>
        </w:rPr>
      </w:pPr>
      <w:r>
        <w:rPr>
          <w:rFonts w:hint="eastAsia" w:ascii="宋体" w:hAnsi="宋体" w:cs="宋体"/>
          <w:bCs/>
          <w:color w:val="auto"/>
          <w:kern w:val="0"/>
          <w:szCs w:val="21"/>
          <w:highlight w:val="none"/>
        </w:rPr>
        <w:t>★</w:t>
      </w:r>
      <w:bookmarkStart w:id="81" w:name="_Hlk90369149"/>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法人</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负责人</w:t>
      </w:r>
      <w:r>
        <w:rPr>
          <w:rFonts w:hint="eastAsia" w:ascii="宋体" w:hAnsi="宋体"/>
          <w:color w:val="auto"/>
          <w:szCs w:val="21"/>
          <w:highlight w:val="none"/>
          <w:lang w:eastAsia="zh-CN"/>
        </w:rPr>
        <w:t>）</w:t>
      </w:r>
      <w:r>
        <w:rPr>
          <w:rFonts w:hint="eastAsia" w:ascii="宋体" w:hAnsi="宋体"/>
          <w:color w:val="auto"/>
          <w:szCs w:val="21"/>
          <w:highlight w:val="none"/>
        </w:rPr>
        <w:t>或者其他组织的营业执照等证明文件</w:t>
      </w:r>
    </w:p>
    <w:bookmarkEnd w:id="81"/>
    <w:p>
      <w:pPr>
        <w:tabs>
          <w:tab w:val="left" w:pos="3870"/>
          <w:tab w:val="left" w:pos="4085"/>
        </w:tabs>
        <w:snapToGrid w:val="0"/>
        <w:spacing w:line="406" w:lineRule="exact"/>
        <w:ind w:firstLine="420"/>
        <w:rPr>
          <w:rFonts w:ascii="宋体" w:hAnsi="宋体" w:cs="宋体"/>
          <w:color w:val="auto"/>
          <w:szCs w:val="21"/>
          <w:highlight w:val="none"/>
        </w:rPr>
      </w:pPr>
      <w:r>
        <w:rPr>
          <w:rFonts w:hint="eastAsia" w:ascii="宋体" w:hAnsi="宋体" w:cs="宋体"/>
          <w:bCs/>
          <w:color w:val="auto"/>
          <w:kern w:val="0"/>
          <w:szCs w:val="21"/>
          <w:highlight w:val="none"/>
        </w:rPr>
        <w:t>★(</w:t>
      </w:r>
      <w:r>
        <w:rPr>
          <w:rFonts w:ascii="宋体" w:hAnsi="宋体" w:cs="宋体"/>
          <w:bCs/>
          <w:color w:val="auto"/>
          <w:kern w:val="0"/>
          <w:szCs w:val="21"/>
          <w:highlight w:val="none"/>
        </w:rPr>
        <w:t>2)</w:t>
      </w:r>
      <w:r>
        <w:rPr>
          <w:rFonts w:hint="eastAsia" w:ascii="宋体" w:hAnsi="宋体"/>
          <w:color w:val="auto"/>
          <w:szCs w:val="21"/>
          <w:highlight w:val="none"/>
        </w:rPr>
        <w:t>供应商具备参加政府采购活动条件的承诺书</w:t>
      </w:r>
      <w:r>
        <w:rPr>
          <w:rFonts w:hint="eastAsia" w:ascii="宋体" w:hAnsi="宋体" w:cs="宋体"/>
          <w:color w:val="auto"/>
          <w:szCs w:val="21"/>
          <w:highlight w:val="none"/>
        </w:rPr>
        <w:t>(格式见第六章</w:t>
      </w:r>
      <w:r>
        <w:rPr>
          <w:rFonts w:ascii="宋体" w:hAnsi="宋体" w:cs="宋体"/>
          <w:color w:val="auto"/>
          <w:szCs w:val="21"/>
          <w:highlight w:val="none"/>
        </w:rPr>
        <w:t>）</w:t>
      </w:r>
    </w:p>
    <w:p>
      <w:pPr>
        <w:tabs>
          <w:tab w:val="left" w:pos="3870"/>
          <w:tab w:val="left" w:pos="4085"/>
        </w:tabs>
        <w:snapToGrid w:val="0"/>
        <w:spacing w:line="406" w:lineRule="exact"/>
        <w:ind w:firstLine="420"/>
        <w:rPr>
          <w:rFonts w:hAnsi="宋体"/>
          <w:color w:val="auto"/>
          <w:spacing w:val="-4"/>
          <w:highlight w:val="none"/>
        </w:rPr>
      </w:pPr>
      <w:r>
        <w:rPr>
          <w:rFonts w:hint="eastAsia" w:ascii="宋体" w:hAnsi="宋体" w:cs="宋体"/>
          <w:bCs/>
          <w:color w:val="auto"/>
          <w:kern w:val="0"/>
          <w:szCs w:val="21"/>
          <w:highlight w:val="none"/>
        </w:rPr>
        <w:t>★(</w:t>
      </w:r>
      <w:r>
        <w:rPr>
          <w:rFonts w:ascii="宋体" w:hAnsi="宋体" w:cs="宋体"/>
          <w:bCs/>
          <w:color w:val="auto"/>
          <w:kern w:val="0"/>
          <w:szCs w:val="21"/>
          <w:highlight w:val="none"/>
        </w:rPr>
        <w:t>3)</w:t>
      </w:r>
      <w:r>
        <w:rPr>
          <w:rFonts w:hint="eastAsia" w:hAnsi="宋体"/>
          <w:color w:val="auto"/>
          <w:spacing w:val="-4"/>
          <w:highlight w:val="none"/>
        </w:rPr>
        <w:t>参加政府采购活动前3年内在经营活动中没有重大违法记录的书面声明</w:t>
      </w:r>
      <w:bookmarkStart w:id="82" w:name="_Hlk108683109"/>
      <w:r>
        <w:rPr>
          <w:rFonts w:hint="eastAsia" w:hAnsi="宋体"/>
          <w:color w:val="auto"/>
          <w:spacing w:val="-4"/>
          <w:highlight w:val="none"/>
        </w:rPr>
        <w:t>(格式见第六章)</w:t>
      </w:r>
      <w:bookmarkEnd w:id="82"/>
    </w:p>
    <w:p>
      <w:pPr>
        <w:snapToGrid w:val="0"/>
        <w:spacing w:line="406" w:lineRule="exact"/>
        <w:ind w:firstLine="422"/>
        <w:rPr>
          <w:rFonts w:ascii="宋体" w:hAnsi="宋体"/>
          <w:b/>
          <w:color w:val="auto"/>
          <w:szCs w:val="21"/>
          <w:highlight w:val="none"/>
        </w:rPr>
      </w:pPr>
      <w:r>
        <w:rPr>
          <w:rFonts w:ascii="宋体" w:hAnsi="宋体"/>
          <w:b/>
          <w:color w:val="auto"/>
          <w:szCs w:val="21"/>
          <w:highlight w:val="none"/>
        </w:rPr>
        <w:t>2.</w:t>
      </w:r>
      <w:r>
        <w:rPr>
          <w:rFonts w:hint="eastAsia" w:ascii="宋体" w:hAnsi="宋体"/>
          <w:b/>
          <w:color w:val="auto"/>
          <w:szCs w:val="21"/>
          <w:highlight w:val="none"/>
        </w:rPr>
        <w:t>商务技术文件：</w:t>
      </w:r>
    </w:p>
    <w:p>
      <w:pPr>
        <w:snapToGrid w:val="0"/>
        <w:spacing w:line="406" w:lineRule="exact"/>
        <w:ind w:firstLine="420" w:firstLineChars="200"/>
        <w:rPr>
          <w:rFonts w:ascii="宋体" w:hAnsi="宋体"/>
          <w:color w:val="auto"/>
          <w:szCs w:val="21"/>
          <w:highlight w:val="none"/>
        </w:rPr>
      </w:pPr>
      <w:r>
        <w:rPr>
          <w:rFonts w:hint="eastAsia" w:ascii="宋体" w:hAnsi="宋体" w:cs="宋体"/>
          <w:bCs/>
          <w:color w:val="auto"/>
          <w:kern w:val="0"/>
          <w:szCs w:val="21"/>
          <w:highlight w:val="none"/>
        </w:rPr>
        <w:t>★</w:t>
      </w:r>
      <w:r>
        <w:rPr>
          <w:rFonts w:hint="eastAsia" w:ascii="宋体" w:hAnsi="宋体"/>
          <w:color w:val="auto"/>
          <w:szCs w:val="21"/>
          <w:highlight w:val="none"/>
        </w:rPr>
        <w:t>(1</w:t>
      </w:r>
      <w:r>
        <w:rPr>
          <w:rFonts w:ascii="宋体" w:hAnsi="宋体"/>
          <w:color w:val="auto"/>
          <w:szCs w:val="21"/>
          <w:highlight w:val="none"/>
        </w:rPr>
        <w:t>)</w:t>
      </w:r>
      <w:r>
        <w:rPr>
          <w:rFonts w:hint="eastAsia" w:ascii="宋体" w:hAnsi="宋体"/>
          <w:color w:val="auto"/>
          <w:szCs w:val="21"/>
          <w:highlight w:val="none"/>
        </w:rPr>
        <w:t>磋商函（格式见第六章）</w:t>
      </w:r>
    </w:p>
    <w:p>
      <w:pPr>
        <w:tabs>
          <w:tab w:val="left" w:pos="3870"/>
          <w:tab w:val="left" w:pos="4085"/>
        </w:tabs>
        <w:snapToGrid w:val="0"/>
        <w:spacing w:line="406" w:lineRule="exact"/>
        <w:ind w:firstLine="420" w:firstLineChars="200"/>
        <w:rPr>
          <w:rFonts w:ascii="宋体" w:hAnsi="宋体"/>
          <w:color w:val="auto"/>
          <w:szCs w:val="21"/>
          <w:highlight w:val="none"/>
        </w:rPr>
      </w:pPr>
      <w:r>
        <w:rPr>
          <w:rFonts w:hint="eastAsia" w:ascii="宋体" w:hAnsi="宋体" w:cs="宋体"/>
          <w:bCs/>
          <w:color w:val="auto"/>
          <w:kern w:val="0"/>
          <w:szCs w:val="21"/>
          <w:highlight w:val="none"/>
        </w:rPr>
        <w:t>★</w:t>
      </w:r>
      <w:r>
        <w:rPr>
          <w:rFonts w:hint="eastAsia" w:ascii="宋体" w:hAnsi="宋体"/>
          <w:color w:val="auto"/>
          <w:szCs w:val="21"/>
          <w:highlight w:val="none"/>
        </w:rPr>
        <w:t>(2</w:t>
      </w:r>
      <w:r>
        <w:rPr>
          <w:rFonts w:ascii="宋体" w:hAnsi="宋体"/>
          <w:color w:val="auto"/>
          <w:szCs w:val="21"/>
          <w:highlight w:val="none"/>
        </w:rPr>
        <w:t>)</w:t>
      </w:r>
      <w:r>
        <w:rPr>
          <w:rFonts w:hint="eastAsia" w:ascii="宋体" w:hAnsi="宋体"/>
          <w:color w:val="auto"/>
          <w:szCs w:val="21"/>
          <w:highlight w:val="none"/>
        </w:rPr>
        <w:t>法定代表人</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负责人</w:t>
      </w:r>
      <w:r>
        <w:rPr>
          <w:rFonts w:hint="eastAsia" w:ascii="宋体" w:hAnsi="宋体"/>
          <w:color w:val="auto"/>
          <w:szCs w:val="21"/>
          <w:highlight w:val="none"/>
          <w:lang w:eastAsia="zh-CN"/>
        </w:rPr>
        <w:t>）</w:t>
      </w:r>
      <w:r>
        <w:rPr>
          <w:rFonts w:hint="eastAsia" w:ascii="宋体" w:hAnsi="宋体"/>
          <w:color w:val="auto"/>
          <w:szCs w:val="21"/>
          <w:highlight w:val="none"/>
        </w:rPr>
        <w:t>身份证</w:t>
      </w:r>
    </w:p>
    <w:p>
      <w:pPr>
        <w:tabs>
          <w:tab w:val="left" w:pos="3870"/>
          <w:tab w:val="left" w:pos="4085"/>
        </w:tabs>
        <w:snapToGrid w:val="0"/>
        <w:spacing w:line="406" w:lineRule="exact"/>
        <w:ind w:firstLine="420" w:firstLineChars="200"/>
        <w:rPr>
          <w:rFonts w:ascii="宋体" w:hAnsi="宋体"/>
          <w:color w:val="auto"/>
          <w:szCs w:val="21"/>
          <w:highlight w:val="none"/>
        </w:rPr>
      </w:pPr>
      <w:r>
        <w:rPr>
          <w:rFonts w:hint="eastAsia" w:ascii="宋体" w:hAnsi="宋体"/>
          <w:color w:val="auto"/>
          <w:szCs w:val="21"/>
          <w:highlight w:val="none"/>
        </w:rPr>
        <w:t>★(3</w:t>
      </w:r>
      <w:r>
        <w:rPr>
          <w:rFonts w:ascii="宋体" w:hAnsi="宋体"/>
          <w:color w:val="auto"/>
          <w:szCs w:val="21"/>
          <w:highlight w:val="none"/>
        </w:rPr>
        <w:t>)</w:t>
      </w:r>
      <w:r>
        <w:rPr>
          <w:rFonts w:hint="eastAsia" w:ascii="宋体" w:hAnsi="宋体"/>
          <w:color w:val="auto"/>
          <w:szCs w:val="21"/>
          <w:highlight w:val="none"/>
        </w:rPr>
        <w:t>法定代表人</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负责人</w:t>
      </w:r>
      <w:r>
        <w:rPr>
          <w:rFonts w:hint="eastAsia" w:ascii="宋体" w:hAnsi="宋体"/>
          <w:color w:val="auto"/>
          <w:szCs w:val="21"/>
          <w:highlight w:val="none"/>
          <w:lang w:eastAsia="zh-CN"/>
        </w:rPr>
        <w:t>）</w:t>
      </w:r>
      <w:r>
        <w:rPr>
          <w:rFonts w:hint="eastAsia" w:ascii="宋体" w:hAnsi="宋体"/>
          <w:color w:val="auto"/>
          <w:szCs w:val="21"/>
          <w:highlight w:val="none"/>
        </w:rPr>
        <w:t>授权委托书和代理人身份证（委托代理时必须提供，格式见第六章）</w:t>
      </w:r>
    </w:p>
    <w:p>
      <w:pPr>
        <w:snapToGrid w:val="0"/>
        <w:spacing w:line="406" w:lineRule="exact"/>
        <w:ind w:firstLine="422" w:firstLineChars="200"/>
        <w:rPr>
          <w:rFonts w:ascii="宋体" w:hAnsi="宋体"/>
          <w:color w:val="auto"/>
          <w:szCs w:val="21"/>
          <w:highlight w:val="none"/>
        </w:rPr>
      </w:pPr>
      <w:r>
        <w:rPr>
          <w:rFonts w:hint="eastAsia" w:ascii="宋体" w:hAnsi="宋体"/>
          <w:b/>
          <w:color w:val="auto"/>
          <w:szCs w:val="21"/>
          <w:highlight w:val="none"/>
        </w:rPr>
        <w:t>★</w:t>
      </w:r>
      <w:r>
        <w:rPr>
          <w:rFonts w:hint="eastAsia" w:ascii="宋体" w:hAnsi="宋体"/>
          <w:color w:val="auto"/>
          <w:szCs w:val="21"/>
          <w:highlight w:val="none"/>
        </w:rPr>
        <w:t>(4</w:t>
      </w:r>
      <w:r>
        <w:rPr>
          <w:rFonts w:ascii="宋体" w:hAnsi="宋体"/>
          <w:color w:val="auto"/>
          <w:szCs w:val="21"/>
          <w:highlight w:val="none"/>
        </w:rPr>
        <w:t>)</w:t>
      </w:r>
      <w:r>
        <w:rPr>
          <w:rFonts w:ascii="宋体" w:hAnsi="宋体"/>
          <w:color w:val="auto"/>
          <w:highlight w:val="none"/>
        </w:rPr>
        <w:t>商务响应表(格式见第六章)</w:t>
      </w:r>
    </w:p>
    <w:p>
      <w:pPr>
        <w:snapToGrid w:val="0"/>
        <w:spacing w:line="406" w:lineRule="exact"/>
        <w:ind w:firstLine="422" w:firstLineChars="200"/>
        <w:rPr>
          <w:rFonts w:ascii="宋体" w:hAnsi="宋体"/>
          <w:color w:val="auto"/>
          <w:highlight w:val="none"/>
        </w:rPr>
      </w:pPr>
      <w:r>
        <w:rPr>
          <w:rFonts w:hint="eastAsia" w:ascii="宋体" w:hAnsi="宋体"/>
          <w:b/>
          <w:color w:val="auto"/>
          <w:szCs w:val="21"/>
          <w:highlight w:val="none"/>
        </w:rPr>
        <w:t>★</w:t>
      </w:r>
      <w:r>
        <w:rPr>
          <w:rFonts w:hint="eastAsia" w:ascii="宋体" w:hAnsi="宋体"/>
          <w:color w:val="auto"/>
          <w:highlight w:val="none"/>
        </w:rPr>
        <w:t>(5</w:t>
      </w:r>
      <w:r>
        <w:rPr>
          <w:rFonts w:ascii="宋体" w:hAnsi="宋体"/>
          <w:color w:val="auto"/>
          <w:highlight w:val="none"/>
        </w:rPr>
        <w:t>)</w:t>
      </w:r>
      <w:r>
        <w:rPr>
          <w:rFonts w:hint="eastAsia" w:ascii="宋体" w:hAnsi="宋体"/>
          <w:color w:val="auto"/>
          <w:szCs w:val="21"/>
          <w:highlight w:val="none"/>
        </w:rPr>
        <w:t>技术响应表</w:t>
      </w:r>
      <w:bookmarkStart w:id="83" w:name="_Hlk92285954"/>
      <w:r>
        <w:rPr>
          <w:rFonts w:ascii="宋体" w:hAnsi="宋体"/>
          <w:color w:val="auto"/>
          <w:highlight w:val="none"/>
        </w:rPr>
        <w:t>(格式见第六章)</w:t>
      </w:r>
      <w:bookmarkEnd w:id="83"/>
    </w:p>
    <w:p>
      <w:pPr>
        <w:snapToGrid w:val="0"/>
        <w:spacing w:line="406" w:lineRule="exact"/>
        <w:ind w:firstLine="630" w:firstLineChars="300"/>
        <w:rPr>
          <w:rFonts w:ascii="宋体" w:hAnsi="宋体"/>
          <w:color w:val="auto"/>
          <w:szCs w:val="21"/>
          <w:highlight w:val="none"/>
        </w:rPr>
      </w:pPr>
      <w:r>
        <w:rPr>
          <w:rFonts w:hint="eastAsia" w:ascii="宋体" w:hAnsi="宋体"/>
          <w:color w:val="auto"/>
          <w:szCs w:val="21"/>
          <w:highlight w:val="none"/>
        </w:rPr>
        <w:t>(6)</w:t>
      </w:r>
      <w:r>
        <w:rPr>
          <w:rFonts w:hint="eastAsia" w:ascii="宋体" w:hAnsi="宋体"/>
          <w:color w:val="auto"/>
          <w:szCs w:val="21"/>
          <w:highlight w:val="none"/>
          <w:lang w:val="en-US" w:eastAsia="zh-CN"/>
        </w:rPr>
        <w:t>服务</w:t>
      </w:r>
      <w:r>
        <w:rPr>
          <w:rFonts w:hint="eastAsia" w:ascii="宋体" w:hAnsi="宋体"/>
          <w:color w:val="auto"/>
          <w:szCs w:val="21"/>
          <w:highlight w:val="none"/>
        </w:rPr>
        <w:t>方案（格式自拟）</w:t>
      </w:r>
    </w:p>
    <w:p>
      <w:pPr>
        <w:snapToGrid w:val="0"/>
        <w:spacing w:line="406" w:lineRule="exact"/>
        <w:ind w:firstLine="630" w:firstLineChars="300"/>
        <w:rPr>
          <w:rFonts w:ascii="宋体" w:hAnsi="宋体"/>
          <w:color w:val="auto"/>
          <w:szCs w:val="21"/>
          <w:highlight w:val="none"/>
        </w:rPr>
      </w:pPr>
      <w:r>
        <w:rPr>
          <w:rFonts w:hint="eastAsia" w:ascii="宋体" w:hAnsi="宋体"/>
          <w:color w:val="auto"/>
          <w:szCs w:val="21"/>
          <w:highlight w:val="none"/>
        </w:rPr>
        <w:t>(7)项目实施人员一览表</w:t>
      </w:r>
      <w:r>
        <w:rPr>
          <w:rFonts w:ascii="宋体" w:hAnsi="宋体"/>
          <w:color w:val="auto"/>
          <w:highlight w:val="none"/>
        </w:rPr>
        <w:t>(格式见第六章)</w:t>
      </w:r>
    </w:p>
    <w:p>
      <w:pPr>
        <w:snapToGrid w:val="0"/>
        <w:spacing w:line="406" w:lineRule="exact"/>
        <w:ind w:firstLine="630" w:firstLineChars="300"/>
        <w:rPr>
          <w:color w:val="auto"/>
          <w:highlight w:val="none"/>
        </w:rPr>
      </w:pPr>
      <w:r>
        <w:rPr>
          <w:rFonts w:hint="eastAsia" w:ascii="宋体" w:hAnsi="宋体"/>
          <w:color w:val="auto"/>
          <w:szCs w:val="21"/>
          <w:highlight w:val="none"/>
        </w:rPr>
        <w:t>(8)供应商认为有必要提</w:t>
      </w:r>
      <w:r>
        <w:rPr>
          <w:rFonts w:hint="eastAsia" w:ascii="宋体" w:hAnsi="宋体"/>
          <w:bCs/>
          <w:color w:val="auto"/>
          <w:szCs w:val="21"/>
          <w:highlight w:val="none"/>
        </w:rPr>
        <w:t>供的声明或材料</w:t>
      </w:r>
    </w:p>
    <w:p>
      <w:pPr>
        <w:snapToGrid w:val="0"/>
        <w:spacing w:line="406" w:lineRule="exact"/>
        <w:ind w:firstLine="422"/>
        <w:rPr>
          <w:rFonts w:ascii="宋体" w:hAnsi="宋体"/>
          <w:b/>
          <w:color w:val="auto"/>
          <w:szCs w:val="21"/>
          <w:highlight w:val="none"/>
        </w:rPr>
      </w:pPr>
      <w:r>
        <w:rPr>
          <w:rFonts w:ascii="宋体" w:hAnsi="宋体"/>
          <w:b/>
          <w:color w:val="auto"/>
          <w:szCs w:val="21"/>
          <w:highlight w:val="none"/>
        </w:rPr>
        <w:t>3.</w:t>
      </w:r>
      <w:r>
        <w:rPr>
          <w:rFonts w:hint="eastAsia" w:ascii="宋体" w:hAnsi="宋体"/>
          <w:b/>
          <w:color w:val="auto"/>
          <w:szCs w:val="21"/>
          <w:highlight w:val="none"/>
        </w:rPr>
        <w:t>报价文件</w:t>
      </w:r>
    </w:p>
    <w:p>
      <w:pPr>
        <w:snapToGrid w:val="0"/>
        <w:spacing w:line="406" w:lineRule="exact"/>
        <w:ind w:firstLine="420" w:firstLineChars="200"/>
        <w:rPr>
          <w:rFonts w:ascii="宋体" w:hAnsi="宋体"/>
          <w:bCs/>
          <w:color w:val="auto"/>
          <w:szCs w:val="21"/>
          <w:highlight w:val="none"/>
        </w:rPr>
      </w:pPr>
      <w:bookmarkStart w:id="84" w:name="_Hlk92265738"/>
      <w:r>
        <w:rPr>
          <w:rFonts w:hint="eastAsia" w:ascii="宋体" w:hAnsi="宋体"/>
          <w:bCs/>
          <w:color w:val="auto"/>
          <w:szCs w:val="21"/>
          <w:highlight w:val="none"/>
        </w:rPr>
        <w:t>★报价明细表</w:t>
      </w:r>
      <w:bookmarkEnd w:id="84"/>
      <w:r>
        <w:rPr>
          <w:rFonts w:hint="eastAsia" w:ascii="宋体" w:hAnsi="宋体"/>
          <w:bCs/>
          <w:color w:val="auto"/>
          <w:szCs w:val="21"/>
          <w:highlight w:val="none"/>
        </w:rPr>
        <w:t>(格式见第六章)。</w:t>
      </w:r>
    </w:p>
    <w:bookmarkEnd w:id="80"/>
    <w:p>
      <w:pPr>
        <w:snapToGrid w:val="0"/>
        <w:spacing w:line="406" w:lineRule="exact"/>
        <w:ind w:firstLine="422"/>
        <w:rPr>
          <w:rFonts w:ascii="宋体" w:hAnsi="宋体"/>
          <w:color w:val="auto"/>
          <w:szCs w:val="21"/>
          <w:highlight w:val="none"/>
        </w:rPr>
      </w:pPr>
      <w:r>
        <w:rPr>
          <w:rFonts w:hint="eastAsia" w:ascii="宋体" w:hAnsi="宋体"/>
          <w:color w:val="auto"/>
          <w:szCs w:val="21"/>
          <w:highlight w:val="none"/>
        </w:rPr>
        <w:t>注：①标注★号的材料均为必须提供的材料须由供应商加盖公章，授权委托书必须由法定代表人签名，否则视为无效响应文件。</w:t>
      </w:r>
    </w:p>
    <w:p>
      <w:pPr>
        <w:spacing w:line="406" w:lineRule="exact"/>
        <w:ind w:firstLine="420" w:firstLineChars="200"/>
        <w:rPr>
          <w:rFonts w:ascii="宋体" w:hAnsi="宋体" w:cs="Courier New"/>
          <w:color w:val="auto"/>
          <w:szCs w:val="21"/>
          <w:highlight w:val="none"/>
        </w:rPr>
      </w:pPr>
      <w:bookmarkStart w:id="85" w:name="_Hlk90906323"/>
      <w:r>
        <w:rPr>
          <w:rFonts w:hint="eastAsia" w:ascii="宋体" w:hAnsi="宋体"/>
          <w:color w:val="auto"/>
          <w:szCs w:val="21"/>
          <w:highlight w:val="none"/>
        </w:rPr>
        <w:t>②</w:t>
      </w:r>
      <w:bookmarkStart w:id="86" w:name="_Hlk111726335"/>
      <w:r>
        <w:rPr>
          <w:rFonts w:hint="eastAsia" w:ascii="宋体" w:hAnsi="宋体" w:cs="Courier New"/>
          <w:color w:val="auto"/>
          <w:szCs w:val="21"/>
          <w:highlight w:val="none"/>
        </w:rPr>
        <w:t>供应商按《关于政府采购支持监狱企业发展有关问题的通知》(财库〔2014﹞68号)认定为监狱企业的，在政府采购活动中，监狱企业视同小型、微型企业。监狱企业参加政府采购活动时，应当提供由省级以上监狱管理局、戒毒管理局(含新疆生产建设兵团)出具的属于监狱企业的证明文件。供应商按《关于促进残疾人就业政府采购政策的通知》(财库〔2017〕141号)认定为残疾人福利性单位的，在政府采购活动中，残疾人福利性单位视同小型、微型企业。残疾人福利性单位参加政府采购活动时，应当提供该通知规定的《残疾人福利性单位声明函》（格式见第六章），并对声明的真实性负责。</w:t>
      </w:r>
      <w:bookmarkEnd w:id="86"/>
    </w:p>
    <w:p>
      <w:pPr>
        <w:spacing w:line="406" w:lineRule="exact"/>
        <w:ind w:firstLine="211" w:firstLineChars="100"/>
        <w:rPr>
          <w:rFonts w:ascii="宋体" w:hAnsi="宋体"/>
          <w:b/>
          <w:bCs/>
          <w:color w:val="auto"/>
          <w:szCs w:val="21"/>
          <w:highlight w:val="none"/>
        </w:rPr>
      </w:pPr>
      <w:r>
        <w:rPr>
          <w:rFonts w:hint="eastAsia" w:ascii="宋体" w:hAnsi="宋体"/>
          <w:b/>
          <w:color w:val="auto"/>
          <w:szCs w:val="21"/>
          <w:highlight w:val="none"/>
        </w:rPr>
        <w:t>（三）</w:t>
      </w:r>
      <w:bookmarkStart w:id="87" w:name="_Toc254970678"/>
      <w:bookmarkStart w:id="88" w:name="_Toc352700422"/>
      <w:bookmarkStart w:id="89" w:name="_Toc353785292"/>
      <w:bookmarkStart w:id="90" w:name="_Toc254970537"/>
      <w:r>
        <w:rPr>
          <w:rFonts w:hint="eastAsia" w:ascii="宋体" w:hAnsi="宋体"/>
          <w:b/>
          <w:bCs/>
          <w:color w:val="auto"/>
          <w:szCs w:val="21"/>
          <w:highlight w:val="none"/>
        </w:rPr>
        <w:t>响应文件的编制、签署及加密</w:t>
      </w:r>
    </w:p>
    <w:p>
      <w:pPr>
        <w:spacing w:line="406" w:lineRule="exact"/>
        <w:ind w:firstLine="42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供应商应认真阅读、并充分理解采购文件的全部内容(包括所有的补充、修改内容)，承诺履行其各项条款的规定并按要求编制，响应文件应为电子文件或扫描件(样品除外)。</w:t>
      </w:r>
    </w:p>
    <w:p>
      <w:pPr>
        <w:spacing w:line="406" w:lineRule="exact"/>
        <w:ind w:firstLine="420"/>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供应商应通过政采云投标客户端编制加密响应文件。</w:t>
      </w:r>
    </w:p>
    <w:p>
      <w:pPr>
        <w:spacing w:line="406" w:lineRule="exact"/>
        <w:ind w:firstLine="420"/>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响应文件由资格文件、商务技术文件和报价文件组成，供应商应按规定的顺序编制并标注页码、准确设置评审关联点，未设置或未正确设置关联点而导致响应文件被误读、漏读或者查找不到相关响应内容的责任和后果由供应商承担。</w:t>
      </w:r>
    </w:p>
    <w:p>
      <w:pPr>
        <w:spacing w:line="406" w:lineRule="exact"/>
        <w:rPr>
          <w:rFonts w:ascii="宋体" w:hAnsi="宋体"/>
          <w:b/>
          <w:bCs/>
          <w:color w:val="auto"/>
          <w:szCs w:val="21"/>
          <w:highlight w:val="none"/>
        </w:rPr>
      </w:pPr>
      <w:r>
        <w:rPr>
          <w:rFonts w:ascii="宋体" w:hAnsi="宋体"/>
          <w:color w:val="auto"/>
          <w:szCs w:val="21"/>
          <w:highlight w:val="none"/>
        </w:rPr>
        <w:tab/>
      </w:r>
      <w:r>
        <w:rPr>
          <w:rFonts w:ascii="宋体" w:hAnsi="宋体"/>
          <w:b/>
          <w:bCs/>
          <w:color w:val="auto"/>
          <w:szCs w:val="21"/>
          <w:highlight w:val="none"/>
        </w:rPr>
        <w:t>4.</w:t>
      </w:r>
      <w:r>
        <w:rPr>
          <w:rFonts w:hint="eastAsia" w:ascii="宋体" w:hAnsi="宋体"/>
          <w:b/>
          <w:bCs/>
          <w:color w:val="auto"/>
          <w:szCs w:val="21"/>
          <w:highlight w:val="none"/>
        </w:rPr>
        <w:t>响应文件由供应商在规定位置由法定代表人</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负责人</w:t>
      </w:r>
      <w:r>
        <w:rPr>
          <w:rFonts w:hint="eastAsia" w:ascii="宋体" w:hAnsi="宋体"/>
          <w:color w:val="auto"/>
          <w:szCs w:val="21"/>
          <w:highlight w:val="none"/>
          <w:lang w:eastAsia="zh-CN"/>
        </w:rPr>
        <w:t>）</w:t>
      </w:r>
      <w:r>
        <w:rPr>
          <w:rFonts w:hint="eastAsia" w:ascii="宋体" w:hAnsi="宋体"/>
          <w:b/>
          <w:bCs/>
          <w:color w:val="auto"/>
          <w:szCs w:val="21"/>
          <w:highlight w:val="none"/>
        </w:rPr>
        <w:t>或授权委托人签名（可为电子签名）、填写供应商名称并加盖公章(简称“盖章”，可为电子公章)，供应商名称应写全称。</w:t>
      </w:r>
    </w:p>
    <w:p>
      <w:pPr>
        <w:snapToGrid w:val="0"/>
        <w:spacing w:line="406" w:lineRule="exact"/>
        <w:ind w:firstLine="210" w:firstLineChars="100"/>
        <w:rPr>
          <w:rFonts w:ascii="宋体" w:hAnsi="宋体"/>
          <w:b/>
          <w:bCs/>
          <w:color w:val="auto"/>
          <w:szCs w:val="21"/>
          <w:highlight w:val="none"/>
        </w:rPr>
      </w:pPr>
      <w:r>
        <w:rPr>
          <w:rFonts w:ascii="宋体" w:hAnsi="宋体"/>
          <w:color w:val="auto"/>
          <w:szCs w:val="21"/>
          <w:highlight w:val="none"/>
        </w:rPr>
        <w:tab/>
      </w:r>
      <w:r>
        <w:rPr>
          <w:rFonts w:ascii="宋体" w:hAnsi="宋体"/>
          <w:color w:val="auto"/>
          <w:szCs w:val="21"/>
          <w:highlight w:val="none"/>
        </w:rPr>
        <w:t>5.</w:t>
      </w:r>
      <w:r>
        <w:rPr>
          <w:rFonts w:hint="eastAsia" w:ascii="宋体" w:hAnsi="宋体"/>
          <w:color w:val="auto"/>
          <w:szCs w:val="21"/>
          <w:highlight w:val="none"/>
        </w:rPr>
        <w:t>响应文件内容不完整、编排混乱、不清晰等原因导致被误读或漏读的责任和后果由供应商承担。</w:t>
      </w:r>
    </w:p>
    <w:bookmarkEnd w:id="85"/>
    <w:p>
      <w:pPr>
        <w:spacing w:line="406" w:lineRule="exact"/>
        <w:ind w:firstLine="211" w:firstLineChars="100"/>
        <w:rPr>
          <w:color w:val="auto"/>
          <w:highlight w:val="none"/>
        </w:rPr>
      </w:pPr>
      <w:r>
        <w:rPr>
          <w:rFonts w:hint="eastAsia"/>
          <w:b/>
          <w:bCs/>
          <w:color w:val="auto"/>
          <w:highlight w:val="none"/>
        </w:rPr>
        <w:t>（四）响应文件的语言及计量</w:t>
      </w:r>
      <w:bookmarkEnd w:id="87"/>
      <w:bookmarkEnd w:id="88"/>
      <w:bookmarkEnd w:id="89"/>
      <w:bookmarkEnd w:id="90"/>
    </w:p>
    <w:p>
      <w:pPr>
        <w:snapToGrid w:val="0"/>
        <w:spacing w:line="406" w:lineRule="exact"/>
        <w:ind w:firstLine="42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响应文件以及供应商与采购人、本中心就有关事宜的所有来往函电，均应以中文汉语书写。除签名、盖章、专用名称等特殊情形外，以中文汉语以外的文字表述的视为无效文件。</w:t>
      </w:r>
    </w:p>
    <w:p>
      <w:pPr>
        <w:snapToGrid w:val="0"/>
        <w:spacing w:line="406" w:lineRule="exact"/>
        <w:ind w:firstLine="420"/>
        <w:rPr>
          <w:rFonts w:ascii="宋体" w:hAnsi="宋体"/>
          <w:color w:val="auto"/>
          <w:szCs w:val="21"/>
          <w:highlight w:val="none"/>
        </w:rPr>
      </w:pPr>
      <w:r>
        <w:rPr>
          <w:rFonts w:ascii="宋体" w:hAnsi="宋体"/>
          <w:color w:val="auto"/>
          <w:szCs w:val="21"/>
          <w:highlight w:val="none"/>
        </w:rPr>
        <w:t>2.响应</w:t>
      </w:r>
      <w:r>
        <w:rPr>
          <w:rFonts w:hint="eastAsia" w:ascii="宋体" w:hAnsi="宋体"/>
          <w:color w:val="auto"/>
          <w:szCs w:val="21"/>
          <w:highlight w:val="none"/>
        </w:rPr>
        <w:t>文件的计量单位，采购文件已有明确规定的，使用采购文件规定的计量单位；采购文件没有规定的，应采用中华人民共和国法定计量单位（货币单位：人民币元），否则视为无效响应文件。</w:t>
      </w:r>
    </w:p>
    <w:p>
      <w:pPr>
        <w:pStyle w:val="4"/>
        <w:spacing w:before="0" w:after="0" w:line="406" w:lineRule="exact"/>
        <w:ind w:firstLine="211" w:firstLineChars="100"/>
        <w:rPr>
          <w:rFonts w:ascii="宋体" w:hAnsi="宋体" w:eastAsia="宋体"/>
          <w:color w:val="auto"/>
          <w:sz w:val="21"/>
          <w:szCs w:val="21"/>
          <w:highlight w:val="none"/>
        </w:rPr>
      </w:pPr>
      <w:bookmarkStart w:id="91" w:name="_（五）报价"/>
      <w:bookmarkEnd w:id="91"/>
      <w:bookmarkStart w:id="92" w:name="_Toc254970679"/>
      <w:bookmarkStart w:id="93" w:name="_Toc353785293"/>
      <w:bookmarkStart w:id="94" w:name="_Toc352700423"/>
      <w:bookmarkStart w:id="95" w:name="_Toc254970538"/>
      <w:r>
        <w:rPr>
          <w:rFonts w:hint="eastAsia" w:ascii="宋体" w:hAnsi="宋体" w:eastAsia="宋体"/>
          <w:color w:val="auto"/>
          <w:sz w:val="21"/>
          <w:szCs w:val="21"/>
          <w:highlight w:val="none"/>
        </w:rPr>
        <w:t>（五）报价</w:t>
      </w:r>
      <w:bookmarkEnd w:id="92"/>
      <w:bookmarkEnd w:id="93"/>
      <w:bookmarkEnd w:id="94"/>
      <w:bookmarkEnd w:id="95"/>
    </w:p>
    <w:p>
      <w:pPr>
        <w:pStyle w:val="24"/>
        <w:snapToGrid w:val="0"/>
        <w:spacing w:line="406" w:lineRule="exact"/>
        <w:ind w:firstLine="420"/>
        <w:rPr>
          <w:rFonts w:hAnsi="宋体"/>
          <w:color w:val="auto"/>
          <w:highlight w:val="none"/>
        </w:rPr>
      </w:pPr>
      <w:r>
        <w:rPr>
          <w:rFonts w:hAnsi="宋体"/>
          <w:color w:val="auto"/>
          <w:highlight w:val="none"/>
        </w:rPr>
        <w:t>1.</w:t>
      </w:r>
      <w:r>
        <w:rPr>
          <w:rFonts w:hint="eastAsia" w:hAnsi="宋体"/>
          <w:color w:val="auto"/>
          <w:highlight w:val="none"/>
        </w:rPr>
        <w:t>采购文件中未列明，而供应商认为必需的费用也须列入总报价。在合同实施时，采购人将不予支付成交供应商没有列入总报价的项目费用，并认为此项费用已包含在总报价中。</w:t>
      </w:r>
    </w:p>
    <w:p>
      <w:pPr>
        <w:pStyle w:val="24"/>
        <w:snapToGrid w:val="0"/>
        <w:spacing w:line="406" w:lineRule="exact"/>
        <w:ind w:firstLine="420"/>
        <w:rPr>
          <w:color w:val="auto"/>
          <w:highlight w:val="none"/>
        </w:rPr>
      </w:pPr>
      <w:r>
        <w:rPr>
          <w:rFonts w:hAnsi="宋体"/>
          <w:color w:val="auto"/>
          <w:highlight w:val="none"/>
        </w:rPr>
        <w:t>2</w:t>
      </w:r>
      <w:r>
        <w:rPr>
          <w:rFonts w:hint="eastAsia" w:hAnsi="宋体"/>
          <w:color w:val="auto"/>
          <w:highlight w:val="none"/>
        </w:rPr>
        <w:t>供应商</w:t>
      </w:r>
      <w:r>
        <w:rPr>
          <w:rFonts w:hint="eastAsia"/>
          <w:color w:val="auto"/>
          <w:highlight w:val="none"/>
        </w:rPr>
        <w:t>必须就《项目需求》货物和服务的内容作完整唯一报价</w:t>
      </w:r>
      <w:r>
        <w:rPr>
          <w:rFonts w:hint="eastAsia" w:hAnsi="宋体"/>
          <w:color w:val="auto"/>
          <w:highlight w:val="none"/>
        </w:rPr>
        <w:t>，有选择的或有条件的报价视为无效响应文件。</w:t>
      </w:r>
    </w:p>
    <w:p>
      <w:pPr>
        <w:tabs>
          <w:tab w:val="left" w:pos="525"/>
        </w:tabs>
        <w:snapToGrid w:val="0"/>
        <w:spacing w:line="406" w:lineRule="exact"/>
        <w:ind w:firstLine="420"/>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供应商的报价必须按采购文件或政府采购云平台规定的格式填写，并在规定时间内提交最后报价。</w:t>
      </w:r>
    </w:p>
    <w:p>
      <w:pPr>
        <w:tabs>
          <w:tab w:val="left" w:pos="525"/>
        </w:tabs>
        <w:snapToGrid w:val="0"/>
        <w:spacing w:line="406" w:lineRule="exact"/>
        <w:ind w:firstLine="420"/>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最后报价是供应商响应文件的有效组成部分。</w:t>
      </w:r>
    </w:p>
    <w:p>
      <w:pPr>
        <w:spacing w:line="406" w:lineRule="exact"/>
        <w:ind w:firstLine="211" w:firstLineChars="100"/>
        <w:rPr>
          <w:b/>
          <w:bCs/>
          <w:color w:val="auto"/>
          <w:highlight w:val="none"/>
        </w:rPr>
      </w:pPr>
      <w:bookmarkStart w:id="96" w:name="_（六）磋商保证金"/>
      <w:bookmarkEnd w:id="96"/>
      <w:r>
        <w:rPr>
          <w:rFonts w:hint="eastAsia"/>
          <w:b/>
          <w:bCs/>
          <w:color w:val="auto"/>
          <w:highlight w:val="none"/>
        </w:rPr>
        <w:t>（六）响应文件的上传、提交、修改、撤回</w:t>
      </w:r>
    </w:p>
    <w:p>
      <w:pPr>
        <w:snapToGrid w:val="0"/>
        <w:spacing w:line="406" w:lineRule="exact"/>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响应文件的上传和提交:供应商须将编制好的加密响应文件上传至政府采购云平台，并在响应文件提交截止时间前提交，否则</w:t>
      </w:r>
      <w:bookmarkStart w:id="97" w:name="_Hlk91772691"/>
      <w:r>
        <w:rPr>
          <w:rFonts w:hint="eastAsia" w:ascii="宋体" w:hAnsi="宋体"/>
          <w:color w:val="auto"/>
          <w:szCs w:val="21"/>
          <w:highlight w:val="none"/>
        </w:rPr>
        <w:t>政府采购云平台</w:t>
      </w:r>
      <w:bookmarkEnd w:id="97"/>
      <w:r>
        <w:rPr>
          <w:rFonts w:hint="eastAsia" w:ascii="宋体" w:hAnsi="宋体"/>
          <w:color w:val="auto"/>
          <w:szCs w:val="21"/>
          <w:highlight w:val="none"/>
        </w:rPr>
        <w:t>将予以拒收。</w:t>
      </w:r>
    </w:p>
    <w:p>
      <w:pPr>
        <w:snapToGrid w:val="0"/>
        <w:spacing w:line="406" w:lineRule="exact"/>
        <w:ind w:firstLine="420" w:firstLineChars="200"/>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响应文件的修改和撤回：</w:t>
      </w:r>
      <w:r>
        <w:rPr>
          <w:rFonts w:hint="eastAsia"/>
          <w:color w:val="auto"/>
          <w:szCs w:val="21"/>
          <w:highlight w:val="none"/>
        </w:rPr>
        <w:t>供应商在提交响应文件截止时间前，可以对所提交的响应文件进行补充、修改或者撤回</w:t>
      </w:r>
      <w:r>
        <w:rPr>
          <w:rFonts w:hint="eastAsia" w:ascii="宋体" w:hAnsi="宋体"/>
          <w:color w:val="auto"/>
          <w:szCs w:val="21"/>
          <w:highlight w:val="none"/>
        </w:rPr>
        <w:t>。补充或者修改响应文件的，应当先行撤回原响应文件，补充、修改后重新上传、提交。响应文件提交截止时间前未完成重新提交的，视为撤回响应文件，响应文件提交截止时间后提交响应文件的，政府采购云平台将予以拒收。响应文件提交截止时间后，供应商不得撤回响应文件。</w:t>
      </w:r>
      <w:r>
        <w:rPr>
          <w:rFonts w:hint="eastAsia"/>
          <w:color w:val="auto"/>
          <w:szCs w:val="21"/>
          <w:highlight w:val="none"/>
        </w:rPr>
        <w:t>补充、修改的内容作为响应文件的组成部分。补充、修改的内容与响应文件不一致的，以补充、修改的内容为准。</w:t>
      </w:r>
    </w:p>
    <w:p>
      <w:pPr>
        <w:pStyle w:val="4"/>
        <w:spacing w:line="406" w:lineRule="exact"/>
        <w:rPr>
          <w:color w:val="auto"/>
          <w:highlight w:val="none"/>
        </w:rPr>
      </w:pPr>
      <w:bookmarkStart w:id="98" w:name="_四、响应文件开启"/>
      <w:bookmarkEnd w:id="98"/>
      <w:r>
        <w:rPr>
          <w:rFonts w:hint="eastAsia"/>
          <w:color w:val="auto"/>
          <w:highlight w:val="none"/>
        </w:rPr>
        <w:t>四、</w:t>
      </w:r>
      <w:bookmarkStart w:id="99" w:name="_Toc353785300"/>
      <w:bookmarkStart w:id="100" w:name="_Toc352700430"/>
      <w:r>
        <w:rPr>
          <w:rFonts w:hint="eastAsia"/>
          <w:color w:val="auto"/>
          <w:highlight w:val="none"/>
        </w:rPr>
        <w:t>响应文件开启</w:t>
      </w:r>
    </w:p>
    <w:bookmarkEnd w:id="99"/>
    <w:bookmarkEnd w:id="100"/>
    <w:p>
      <w:pPr>
        <w:spacing w:line="406" w:lineRule="exact"/>
        <w:ind w:firstLine="210" w:firstLineChars="100"/>
        <w:rPr>
          <w:rFonts w:ascii="方正小标宋_GBK" w:hAnsi="Arial" w:eastAsia="方正小标宋_GBK"/>
          <w:bCs/>
          <w:color w:val="auto"/>
          <w:sz w:val="24"/>
          <w:highlight w:val="none"/>
        </w:rPr>
      </w:pPr>
      <w:r>
        <w:rPr>
          <w:rFonts w:hint="eastAsia"/>
          <w:color w:val="auto"/>
          <w:highlight w:val="none"/>
        </w:rPr>
        <w:t>（一）本中心将在响应文件提交截止时间后在</w:t>
      </w:r>
      <w:bookmarkStart w:id="101" w:name="_Hlk90300735"/>
      <w:r>
        <w:rPr>
          <w:rFonts w:hint="eastAsia"/>
          <w:color w:val="auto"/>
          <w:highlight w:val="none"/>
        </w:rPr>
        <w:t>政采云远程开标大厅</w:t>
      </w:r>
      <w:bookmarkEnd w:id="101"/>
      <w:r>
        <w:rPr>
          <w:rFonts w:hint="eastAsia"/>
          <w:color w:val="auto"/>
          <w:highlight w:val="none"/>
        </w:rPr>
        <w:t>进行响应文件开启，供应商法定代表人</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负责人</w:t>
      </w:r>
      <w:r>
        <w:rPr>
          <w:rFonts w:hint="eastAsia" w:ascii="宋体" w:hAnsi="宋体"/>
          <w:color w:val="auto"/>
          <w:szCs w:val="21"/>
          <w:highlight w:val="none"/>
          <w:lang w:eastAsia="zh-CN"/>
        </w:rPr>
        <w:t>）</w:t>
      </w:r>
      <w:r>
        <w:rPr>
          <w:rFonts w:hint="eastAsia"/>
          <w:color w:val="auto"/>
          <w:highlight w:val="none"/>
        </w:rPr>
        <w:t>或委托代理人须按时登录</w:t>
      </w:r>
      <w:bookmarkStart w:id="102" w:name="_Hlk90300780"/>
      <w:r>
        <w:rPr>
          <w:rFonts w:hint="eastAsia"/>
          <w:color w:val="auto"/>
          <w:highlight w:val="none"/>
        </w:rPr>
        <w:t>政采云远程开标大厅</w:t>
      </w:r>
      <w:bookmarkEnd w:id="102"/>
      <w:r>
        <w:rPr>
          <w:rFonts w:hint="eastAsia"/>
          <w:color w:val="auto"/>
          <w:highlight w:val="none"/>
        </w:rPr>
        <w:t>（政府采购云平台-应用中心-项目采购-开标评标），保持全程在线并关注评审、磋商进度，评审期间磋商小组提出澄清等要求时，供应商须在规定时间内进行应答，否则按采购文件或政采云平台的相关规定执行。</w:t>
      </w:r>
      <w:bookmarkStart w:id="103" w:name="_Toc353785301"/>
      <w:bookmarkStart w:id="104" w:name="_Toc352700431"/>
    </w:p>
    <w:p>
      <w:pPr>
        <w:spacing w:line="406" w:lineRule="exact"/>
        <w:ind w:firstLine="210" w:firstLineChars="100"/>
        <w:rPr>
          <w:rFonts w:ascii="方正小标宋_GBK" w:hAnsi="Arial" w:eastAsia="方正小标宋_GBK"/>
          <w:bCs/>
          <w:color w:val="auto"/>
          <w:sz w:val="24"/>
          <w:highlight w:val="none"/>
        </w:rPr>
      </w:pPr>
      <w:r>
        <w:rPr>
          <w:rFonts w:hint="eastAsia"/>
          <w:color w:val="auto"/>
          <w:highlight w:val="none"/>
        </w:rPr>
        <w:t>（二）</w:t>
      </w:r>
      <w:bookmarkEnd w:id="103"/>
      <w:bookmarkEnd w:id="104"/>
      <w:r>
        <w:rPr>
          <w:rFonts w:hint="eastAsia"/>
          <w:color w:val="auto"/>
          <w:highlight w:val="none"/>
        </w:rPr>
        <w:t>解密</w:t>
      </w:r>
    </w:p>
    <w:p>
      <w:pPr>
        <w:spacing w:line="406" w:lineRule="exact"/>
        <w:ind w:firstLine="420" w:firstLineChars="200"/>
        <w:rPr>
          <w:color w:val="auto"/>
          <w:highlight w:val="none"/>
        </w:rPr>
      </w:pPr>
      <w:r>
        <w:rPr>
          <w:rFonts w:hint="eastAsia"/>
          <w:color w:val="auto"/>
          <w:highlight w:val="none"/>
        </w:rPr>
        <w:t>响应文件提交时间截止后，我中心将向各提交响应文件的供应商发出电子加密响应文件解密通知，供应商代表应当在接到解密通知后30分钟内对已加密的电子响应文件进行在线解密。供应商未在规定时间内完成解密的，政府采购云平台视为供应商自主放弃磋商。</w:t>
      </w:r>
    </w:p>
    <w:p>
      <w:pPr>
        <w:spacing w:line="406" w:lineRule="exact"/>
        <w:ind w:firstLine="211" w:firstLineChars="100"/>
        <w:rPr>
          <w:b/>
          <w:bCs/>
          <w:color w:val="auto"/>
          <w:highlight w:val="none"/>
        </w:rPr>
      </w:pPr>
      <w:r>
        <w:rPr>
          <w:rFonts w:hint="eastAsia"/>
          <w:b/>
          <w:bCs/>
          <w:color w:val="auto"/>
          <w:highlight w:val="none"/>
        </w:rPr>
        <w:t>（三）资格审查</w:t>
      </w:r>
    </w:p>
    <w:p>
      <w:pPr>
        <w:spacing w:line="406" w:lineRule="exact"/>
        <w:ind w:firstLine="420" w:firstLineChars="200"/>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w:t>
      </w:r>
      <w:r>
        <w:rPr>
          <w:rFonts w:hint="eastAsia" w:ascii="宋体" w:hAnsi="宋体"/>
          <w:color w:val="auto"/>
          <w:szCs w:val="21"/>
          <w:highlight w:val="none"/>
        </w:rPr>
        <w:t>采购人依法对供应商的资格进行审查，资格性审查时，如发现下列情形之一的，响应文件将被视为无效：</w:t>
      </w:r>
    </w:p>
    <w:p>
      <w:pPr>
        <w:spacing w:line="406" w:lineRule="exact"/>
        <w:ind w:firstLine="420" w:firstLineChars="200"/>
        <w:rPr>
          <w:rFonts w:ascii="宋体" w:hAnsi="宋体"/>
          <w:color w:val="auto"/>
          <w:szCs w:val="21"/>
          <w:highlight w:val="none"/>
        </w:rPr>
      </w:pPr>
      <w:r>
        <w:rPr>
          <w:rFonts w:hint="eastAsia" w:ascii="宋体" w:hAnsi="宋体"/>
          <w:color w:val="auto"/>
          <w:szCs w:val="21"/>
          <w:highlight w:val="none"/>
        </w:rPr>
        <w:t>(1)超越了按照法律法规规定必须获得行政许可或者行政审批的经营范围的；</w:t>
      </w:r>
    </w:p>
    <w:p>
      <w:pPr>
        <w:spacing w:line="406" w:lineRule="exact"/>
        <w:ind w:firstLine="420" w:firstLineChars="200"/>
        <w:rPr>
          <w:rFonts w:ascii="宋体" w:hAnsi="宋体"/>
          <w:color w:val="auto"/>
          <w:szCs w:val="21"/>
          <w:highlight w:val="none"/>
        </w:rPr>
      </w:pPr>
      <w:r>
        <w:rPr>
          <w:rFonts w:hint="eastAsia" w:ascii="宋体" w:hAnsi="宋体"/>
          <w:color w:val="auto"/>
          <w:szCs w:val="21"/>
          <w:highlight w:val="none"/>
        </w:rPr>
        <w:t>(2)资格证明文件不全的，或者不符合采购文件标明的资格要求的。</w:t>
      </w:r>
    </w:p>
    <w:p>
      <w:pPr>
        <w:snapToGrid w:val="0"/>
        <w:spacing w:line="406"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采购人或本中心将通过信用中国网站（www.creditchina.gov.cn）、中国政府采购网（www.ccgp.gov.cn）等渠道查询供应商的信用信息记录。供应商被列入失信被执行人、重大税收违法案件当事人名单、政府采购严重违法失信行为记录名单且有效期在响应文件递交截止时间的，将被拒绝参与本项目政府采购活动。</w:t>
      </w:r>
    </w:p>
    <w:p>
      <w:pPr>
        <w:pStyle w:val="4"/>
        <w:spacing w:line="406" w:lineRule="exact"/>
        <w:rPr>
          <w:rFonts w:ascii="宋体" w:hAnsi="宋体"/>
          <w:color w:val="auto"/>
          <w:szCs w:val="21"/>
          <w:highlight w:val="none"/>
        </w:rPr>
      </w:pPr>
      <w:bookmarkStart w:id="105" w:name="_五、评审与磋商"/>
      <w:bookmarkEnd w:id="105"/>
      <w:bookmarkStart w:id="106" w:name="_Toc353785302"/>
      <w:bookmarkStart w:id="107" w:name="_Toc254970545"/>
      <w:bookmarkStart w:id="108" w:name="_Toc352700432"/>
      <w:bookmarkStart w:id="109" w:name="_Toc254970686"/>
      <w:r>
        <w:rPr>
          <w:rFonts w:hint="eastAsia"/>
          <w:color w:val="auto"/>
          <w:highlight w:val="none"/>
        </w:rPr>
        <w:t>五、</w:t>
      </w:r>
      <w:bookmarkEnd w:id="106"/>
      <w:bookmarkEnd w:id="107"/>
      <w:bookmarkEnd w:id="108"/>
      <w:bookmarkEnd w:id="109"/>
      <w:r>
        <w:rPr>
          <w:rFonts w:hint="eastAsia" w:ascii="宋体" w:hAnsi="宋体"/>
          <w:color w:val="auto"/>
          <w:szCs w:val="21"/>
          <w:highlight w:val="none"/>
        </w:rPr>
        <w:t>评审与磋商</w:t>
      </w:r>
    </w:p>
    <w:p>
      <w:pPr>
        <w:snapToGrid w:val="0"/>
        <w:spacing w:line="406" w:lineRule="exact"/>
        <w:ind w:firstLine="211" w:firstLineChars="100"/>
        <w:rPr>
          <w:rFonts w:ascii="宋体" w:hAnsi="宋体"/>
          <w:b/>
          <w:bCs/>
          <w:color w:val="auto"/>
          <w:szCs w:val="21"/>
          <w:highlight w:val="none"/>
        </w:rPr>
      </w:pPr>
      <w:bookmarkStart w:id="110" w:name="_Toc353785303"/>
      <w:bookmarkStart w:id="111" w:name="_Toc352700433"/>
      <w:r>
        <w:rPr>
          <w:rFonts w:hint="eastAsia" w:ascii="宋体" w:hAnsi="宋体"/>
          <w:b/>
          <w:bCs/>
          <w:color w:val="auto"/>
          <w:szCs w:val="21"/>
          <w:highlight w:val="none"/>
        </w:rPr>
        <w:t>（一）评审原则：</w:t>
      </w:r>
    </w:p>
    <w:p>
      <w:pPr>
        <w:snapToGrid w:val="0"/>
        <w:spacing w:line="406" w:lineRule="exact"/>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磋商小组必须公平、公正、客观，不带任何倾向性和启发性；不得向外界透露任何与评审有关的内容；任何单位和个人不得干扰、影响评审的正常进行；磋商小组及有关工作人员不得私下接触供应商。</w:t>
      </w:r>
    </w:p>
    <w:p>
      <w:pPr>
        <w:snapToGrid w:val="0"/>
        <w:spacing w:line="406" w:lineRule="exact"/>
        <w:ind w:firstLine="420" w:firstLineChars="200"/>
        <w:rPr>
          <w:rFonts w:ascii="宋体" w:hAnsi="宋体" w:cs="Courier New"/>
          <w:color w:val="auto"/>
          <w:szCs w:val="21"/>
          <w:highlight w:val="none"/>
        </w:rPr>
      </w:pPr>
      <w:r>
        <w:rPr>
          <w:rFonts w:ascii="宋体" w:hAnsi="宋体"/>
          <w:color w:val="auto"/>
          <w:szCs w:val="21"/>
          <w:highlight w:val="none"/>
        </w:rPr>
        <w:t>2.</w:t>
      </w:r>
      <w:r>
        <w:rPr>
          <w:rFonts w:hint="eastAsia" w:ascii="宋体" w:hAnsi="宋体" w:cs="Courier New"/>
          <w:color w:val="auto"/>
          <w:szCs w:val="21"/>
          <w:highlight w:val="none"/>
        </w:rPr>
        <w:t>本项目采用不公开方式评审，评审的依据为采购文件和响应文件。</w:t>
      </w:r>
    </w:p>
    <w:p>
      <w:pPr>
        <w:snapToGrid w:val="0"/>
        <w:spacing w:line="406" w:lineRule="exact"/>
        <w:ind w:firstLine="211" w:firstLineChars="100"/>
        <w:rPr>
          <w:rFonts w:ascii="宋体" w:hAnsi="宋体"/>
          <w:b/>
          <w:bCs/>
          <w:color w:val="auto"/>
          <w:szCs w:val="21"/>
          <w:highlight w:val="none"/>
        </w:rPr>
      </w:pPr>
      <w:r>
        <w:rPr>
          <w:rFonts w:hint="eastAsia"/>
          <w:b/>
          <w:bCs/>
          <w:color w:val="auto"/>
          <w:highlight w:val="none"/>
        </w:rPr>
        <w:t>（二）成立磋商小组</w:t>
      </w:r>
    </w:p>
    <w:p>
      <w:pPr>
        <w:snapToGrid w:val="0"/>
        <w:spacing w:line="406" w:lineRule="exact"/>
        <w:ind w:firstLine="420" w:firstLineChars="200"/>
        <w:rPr>
          <w:rFonts w:ascii="宋体" w:hAnsi="宋体"/>
          <w:color w:val="auto"/>
          <w:szCs w:val="21"/>
          <w:highlight w:val="none"/>
        </w:rPr>
      </w:pPr>
      <w:r>
        <w:rPr>
          <w:rFonts w:hint="eastAsia" w:ascii="宋体" w:hAnsi="宋体" w:cs="Courier New"/>
          <w:bCs/>
          <w:color w:val="auto"/>
          <w:szCs w:val="21"/>
          <w:highlight w:val="none"/>
        </w:rPr>
        <w:t>磋商小组</w:t>
      </w:r>
      <w:bookmarkEnd w:id="110"/>
      <w:bookmarkEnd w:id="111"/>
      <w:r>
        <w:rPr>
          <w:rFonts w:hint="eastAsia" w:ascii="宋体" w:hAnsi="宋体" w:cs="Courier New"/>
          <w:bCs/>
          <w:color w:val="auto"/>
          <w:szCs w:val="21"/>
          <w:highlight w:val="none"/>
        </w:rPr>
        <w:t>由采购人代表和评审专家共3人以上单数组成，其中评审专家人数不得少于磋商小组成员总数的2/3。</w:t>
      </w:r>
    </w:p>
    <w:p>
      <w:pPr>
        <w:spacing w:line="406" w:lineRule="exact"/>
        <w:ind w:firstLine="211" w:firstLineChars="100"/>
        <w:rPr>
          <w:rFonts w:ascii="宋体" w:hAnsi="宋体" w:cs="Courier New"/>
          <w:color w:val="auto"/>
          <w:szCs w:val="21"/>
          <w:highlight w:val="none"/>
        </w:rPr>
      </w:pPr>
      <w:r>
        <w:rPr>
          <w:rFonts w:hint="eastAsia" w:ascii="宋体" w:hAnsi="宋体"/>
          <w:b/>
          <w:bCs/>
          <w:color w:val="auto"/>
          <w:szCs w:val="21"/>
          <w:highlight w:val="none"/>
        </w:rPr>
        <w:t>（三）实质性审查</w:t>
      </w:r>
    </w:p>
    <w:p>
      <w:pPr>
        <w:snapToGrid w:val="0"/>
        <w:spacing w:line="406" w:lineRule="exact"/>
        <w:ind w:firstLine="420" w:firstLineChars="200"/>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w:t>
      </w:r>
      <w:r>
        <w:rPr>
          <w:rFonts w:hint="eastAsia" w:ascii="宋体" w:hAnsi="宋体"/>
          <w:color w:val="auto"/>
          <w:szCs w:val="21"/>
          <w:highlight w:val="none"/>
        </w:rPr>
        <w:t>磋商小组成员根据磋商文件规定的评审程序、评审方法和评审标准进行独立评审。未实质性响应磋商文件的响应文件按无效响应处理，磋商小组应当告知提交响应文件的供应商。</w:t>
      </w:r>
    </w:p>
    <w:p>
      <w:pPr>
        <w:snapToGrid w:val="0"/>
        <w:spacing w:line="406" w:lineRule="exact"/>
        <w:ind w:firstLine="422" w:firstLineChars="200"/>
        <w:rPr>
          <w:rFonts w:ascii="宋体" w:hAnsi="宋体"/>
          <w:b/>
          <w:bCs/>
          <w:color w:val="auto"/>
          <w:szCs w:val="21"/>
          <w:highlight w:val="none"/>
        </w:rPr>
      </w:pPr>
      <w:r>
        <w:rPr>
          <w:rFonts w:hint="eastAsia" w:ascii="宋体" w:hAnsi="宋体"/>
          <w:b/>
          <w:bCs/>
          <w:color w:val="auto"/>
          <w:szCs w:val="21"/>
          <w:highlight w:val="none"/>
        </w:rPr>
        <w:t>2</w:t>
      </w:r>
      <w:r>
        <w:rPr>
          <w:rFonts w:ascii="宋体" w:hAnsi="宋体"/>
          <w:b/>
          <w:bCs/>
          <w:color w:val="auto"/>
          <w:szCs w:val="21"/>
          <w:highlight w:val="none"/>
        </w:rPr>
        <w:t>.</w:t>
      </w:r>
      <w:r>
        <w:rPr>
          <w:rFonts w:hint="eastAsia" w:ascii="宋体" w:hAnsi="宋体"/>
          <w:b/>
          <w:bCs/>
          <w:color w:val="auto"/>
          <w:szCs w:val="21"/>
          <w:highlight w:val="none"/>
        </w:rPr>
        <w:t>实质性审查时，如发现下列情形之一的，响应文件将被视为无效：</w:t>
      </w:r>
    </w:p>
    <w:p>
      <w:pPr>
        <w:snapToGrid w:val="0"/>
        <w:spacing w:line="406" w:lineRule="exact"/>
        <w:ind w:firstLine="525" w:firstLineChars="250"/>
        <w:rPr>
          <w:rFonts w:ascii="宋体" w:hAnsi="宋体"/>
          <w:color w:val="auto"/>
          <w:szCs w:val="21"/>
          <w:highlight w:val="none"/>
        </w:rPr>
      </w:pPr>
      <w:r>
        <w:rPr>
          <w:rFonts w:hint="eastAsia" w:ascii="宋体" w:hAnsi="宋体"/>
          <w:color w:val="auto"/>
          <w:szCs w:val="21"/>
          <w:highlight w:val="none"/>
        </w:rPr>
        <w:t>①应交未交磋商保证金的；</w:t>
      </w:r>
    </w:p>
    <w:p>
      <w:pPr>
        <w:snapToGrid w:val="0"/>
        <w:spacing w:line="406" w:lineRule="exact"/>
        <w:ind w:firstLine="525" w:firstLineChars="250"/>
        <w:rPr>
          <w:rFonts w:ascii="宋体" w:hAnsi="宋体"/>
          <w:color w:val="auto"/>
          <w:szCs w:val="21"/>
          <w:highlight w:val="none"/>
        </w:rPr>
      </w:pPr>
      <w:r>
        <w:rPr>
          <w:rFonts w:hint="eastAsia" w:ascii="宋体" w:hAnsi="宋体"/>
          <w:color w:val="auto"/>
          <w:szCs w:val="21"/>
          <w:highlight w:val="none"/>
        </w:rPr>
        <w:t>②响应文件未按响应文件编制要求提供或内容虚假的；</w:t>
      </w:r>
    </w:p>
    <w:p>
      <w:pPr>
        <w:snapToGrid w:val="0"/>
        <w:spacing w:line="406" w:lineRule="exact"/>
        <w:ind w:firstLine="525" w:firstLineChars="250"/>
        <w:rPr>
          <w:rFonts w:ascii="宋体" w:hAnsi="宋体"/>
          <w:color w:val="auto"/>
          <w:szCs w:val="21"/>
          <w:highlight w:val="none"/>
        </w:rPr>
      </w:pPr>
      <w:r>
        <w:rPr>
          <w:rFonts w:hint="eastAsia" w:ascii="宋体" w:hAnsi="宋体"/>
          <w:color w:val="auto"/>
          <w:szCs w:val="21"/>
          <w:highlight w:val="none"/>
        </w:rPr>
        <w:t>③响应文件无法定代表人</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负责人</w:t>
      </w:r>
      <w:r>
        <w:rPr>
          <w:rFonts w:hint="eastAsia" w:ascii="宋体" w:hAnsi="宋体"/>
          <w:color w:val="auto"/>
          <w:szCs w:val="21"/>
          <w:highlight w:val="none"/>
          <w:lang w:eastAsia="zh-CN"/>
        </w:rPr>
        <w:t>）</w:t>
      </w:r>
      <w:r>
        <w:rPr>
          <w:rFonts w:hint="eastAsia" w:ascii="宋体" w:hAnsi="宋体"/>
          <w:color w:val="auto"/>
          <w:szCs w:val="21"/>
          <w:highlight w:val="none"/>
        </w:rPr>
        <w:t>或其委托代理人签署、未提供授权委托书，或未按规定盖章的；</w:t>
      </w:r>
    </w:p>
    <w:p>
      <w:pPr>
        <w:snapToGrid w:val="0"/>
        <w:spacing w:line="406" w:lineRule="exact"/>
        <w:ind w:firstLine="525" w:firstLineChars="250"/>
        <w:rPr>
          <w:rFonts w:ascii="宋体" w:hAnsi="宋体"/>
          <w:color w:val="auto"/>
          <w:szCs w:val="21"/>
          <w:highlight w:val="none"/>
        </w:rPr>
      </w:pPr>
      <w:r>
        <w:rPr>
          <w:rFonts w:hint="eastAsia" w:ascii="宋体" w:hAnsi="宋体"/>
          <w:color w:val="auto"/>
          <w:szCs w:val="21"/>
          <w:highlight w:val="none"/>
        </w:rPr>
        <w:t>④供应商代表未能出具身份证明或与法定代表人</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负责人</w:t>
      </w:r>
      <w:r>
        <w:rPr>
          <w:rFonts w:hint="eastAsia" w:ascii="宋体" w:hAnsi="宋体"/>
          <w:color w:val="auto"/>
          <w:szCs w:val="21"/>
          <w:highlight w:val="none"/>
          <w:lang w:eastAsia="zh-CN"/>
        </w:rPr>
        <w:t>）</w:t>
      </w:r>
      <w:r>
        <w:rPr>
          <w:rFonts w:hint="eastAsia" w:ascii="宋体" w:hAnsi="宋体"/>
          <w:color w:val="auto"/>
          <w:szCs w:val="21"/>
          <w:highlight w:val="none"/>
        </w:rPr>
        <w:t>委托代理人身份不符的；</w:t>
      </w:r>
    </w:p>
    <w:p>
      <w:pPr>
        <w:snapToGrid w:val="0"/>
        <w:spacing w:line="406" w:lineRule="exact"/>
        <w:ind w:firstLine="525" w:firstLineChars="250"/>
        <w:rPr>
          <w:rFonts w:ascii="宋体" w:hAnsi="宋体"/>
          <w:color w:val="auto"/>
          <w:szCs w:val="21"/>
          <w:highlight w:val="none"/>
        </w:rPr>
      </w:pPr>
      <w:r>
        <w:rPr>
          <w:rFonts w:hint="eastAsia" w:ascii="宋体" w:hAnsi="宋体"/>
          <w:color w:val="auto"/>
          <w:szCs w:val="21"/>
          <w:highlight w:val="none"/>
        </w:rPr>
        <w:t>⑤经磋商未实质性响应采购文件采购需求的技术、服务要求的；</w:t>
      </w:r>
    </w:p>
    <w:p>
      <w:pPr>
        <w:snapToGrid w:val="0"/>
        <w:spacing w:line="406" w:lineRule="exact"/>
        <w:ind w:firstLine="525" w:firstLineChars="250"/>
        <w:rPr>
          <w:rFonts w:ascii="宋体" w:hAnsi="宋体"/>
          <w:color w:val="auto"/>
          <w:szCs w:val="21"/>
          <w:highlight w:val="none"/>
        </w:rPr>
      </w:pPr>
      <w:r>
        <w:rPr>
          <w:rFonts w:hint="eastAsia" w:ascii="宋体" w:hAnsi="宋体"/>
          <w:color w:val="auto"/>
          <w:szCs w:val="21"/>
          <w:highlight w:val="none"/>
        </w:rPr>
        <w:t>⑥经磋商</w:t>
      </w:r>
      <w:r>
        <w:rPr>
          <w:rFonts w:hint="eastAsia" w:ascii="宋体" w:hAnsi="宋体"/>
          <w:color w:val="auto"/>
          <w:spacing w:val="-4"/>
          <w:szCs w:val="21"/>
          <w:highlight w:val="none"/>
        </w:rPr>
        <w:t>不符合采购文件要求的质量标准，或者与采购文件中的技术指标、功能、服务事项发生较大偏离，已不符合采购人需求的；</w:t>
      </w:r>
    </w:p>
    <w:p>
      <w:pPr>
        <w:snapToGrid w:val="0"/>
        <w:spacing w:line="406" w:lineRule="exact"/>
        <w:ind w:firstLine="505" w:firstLineChars="250"/>
        <w:rPr>
          <w:rFonts w:ascii="宋体" w:hAnsi="宋体"/>
          <w:color w:val="auto"/>
          <w:szCs w:val="21"/>
          <w:highlight w:val="none"/>
        </w:rPr>
      </w:pPr>
      <w:r>
        <w:rPr>
          <w:rFonts w:hint="eastAsia" w:ascii="宋体" w:hAnsi="宋体"/>
          <w:color w:val="auto"/>
          <w:spacing w:val="-4"/>
          <w:szCs w:val="21"/>
          <w:highlight w:val="none"/>
        </w:rPr>
        <w:t>⑦</w:t>
      </w:r>
      <w:r>
        <w:rPr>
          <w:rFonts w:hint="eastAsia" w:ascii="宋体" w:hAnsi="宋体"/>
          <w:color w:val="auto"/>
          <w:szCs w:val="21"/>
          <w:highlight w:val="none"/>
        </w:rPr>
        <w:t>响应文件有采购人不能接受的附加条件的；</w:t>
      </w:r>
    </w:p>
    <w:p>
      <w:pPr>
        <w:snapToGrid w:val="0"/>
        <w:spacing w:line="406" w:lineRule="exact"/>
        <w:ind w:firstLine="525" w:firstLineChars="250"/>
        <w:rPr>
          <w:rFonts w:ascii="宋体" w:hAnsi="宋体"/>
          <w:color w:val="auto"/>
          <w:spacing w:val="-4"/>
          <w:szCs w:val="21"/>
          <w:highlight w:val="none"/>
        </w:rPr>
      </w:pPr>
      <w:r>
        <w:rPr>
          <w:rFonts w:hint="eastAsia" w:ascii="宋体" w:hAnsi="宋体"/>
          <w:color w:val="auto"/>
          <w:szCs w:val="21"/>
          <w:highlight w:val="none"/>
        </w:rPr>
        <w:t>⑧</w:t>
      </w:r>
      <w:r>
        <w:rPr>
          <w:rFonts w:hint="eastAsia" w:ascii="宋体" w:hAnsi="宋体"/>
          <w:color w:val="auto"/>
          <w:spacing w:val="-4"/>
          <w:szCs w:val="21"/>
          <w:highlight w:val="none"/>
        </w:rPr>
        <w:t>响应文件技术方案不明确，存在一个或一个以上备选(替代)响应方案的；</w:t>
      </w:r>
    </w:p>
    <w:p>
      <w:pPr>
        <w:snapToGrid w:val="0"/>
        <w:spacing w:line="406" w:lineRule="exact"/>
        <w:ind w:firstLine="505" w:firstLineChars="250"/>
        <w:rPr>
          <w:rFonts w:ascii="宋体" w:hAnsi="宋体"/>
          <w:color w:val="auto"/>
          <w:szCs w:val="21"/>
          <w:highlight w:val="none"/>
        </w:rPr>
      </w:pPr>
      <w:r>
        <w:rPr>
          <w:rFonts w:hint="eastAsia" w:ascii="宋体" w:hAnsi="宋体"/>
          <w:color w:val="auto"/>
          <w:spacing w:val="-4"/>
          <w:szCs w:val="21"/>
          <w:highlight w:val="none"/>
        </w:rPr>
        <w:t>⑨</w:t>
      </w:r>
      <w:r>
        <w:rPr>
          <w:rFonts w:hint="eastAsia" w:ascii="宋体" w:hAnsi="宋体"/>
          <w:color w:val="auto"/>
          <w:szCs w:val="21"/>
          <w:highlight w:val="none"/>
        </w:rPr>
        <w:t>响应文件的实质性内容未使用中文表述、意思表述不明确、前后矛盾或者使用计量单位不符合采购文件要求的。</w:t>
      </w:r>
    </w:p>
    <w:p>
      <w:pPr>
        <w:spacing w:line="406" w:lineRule="exact"/>
        <w:ind w:firstLine="211" w:firstLineChars="100"/>
        <w:rPr>
          <w:b/>
          <w:bCs/>
          <w:color w:val="auto"/>
          <w:highlight w:val="none"/>
        </w:rPr>
      </w:pPr>
      <w:r>
        <w:rPr>
          <w:rFonts w:hint="eastAsia"/>
          <w:b/>
          <w:bCs/>
          <w:color w:val="auto"/>
          <w:highlight w:val="none"/>
        </w:rPr>
        <w:t>（四）磋商</w:t>
      </w:r>
    </w:p>
    <w:p>
      <w:pPr>
        <w:pStyle w:val="24"/>
        <w:spacing w:line="406" w:lineRule="exact"/>
        <w:ind w:firstLine="420" w:firstLineChars="200"/>
        <w:rPr>
          <w:rFonts w:hAnsi="宋体"/>
          <w:bCs/>
          <w:color w:val="auto"/>
          <w:highlight w:val="none"/>
        </w:rPr>
      </w:pPr>
      <w:r>
        <w:rPr>
          <w:rFonts w:hint="eastAsia" w:hAnsi="宋体"/>
          <w:bCs/>
          <w:color w:val="auto"/>
          <w:highlight w:val="none"/>
        </w:rPr>
        <w:t>1</w:t>
      </w:r>
      <w:r>
        <w:rPr>
          <w:rFonts w:hAnsi="宋体"/>
          <w:bCs/>
          <w:color w:val="auto"/>
          <w:highlight w:val="none"/>
        </w:rPr>
        <w:t>.</w:t>
      </w:r>
      <w:r>
        <w:rPr>
          <w:rFonts w:hint="eastAsia" w:hAnsi="宋体"/>
          <w:bCs/>
          <w:color w:val="auto"/>
          <w:highlight w:val="none"/>
        </w:rPr>
        <w:t>磋商小组所有成员应当集中与单一供应商分别进行磋商，并给予所有参加磋商的供应商平等的磋商机会。</w:t>
      </w:r>
    </w:p>
    <w:p>
      <w:pPr>
        <w:pStyle w:val="24"/>
        <w:spacing w:line="406" w:lineRule="exact"/>
        <w:ind w:firstLine="420" w:firstLineChars="200"/>
        <w:rPr>
          <w:rFonts w:hAnsi="宋体"/>
          <w:bCs/>
          <w:color w:val="auto"/>
          <w:highlight w:val="none"/>
        </w:rPr>
      </w:pPr>
      <w:r>
        <w:rPr>
          <w:rFonts w:hAnsi="宋体"/>
          <w:bCs/>
          <w:color w:val="auto"/>
          <w:highlight w:val="none"/>
        </w:rPr>
        <w:t>2.</w:t>
      </w:r>
      <w:r>
        <w:rPr>
          <w:rFonts w:hint="eastAsia" w:hAnsi="宋体"/>
          <w:bCs/>
          <w:color w:val="auto"/>
          <w:highlight w:val="none"/>
        </w:rPr>
        <w:t>磋商小组可以根据磋商文件和磋商情况实质性变动采购需求中的技术、服务要求以及合同草案条款，但不得变动磋商文件中的其他内容。实质性变动的内容，须经采购人代表确认。</w:t>
      </w:r>
    </w:p>
    <w:p>
      <w:pPr>
        <w:pStyle w:val="24"/>
        <w:spacing w:line="406" w:lineRule="exact"/>
        <w:ind w:firstLine="420" w:firstLineChars="200"/>
        <w:rPr>
          <w:rFonts w:hAnsi="宋体"/>
          <w:bCs/>
          <w:color w:val="auto"/>
          <w:highlight w:val="none"/>
        </w:rPr>
      </w:pPr>
      <w:r>
        <w:rPr>
          <w:rFonts w:hAnsi="宋体"/>
          <w:bCs/>
          <w:color w:val="auto"/>
          <w:highlight w:val="none"/>
        </w:rPr>
        <w:t>3.</w:t>
      </w:r>
      <w:r>
        <w:rPr>
          <w:rFonts w:hint="eastAsia" w:hAnsi="宋体"/>
          <w:bCs/>
          <w:color w:val="auto"/>
          <w:highlight w:val="none"/>
        </w:rPr>
        <w:t>对磋商文件作出的实质性变动是磋商文件的有效组成部分，磋商小组应当及时以书面形式同时通知所有参加磋商的供应商。</w:t>
      </w:r>
    </w:p>
    <w:p>
      <w:pPr>
        <w:pStyle w:val="24"/>
        <w:spacing w:line="406" w:lineRule="exact"/>
        <w:ind w:firstLine="420" w:firstLineChars="200"/>
        <w:rPr>
          <w:rFonts w:hAnsi="宋体"/>
          <w:bCs/>
          <w:color w:val="auto"/>
          <w:highlight w:val="none"/>
        </w:rPr>
      </w:pPr>
      <w:r>
        <w:rPr>
          <w:rFonts w:hAnsi="宋体"/>
          <w:bCs/>
          <w:color w:val="auto"/>
          <w:highlight w:val="none"/>
        </w:rPr>
        <w:t>4.</w:t>
      </w:r>
      <w:r>
        <w:rPr>
          <w:rFonts w:hint="eastAsia" w:hAnsi="宋体"/>
          <w:bCs/>
          <w:color w:val="auto"/>
          <w:highlight w:val="none"/>
        </w:rPr>
        <w:t>供应商应当按照磋商文件的变动情况和磋商小组的要求重新提交响应文件，并由其法定代表人</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负责人</w:t>
      </w:r>
      <w:r>
        <w:rPr>
          <w:rFonts w:hint="eastAsia" w:ascii="宋体" w:hAnsi="宋体"/>
          <w:color w:val="auto"/>
          <w:szCs w:val="21"/>
          <w:highlight w:val="none"/>
          <w:lang w:eastAsia="zh-CN"/>
        </w:rPr>
        <w:t>）</w:t>
      </w:r>
      <w:r>
        <w:rPr>
          <w:rFonts w:hint="eastAsia" w:hAnsi="宋体"/>
          <w:bCs/>
          <w:color w:val="auto"/>
          <w:highlight w:val="none"/>
        </w:rPr>
        <w:t>或授权代表签名或者加盖公章。由授权代表签名的，应当附法定代表人</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负责人</w:t>
      </w:r>
      <w:r>
        <w:rPr>
          <w:rFonts w:hint="eastAsia" w:ascii="宋体" w:hAnsi="宋体"/>
          <w:color w:val="auto"/>
          <w:szCs w:val="21"/>
          <w:highlight w:val="none"/>
          <w:lang w:eastAsia="zh-CN"/>
        </w:rPr>
        <w:t>）</w:t>
      </w:r>
      <w:r>
        <w:rPr>
          <w:rFonts w:hint="eastAsia" w:hAnsi="宋体"/>
          <w:bCs/>
          <w:color w:val="auto"/>
          <w:highlight w:val="none"/>
        </w:rPr>
        <w:t>授权书。供应商为自然人的，应当由本人签名并附身份证明。逾时不提交的，视同退出磋商。</w:t>
      </w:r>
    </w:p>
    <w:p>
      <w:pPr>
        <w:pStyle w:val="24"/>
        <w:spacing w:line="406" w:lineRule="exact"/>
        <w:ind w:firstLine="420" w:firstLineChars="200"/>
        <w:rPr>
          <w:rFonts w:hAnsi="宋体"/>
          <w:bCs/>
          <w:color w:val="auto"/>
          <w:highlight w:val="none"/>
        </w:rPr>
      </w:pPr>
      <w:r>
        <w:rPr>
          <w:rFonts w:hAnsi="宋体"/>
          <w:bCs/>
          <w:color w:val="auto"/>
          <w:highlight w:val="none"/>
        </w:rPr>
        <w:t>5.</w:t>
      </w:r>
      <w:r>
        <w:rPr>
          <w:rFonts w:hint="eastAsia" w:hAnsi="宋体"/>
          <w:bCs/>
          <w:color w:val="auto"/>
          <w:highlight w:val="none"/>
        </w:rPr>
        <w:t>已提交响应文件的供应商，在提交最后报价之前，可以根据磋商情况退出磋商。</w:t>
      </w:r>
    </w:p>
    <w:p>
      <w:pPr>
        <w:spacing w:line="406" w:lineRule="exact"/>
        <w:ind w:firstLine="211" w:firstLineChars="100"/>
        <w:rPr>
          <w:b/>
          <w:bCs/>
          <w:color w:val="auto"/>
          <w:highlight w:val="none"/>
        </w:rPr>
      </w:pPr>
      <w:r>
        <w:rPr>
          <w:rFonts w:hint="eastAsia"/>
          <w:b/>
          <w:bCs/>
          <w:color w:val="auto"/>
          <w:highlight w:val="none"/>
        </w:rPr>
        <w:t>（五）最后报价</w:t>
      </w:r>
    </w:p>
    <w:p>
      <w:pPr>
        <w:spacing w:line="406" w:lineRule="exact"/>
        <w:ind w:firstLine="420" w:firstLineChars="200"/>
        <w:rPr>
          <w:color w:val="auto"/>
          <w:highlight w:val="none"/>
        </w:rPr>
      </w:pPr>
      <w:r>
        <w:rPr>
          <w:color w:val="auto"/>
          <w:highlight w:val="none"/>
        </w:rPr>
        <w:t>1.</w:t>
      </w:r>
      <w:r>
        <w:rPr>
          <w:rFonts w:hint="eastAsia"/>
          <w:color w:val="auto"/>
          <w:highlight w:val="none"/>
        </w:rPr>
        <w:t>磋商文件能够详细列明采购标的的技术、服务要求的，磋商结束后，磋商小组应当要求所有实质性响应的供应商在规定时间内提交最后报价，提交最后报价的供应商不得少于3家。</w:t>
      </w:r>
    </w:p>
    <w:p>
      <w:pPr>
        <w:spacing w:line="406" w:lineRule="exact"/>
        <w:ind w:firstLine="420" w:firstLineChars="200"/>
        <w:rPr>
          <w:color w:val="auto"/>
          <w:highlight w:val="none"/>
        </w:rPr>
      </w:pPr>
      <w:r>
        <w:rPr>
          <w:rFonts w:hint="eastAsia"/>
          <w:color w:val="auto"/>
          <w:highlight w:val="none"/>
        </w:rPr>
        <w:t>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w:t>
      </w:r>
    </w:p>
    <w:p>
      <w:pPr>
        <w:spacing w:line="406" w:lineRule="exact"/>
        <w:ind w:firstLine="420" w:firstLineChars="200"/>
        <w:rPr>
          <w:color w:val="auto"/>
          <w:highlight w:val="none"/>
        </w:rPr>
      </w:pPr>
      <w:bookmarkStart w:id="112" w:name="_Hlk101270484"/>
      <w:r>
        <w:rPr>
          <w:rFonts w:hint="eastAsia"/>
          <w:color w:val="auto"/>
          <w:highlight w:val="none"/>
        </w:rPr>
        <w:t>市场竞争不充分的科研项目，以及需要扶持的科技成果转化项目</w:t>
      </w:r>
      <w:bookmarkEnd w:id="112"/>
      <w:r>
        <w:rPr>
          <w:rFonts w:hint="eastAsia"/>
          <w:color w:val="auto"/>
          <w:highlight w:val="none"/>
        </w:rPr>
        <w:t>提交最后报价的供应商可以为2家。</w:t>
      </w:r>
    </w:p>
    <w:p>
      <w:pPr>
        <w:spacing w:line="406" w:lineRule="exact"/>
        <w:ind w:firstLine="420" w:firstLineChars="200"/>
        <w:rPr>
          <w:color w:val="auto"/>
          <w:highlight w:val="none"/>
        </w:rPr>
      </w:pPr>
      <w:r>
        <w:rPr>
          <w:color w:val="auto"/>
          <w:highlight w:val="none"/>
        </w:rPr>
        <w:t>2.</w:t>
      </w:r>
      <w:r>
        <w:rPr>
          <w:rFonts w:hint="eastAsia"/>
          <w:color w:val="auto"/>
          <w:highlight w:val="none"/>
        </w:rPr>
        <w:t>最后报价应由其法定代表人</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负责人</w:t>
      </w:r>
      <w:r>
        <w:rPr>
          <w:rFonts w:hint="eastAsia" w:ascii="宋体" w:hAnsi="宋体"/>
          <w:color w:val="auto"/>
          <w:szCs w:val="21"/>
          <w:highlight w:val="none"/>
          <w:lang w:eastAsia="zh-CN"/>
        </w:rPr>
        <w:t>）</w:t>
      </w:r>
      <w:r>
        <w:rPr>
          <w:rFonts w:hint="eastAsia"/>
          <w:color w:val="auto"/>
          <w:highlight w:val="none"/>
        </w:rPr>
        <w:t>或授权代表签名或者加盖公章，最后报价即系供应商响应报价。</w:t>
      </w:r>
    </w:p>
    <w:p>
      <w:pPr>
        <w:snapToGrid w:val="0"/>
        <w:spacing w:line="406" w:lineRule="exact"/>
        <w:ind w:firstLine="422" w:firstLineChars="200"/>
        <w:rPr>
          <w:rFonts w:ascii="宋体" w:hAnsi="宋体"/>
          <w:color w:val="auto"/>
          <w:szCs w:val="21"/>
          <w:highlight w:val="none"/>
        </w:rPr>
      </w:pPr>
      <w:r>
        <w:rPr>
          <w:rFonts w:hint="eastAsia"/>
          <w:b/>
          <w:bCs/>
          <w:color w:val="auto"/>
          <w:highlight w:val="none"/>
        </w:rPr>
        <w:t>3</w:t>
      </w:r>
      <w:r>
        <w:rPr>
          <w:b/>
          <w:bCs/>
          <w:color w:val="auto"/>
          <w:highlight w:val="none"/>
        </w:rPr>
        <w:t>.</w:t>
      </w:r>
      <w:r>
        <w:rPr>
          <w:rFonts w:hint="eastAsia" w:ascii="宋体" w:hAnsi="宋体" w:cs="Courier New"/>
          <w:b/>
          <w:color w:val="auto"/>
          <w:szCs w:val="21"/>
          <w:highlight w:val="none"/>
        </w:rPr>
        <w:t>在报价评审时，如发现下列情形之一的，响应文件将被视为无效：</w:t>
      </w:r>
    </w:p>
    <w:p>
      <w:pPr>
        <w:snapToGrid w:val="0"/>
        <w:spacing w:line="406"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报价未采用人民币或者未按照采购文件标明的币种报价的；</w:t>
      </w:r>
    </w:p>
    <w:p>
      <w:pPr>
        <w:snapToGrid w:val="0"/>
        <w:spacing w:line="406" w:lineRule="exact"/>
        <w:ind w:firstLine="420" w:firstLineChars="200"/>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报价明细表中货物品牌、规格、型号、服务事项未明确或与响应文件中相应内容不一致的；</w:t>
      </w:r>
    </w:p>
    <w:p>
      <w:pPr>
        <w:snapToGrid w:val="0"/>
        <w:spacing w:line="406" w:lineRule="exact"/>
        <w:ind w:firstLine="420" w:firstLineChars="200"/>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报价具有选择性的；</w:t>
      </w:r>
    </w:p>
    <w:p>
      <w:pPr>
        <w:snapToGrid w:val="0"/>
        <w:spacing w:line="406" w:lineRule="exact"/>
        <w:ind w:firstLine="420" w:firstLineChars="200"/>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报价未按采购文件或政府采购云平台规定的格式填写，或未在规定时间内提交最后报价的。</w:t>
      </w:r>
    </w:p>
    <w:p>
      <w:pPr>
        <w:spacing w:line="406" w:lineRule="exact"/>
        <w:ind w:firstLine="211" w:firstLineChars="100"/>
        <w:rPr>
          <w:b/>
          <w:bCs/>
          <w:color w:val="auto"/>
          <w:highlight w:val="none"/>
        </w:rPr>
      </w:pPr>
      <w:r>
        <w:rPr>
          <w:rFonts w:hint="eastAsia"/>
          <w:b/>
          <w:bCs/>
          <w:color w:val="auto"/>
          <w:highlight w:val="none"/>
        </w:rPr>
        <w:t>（六）澄清、说明或者更正的形式</w:t>
      </w:r>
    </w:p>
    <w:p>
      <w:pPr>
        <w:pStyle w:val="24"/>
        <w:spacing w:line="406" w:lineRule="exact"/>
        <w:ind w:firstLine="420"/>
        <w:rPr>
          <w:rFonts w:hAnsi="宋体"/>
          <w:bCs/>
          <w:color w:val="auto"/>
          <w:highlight w:val="none"/>
        </w:rPr>
      </w:pPr>
      <w:r>
        <w:rPr>
          <w:rFonts w:hint="eastAsia" w:hAnsi="宋体"/>
          <w:bCs/>
          <w:color w:val="auto"/>
          <w:highlight w:val="none"/>
        </w:rPr>
        <w:t>1</w:t>
      </w:r>
      <w:r>
        <w:rPr>
          <w:rFonts w:hAnsi="宋体"/>
          <w:bCs/>
          <w:color w:val="auto"/>
          <w:highlight w:val="none"/>
        </w:rPr>
        <w:t>.</w:t>
      </w:r>
      <w:r>
        <w:rPr>
          <w:rFonts w:hint="eastAsia" w:hAnsi="宋体"/>
          <w:bCs/>
          <w:color w:val="auto"/>
          <w:highlight w:val="none"/>
        </w:rPr>
        <w:t>磋商小组在对响应文件的有效性、完整性和响应程度进行审查时，可以要求供应商对响应文件中含义不明确、同类问题表述不一致或者有明显文字和计算错误的内容等作出必要的</w:t>
      </w:r>
      <w:bookmarkStart w:id="113" w:name="_Hlk92462362"/>
      <w:r>
        <w:rPr>
          <w:rFonts w:hint="eastAsia" w:hAnsi="宋体"/>
          <w:bCs/>
          <w:color w:val="auto"/>
          <w:highlight w:val="none"/>
        </w:rPr>
        <w:t>澄清、说明或者更正</w:t>
      </w:r>
      <w:bookmarkEnd w:id="113"/>
      <w:r>
        <w:rPr>
          <w:rFonts w:hint="eastAsia" w:hAnsi="宋体"/>
          <w:bCs/>
          <w:color w:val="auto"/>
          <w:highlight w:val="none"/>
        </w:rPr>
        <w:t>。供应商的澄清、说明或者更正不得超出响应文件的范围或者改变响应文件的实质性内容。</w:t>
      </w:r>
    </w:p>
    <w:p>
      <w:pPr>
        <w:pStyle w:val="24"/>
        <w:spacing w:line="406" w:lineRule="exact"/>
        <w:ind w:firstLine="420"/>
        <w:rPr>
          <w:rFonts w:hAnsi="宋体"/>
          <w:bCs/>
          <w:color w:val="auto"/>
          <w:highlight w:val="none"/>
        </w:rPr>
      </w:pPr>
      <w:r>
        <w:rPr>
          <w:rFonts w:hint="eastAsia" w:hAnsi="宋体"/>
          <w:bCs/>
          <w:color w:val="auto"/>
          <w:highlight w:val="none"/>
        </w:rPr>
        <w:t>2</w:t>
      </w:r>
      <w:r>
        <w:rPr>
          <w:rFonts w:hAnsi="宋体"/>
          <w:bCs/>
          <w:color w:val="auto"/>
          <w:highlight w:val="none"/>
        </w:rPr>
        <w:t>.</w:t>
      </w:r>
      <w:r>
        <w:rPr>
          <w:rFonts w:hint="eastAsia" w:hAnsi="宋体"/>
          <w:bCs/>
          <w:color w:val="auto"/>
          <w:highlight w:val="none"/>
        </w:rPr>
        <w:t>磋商小组要求供应商澄清、说明或者更正响应文件应当以书面形式作出。供应商的澄清、说明或者更正应当由法定代表人</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负责人</w:t>
      </w:r>
      <w:r>
        <w:rPr>
          <w:rFonts w:hint="eastAsia" w:ascii="宋体" w:hAnsi="宋体"/>
          <w:color w:val="auto"/>
          <w:szCs w:val="21"/>
          <w:highlight w:val="none"/>
          <w:lang w:eastAsia="zh-CN"/>
        </w:rPr>
        <w:t>）</w:t>
      </w:r>
      <w:r>
        <w:rPr>
          <w:rFonts w:hint="eastAsia" w:hAnsi="宋体"/>
          <w:bCs/>
          <w:color w:val="auto"/>
          <w:highlight w:val="none"/>
        </w:rPr>
        <w:t>或其授权代表签名或者加盖公章。由授权代表签名的，应当附法定代表人</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负责人</w:t>
      </w:r>
      <w:r>
        <w:rPr>
          <w:rFonts w:hint="eastAsia" w:ascii="宋体" w:hAnsi="宋体"/>
          <w:color w:val="auto"/>
          <w:szCs w:val="21"/>
          <w:highlight w:val="none"/>
          <w:lang w:eastAsia="zh-CN"/>
        </w:rPr>
        <w:t>）</w:t>
      </w:r>
      <w:r>
        <w:rPr>
          <w:rFonts w:hint="eastAsia" w:hAnsi="宋体"/>
          <w:bCs/>
          <w:color w:val="auto"/>
          <w:highlight w:val="none"/>
        </w:rPr>
        <w:t>授权书。供应商为自然人的，应当由本人签名并附身份证明。</w:t>
      </w:r>
    </w:p>
    <w:p>
      <w:pPr>
        <w:spacing w:line="406" w:lineRule="exact"/>
        <w:ind w:firstLine="211" w:firstLineChars="100"/>
        <w:rPr>
          <w:b/>
          <w:bCs/>
          <w:color w:val="auto"/>
          <w:highlight w:val="none"/>
        </w:rPr>
      </w:pPr>
      <w:r>
        <w:rPr>
          <w:rFonts w:hint="eastAsia"/>
          <w:b/>
          <w:bCs/>
          <w:color w:val="auto"/>
          <w:highlight w:val="none"/>
        </w:rPr>
        <w:t>（七）综合评分</w:t>
      </w:r>
    </w:p>
    <w:p>
      <w:pPr>
        <w:spacing w:line="406" w:lineRule="exact"/>
        <w:ind w:firstLine="420" w:firstLineChars="200"/>
        <w:rPr>
          <w:rFonts w:ascii="宋体" w:hAnsi="Courier New" w:cs="Courier New"/>
          <w:color w:val="auto"/>
          <w:szCs w:val="21"/>
          <w:highlight w:val="none"/>
        </w:rPr>
      </w:pPr>
      <w:r>
        <w:rPr>
          <w:rFonts w:hint="eastAsia" w:ascii="宋体" w:hAnsi="Courier New" w:cs="Courier New"/>
          <w:color w:val="auto"/>
          <w:szCs w:val="21"/>
          <w:highlight w:val="none"/>
        </w:rPr>
        <w:t>1</w:t>
      </w:r>
      <w:r>
        <w:rPr>
          <w:rFonts w:ascii="宋体" w:hAnsi="Courier New" w:cs="Courier New"/>
          <w:color w:val="auto"/>
          <w:szCs w:val="21"/>
          <w:highlight w:val="none"/>
        </w:rPr>
        <w:t>.</w:t>
      </w:r>
      <w:r>
        <w:rPr>
          <w:rFonts w:hint="eastAsia" w:ascii="宋体" w:hAnsi="Courier New" w:cs="Courier New"/>
          <w:color w:val="auto"/>
          <w:szCs w:val="21"/>
          <w:highlight w:val="none"/>
        </w:rPr>
        <w:t>经磋商确定最终采购需求和提交最后报价的供应商后，由磋商小组采用综合评分法对提交最后报价的供应商的响应文件和最后报价进行综合评分。</w:t>
      </w:r>
    </w:p>
    <w:p>
      <w:pPr>
        <w:spacing w:line="406" w:lineRule="exact"/>
        <w:ind w:firstLine="420" w:firstLineChars="200"/>
        <w:rPr>
          <w:color w:val="auto"/>
          <w:highlight w:val="none"/>
        </w:rPr>
      </w:pPr>
      <w:r>
        <w:rPr>
          <w:rFonts w:hint="eastAsia" w:ascii="宋体" w:hAnsi="Courier New" w:cs="Courier New"/>
          <w:color w:val="auto"/>
          <w:szCs w:val="21"/>
          <w:highlight w:val="none"/>
        </w:rPr>
        <w:t>2</w:t>
      </w:r>
      <w:r>
        <w:rPr>
          <w:rFonts w:ascii="宋体" w:hAnsi="Courier New" w:cs="Courier New"/>
          <w:color w:val="auto"/>
          <w:szCs w:val="21"/>
          <w:highlight w:val="none"/>
        </w:rPr>
        <w:t>.</w:t>
      </w:r>
      <w:r>
        <w:rPr>
          <w:rFonts w:hint="eastAsia" w:ascii="宋体" w:hAnsi="Courier New" w:cs="Courier New"/>
          <w:color w:val="auto"/>
          <w:szCs w:val="21"/>
          <w:highlight w:val="none"/>
        </w:rPr>
        <w:t>综合评分法：响应文件满足磋商文件全部实质性要求且按评审因素的量化指标评审得分最高的供应商为成交候选供应商，详见第四章《评定标准及推荐原则》。</w:t>
      </w:r>
    </w:p>
    <w:p>
      <w:pPr>
        <w:pStyle w:val="24"/>
        <w:spacing w:line="406" w:lineRule="exact"/>
        <w:ind w:firstLine="211" w:firstLineChars="100"/>
        <w:rPr>
          <w:rFonts w:hAnsi="宋体"/>
          <w:b/>
          <w:color w:val="auto"/>
          <w:highlight w:val="none"/>
        </w:rPr>
      </w:pPr>
      <w:r>
        <w:rPr>
          <w:rFonts w:hint="eastAsia" w:hAnsi="宋体"/>
          <w:b/>
          <w:color w:val="auto"/>
          <w:highlight w:val="none"/>
        </w:rPr>
        <w:t>（八）供应商有下列情形之一的，属于恶意串通：</w:t>
      </w:r>
    </w:p>
    <w:p>
      <w:pPr>
        <w:pStyle w:val="24"/>
        <w:spacing w:line="406" w:lineRule="exact"/>
        <w:ind w:firstLine="420" w:firstLineChars="200"/>
        <w:rPr>
          <w:rFonts w:hAnsi="宋体" w:cs="Times New Roman"/>
          <w:color w:val="auto"/>
          <w:highlight w:val="none"/>
        </w:rPr>
      </w:pPr>
      <w:r>
        <w:rPr>
          <w:rFonts w:hint="eastAsia" w:hAnsi="宋体" w:cs="Times New Roman"/>
          <w:color w:val="auto"/>
          <w:highlight w:val="none"/>
        </w:rPr>
        <w:t>1</w:t>
      </w:r>
      <w:r>
        <w:rPr>
          <w:rFonts w:hAnsi="宋体" w:cs="Times New Roman"/>
          <w:color w:val="auto"/>
          <w:highlight w:val="none"/>
        </w:rPr>
        <w:t>.</w:t>
      </w:r>
      <w:r>
        <w:rPr>
          <w:rFonts w:hint="eastAsia" w:hAnsi="宋体" w:cs="Times New Roman"/>
          <w:color w:val="auto"/>
          <w:highlight w:val="none"/>
        </w:rPr>
        <w:t>供应商直接或者间接从采购人或者采购代理机构处获得其他供应商的相关情况并修改其响应文件；</w:t>
      </w:r>
    </w:p>
    <w:p>
      <w:pPr>
        <w:pStyle w:val="24"/>
        <w:spacing w:line="406" w:lineRule="exact"/>
        <w:ind w:firstLine="420" w:firstLineChars="200"/>
        <w:rPr>
          <w:rFonts w:hAnsi="宋体" w:cs="Times New Roman"/>
          <w:color w:val="auto"/>
          <w:highlight w:val="none"/>
        </w:rPr>
      </w:pPr>
      <w:r>
        <w:rPr>
          <w:rFonts w:hint="eastAsia" w:hAnsi="宋体" w:cs="Times New Roman"/>
          <w:color w:val="auto"/>
          <w:highlight w:val="none"/>
        </w:rPr>
        <w:t>2</w:t>
      </w:r>
      <w:r>
        <w:rPr>
          <w:rFonts w:hAnsi="宋体" w:cs="Times New Roman"/>
          <w:color w:val="auto"/>
          <w:highlight w:val="none"/>
        </w:rPr>
        <w:t>.</w:t>
      </w:r>
      <w:r>
        <w:rPr>
          <w:rFonts w:hint="eastAsia" w:hAnsi="宋体" w:cs="Times New Roman"/>
          <w:color w:val="auto"/>
          <w:highlight w:val="none"/>
        </w:rPr>
        <w:t>供应商按照采购人或者采购代理机构的授意撤换、修改响应文件；</w:t>
      </w:r>
    </w:p>
    <w:p>
      <w:pPr>
        <w:pStyle w:val="24"/>
        <w:spacing w:line="406" w:lineRule="exact"/>
        <w:ind w:firstLine="420" w:firstLineChars="200"/>
        <w:rPr>
          <w:rFonts w:hAnsi="宋体" w:cs="Times New Roman"/>
          <w:color w:val="auto"/>
          <w:highlight w:val="none"/>
        </w:rPr>
      </w:pPr>
      <w:r>
        <w:rPr>
          <w:rFonts w:hint="eastAsia" w:hAnsi="宋体" w:cs="Times New Roman"/>
          <w:color w:val="auto"/>
          <w:highlight w:val="none"/>
        </w:rPr>
        <w:t>3</w:t>
      </w:r>
      <w:r>
        <w:rPr>
          <w:rFonts w:hAnsi="宋体" w:cs="Times New Roman"/>
          <w:color w:val="auto"/>
          <w:highlight w:val="none"/>
        </w:rPr>
        <w:t>.</w:t>
      </w:r>
      <w:r>
        <w:rPr>
          <w:rFonts w:hint="eastAsia" w:hAnsi="宋体" w:cs="Times New Roman"/>
          <w:color w:val="auto"/>
          <w:highlight w:val="none"/>
        </w:rPr>
        <w:t>供应商之间协商报价、技术方案等响应文件的实质性内容；</w:t>
      </w:r>
    </w:p>
    <w:p>
      <w:pPr>
        <w:pStyle w:val="24"/>
        <w:spacing w:line="406" w:lineRule="exact"/>
        <w:ind w:firstLine="420" w:firstLineChars="200"/>
        <w:rPr>
          <w:rFonts w:hAnsi="宋体" w:cs="Times New Roman"/>
          <w:color w:val="auto"/>
          <w:highlight w:val="none"/>
        </w:rPr>
      </w:pPr>
      <w:r>
        <w:rPr>
          <w:rFonts w:hint="eastAsia" w:hAnsi="宋体" w:cs="Times New Roman"/>
          <w:color w:val="auto"/>
          <w:highlight w:val="none"/>
        </w:rPr>
        <w:t>4</w:t>
      </w:r>
      <w:r>
        <w:rPr>
          <w:rFonts w:hAnsi="宋体" w:cs="Times New Roman"/>
          <w:color w:val="auto"/>
          <w:highlight w:val="none"/>
        </w:rPr>
        <w:t>.</w:t>
      </w:r>
      <w:r>
        <w:rPr>
          <w:rFonts w:hint="eastAsia" w:hAnsi="宋体" w:cs="Times New Roman"/>
          <w:color w:val="auto"/>
          <w:highlight w:val="none"/>
        </w:rPr>
        <w:t>属于同一集团、协会、商会等组织成员的供应商按照该组织要求协同参加政府采购活动；</w:t>
      </w:r>
    </w:p>
    <w:p>
      <w:pPr>
        <w:pStyle w:val="24"/>
        <w:spacing w:line="406" w:lineRule="exact"/>
        <w:ind w:firstLine="420" w:firstLineChars="200"/>
        <w:rPr>
          <w:rFonts w:hAnsi="宋体" w:cs="Times New Roman"/>
          <w:color w:val="auto"/>
          <w:highlight w:val="none"/>
        </w:rPr>
      </w:pPr>
      <w:r>
        <w:rPr>
          <w:rFonts w:hint="eastAsia" w:hAnsi="宋体" w:cs="Times New Roman"/>
          <w:color w:val="auto"/>
          <w:highlight w:val="none"/>
        </w:rPr>
        <w:t>5</w:t>
      </w:r>
      <w:r>
        <w:rPr>
          <w:rFonts w:hAnsi="宋体" w:cs="Times New Roman"/>
          <w:color w:val="auto"/>
          <w:highlight w:val="none"/>
        </w:rPr>
        <w:t>.</w:t>
      </w:r>
      <w:r>
        <w:rPr>
          <w:rFonts w:hint="eastAsia" w:hAnsi="宋体" w:cs="Times New Roman"/>
          <w:color w:val="auto"/>
          <w:highlight w:val="none"/>
        </w:rPr>
        <w:t>供应商之间事先约定由某一特定供应商成交；</w:t>
      </w:r>
    </w:p>
    <w:p>
      <w:pPr>
        <w:pStyle w:val="24"/>
        <w:spacing w:line="406" w:lineRule="exact"/>
        <w:ind w:firstLine="420" w:firstLineChars="200"/>
        <w:rPr>
          <w:rFonts w:hAnsi="宋体" w:cs="Times New Roman"/>
          <w:color w:val="auto"/>
          <w:highlight w:val="none"/>
        </w:rPr>
      </w:pPr>
      <w:r>
        <w:rPr>
          <w:rFonts w:hint="eastAsia" w:hAnsi="宋体" w:cs="Times New Roman"/>
          <w:color w:val="auto"/>
          <w:highlight w:val="none"/>
        </w:rPr>
        <w:t>6</w:t>
      </w:r>
      <w:r>
        <w:rPr>
          <w:rFonts w:hAnsi="宋体" w:cs="Times New Roman"/>
          <w:color w:val="auto"/>
          <w:highlight w:val="none"/>
        </w:rPr>
        <w:t>.</w:t>
      </w:r>
      <w:r>
        <w:rPr>
          <w:rFonts w:hint="eastAsia" w:hAnsi="宋体" w:cs="Times New Roman"/>
          <w:color w:val="auto"/>
          <w:highlight w:val="none"/>
        </w:rPr>
        <w:t>供应商之间商定部分供应商放弃参加政府采购活动或者放弃成交；</w:t>
      </w:r>
    </w:p>
    <w:p>
      <w:pPr>
        <w:pStyle w:val="24"/>
        <w:spacing w:line="406" w:lineRule="exact"/>
        <w:ind w:firstLine="420" w:firstLineChars="200"/>
        <w:rPr>
          <w:rFonts w:hAnsi="宋体" w:cs="Times New Roman"/>
          <w:color w:val="auto"/>
          <w:highlight w:val="none"/>
        </w:rPr>
      </w:pPr>
      <w:r>
        <w:rPr>
          <w:rFonts w:hint="eastAsia" w:hAnsi="宋体" w:cs="Times New Roman"/>
          <w:color w:val="auto"/>
          <w:highlight w:val="none"/>
        </w:rPr>
        <w:t>7</w:t>
      </w:r>
      <w:r>
        <w:rPr>
          <w:rFonts w:hAnsi="宋体" w:cs="Times New Roman"/>
          <w:color w:val="auto"/>
          <w:highlight w:val="none"/>
        </w:rPr>
        <w:t>.</w:t>
      </w:r>
      <w:r>
        <w:rPr>
          <w:rFonts w:hint="eastAsia" w:hAnsi="宋体" w:cs="Times New Roman"/>
          <w:color w:val="auto"/>
          <w:highlight w:val="none"/>
        </w:rPr>
        <w:t>供应商与采购人或者采购代理机构之间、供应商相互之间，为谋求特定供应商成交或者排斥其他供应商的其他串通行为。</w:t>
      </w:r>
    </w:p>
    <w:p>
      <w:pPr>
        <w:pStyle w:val="24"/>
        <w:spacing w:line="406" w:lineRule="exact"/>
        <w:ind w:firstLine="211" w:firstLineChars="100"/>
        <w:rPr>
          <w:rFonts w:hAnsi="宋体"/>
          <w:b/>
          <w:color w:val="auto"/>
          <w:highlight w:val="none"/>
        </w:rPr>
      </w:pPr>
      <w:r>
        <w:rPr>
          <w:rFonts w:hint="eastAsia" w:hAnsi="宋体"/>
          <w:b/>
          <w:color w:val="auto"/>
          <w:highlight w:val="none"/>
        </w:rPr>
        <w:t>（九）评审报告</w:t>
      </w:r>
    </w:p>
    <w:p>
      <w:pPr>
        <w:widowControl/>
        <w:tabs>
          <w:tab w:val="left" w:pos="540"/>
        </w:tabs>
        <w:spacing w:line="406" w:lineRule="exact"/>
        <w:ind w:firstLine="420" w:firstLineChars="200"/>
        <w:jc w:val="left"/>
        <w:rPr>
          <w:color w:val="auto"/>
          <w:szCs w:val="21"/>
          <w:highlight w:val="none"/>
        </w:rPr>
      </w:pPr>
      <w:r>
        <w:rPr>
          <w:rFonts w:hint="eastAsia"/>
          <w:color w:val="auto"/>
          <w:szCs w:val="21"/>
          <w:highlight w:val="none"/>
        </w:rPr>
        <w:t>1</w:t>
      </w:r>
      <w:r>
        <w:rPr>
          <w:color w:val="auto"/>
          <w:szCs w:val="21"/>
          <w:highlight w:val="none"/>
        </w:rPr>
        <w:t>.</w:t>
      </w:r>
      <w:r>
        <w:rPr>
          <w:rFonts w:hint="eastAsia"/>
          <w:color w:val="auto"/>
          <w:szCs w:val="21"/>
          <w:highlight w:val="none"/>
        </w:rPr>
        <w:t>磋商小组应当根据评审记录和评审结果编写评审报告，主要内容包括：</w:t>
      </w:r>
    </w:p>
    <w:p>
      <w:pPr>
        <w:widowControl/>
        <w:tabs>
          <w:tab w:val="left" w:pos="540"/>
        </w:tabs>
        <w:spacing w:line="406" w:lineRule="exact"/>
        <w:ind w:firstLine="420" w:firstLineChars="200"/>
        <w:jc w:val="left"/>
        <w:rPr>
          <w:color w:val="auto"/>
          <w:szCs w:val="21"/>
          <w:highlight w:val="none"/>
        </w:rPr>
      </w:pPr>
      <w:r>
        <w:rPr>
          <w:rFonts w:hint="eastAsia"/>
          <w:color w:val="auto"/>
          <w:szCs w:val="21"/>
          <w:highlight w:val="none"/>
        </w:rPr>
        <w:t>(</w:t>
      </w:r>
      <w:r>
        <w:rPr>
          <w:color w:val="auto"/>
          <w:szCs w:val="21"/>
          <w:highlight w:val="none"/>
        </w:rPr>
        <w:t>1)</w:t>
      </w:r>
      <w:r>
        <w:rPr>
          <w:rFonts w:hint="eastAsia"/>
          <w:color w:val="auto"/>
          <w:szCs w:val="21"/>
          <w:highlight w:val="none"/>
        </w:rPr>
        <w:t>邀请供应商参加采购活动的具体方式和相关情况；</w:t>
      </w:r>
    </w:p>
    <w:p>
      <w:pPr>
        <w:widowControl/>
        <w:tabs>
          <w:tab w:val="left" w:pos="540"/>
        </w:tabs>
        <w:spacing w:line="406" w:lineRule="exact"/>
        <w:ind w:firstLine="420" w:firstLineChars="200"/>
        <w:jc w:val="left"/>
        <w:rPr>
          <w:color w:val="auto"/>
          <w:szCs w:val="21"/>
          <w:highlight w:val="none"/>
        </w:rPr>
      </w:pPr>
      <w:r>
        <w:rPr>
          <w:rFonts w:hint="eastAsia"/>
          <w:color w:val="auto"/>
          <w:szCs w:val="21"/>
          <w:highlight w:val="none"/>
        </w:rPr>
        <w:t>(</w:t>
      </w:r>
      <w:r>
        <w:rPr>
          <w:color w:val="auto"/>
          <w:szCs w:val="21"/>
          <w:highlight w:val="none"/>
        </w:rPr>
        <w:t>2)</w:t>
      </w:r>
      <w:r>
        <w:rPr>
          <w:rFonts w:hint="eastAsia"/>
          <w:color w:val="auto"/>
          <w:szCs w:val="21"/>
          <w:highlight w:val="none"/>
        </w:rPr>
        <w:t>响应文件开启日期和地点；</w:t>
      </w:r>
    </w:p>
    <w:p>
      <w:pPr>
        <w:widowControl/>
        <w:tabs>
          <w:tab w:val="left" w:pos="540"/>
        </w:tabs>
        <w:spacing w:line="406" w:lineRule="exact"/>
        <w:ind w:firstLine="420" w:firstLineChars="200"/>
        <w:jc w:val="left"/>
        <w:rPr>
          <w:color w:val="auto"/>
          <w:szCs w:val="21"/>
          <w:highlight w:val="none"/>
        </w:rPr>
      </w:pPr>
      <w:r>
        <w:rPr>
          <w:rFonts w:hint="eastAsia"/>
          <w:color w:val="auto"/>
          <w:szCs w:val="21"/>
          <w:highlight w:val="none"/>
        </w:rPr>
        <w:t>(</w:t>
      </w:r>
      <w:r>
        <w:rPr>
          <w:color w:val="auto"/>
          <w:szCs w:val="21"/>
          <w:highlight w:val="none"/>
        </w:rPr>
        <w:t>3)</w:t>
      </w:r>
      <w:r>
        <w:rPr>
          <w:rFonts w:hint="eastAsia"/>
          <w:color w:val="auto"/>
          <w:szCs w:val="21"/>
          <w:highlight w:val="none"/>
        </w:rPr>
        <w:t>获取磋商文件的供应商名单和磋商小组成员名单；</w:t>
      </w:r>
    </w:p>
    <w:p>
      <w:pPr>
        <w:widowControl/>
        <w:tabs>
          <w:tab w:val="left" w:pos="540"/>
        </w:tabs>
        <w:spacing w:line="406" w:lineRule="exact"/>
        <w:ind w:firstLine="420" w:firstLineChars="200"/>
        <w:jc w:val="left"/>
        <w:rPr>
          <w:color w:val="auto"/>
          <w:szCs w:val="21"/>
          <w:highlight w:val="none"/>
        </w:rPr>
      </w:pPr>
      <w:r>
        <w:rPr>
          <w:rFonts w:hint="eastAsia"/>
          <w:color w:val="auto"/>
          <w:szCs w:val="21"/>
          <w:highlight w:val="none"/>
        </w:rPr>
        <w:t>(</w:t>
      </w:r>
      <w:r>
        <w:rPr>
          <w:color w:val="auto"/>
          <w:szCs w:val="21"/>
          <w:highlight w:val="none"/>
        </w:rPr>
        <w:t>4)</w:t>
      </w:r>
      <w:r>
        <w:rPr>
          <w:rFonts w:hint="eastAsia"/>
          <w:color w:val="auto"/>
          <w:szCs w:val="21"/>
          <w:highlight w:val="none"/>
        </w:rPr>
        <w:t>评审情况记录和说明，包括对供应商的资格审查情况、供应商响应文件评审情况、磋商情况、报价情况等；</w:t>
      </w:r>
    </w:p>
    <w:p>
      <w:pPr>
        <w:widowControl/>
        <w:tabs>
          <w:tab w:val="left" w:pos="540"/>
        </w:tabs>
        <w:spacing w:line="406" w:lineRule="exact"/>
        <w:ind w:firstLine="420" w:firstLineChars="200"/>
        <w:jc w:val="left"/>
        <w:rPr>
          <w:color w:val="auto"/>
          <w:szCs w:val="21"/>
          <w:highlight w:val="none"/>
        </w:rPr>
      </w:pPr>
      <w:r>
        <w:rPr>
          <w:rFonts w:hint="eastAsia"/>
          <w:color w:val="auto"/>
          <w:szCs w:val="21"/>
          <w:highlight w:val="none"/>
        </w:rPr>
        <w:t>(</w:t>
      </w:r>
      <w:r>
        <w:rPr>
          <w:color w:val="auto"/>
          <w:szCs w:val="21"/>
          <w:highlight w:val="none"/>
        </w:rPr>
        <w:t>5)</w:t>
      </w:r>
      <w:r>
        <w:rPr>
          <w:rFonts w:hint="eastAsia"/>
          <w:color w:val="auto"/>
          <w:szCs w:val="21"/>
          <w:highlight w:val="none"/>
        </w:rPr>
        <w:t>提出的成交候选供应商的排序名单及理由。</w:t>
      </w:r>
    </w:p>
    <w:p>
      <w:pPr>
        <w:widowControl/>
        <w:tabs>
          <w:tab w:val="left" w:pos="540"/>
        </w:tabs>
        <w:spacing w:line="406" w:lineRule="exact"/>
        <w:ind w:firstLine="420" w:firstLineChars="200"/>
        <w:jc w:val="left"/>
        <w:rPr>
          <w:color w:val="auto"/>
          <w:szCs w:val="21"/>
          <w:highlight w:val="none"/>
        </w:rPr>
      </w:pPr>
      <w:r>
        <w:rPr>
          <w:rFonts w:hint="eastAsia"/>
          <w:color w:val="auto"/>
          <w:szCs w:val="21"/>
          <w:highlight w:val="none"/>
        </w:rPr>
        <w:t>2</w:t>
      </w:r>
      <w:r>
        <w:rPr>
          <w:color w:val="auto"/>
          <w:szCs w:val="21"/>
          <w:highlight w:val="none"/>
        </w:rPr>
        <w:t>.</w:t>
      </w:r>
      <w:r>
        <w:rPr>
          <w:rFonts w:hint="eastAsia"/>
          <w:color w:val="auto"/>
          <w:szCs w:val="21"/>
          <w:highlight w:val="none"/>
        </w:rPr>
        <w:t>评审报告应当由磋商小组全体人员签名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名又不书面说明其不同意见和理由的，视为同意评审报告。</w:t>
      </w:r>
    </w:p>
    <w:p>
      <w:pPr>
        <w:pStyle w:val="24"/>
        <w:spacing w:line="406" w:lineRule="exact"/>
        <w:ind w:firstLine="211" w:firstLineChars="100"/>
        <w:rPr>
          <w:rFonts w:hAnsi="宋体"/>
          <w:color w:val="auto"/>
          <w:highlight w:val="none"/>
        </w:rPr>
      </w:pPr>
      <w:r>
        <w:rPr>
          <w:rFonts w:hint="eastAsia" w:hAnsi="宋体"/>
          <w:b/>
          <w:bCs/>
          <w:color w:val="auto"/>
          <w:highlight w:val="none"/>
        </w:rPr>
        <w:t>（十）</w:t>
      </w:r>
      <w:r>
        <w:rPr>
          <w:rFonts w:hint="eastAsia" w:hAnsi="宋体"/>
          <w:b/>
          <w:color w:val="auto"/>
          <w:highlight w:val="none"/>
        </w:rPr>
        <w:t>出现下列情形之一的，本中心将终止竞争性磋商采购活动：</w:t>
      </w:r>
    </w:p>
    <w:p>
      <w:pPr>
        <w:pStyle w:val="24"/>
        <w:spacing w:line="406" w:lineRule="exact"/>
        <w:ind w:firstLine="420" w:firstLineChars="200"/>
        <w:rPr>
          <w:rFonts w:hAnsi="宋体"/>
          <w:color w:val="auto"/>
          <w:highlight w:val="none"/>
        </w:rPr>
      </w:pPr>
      <w:r>
        <w:rPr>
          <w:rFonts w:hint="eastAsia" w:hAnsi="宋体"/>
          <w:color w:val="auto"/>
          <w:highlight w:val="none"/>
        </w:rPr>
        <w:t>1</w:t>
      </w:r>
      <w:r>
        <w:rPr>
          <w:rFonts w:hAnsi="宋体"/>
          <w:color w:val="auto"/>
          <w:highlight w:val="none"/>
        </w:rPr>
        <w:t>.</w:t>
      </w:r>
      <w:r>
        <w:rPr>
          <w:rFonts w:hint="eastAsia" w:hAnsi="宋体"/>
          <w:color w:val="auto"/>
          <w:highlight w:val="none"/>
        </w:rPr>
        <w:t>因情况变化，不再符合规定的竞争性磋商采购方式适用情形的；</w:t>
      </w:r>
    </w:p>
    <w:p>
      <w:pPr>
        <w:pStyle w:val="24"/>
        <w:spacing w:line="406" w:lineRule="exact"/>
        <w:ind w:firstLine="420" w:firstLineChars="200"/>
        <w:rPr>
          <w:rFonts w:hAnsi="宋体"/>
          <w:color w:val="auto"/>
          <w:highlight w:val="none"/>
        </w:rPr>
      </w:pPr>
      <w:r>
        <w:rPr>
          <w:rFonts w:hint="eastAsia" w:hAnsi="宋体"/>
          <w:color w:val="auto"/>
          <w:highlight w:val="none"/>
        </w:rPr>
        <w:t>2</w:t>
      </w:r>
      <w:r>
        <w:rPr>
          <w:rFonts w:hAnsi="宋体"/>
          <w:color w:val="auto"/>
          <w:highlight w:val="none"/>
        </w:rPr>
        <w:t>.</w:t>
      </w:r>
      <w:r>
        <w:rPr>
          <w:rFonts w:hint="eastAsia" w:hAnsi="宋体"/>
          <w:color w:val="auto"/>
          <w:highlight w:val="none"/>
        </w:rPr>
        <w:t>出现影响采购公正的违法、违规行为的；</w:t>
      </w:r>
    </w:p>
    <w:p>
      <w:pPr>
        <w:pStyle w:val="24"/>
        <w:spacing w:line="406" w:lineRule="exact"/>
        <w:ind w:firstLine="420" w:firstLineChars="200"/>
        <w:rPr>
          <w:rFonts w:hAnsi="宋体"/>
          <w:color w:val="auto"/>
          <w:highlight w:val="none"/>
        </w:rPr>
      </w:pPr>
      <w:r>
        <w:rPr>
          <w:rFonts w:hint="eastAsia" w:hAnsi="宋体"/>
          <w:color w:val="auto"/>
          <w:highlight w:val="none"/>
        </w:rPr>
        <w:t>3</w:t>
      </w:r>
      <w:r>
        <w:rPr>
          <w:rFonts w:hAnsi="宋体"/>
          <w:color w:val="auto"/>
          <w:highlight w:val="none"/>
        </w:rPr>
        <w:t>.</w:t>
      </w:r>
      <w:r>
        <w:rPr>
          <w:rFonts w:hint="eastAsia" w:hAnsi="宋体"/>
          <w:color w:val="auto"/>
          <w:highlight w:val="none"/>
        </w:rPr>
        <w:t>除特殊情况外，在采购过程中符合要求的供应商或者报价未超过采购预算的供应商不足3家的。</w:t>
      </w:r>
    </w:p>
    <w:p>
      <w:pPr>
        <w:pStyle w:val="4"/>
        <w:spacing w:line="406" w:lineRule="exact"/>
        <w:rPr>
          <w:color w:val="auto"/>
          <w:highlight w:val="none"/>
        </w:rPr>
      </w:pPr>
      <w:r>
        <w:rPr>
          <w:rFonts w:hint="eastAsia"/>
          <w:color w:val="auto"/>
          <w:highlight w:val="none"/>
        </w:rPr>
        <w:t>六、确定成交供应商</w:t>
      </w:r>
    </w:p>
    <w:p>
      <w:pPr>
        <w:pStyle w:val="24"/>
        <w:spacing w:line="406" w:lineRule="exact"/>
        <w:ind w:firstLine="420"/>
        <w:rPr>
          <w:rFonts w:hAnsi="宋体"/>
          <w:color w:val="auto"/>
          <w:highlight w:val="none"/>
        </w:rPr>
      </w:pPr>
      <w:r>
        <w:rPr>
          <w:rFonts w:hint="eastAsia" w:hAnsi="宋体"/>
          <w:color w:val="auto"/>
          <w:highlight w:val="none"/>
        </w:rPr>
        <w:t>1</w:t>
      </w:r>
      <w:r>
        <w:rPr>
          <w:rFonts w:hAnsi="宋体"/>
          <w:color w:val="auto"/>
          <w:highlight w:val="none"/>
        </w:rPr>
        <w:t>.</w:t>
      </w:r>
      <w:r>
        <w:rPr>
          <w:rFonts w:hint="eastAsia" w:hAnsi="宋体"/>
          <w:color w:val="auto"/>
          <w:highlight w:val="none"/>
        </w:rPr>
        <w:t>本中心应当在评审结束后2个工作日内将评审报告送采购人确认。</w:t>
      </w:r>
    </w:p>
    <w:p>
      <w:pPr>
        <w:pStyle w:val="24"/>
        <w:spacing w:line="406" w:lineRule="exact"/>
        <w:ind w:firstLine="420"/>
        <w:rPr>
          <w:rFonts w:hAnsi="宋体"/>
          <w:color w:val="auto"/>
          <w:highlight w:val="none"/>
        </w:rPr>
      </w:pPr>
      <w:r>
        <w:rPr>
          <w:rFonts w:hAnsi="宋体"/>
          <w:color w:val="auto"/>
          <w:highlight w:val="none"/>
        </w:rPr>
        <w:t>2.</w:t>
      </w:r>
      <w:r>
        <w:rPr>
          <w:rFonts w:hint="eastAsia" w:hAnsi="宋体"/>
          <w:color w:val="auto"/>
          <w:highlight w:val="none"/>
        </w:rPr>
        <w:t>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pPr>
        <w:pStyle w:val="4"/>
        <w:spacing w:line="406" w:lineRule="exact"/>
        <w:rPr>
          <w:color w:val="auto"/>
          <w:highlight w:val="none"/>
        </w:rPr>
      </w:pPr>
      <w:r>
        <w:rPr>
          <w:rFonts w:hint="eastAsia"/>
          <w:color w:val="auto"/>
          <w:highlight w:val="none"/>
        </w:rPr>
        <w:t>七、结果公告</w:t>
      </w:r>
    </w:p>
    <w:p>
      <w:pPr>
        <w:pStyle w:val="24"/>
        <w:spacing w:line="406" w:lineRule="exact"/>
        <w:ind w:firstLine="420" w:firstLineChars="200"/>
        <w:rPr>
          <w:rFonts w:hAnsi="宋体"/>
          <w:color w:val="auto"/>
          <w:highlight w:val="none"/>
        </w:rPr>
      </w:pPr>
      <w:r>
        <w:rPr>
          <w:rFonts w:hint="eastAsia" w:hAnsi="宋体"/>
          <w:color w:val="auto"/>
          <w:highlight w:val="none"/>
        </w:rPr>
        <w:t>本中心在成交供应商确定后2个工作日内，</w:t>
      </w:r>
      <w:r>
        <w:rPr>
          <w:rFonts w:hint="eastAsia"/>
          <w:color w:val="auto"/>
          <w:highlight w:val="none"/>
        </w:rPr>
        <w:t>在省级以上财政部门指定的媒体上公告</w:t>
      </w:r>
      <w:r>
        <w:rPr>
          <w:rFonts w:hint="eastAsia" w:hAnsi="宋体"/>
          <w:color w:val="auto"/>
          <w:highlight w:val="none"/>
        </w:rPr>
        <w:t>成交结果，同时向成交供应商发出成交通知书。</w:t>
      </w:r>
    </w:p>
    <w:p>
      <w:pPr>
        <w:pStyle w:val="4"/>
        <w:spacing w:line="406" w:lineRule="exact"/>
        <w:rPr>
          <w:color w:val="auto"/>
          <w:highlight w:val="none"/>
        </w:rPr>
      </w:pPr>
      <w:r>
        <w:rPr>
          <w:rFonts w:hint="eastAsia"/>
          <w:color w:val="auto"/>
          <w:highlight w:val="none"/>
        </w:rPr>
        <w:t>八、签订合同</w:t>
      </w:r>
    </w:p>
    <w:p>
      <w:pPr>
        <w:spacing w:line="406" w:lineRule="exact"/>
        <w:ind w:firstLine="210" w:firstLineChars="100"/>
        <w:rPr>
          <w:rFonts w:ascii="宋体" w:hAnsi="宋体" w:cs="Courier New"/>
          <w:color w:val="auto"/>
          <w:szCs w:val="21"/>
          <w:highlight w:val="none"/>
        </w:rPr>
      </w:pPr>
      <w:r>
        <w:rPr>
          <w:rFonts w:hint="eastAsia" w:ascii="宋体" w:hAnsi="宋体"/>
          <w:color w:val="auto"/>
          <w:szCs w:val="21"/>
          <w:highlight w:val="none"/>
        </w:rPr>
        <w:t>（一）</w:t>
      </w:r>
      <w:r>
        <w:rPr>
          <w:rFonts w:hint="eastAsia" w:ascii="宋体" w:hAnsi="宋体" w:cs="Courier New"/>
          <w:color w:val="auto"/>
          <w:szCs w:val="21"/>
          <w:highlight w:val="none"/>
        </w:rPr>
        <w:t>采购人与成交供应商应当在成交通知书发出之日起</w:t>
      </w:r>
      <w:r>
        <w:rPr>
          <w:rFonts w:hint="eastAsia" w:ascii="宋体" w:hAnsi="宋体" w:cs="Courier New"/>
          <w:color w:val="auto"/>
          <w:szCs w:val="21"/>
          <w:highlight w:val="none"/>
          <w:lang w:val="en-US" w:eastAsia="zh-CN"/>
        </w:rPr>
        <w:t>10</w:t>
      </w:r>
      <w:r>
        <w:rPr>
          <w:rFonts w:hint="eastAsia" w:ascii="宋体" w:hAnsi="宋体" w:cs="Courier New"/>
          <w:color w:val="auto"/>
          <w:szCs w:val="21"/>
          <w:highlight w:val="none"/>
        </w:rPr>
        <w:t>日内，按照磋商文件确定的合同文本以及采购标的、规格型号、采购金额、采购数量、技术和服务要求等事项签订政府采购合同。</w:t>
      </w:r>
    </w:p>
    <w:p>
      <w:pPr>
        <w:widowControl/>
        <w:spacing w:line="406" w:lineRule="exact"/>
        <w:ind w:firstLine="210" w:firstLineChars="100"/>
        <w:jc w:val="left"/>
        <w:rPr>
          <w:rFonts w:ascii="宋体" w:hAnsi="宋体" w:cs="宋体"/>
          <w:color w:val="auto"/>
          <w:kern w:val="0"/>
          <w:szCs w:val="21"/>
          <w:highlight w:val="none"/>
        </w:rPr>
      </w:pPr>
      <w:r>
        <w:rPr>
          <w:rFonts w:hint="eastAsia" w:ascii="宋体" w:hAnsi="宋体" w:cs="Courier New"/>
          <w:color w:val="auto"/>
          <w:szCs w:val="21"/>
          <w:highlight w:val="none"/>
        </w:rPr>
        <w:t>（二）</w:t>
      </w:r>
      <w:r>
        <w:rPr>
          <w:rFonts w:hint="eastAsia" w:ascii="宋体" w:hAnsi="宋体" w:cs="宋体"/>
          <w:color w:val="auto"/>
          <w:kern w:val="0"/>
          <w:szCs w:val="21"/>
          <w:highlight w:val="none"/>
        </w:rPr>
        <w:t>采购人不得向成交供应商提出超出采购文件以外的任何要求作为签订合同的条件，不得与成交供应商订立背离采购文件确定的合同文本以及采购标的、规格型号、采购金额、采购数量、技术和服务要求等实质性内容的协议。</w:t>
      </w:r>
    </w:p>
    <w:p>
      <w:pPr>
        <w:widowControl/>
        <w:spacing w:line="406" w:lineRule="exact"/>
        <w:ind w:firstLine="210" w:firstLineChars="100"/>
        <w:jc w:val="left"/>
        <w:rPr>
          <w:rFonts w:ascii="宋体" w:hAnsi="宋体" w:cs="宋体"/>
          <w:color w:val="auto"/>
          <w:kern w:val="0"/>
          <w:szCs w:val="21"/>
          <w:highlight w:val="none"/>
        </w:rPr>
      </w:pPr>
      <w:r>
        <w:rPr>
          <w:rFonts w:hint="eastAsia" w:ascii="宋体" w:hAnsi="宋体" w:cs="宋体"/>
          <w:color w:val="auto"/>
          <w:kern w:val="0"/>
          <w:szCs w:val="21"/>
          <w:highlight w:val="none"/>
        </w:rPr>
        <w:t>（三）供应商可凭成交通知书或政府采购合同等在内的相关材料、信息，通过中征应收账款融资服务平台向银行业金融机构在线申请“政采贷”融资。</w:t>
      </w:r>
    </w:p>
    <w:p>
      <w:pPr>
        <w:widowControl/>
        <w:spacing w:line="406" w:lineRule="exact"/>
        <w:ind w:firstLine="210" w:firstLineChars="100"/>
        <w:jc w:val="left"/>
        <w:rPr>
          <w:rFonts w:ascii="宋体" w:hAnsi="宋体" w:cs="宋体"/>
          <w:color w:val="auto"/>
          <w:kern w:val="0"/>
          <w:szCs w:val="21"/>
          <w:highlight w:val="none"/>
        </w:rPr>
      </w:pPr>
      <w:r>
        <w:rPr>
          <w:rFonts w:hint="eastAsia" w:ascii="宋体" w:hAnsi="宋体" w:cs="宋体"/>
          <w:color w:val="auto"/>
          <w:kern w:val="0"/>
          <w:szCs w:val="21"/>
          <w:highlight w:val="none"/>
        </w:rPr>
        <w:t>（四）除不可抗力等因素外，成交后无正当理由拒不与采购人签订政府采购合同的，应当承担相应的法律责任。</w:t>
      </w:r>
    </w:p>
    <w:p>
      <w:pPr>
        <w:widowControl/>
        <w:spacing w:line="406" w:lineRule="exact"/>
        <w:ind w:firstLine="210" w:firstLineChars="100"/>
        <w:jc w:val="left"/>
        <w:rPr>
          <w:rFonts w:ascii="宋体" w:hAnsi="宋体" w:cs="宋体"/>
          <w:color w:val="auto"/>
          <w:kern w:val="0"/>
          <w:szCs w:val="21"/>
          <w:highlight w:val="none"/>
        </w:rPr>
      </w:pPr>
      <w:r>
        <w:rPr>
          <w:rFonts w:hint="eastAsia" w:ascii="宋体" w:hAnsi="宋体" w:cs="宋体"/>
          <w:color w:val="auto"/>
          <w:kern w:val="0"/>
          <w:szCs w:val="21"/>
          <w:highlight w:val="none"/>
        </w:rPr>
        <w:t>（五）</w:t>
      </w:r>
      <w:r>
        <w:rPr>
          <w:rFonts w:ascii="Arial" w:hAnsi="Arial" w:cs="Arial"/>
          <w:color w:val="auto"/>
          <w:kern w:val="0"/>
          <w:szCs w:val="21"/>
          <w:highlight w:val="none"/>
        </w:rPr>
        <w:t>政府采购合同</w:t>
      </w:r>
      <w:r>
        <w:rPr>
          <w:rFonts w:hint="eastAsia" w:hAnsi="宋体"/>
          <w:color w:val="auto"/>
          <w:highlight w:val="none"/>
        </w:rPr>
        <w:t>适用《中华人民共和国民法典》</w:t>
      </w:r>
      <w:r>
        <w:rPr>
          <w:rFonts w:ascii="Arial" w:hAnsi="Arial" w:cs="Arial"/>
          <w:color w:val="auto"/>
          <w:kern w:val="0"/>
          <w:szCs w:val="21"/>
          <w:highlight w:val="none"/>
        </w:rPr>
        <w:t>。</w:t>
      </w:r>
    </w:p>
    <w:p>
      <w:pPr>
        <w:widowControl/>
        <w:spacing w:line="406" w:lineRule="exact"/>
        <w:ind w:firstLine="210" w:firstLineChars="100"/>
        <w:jc w:val="left"/>
        <w:rPr>
          <w:rFonts w:ascii="宋体" w:hAnsi="宋体" w:cs="宋体"/>
          <w:color w:val="auto"/>
          <w:kern w:val="0"/>
          <w:szCs w:val="21"/>
          <w:highlight w:val="none"/>
        </w:rPr>
      </w:pPr>
      <w:r>
        <w:rPr>
          <w:rFonts w:hint="eastAsia" w:ascii="宋体" w:hAnsi="宋体" w:cs="宋体"/>
          <w:color w:val="auto"/>
          <w:kern w:val="0"/>
          <w:szCs w:val="21"/>
          <w:highlight w:val="none"/>
        </w:rPr>
        <w:t>（六）成交供应商拒绝签订政府采购合同的，采购人可以按照推荐原则确定其他供应商作为成交供应商并签订政府采购合同，也可以重新开展采购活动。拒绝签订政府采购合同的成交供应商不得参加对该项目重新开展的采购活动。</w:t>
      </w:r>
    </w:p>
    <w:p>
      <w:pPr>
        <w:pStyle w:val="4"/>
        <w:spacing w:line="406" w:lineRule="exact"/>
        <w:rPr>
          <w:color w:val="auto"/>
          <w:highlight w:val="none"/>
        </w:rPr>
      </w:pPr>
      <w:r>
        <w:rPr>
          <w:rFonts w:hint="eastAsia"/>
          <w:color w:val="auto"/>
          <w:highlight w:val="none"/>
        </w:rPr>
        <w:t>九、适用法律</w:t>
      </w:r>
    </w:p>
    <w:p>
      <w:pPr>
        <w:spacing w:line="406" w:lineRule="exact"/>
        <w:ind w:firstLine="420" w:firstLineChars="200"/>
        <w:rPr>
          <w:rFonts w:ascii="宋体" w:hAnsi="宋体"/>
          <w:color w:val="auto"/>
          <w:szCs w:val="21"/>
          <w:highlight w:val="none"/>
        </w:rPr>
      </w:pPr>
      <w:bookmarkStart w:id="114" w:name="_Hlk92794186"/>
      <w:r>
        <w:rPr>
          <w:rFonts w:hint="eastAsia" w:ascii="宋体" w:hAnsi="宋体"/>
          <w:color w:val="auto"/>
          <w:szCs w:val="21"/>
          <w:highlight w:val="none"/>
        </w:rPr>
        <w:t>本项目采购活动适用于《中华人民共和国政府采购法》及其实施条例、《政府采购竞争性磋商采购方式管理暂行办法》等规定。</w:t>
      </w:r>
    </w:p>
    <w:bookmarkEnd w:id="114"/>
    <w:p>
      <w:pPr>
        <w:pStyle w:val="4"/>
        <w:spacing w:line="406" w:lineRule="exact"/>
        <w:rPr>
          <w:color w:val="auto"/>
          <w:highlight w:val="none"/>
        </w:rPr>
      </w:pPr>
      <w:bookmarkStart w:id="115" w:name="_十、其他事项"/>
      <w:bookmarkEnd w:id="115"/>
      <w:r>
        <w:rPr>
          <w:rFonts w:hint="eastAsia"/>
          <w:color w:val="auto"/>
          <w:highlight w:val="none"/>
        </w:rPr>
        <w:t>十、其他事项</w:t>
      </w:r>
    </w:p>
    <w:p>
      <w:pPr>
        <w:spacing w:line="406" w:lineRule="exact"/>
        <w:ind w:firstLine="210" w:firstLineChars="100"/>
        <w:rPr>
          <w:rFonts w:hAnsi="宋体"/>
          <w:color w:val="auto"/>
          <w:highlight w:val="none"/>
        </w:rPr>
      </w:pPr>
      <w:bookmarkStart w:id="116" w:name="_Hlk94168058"/>
      <w:r>
        <w:rPr>
          <w:rFonts w:hint="eastAsia" w:hAnsi="宋体"/>
          <w:color w:val="auto"/>
          <w:highlight w:val="none"/>
        </w:rPr>
        <w:t>（一）</w:t>
      </w:r>
      <w:bookmarkEnd w:id="116"/>
      <w:r>
        <w:rPr>
          <w:rFonts w:hint="eastAsia" w:hAnsi="宋体"/>
          <w:color w:val="auto"/>
          <w:highlight w:val="none"/>
        </w:rPr>
        <w:t>代理服务费</w:t>
      </w:r>
    </w:p>
    <w:p>
      <w:pPr>
        <w:spacing w:line="406" w:lineRule="exact"/>
        <w:ind w:firstLine="420" w:firstLineChars="200"/>
        <w:rPr>
          <w:rFonts w:hAnsi="宋体"/>
          <w:color w:val="auto"/>
          <w:highlight w:val="none"/>
        </w:rPr>
      </w:pPr>
      <w:r>
        <w:rPr>
          <w:rFonts w:hint="eastAsia" w:hAnsi="宋体"/>
          <w:color w:val="auto"/>
          <w:highlight w:val="none"/>
        </w:rPr>
        <w:t>1</w:t>
      </w:r>
      <w:r>
        <w:rPr>
          <w:rFonts w:hAnsi="宋体"/>
          <w:color w:val="auto"/>
          <w:highlight w:val="none"/>
        </w:rPr>
        <w:t>.</w:t>
      </w:r>
      <w:r>
        <w:rPr>
          <w:rFonts w:hint="eastAsia" w:hAnsi="宋体"/>
          <w:color w:val="auto"/>
          <w:highlight w:val="none"/>
        </w:rPr>
        <w:t>本中心按钦州市物价局“钦市价费〔2013﹞4号”文件规定向成交供应商收取代理服务费，成交供应商须向本中心一次付清代理服务费。</w:t>
      </w:r>
    </w:p>
    <w:p>
      <w:pPr>
        <w:spacing w:line="406" w:lineRule="exact"/>
        <w:ind w:firstLine="420" w:firstLineChars="200"/>
        <w:rPr>
          <w:rFonts w:hAnsi="宋体"/>
          <w:bCs/>
          <w:color w:val="auto"/>
          <w:highlight w:val="none"/>
        </w:rPr>
      </w:pPr>
      <w:r>
        <w:rPr>
          <w:rFonts w:hint="eastAsia" w:hAnsi="宋体"/>
          <w:color w:val="auto"/>
          <w:highlight w:val="none"/>
        </w:rPr>
        <w:t>2</w:t>
      </w:r>
      <w:r>
        <w:rPr>
          <w:rFonts w:hAnsi="宋体"/>
          <w:color w:val="auto"/>
          <w:highlight w:val="none"/>
        </w:rPr>
        <w:t>.</w:t>
      </w:r>
      <w:r>
        <w:rPr>
          <w:rFonts w:hint="eastAsia" w:hAnsi="宋体"/>
          <w:bCs/>
          <w:color w:val="auto"/>
          <w:highlight w:val="none"/>
        </w:rPr>
        <w:t>代理服务收费标准：</w:t>
      </w:r>
    </w:p>
    <w:p>
      <w:pPr>
        <w:rPr>
          <w:color w:val="auto"/>
          <w:highlight w:val="none"/>
        </w:rPr>
      </w:pPr>
    </w:p>
    <w:tbl>
      <w:tblPr>
        <w:tblStyle w:val="42"/>
        <w:tblW w:w="9146"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38"/>
        <w:gridCol w:w="1932"/>
        <w:gridCol w:w="1800"/>
        <w:gridCol w:w="1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3438" w:type="dxa"/>
            <w:vMerge w:val="restart"/>
          </w:tcPr>
          <w:p>
            <w:pPr>
              <w:spacing w:line="330" w:lineRule="exact"/>
              <w:ind w:firstLine="2310" w:firstLineChars="1100"/>
              <w:rPr>
                <w:rFonts w:hAnsi="宋体"/>
                <w:color w:val="auto"/>
                <w:highlight w:val="none"/>
              </w:rPr>
            </w:pPr>
            <w:r>
              <w:rPr>
                <w:rFonts w:hAnsi="宋体"/>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-85090</wp:posOffset>
                      </wp:positionH>
                      <wp:positionV relativeFrom="paragraph">
                        <wp:posOffset>21590</wp:posOffset>
                      </wp:positionV>
                      <wp:extent cx="2172335" cy="1444625"/>
                      <wp:effectExtent l="2540" t="3810" r="15875" b="18415"/>
                      <wp:wrapNone/>
                      <wp:docPr id="4" name="直线 3"/>
                      <wp:cNvGraphicFramePr/>
                      <a:graphic xmlns:a="http://schemas.openxmlformats.org/drawingml/2006/main">
                        <a:graphicData uri="http://schemas.microsoft.com/office/word/2010/wordprocessingShape">
                          <wps:wsp>
                            <wps:cNvCnPr>
                              <a:cxnSpLocks noChangeShapeType="1"/>
                            </wps:cNvCnPr>
                            <wps:spPr bwMode="auto">
                              <a:xfrm flipH="1" flipV="1">
                                <a:off x="0" y="0"/>
                                <a:ext cx="2172335" cy="1444625"/>
                              </a:xfrm>
                              <a:prstGeom prst="line">
                                <a:avLst/>
                              </a:prstGeom>
                              <a:noFill/>
                              <a:ln w="9525">
                                <a:solidFill>
                                  <a:srgbClr val="000000"/>
                                </a:solidFill>
                                <a:round/>
                              </a:ln>
                              <a:effectLst/>
                            </wps:spPr>
                            <wps:bodyPr/>
                          </wps:wsp>
                        </a:graphicData>
                      </a:graphic>
                    </wp:anchor>
                  </w:drawing>
                </mc:Choice>
                <mc:Fallback>
                  <w:pict>
                    <v:line id="直线 3" o:spid="_x0000_s1026" o:spt="20" style="position:absolute;left:0pt;flip:x y;margin-left:-6.7pt;margin-top:1.7pt;height:113.75pt;width:171.05pt;z-index:251660288;mso-width-relative:page;mso-height-relative:page;" filled="f" stroked="t" coordsize="21600,21600" o:gfxdata="UEsDBAoAAAAAAIdO4kAAAAAAAAAAAAAAAAAEAAAAZHJzL1BLAwQUAAAACACHTuJA9bw0+dUAAAAJ&#10;AQAADwAAAGRycy9kb3ducmV2LnhtbE2PwU7DMBBE70j8g7VI3Fo7CSIhZNNDpX5AC6o4urFJIux1&#10;iN2m/D3bE5xWqxnNvGk2V+/Exc5xDISQrRUIS10wI/UI72+7VQUiJk1Gu0AW4cdG2LT3d42uTVho&#10;by+H1AsOoVhrhCGlqZYydoP1Oq7DZIm1zzB7nfide2lmvXC4dzJX6ll6PRI3DHqy28F2X4ezR3CV&#10;qr6P23L52Btu2R3dQGWG+PiQqVcQyV7Tnxlu+IwOLTOdwplMFA5hlRVPbEW4HdaLvCpBnBDyQr2A&#10;bBv5f0H7C1BLAwQUAAAACACHTuJAQfjYDe0BAADJAwAADgAAAGRycy9lMm9Eb2MueG1srVO9btsw&#10;EN4L9B0I7rVs2U5bwXIGG2mHtDWQNDtNURJRkkeQtCU/S1+jU5c+Tl6jR0pxfrpkqAbijnf3fXcf&#10;T6vLXityFM5LMCWdTaaUCMOhkqYp6ffbq3cfKPGBmYopMKKkJ+Hp5frtm1VnC5FDC6oSjiCI8UVn&#10;S9qGYIss87wVmvkJWGEwWIPTLKDrmqxyrEN0rbJ8Or3IOnCVdcCF93i7HYJ0RHSvAYS6llxsgR+0&#10;MGFAdUKxgCP5VlpP16nbuhY8fKtrLwJRJcVJQzqRBO19PLP1ihWNY7aVfGyBvaaFFzNpJg2SnqG2&#10;LDBycPIfKC25Aw91mHDQ2TBIUgSnmE1faHPTMivSLCi1t2fR/f+D5V+PO0dkVdIFJYZpfPD7n7/u&#10;f/8h86hNZ32BKRuzc3E63psbew38hycGNi0zjUg93p4sFs5iRfasJDreIsO++wIV5rBDgCRUXztN&#10;aiXt51iYrLtoRRqUhfTpjU7nNxJ9IBwv89n7fD5fUsIxNlssFhf5MvGyIkLGcut8+CRAk2iUVEkT&#10;RWQFO177EFt8TInXBq6kUmkRlCFdST8uETJGPChZxWByXLPfKEeOLK5S+kbeZ2kODqYaSJSJdSJt&#10;4cj8oMeg7B6q0849iIYvnHobtzGu0FM/Sfv4B67/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W8&#10;NPnVAAAACQEAAA8AAAAAAAAAAQAgAAAAIgAAAGRycy9kb3ducmV2LnhtbFBLAQIUABQAAAAIAIdO&#10;4kBB+NgN7QEAAMkDAAAOAAAAAAAAAAEAIAAAACQBAABkcnMvZTJvRG9jLnhtbFBLBQYAAAAABgAG&#10;AFkBAACDBQAAAAA=&#10;">
                      <v:fill on="f" focussize="0,0"/>
                      <v:stroke color="#000000" joinstyle="round"/>
                      <v:imagedata o:title=""/>
                      <o:lock v:ext="edit" aspectratio="f"/>
                    </v:line>
                  </w:pict>
                </mc:Fallback>
              </mc:AlternateContent>
            </w:r>
            <w:r>
              <w:rPr>
                <w:rFonts w:hAnsi="宋体"/>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940435</wp:posOffset>
                      </wp:positionH>
                      <wp:positionV relativeFrom="paragraph">
                        <wp:posOffset>19685</wp:posOffset>
                      </wp:positionV>
                      <wp:extent cx="1143635" cy="1444625"/>
                      <wp:effectExtent l="3810" t="3175" r="14605" b="19050"/>
                      <wp:wrapNone/>
                      <wp:docPr id="3" name="直线 4"/>
                      <wp:cNvGraphicFramePr/>
                      <a:graphic xmlns:a="http://schemas.openxmlformats.org/drawingml/2006/main">
                        <a:graphicData uri="http://schemas.microsoft.com/office/word/2010/wordprocessingShape">
                          <wps:wsp>
                            <wps:cNvCnPr>
                              <a:cxnSpLocks noChangeShapeType="1"/>
                            </wps:cNvCnPr>
                            <wps:spPr bwMode="auto">
                              <a:xfrm flipH="1" flipV="1">
                                <a:off x="0" y="0"/>
                                <a:ext cx="1143635" cy="1444625"/>
                              </a:xfrm>
                              <a:prstGeom prst="line">
                                <a:avLst/>
                              </a:prstGeom>
                              <a:noFill/>
                              <a:ln w="9525">
                                <a:solidFill>
                                  <a:srgbClr val="000000"/>
                                </a:solidFill>
                                <a:round/>
                              </a:ln>
                              <a:effectLst/>
                            </wps:spPr>
                            <wps:bodyPr/>
                          </wps:wsp>
                        </a:graphicData>
                      </a:graphic>
                    </wp:anchor>
                  </w:drawing>
                </mc:Choice>
                <mc:Fallback>
                  <w:pict>
                    <v:line id="直线 4" o:spid="_x0000_s1026" o:spt="20" style="position:absolute;left:0pt;flip:x y;margin-left:74.05pt;margin-top:1.55pt;height:113.75pt;width:90.05pt;z-index:251659264;mso-width-relative:page;mso-height-relative:page;" filled="f" stroked="t" coordsize="21600,21600" o:gfxdata="UEsDBAoAAAAAAIdO4kAAAAAAAAAAAAAAAAAEAAAAZHJzL1BLAwQUAAAACACHTuJA3rLLC9QAAAAJ&#10;AQAADwAAAGRycy9kb3ducmV2LnhtbE2PwU7DMBBE70j8g7VI3KidBLVWiNNDpX5AC6o4uvGSRNjr&#10;ELtN+XuWE5xWoxnNvG22t+DFFec0RjJQrBQIpC66kXoDb6/7Jw0iZUvO+kho4BsTbNv7u8bWLi50&#10;wOsx94JLKNXWwJDzVEuZugGDTas4IbH3EedgM8u5l262C5cHL0ul1jLYkXhhsBPuBuw+j5dgwGul&#10;v067zfJ+cLyyP/mBNoUxjw+FegGR8Zb/wvCLz+jQMtM5Xsgl4Vk/64KjBio+7FelLkGcDZSVWoNs&#10;G/n/g/YHUEsDBBQAAAAIAIdO4kD8VCOl7AEAAMkDAAAOAAAAZHJzL2Uyb0RvYy54bWytU7Fu2zAQ&#10;3Qv0HwjutSxbNlrBcgYbaYe0NZC0O01RElGSR5C0ZX9Lf6NTl35OfiNHSnGadMlQDcQd7+69u8fT&#10;6uqkFTkK5yWYiuaTKSXCcKilaSv67e763XtKfGCmZgqMqOhZeHq1fvtm1dtSzKADVQtHEMT4srcV&#10;7UKwZZZ53gnN/ASsMBhswGkW0HVtVjvWI7pW2Ww6XWY9uNo64MJ7vN0OQToiutcAQtNILrbAD1qY&#10;MKA6oVjAkXwnrafr1G3TCB6+No0XgaiK4qQhnUiC9j6e2XrFytYx20k+tsBe08KLmTSTBkkvUFsW&#10;GDk4+Q+UltyBhyZMOOhsGCQpglPk0xfa3HbMijQLSu3tRXT//2D5l+POEVlXdE6JYRof/P7nr/vf&#10;f0gRtemtLzFlY3YuTsdP5tbeAP/hiYFNx0wrUo93Z4uFeazInpVEx1tk2PefocYcdgiQhDo1TpNG&#10;SfspFibre7QiDcpCTumNzpc3EqdAOF7meTFfzheUcIzlRVEsZ4vEy8oIGcut8+GjAE2iUVElTRSR&#10;lex440Ns8SklXhu4lkqlRVCG9BX9sEDIGPGgZB2DyXHtfqMcObK4SukbeZ+lOTiYeiBRJtaJtIUj&#10;86Meg7J7qM879ygavnDqbdzGuEJ/+0napz9w/Q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esssL&#10;1AAAAAkBAAAPAAAAAAAAAAEAIAAAACIAAABkcnMvZG93bnJldi54bWxQSwECFAAUAAAACACHTuJA&#10;/FQjpewBAADJAwAADgAAAAAAAAABACAAAAAjAQAAZHJzL2Uyb0RvYy54bWxQSwUGAAAAAAYABgBZ&#10;AQAAgQUAAAAA&#10;">
                      <v:fill on="f" focussize="0,0"/>
                      <v:stroke color="#000000" joinstyle="round"/>
                      <v:imagedata o:title=""/>
                      <o:lock v:ext="edit" aspectratio="f"/>
                    </v:line>
                  </w:pict>
                </mc:Fallback>
              </mc:AlternateContent>
            </w:r>
            <w:r>
              <w:rPr>
                <w:rFonts w:hint="eastAsia" w:hAnsi="宋体"/>
                <w:color w:val="auto"/>
                <w:highlight w:val="none"/>
              </w:rPr>
              <w:t>采购类型</w:t>
            </w:r>
          </w:p>
          <w:p>
            <w:pPr>
              <w:spacing w:line="330" w:lineRule="exact"/>
              <w:rPr>
                <w:rFonts w:hAnsi="宋体"/>
                <w:color w:val="auto"/>
                <w:highlight w:val="none"/>
              </w:rPr>
            </w:pPr>
          </w:p>
          <w:p>
            <w:pPr>
              <w:spacing w:line="330" w:lineRule="exact"/>
              <w:ind w:firstLine="1575" w:firstLineChars="750"/>
              <w:jc w:val="left"/>
              <w:rPr>
                <w:rFonts w:hAnsi="宋体"/>
                <w:color w:val="auto"/>
                <w:highlight w:val="none"/>
              </w:rPr>
            </w:pPr>
            <w:r>
              <w:rPr>
                <w:rFonts w:hint="eastAsia" w:hAnsi="宋体"/>
                <w:color w:val="auto"/>
                <w:highlight w:val="none"/>
              </w:rPr>
              <w:t>费率</w:t>
            </w:r>
          </w:p>
          <w:p>
            <w:pPr>
              <w:spacing w:line="330" w:lineRule="exact"/>
              <w:ind w:leftChars="-1" w:hanging="2" w:hangingChars="1"/>
              <w:jc w:val="left"/>
              <w:rPr>
                <w:rFonts w:hAnsi="宋体"/>
                <w:color w:val="auto"/>
                <w:highlight w:val="none"/>
              </w:rPr>
            </w:pPr>
          </w:p>
          <w:p>
            <w:pPr>
              <w:spacing w:line="330" w:lineRule="exact"/>
              <w:ind w:leftChars="-1" w:hanging="2" w:hangingChars="1"/>
              <w:jc w:val="left"/>
              <w:rPr>
                <w:rFonts w:hAnsi="宋体"/>
                <w:color w:val="auto"/>
                <w:highlight w:val="none"/>
              </w:rPr>
            </w:pPr>
          </w:p>
          <w:p>
            <w:pPr>
              <w:spacing w:line="330" w:lineRule="exact"/>
              <w:jc w:val="left"/>
              <w:rPr>
                <w:rFonts w:hAnsi="宋体"/>
                <w:color w:val="auto"/>
                <w:highlight w:val="none"/>
              </w:rPr>
            </w:pPr>
            <w:r>
              <w:rPr>
                <w:rFonts w:hint="eastAsia" w:hAnsi="宋体"/>
                <w:color w:val="auto"/>
                <w:highlight w:val="none"/>
              </w:rPr>
              <w:t>成交金额（万元）</w:t>
            </w:r>
          </w:p>
        </w:tc>
        <w:tc>
          <w:tcPr>
            <w:tcW w:w="5708" w:type="dxa"/>
            <w:gridSpan w:val="3"/>
            <w:vAlign w:val="center"/>
          </w:tcPr>
          <w:p>
            <w:pPr>
              <w:spacing w:line="330" w:lineRule="exact"/>
              <w:jc w:val="center"/>
              <w:rPr>
                <w:rFonts w:hAnsi="宋体"/>
                <w:color w:val="auto"/>
                <w:highlight w:val="none"/>
              </w:rPr>
            </w:pPr>
            <w:r>
              <w:rPr>
                <w:rFonts w:hint="eastAsia" w:hAnsi="宋体"/>
                <w:color w:val="auto"/>
                <w:highlight w:val="none"/>
              </w:rPr>
              <w:t>公开招标、邀请招标、竞争性谈判方式采购代理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3438" w:type="dxa"/>
            <w:vMerge w:val="continue"/>
          </w:tcPr>
          <w:p>
            <w:pPr>
              <w:spacing w:line="330" w:lineRule="exact"/>
              <w:ind w:firstLine="2620" w:firstLineChars="1248"/>
              <w:rPr>
                <w:rFonts w:hAnsi="宋体"/>
                <w:color w:val="auto"/>
                <w:highlight w:val="none"/>
              </w:rPr>
            </w:pPr>
          </w:p>
        </w:tc>
        <w:tc>
          <w:tcPr>
            <w:tcW w:w="1932" w:type="dxa"/>
            <w:vAlign w:val="center"/>
          </w:tcPr>
          <w:p>
            <w:pPr>
              <w:spacing w:line="330" w:lineRule="exact"/>
              <w:jc w:val="center"/>
              <w:rPr>
                <w:rFonts w:hAnsi="宋体"/>
                <w:color w:val="auto"/>
                <w:highlight w:val="none"/>
              </w:rPr>
            </w:pPr>
            <w:r>
              <w:rPr>
                <w:rFonts w:hint="eastAsia" w:hAnsi="宋体"/>
                <w:color w:val="auto"/>
                <w:highlight w:val="none"/>
              </w:rPr>
              <w:t>货物类</w:t>
            </w:r>
          </w:p>
        </w:tc>
        <w:tc>
          <w:tcPr>
            <w:tcW w:w="1800" w:type="dxa"/>
            <w:vAlign w:val="center"/>
          </w:tcPr>
          <w:p>
            <w:pPr>
              <w:spacing w:line="330" w:lineRule="exact"/>
              <w:jc w:val="center"/>
              <w:rPr>
                <w:rFonts w:hAnsi="宋体"/>
                <w:color w:val="auto"/>
                <w:highlight w:val="none"/>
              </w:rPr>
            </w:pPr>
            <w:r>
              <w:rPr>
                <w:rFonts w:hint="eastAsia" w:hAnsi="宋体"/>
                <w:color w:val="auto"/>
                <w:highlight w:val="none"/>
              </w:rPr>
              <w:t>服务类</w:t>
            </w:r>
          </w:p>
        </w:tc>
        <w:tc>
          <w:tcPr>
            <w:tcW w:w="1976" w:type="dxa"/>
            <w:vAlign w:val="center"/>
          </w:tcPr>
          <w:p>
            <w:pPr>
              <w:widowControl/>
              <w:spacing w:line="330" w:lineRule="exact"/>
              <w:jc w:val="center"/>
              <w:rPr>
                <w:rFonts w:hAnsi="宋体"/>
                <w:color w:val="auto"/>
                <w:highlight w:val="none"/>
              </w:rPr>
            </w:pPr>
            <w:r>
              <w:rPr>
                <w:rFonts w:hint="eastAsia" w:hAnsi="宋体"/>
                <w:color w:val="auto"/>
                <w:highlight w:val="none"/>
              </w:rPr>
              <w:t>工程类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3438" w:type="dxa"/>
            <w:vAlign w:val="center"/>
          </w:tcPr>
          <w:p>
            <w:pPr>
              <w:spacing w:line="330" w:lineRule="exact"/>
              <w:jc w:val="center"/>
              <w:rPr>
                <w:rFonts w:hAnsi="宋体"/>
                <w:color w:val="auto"/>
                <w:highlight w:val="none"/>
              </w:rPr>
            </w:pPr>
            <w:r>
              <w:rPr>
                <w:rFonts w:hint="eastAsia" w:hAnsi="宋体"/>
                <w:color w:val="auto"/>
                <w:highlight w:val="none"/>
              </w:rPr>
              <w:t>100以下</w:t>
            </w:r>
          </w:p>
        </w:tc>
        <w:tc>
          <w:tcPr>
            <w:tcW w:w="1932" w:type="dxa"/>
            <w:vAlign w:val="center"/>
          </w:tcPr>
          <w:p>
            <w:pPr>
              <w:spacing w:line="330" w:lineRule="exact"/>
              <w:jc w:val="center"/>
              <w:rPr>
                <w:rFonts w:hAnsi="宋体"/>
                <w:color w:val="auto"/>
                <w:highlight w:val="none"/>
              </w:rPr>
            </w:pPr>
            <w:r>
              <w:rPr>
                <w:rFonts w:hint="eastAsia" w:hAnsi="宋体"/>
                <w:color w:val="auto"/>
                <w:highlight w:val="none"/>
              </w:rPr>
              <w:t>1.2%</w:t>
            </w:r>
          </w:p>
        </w:tc>
        <w:tc>
          <w:tcPr>
            <w:tcW w:w="1800" w:type="dxa"/>
            <w:vAlign w:val="center"/>
          </w:tcPr>
          <w:p>
            <w:pPr>
              <w:spacing w:line="330" w:lineRule="exact"/>
              <w:jc w:val="center"/>
              <w:rPr>
                <w:rFonts w:hAnsi="宋体"/>
                <w:color w:val="auto"/>
                <w:highlight w:val="none"/>
              </w:rPr>
            </w:pPr>
            <w:r>
              <w:rPr>
                <w:rFonts w:hint="eastAsia" w:hAnsi="宋体"/>
                <w:color w:val="auto"/>
                <w:highlight w:val="none"/>
              </w:rPr>
              <w:t>1.2%</w:t>
            </w:r>
          </w:p>
        </w:tc>
        <w:tc>
          <w:tcPr>
            <w:tcW w:w="1976" w:type="dxa"/>
            <w:vAlign w:val="center"/>
          </w:tcPr>
          <w:p>
            <w:pPr>
              <w:spacing w:line="330" w:lineRule="exact"/>
              <w:jc w:val="center"/>
              <w:rPr>
                <w:rFonts w:hAnsi="宋体"/>
                <w:color w:val="auto"/>
                <w:highlight w:val="none"/>
              </w:rPr>
            </w:pPr>
            <w:r>
              <w:rPr>
                <w:rFonts w:hint="eastAsia" w:hAnsi="宋体"/>
                <w:color w:val="auto"/>
                <w:highlight w:val="none"/>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38" w:type="dxa"/>
            <w:vAlign w:val="center"/>
          </w:tcPr>
          <w:p>
            <w:pPr>
              <w:spacing w:line="330" w:lineRule="exact"/>
              <w:jc w:val="center"/>
              <w:rPr>
                <w:rFonts w:hAnsi="宋体"/>
                <w:color w:val="auto"/>
                <w:highlight w:val="none"/>
              </w:rPr>
            </w:pPr>
            <w:r>
              <w:rPr>
                <w:rFonts w:hint="eastAsia" w:hAnsi="宋体"/>
                <w:color w:val="auto"/>
                <w:highlight w:val="none"/>
              </w:rPr>
              <w:t>100-500</w:t>
            </w:r>
          </w:p>
        </w:tc>
        <w:tc>
          <w:tcPr>
            <w:tcW w:w="1932" w:type="dxa"/>
            <w:vAlign w:val="center"/>
          </w:tcPr>
          <w:p>
            <w:pPr>
              <w:spacing w:line="330" w:lineRule="exact"/>
              <w:jc w:val="center"/>
              <w:rPr>
                <w:rFonts w:hAnsi="宋体"/>
                <w:color w:val="auto"/>
                <w:highlight w:val="none"/>
              </w:rPr>
            </w:pPr>
            <w:r>
              <w:rPr>
                <w:rFonts w:hint="eastAsia" w:hAnsi="宋体"/>
                <w:color w:val="auto"/>
                <w:highlight w:val="none"/>
              </w:rPr>
              <w:t>0.88%</w:t>
            </w:r>
          </w:p>
        </w:tc>
        <w:tc>
          <w:tcPr>
            <w:tcW w:w="1800" w:type="dxa"/>
            <w:vAlign w:val="center"/>
          </w:tcPr>
          <w:p>
            <w:pPr>
              <w:spacing w:line="330" w:lineRule="exact"/>
              <w:jc w:val="center"/>
              <w:rPr>
                <w:rFonts w:hAnsi="宋体"/>
                <w:color w:val="auto"/>
                <w:highlight w:val="none"/>
              </w:rPr>
            </w:pPr>
            <w:r>
              <w:rPr>
                <w:rFonts w:hint="eastAsia" w:hAnsi="宋体"/>
                <w:color w:val="auto"/>
                <w:highlight w:val="none"/>
              </w:rPr>
              <w:t>0.64%</w:t>
            </w:r>
          </w:p>
        </w:tc>
        <w:tc>
          <w:tcPr>
            <w:tcW w:w="1976" w:type="dxa"/>
            <w:vAlign w:val="center"/>
          </w:tcPr>
          <w:p>
            <w:pPr>
              <w:spacing w:line="330" w:lineRule="exact"/>
              <w:jc w:val="center"/>
              <w:rPr>
                <w:rFonts w:hAnsi="宋体"/>
                <w:color w:val="auto"/>
                <w:highlight w:val="none"/>
              </w:rPr>
            </w:pPr>
            <w:r>
              <w:rPr>
                <w:rFonts w:hint="eastAsia" w:hAnsi="宋体"/>
                <w:color w:val="auto"/>
                <w:highlight w:val="none"/>
              </w:rPr>
              <w:t>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438" w:type="dxa"/>
            <w:vAlign w:val="center"/>
          </w:tcPr>
          <w:p>
            <w:pPr>
              <w:spacing w:line="330" w:lineRule="exact"/>
              <w:jc w:val="center"/>
              <w:rPr>
                <w:rFonts w:hAnsi="宋体"/>
                <w:color w:val="auto"/>
                <w:highlight w:val="none"/>
              </w:rPr>
            </w:pPr>
            <w:r>
              <w:rPr>
                <w:rFonts w:hint="eastAsia" w:hAnsi="宋体"/>
                <w:color w:val="auto"/>
                <w:highlight w:val="none"/>
              </w:rPr>
              <w:t>500-1000</w:t>
            </w:r>
          </w:p>
        </w:tc>
        <w:tc>
          <w:tcPr>
            <w:tcW w:w="1932" w:type="dxa"/>
            <w:vAlign w:val="center"/>
          </w:tcPr>
          <w:p>
            <w:pPr>
              <w:spacing w:line="330" w:lineRule="exact"/>
              <w:jc w:val="center"/>
              <w:rPr>
                <w:rFonts w:hAnsi="宋体"/>
                <w:color w:val="auto"/>
                <w:highlight w:val="none"/>
              </w:rPr>
            </w:pPr>
            <w:r>
              <w:rPr>
                <w:rFonts w:hint="eastAsia" w:hAnsi="宋体"/>
                <w:color w:val="auto"/>
                <w:highlight w:val="none"/>
              </w:rPr>
              <w:t>0.64%</w:t>
            </w:r>
          </w:p>
        </w:tc>
        <w:tc>
          <w:tcPr>
            <w:tcW w:w="1800" w:type="dxa"/>
            <w:vAlign w:val="center"/>
          </w:tcPr>
          <w:p>
            <w:pPr>
              <w:spacing w:line="330" w:lineRule="exact"/>
              <w:jc w:val="center"/>
              <w:rPr>
                <w:rFonts w:hAnsi="宋体"/>
                <w:color w:val="auto"/>
                <w:highlight w:val="none"/>
              </w:rPr>
            </w:pPr>
            <w:r>
              <w:rPr>
                <w:rFonts w:hint="eastAsia" w:hAnsi="宋体"/>
                <w:color w:val="auto"/>
                <w:highlight w:val="none"/>
              </w:rPr>
              <w:t>0.36%</w:t>
            </w:r>
          </w:p>
        </w:tc>
        <w:tc>
          <w:tcPr>
            <w:tcW w:w="1976" w:type="dxa"/>
            <w:vAlign w:val="center"/>
          </w:tcPr>
          <w:p>
            <w:pPr>
              <w:spacing w:line="330" w:lineRule="exact"/>
              <w:jc w:val="center"/>
              <w:rPr>
                <w:rFonts w:hAnsi="宋体"/>
                <w:color w:val="auto"/>
                <w:highlight w:val="none"/>
              </w:rPr>
            </w:pPr>
            <w:r>
              <w:rPr>
                <w:rFonts w:hint="eastAsia" w:hAnsi="宋体"/>
                <w:color w:val="auto"/>
                <w:highlight w:val="none"/>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3438" w:type="dxa"/>
            <w:vAlign w:val="center"/>
          </w:tcPr>
          <w:p>
            <w:pPr>
              <w:spacing w:line="330" w:lineRule="exact"/>
              <w:jc w:val="center"/>
              <w:rPr>
                <w:rFonts w:hAnsi="宋体"/>
                <w:color w:val="auto"/>
                <w:highlight w:val="none"/>
              </w:rPr>
            </w:pPr>
            <w:r>
              <w:rPr>
                <w:rFonts w:hint="eastAsia" w:hAnsi="宋体"/>
                <w:color w:val="auto"/>
                <w:highlight w:val="none"/>
              </w:rPr>
              <w:t>1000-5000</w:t>
            </w:r>
          </w:p>
        </w:tc>
        <w:tc>
          <w:tcPr>
            <w:tcW w:w="1932" w:type="dxa"/>
            <w:vAlign w:val="center"/>
          </w:tcPr>
          <w:p>
            <w:pPr>
              <w:spacing w:line="330" w:lineRule="exact"/>
              <w:jc w:val="center"/>
              <w:rPr>
                <w:rFonts w:hAnsi="宋体"/>
                <w:color w:val="auto"/>
                <w:highlight w:val="none"/>
              </w:rPr>
            </w:pPr>
            <w:r>
              <w:rPr>
                <w:rFonts w:hint="eastAsia" w:hAnsi="宋体"/>
                <w:color w:val="auto"/>
                <w:highlight w:val="none"/>
              </w:rPr>
              <w:t>0.4%</w:t>
            </w:r>
          </w:p>
        </w:tc>
        <w:tc>
          <w:tcPr>
            <w:tcW w:w="1800" w:type="dxa"/>
            <w:vAlign w:val="center"/>
          </w:tcPr>
          <w:p>
            <w:pPr>
              <w:spacing w:line="330" w:lineRule="exact"/>
              <w:jc w:val="center"/>
              <w:rPr>
                <w:rFonts w:hAnsi="宋体"/>
                <w:color w:val="auto"/>
                <w:highlight w:val="none"/>
              </w:rPr>
            </w:pPr>
            <w:r>
              <w:rPr>
                <w:rFonts w:hint="eastAsia" w:hAnsi="宋体"/>
                <w:color w:val="auto"/>
                <w:highlight w:val="none"/>
              </w:rPr>
              <w:t>0.2%</w:t>
            </w:r>
          </w:p>
        </w:tc>
        <w:tc>
          <w:tcPr>
            <w:tcW w:w="1976" w:type="dxa"/>
            <w:vAlign w:val="center"/>
          </w:tcPr>
          <w:p>
            <w:pPr>
              <w:spacing w:line="330" w:lineRule="exact"/>
              <w:jc w:val="center"/>
              <w:rPr>
                <w:rFonts w:hAnsi="宋体"/>
                <w:color w:val="auto"/>
                <w:highlight w:val="none"/>
              </w:rPr>
            </w:pPr>
            <w:r>
              <w:rPr>
                <w:rFonts w:hint="eastAsia" w:hAnsi="宋体"/>
                <w:color w:val="auto"/>
                <w:highlight w:val="none"/>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3438" w:type="dxa"/>
            <w:vAlign w:val="center"/>
          </w:tcPr>
          <w:p>
            <w:pPr>
              <w:spacing w:line="330" w:lineRule="exact"/>
              <w:jc w:val="center"/>
              <w:rPr>
                <w:rFonts w:hAnsi="宋体"/>
                <w:color w:val="auto"/>
                <w:highlight w:val="none"/>
              </w:rPr>
            </w:pPr>
            <w:r>
              <w:rPr>
                <w:rFonts w:hint="eastAsia" w:hAnsi="宋体"/>
                <w:color w:val="auto"/>
                <w:highlight w:val="none"/>
              </w:rPr>
              <w:t>5000-10000</w:t>
            </w:r>
          </w:p>
        </w:tc>
        <w:tc>
          <w:tcPr>
            <w:tcW w:w="1932" w:type="dxa"/>
            <w:vAlign w:val="center"/>
          </w:tcPr>
          <w:p>
            <w:pPr>
              <w:spacing w:line="330" w:lineRule="exact"/>
              <w:jc w:val="center"/>
              <w:rPr>
                <w:rFonts w:hAnsi="宋体"/>
                <w:color w:val="auto"/>
                <w:highlight w:val="none"/>
              </w:rPr>
            </w:pPr>
            <w:r>
              <w:rPr>
                <w:rFonts w:hint="eastAsia" w:hAnsi="宋体"/>
                <w:color w:val="auto"/>
                <w:highlight w:val="none"/>
              </w:rPr>
              <w:t>0.2%</w:t>
            </w:r>
          </w:p>
        </w:tc>
        <w:tc>
          <w:tcPr>
            <w:tcW w:w="1800" w:type="dxa"/>
            <w:vAlign w:val="center"/>
          </w:tcPr>
          <w:p>
            <w:pPr>
              <w:spacing w:line="330" w:lineRule="exact"/>
              <w:jc w:val="center"/>
              <w:rPr>
                <w:rFonts w:hAnsi="宋体"/>
                <w:color w:val="auto"/>
                <w:highlight w:val="none"/>
              </w:rPr>
            </w:pPr>
            <w:r>
              <w:rPr>
                <w:rFonts w:hint="eastAsia" w:hAnsi="宋体"/>
                <w:color w:val="auto"/>
                <w:highlight w:val="none"/>
              </w:rPr>
              <w:t>0.08%</w:t>
            </w:r>
          </w:p>
        </w:tc>
        <w:tc>
          <w:tcPr>
            <w:tcW w:w="1976" w:type="dxa"/>
            <w:vAlign w:val="center"/>
          </w:tcPr>
          <w:p>
            <w:pPr>
              <w:spacing w:line="330" w:lineRule="exact"/>
              <w:jc w:val="center"/>
              <w:rPr>
                <w:rFonts w:hAnsi="宋体"/>
                <w:color w:val="auto"/>
                <w:highlight w:val="none"/>
              </w:rPr>
            </w:pPr>
            <w:r>
              <w:rPr>
                <w:rFonts w:hint="eastAsia" w:hAnsi="宋体"/>
                <w:color w:val="auto"/>
                <w:highlight w:val="none"/>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3438" w:type="dxa"/>
            <w:vAlign w:val="center"/>
          </w:tcPr>
          <w:p>
            <w:pPr>
              <w:spacing w:line="330" w:lineRule="exact"/>
              <w:jc w:val="center"/>
              <w:rPr>
                <w:rFonts w:hAnsi="宋体"/>
                <w:color w:val="auto"/>
                <w:highlight w:val="none"/>
              </w:rPr>
            </w:pPr>
            <w:r>
              <w:rPr>
                <w:rFonts w:hint="eastAsia" w:hAnsi="宋体"/>
                <w:color w:val="auto"/>
                <w:highlight w:val="none"/>
              </w:rPr>
              <w:t>10000-100000</w:t>
            </w:r>
          </w:p>
        </w:tc>
        <w:tc>
          <w:tcPr>
            <w:tcW w:w="1932" w:type="dxa"/>
            <w:vAlign w:val="center"/>
          </w:tcPr>
          <w:p>
            <w:pPr>
              <w:spacing w:line="330" w:lineRule="exact"/>
              <w:jc w:val="center"/>
              <w:rPr>
                <w:rFonts w:hAnsi="宋体"/>
                <w:color w:val="auto"/>
                <w:highlight w:val="none"/>
              </w:rPr>
            </w:pPr>
            <w:r>
              <w:rPr>
                <w:rFonts w:hint="eastAsia" w:hAnsi="宋体"/>
                <w:color w:val="auto"/>
                <w:highlight w:val="none"/>
              </w:rPr>
              <w:t>0.04%</w:t>
            </w:r>
          </w:p>
        </w:tc>
        <w:tc>
          <w:tcPr>
            <w:tcW w:w="1800" w:type="dxa"/>
            <w:vAlign w:val="center"/>
          </w:tcPr>
          <w:p>
            <w:pPr>
              <w:spacing w:line="330" w:lineRule="exact"/>
              <w:jc w:val="center"/>
              <w:rPr>
                <w:rFonts w:hAnsi="宋体"/>
                <w:color w:val="auto"/>
                <w:highlight w:val="none"/>
              </w:rPr>
            </w:pPr>
            <w:r>
              <w:rPr>
                <w:rFonts w:hint="eastAsia" w:hAnsi="宋体"/>
                <w:color w:val="auto"/>
                <w:highlight w:val="none"/>
              </w:rPr>
              <w:t>0.04%</w:t>
            </w:r>
          </w:p>
        </w:tc>
        <w:tc>
          <w:tcPr>
            <w:tcW w:w="1976" w:type="dxa"/>
            <w:vAlign w:val="center"/>
          </w:tcPr>
          <w:p>
            <w:pPr>
              <w:spacing w:line="330" w:lineRule="exact"/>
              <w:jc w:val="center"/>
              <w:rPr>
                <w:rFonts w:hAnsi="宋体"/>
                <w:color w:val="auto"/>
                <w:highlight w:val="none"/>
              </w:rPr>
            </w:pPr>
            <w:r>
              <w:rPr>
                <w:rFonts w:hint="eastAsia" w:hAnsi="宋体"/>
                <w:color w:val="auto"/>
                <w:highlight w:val="none"/>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3438" w:type="dxa"/>
            <w:vAlign w:val="center"/>
          </w:tcPr>
          <w:p>
            <w:pPr>
              <w:spacing w:line="330" w:lineRule="exact"/>
              <w:jc w:val="center"/>
              <w:rPr>
                <w:rFonts w:hAnsi="宋体"/>
                <w:color w:val="auto"/>
                <w:highlight w:val="none"/>
              </w:rPr>
            </w:pPr>
            <w:r>
              <w:rPr>
                <w:rFonts w:hint="eastAsia" w:hAnsi="宋体"/>
                <w:color w:val="auto"/>
                <w:highlight w:val="none"/>
              </w:rPr>
              <w:t>100000以上</w:t>
            </w:r>
          </w:p>
        </w:tc>
        <w:tc>
          <w:tcPr>
            <w:tcW w:w="1932" w:type="dxa"/>
            <w:vAlign w:val="center"/>
          </w:tcPr>
          <w:p>
            <w:pPr>
              <w:spacing w:line="330" w:lineRule="exact"/>
              <w:jc w:val="center"/>
              <w:rPr>
                <w:rFonts w:hAnsi="宋体"/>
                <w:color w:val="auto"/>
                <w:highlight w:val="none"/>
              </w:rPr>
            </w:pPr>
            <w:r>
              <w:rPr>
                <w:rFonts w:hint="eastAsia" w:hAnsi="宋体"/>
                <w:color w:val="auto"/>
                <w:highlight w:val="none"/>
              </w:rPr>
              <w:t>0.008%</w:t>
            </w:r>
          </w:p>
        </w:tc>
        <w:tc>
          <w:tcPr>
            <w:tcW w:w="1800" w:type="dxa"/>
            <w:vAlign w:val="center"/>
          </w:tcPr>
          <w:p>
            <w:pPr>
              <w:spacing w:line="330" w:lineRule="exact"/>
              <w:jc w:val="center"/>
              <w:rPr>
                <w:rFonts w:hAnsi="宋体"/>
                <w:color w:val="auto"/>
                <w:highlight w:val="none"/>
              </w:rPr>
            </w:pPr>
            <w:r>
              <w:rPr>
                <w:rFonts w:hint="eastAsia" w:hAnsi="宋体"/>
                <w:color w:val="auto"/>
                <w:highlight w:val="none"/>
              </w:rPr>
              <w:t>0.008%</w:t>
            </w:r>
          </w:p>
        </w:tc>
        <w:tc>
          <w:tcPr>
            <w:tcW w:w="1976" w:type="dxa"/>
            <w:vAlign w:val="center"/>
          </w:tcPr>
          <w:p>
            <w:pPr>
              <w:spacing w:line="330" w:lineRule="exact"/>
              <w:jc w:val="center"/>
              <w:rPr>
                <w:rFonts w:hAnsi="宋体"/>
                <w:color w:val="auto"/>
                <w:highlight w:val="none"/>
              </w:rPr>
            </w:pPr>
            <w:r>
              <w:rPr>
                <w:rFonts w:hint="eastAsia" w:hAnsi="宋体"/>
                <w:color w:val="auto"/>
                <w:highlight w:val="none"/>
              </w:rPr>
              <w:t>0.008%</w:t>
            </w:r>
          </w:p>
        </w:tc>
      </w:tr>
    </w:tbl>
    <w:p>
      <w:pPr>
        <w:pStyle w:val="24"/>
        <w:spacing w:line="430" w:lineRule="exact"/>
        <w:ind w:firstLine="420" w:firstLineChars="200"/>
        <w:rPr>
          <w:rFonts w:hAnsi="宋体"/>
          <w:b/>
          <w:color w:val="auto"/>
          <w:highlight w:val="none"/>
        </w:rPr>
      </w:pPr>
      <w:r>
        <w:rPr>
          <w:rFonts w:hint="eastAsia" w:hAnsi="宋体"/>
          <w:color w:val="auto"/>
          <w:highlight w:val="none"/>
        </w:rPr>
        <w:t>注：代理服务收费按差额定率累进法计算，本项目收费标准按以上标准的60%执行</w:t>
      </w:r>
    </w:p>
    <w:p>
      <w:pPr>
        <w:pStyle w:val="24"/>
        <w:spacing w:line="400" w:lineRule="exact"/>
        <w:ind w:firstLine="420" w:firstLineChars="200"/>
        <w:rPr>
          <w:rFonts w:hAnsi="宋体"/>
          <w:bCs/>
          <w:color w:val="auto"/>
          <w:highlight w:val="none"/>
        </w:rPr>
      </w:pPr>
      <w:r>
        <w:rPr>
          <w:rFonts w:hint="eastAsia" w:hAnsi="宋体"/>
          <w:bCs/>
          <w:color w:val="auto"/>
          <w:highlight w:val="none"/>
        </w:rPr>
        <w:t>3.缴纳代理服务费银行账户信息：</w:t>
      </w:r>
    </w:p>
    <w:p>
      <w:pPr>
        <w:pStyle w:val="24"/>
        <w:spacing w:line="400" w:lineRule="exact"/>
        <w:ind w:firstLine="420" w:firstLineChars="200"/>
        <w:rPr>
          <w:rFonts w:hAnsi="宋体"/>
          <w:bCs/>
          <w:color w:val="auto"/>
          <w:highlight w:val="none"/>
        </w:rPr>
      </w:pPr>
      <w:r>
        <w:rPr>
          <w:rFonts w:hint="eastAsia" w:hAnsi="宋体"/>
          <w:bCs/>
          <w:color w:val="auto"/>
          <w:highlight w:val="none"/>
        </w:rPr>
        <w:t>开户名称:钦州市政府采购中心</w:t>
      </w:r>
    </w:p>
    <w:p>
      <w:pPr>
        <w:pStyle w:val="24"/>
        <w:spacing w:line="400" w:lineRule="exact"/>
        <w:ind w:firstLine="420" w:firstLineChars="200"/>
        <w:rPr>
          <w:rFonts w:hAnsi="宋体"/>
          <w:bCs/>
          <w:color w:val="auto"/>
          <w:highlight w:val="none"/>
        </w:rPr>
      </w:pPr>
      <w:r>
        <w:rPr>
          <w:rFonts w:hint="eastAsia" w:hAnsi="宋体"/>
          <w:bCs/>
          <w:color w:val="auto"/>
          <w:highlight w:val="none"/>
        </w:rPr>
        <w:t>开户银行:兴业银行钦州支行</w:t>
      </w:r>
    </w:p>
    <w:p>
      <w:pPr>
        <w:pStyle w:val="24"/>
        <w:spacing w:line="400" w:lineRule="exact"/>
        <w:ind w:firstLine="420" w:firstLineChars="200"/>
        <w:rPr>
          <w:rFonts w:hAnsi="宋体"/>
          <w:bCs/>
          <w:color w:val="auto"/>
          <w:highlight w:val="none"/>
        </w:rPr>
      </w:pPr>
      <w:r>
        <w:rPr>
          <w:rFonts w:hint="eastAsia" w:hAnsi="宋体"/>
          <w:bCs/>
          <w:color w:val="auto"/>
          <w:highlight w:val="none"/>
        </w:rPr>
        <w:t>银行账号:554010100100129709</w:t>
      </w:r>
    </w:p>
    <w:p>
      <w:pPr>
        <w:pStyle w:val="24"/>
        <w:spacing w:line="430" w:lineRule="exact"/>
        <w:ind w:firstLine="210" w:firstLineChars="100"/>
        <w:rPr>
          <w:rFonts w:hAnsi="宋体"/>
          <w:color w:val="auto"/>
          <w:spacing w:val="-4"/>
          <w:highlight w:val="none"/>
        </w:rPr>
      </w:pPr>
      <w:r>
        <w:rPr>
          <w:rFonts w:hint="eastAsia" w:hAnsi="宋体"/>
          <w:bCs/>
          <w:color w:val="auto"/>
          <w:highlight w:val="none"/>
        </w:rPr>
        <w:t>（二）解释权：</w:t>
      </w:r>
      <w:r>
        <w:rPr>
          <w:rFonts w:hint="eastAsia" w:hAnsi="宋体"/>
          <w:color w:val="auto"/>
          <w:spacing w:val="-4"/>
          <w:highlight w:val="none"/>
        </w:rPr>
        <w:t>本采购文件解释权属本中心。</w:t>
      </w:r>
    </w:p>
    <w:p>
      <w:pPr>
        <w:pStyle w:val="24"/>
        <w:spacing w:line="430" w:lineRule="exact"/>
        <w:ind w:firstLine="210" w:firstLineChars="100"/>
        <w:rPr>
          <w:rFonts w:hAnsi="宋体"/>
          <w:color w:val="auto"/>
          <w:spacing w:val="-4"/>
          <w:highlight w:val="none"/>
        </w:rPr>
      </w:pPr>
      <w:r>
        <w:rPr>
          <w:rFonts w:hint="eastAsia" w:hAnsi="宋体"/>
          <w:bCs/>
          <w:color w:val="auto"/>
          <w:highlight w:val="none"/>
        </w:rPr>
        <w:t>（三）有关事宜</w:t>
      </w:r>
    </w:p>
    <w:p>
      <w:pPr>
        <w:spacing w:line="430" w:lineRule="exact"/>
        <w:ind w:firstLine="420" w:firstLineChars="200"/>
        <w:rPr>
          <w:color w:val="auto"/>
          <w:highlight w:val="none"/>
        </w:rPr>
      </w:pPr>
      <w:r>
        <w:rPr>
          <w:rFonts w:hint="eastAsia"/>
          <w:color w:val="auto"/>
          <w:highlight w:val="none"/>
        </w:rPr>
        <w:t>所有与采购文件有关的函件请按下列通讯地址联系：</w:t>
      </w:r>
    </w:p>
    <w:p>
      <w:pPr>
        <w:widowControl/>
        <w:spacing w:line="430" w:lineRule="exact"/>
        <w:ind w:firstLine="420" w:firstLineChars="200"/>
        <w:jc w:val="left"/>
        <w:rPr>
          <w:color w:val="auto"/>
          <w:highlight w:val="none"/>
        </w:rPr>
      </w:pPr>
      <w:r>
        <w:rPr>
          <w:rFonts w:hint="eastAsia"/>
          <w:color w:val="auto"/>
          <w:highlight w:val="none"/>
        </w:rPr>
        <w:t>钦州市政府采购中心</w:t>
      </w:r>
    </w:p>
    <w:p>
      <w:pPr>
        <w:widowControl/>
        <w:spacing w:line="430" w:lineRule="exact"/>
        <w:ind w:firstLine="420" w:firstLineChars="200"/>
        <w:jc w:val="left"/>
        <w:rPr>
          <w:color w:val="auto"/>
          <w:highlight w:val="none"/>
        </w:rPr>
      </w:pPr>
      <w:r>
        <w:rPr>
          <w:rFonts w:hint="eastAsia"/>
          <w:color w:val="auto"/>
          <w:highlight w:val="none"/>
        </w:rPr>
        <w:t>通讯地址：钦州市金海湾东大街8号</w:t>
      </w:r>
    </w:p>
    <w:p>
      <w:pPr>
        <w:widowControl/>
        <w:spacing w:line="430" w:lineRule="exact"/>
        <w:ind w:firstLine="420" w:firstLineChars="200"/>
        <w:jc w:val="left"/>
        <w:rPr>
          <w:color w:val="auto"/>
          <w:highlight w:val="none"/>
        </w:rPr>
      </w:pPr>
      <w:r>
        <w:rPr>
          <w:rFonts w:hint="eastAsia"/>
          <w:color w:val="auto"/>
          <w:highlight w:val="none"/>
        </w:rPr>
        <w:t>邮政编码：535000</w:t>
      </w:r>
    </w:p>
    <w:p>
      <w:pPr>
        <w:widowControl/>
        <w:spacing w:line="430" w:lineRule="exact"/>
        <w:ind w:firstLine="420" w:firstLineChars="200"/>
        <w:jc w:val="left"/>
        <w:rPr>
          <w:color w:val="auto"/>
          <w:highlight w:val="none"/>
        </w:rPr>
      </w:pPr>
      <w:bookmarkStart w:id="117" w:name="_Hlk108515537"/>
      <w:r>
        <w:rPr>
          <w:rFonts w:hint="eastAsia" w:hAnsi="宋体"/>
          <w:color w:val="auto"/>
          <w:highlight w:val="none"/>
        </w:rPr>
        <w:t>钦州市政府采购中心联系方式</w:t>
      </w:r>
      <w:r>
        <w:rPr>
          <w:rFonts w:hint="eastAsia"/>
          <w:color w:val="auto"/>
          <w:highlight w:val="none"/>
        </w:rPr>
        <w:t>：</w:t>
      </w:r>
    </w:p>
    <w:p>
      <w:pPr>
        <w:widowControl/>
        <w:spacing w:line="430" w:lineRule="exact"/>
        <w:ind w:firstLine="420" w:firstLineChars="200"/>
        <w:jc w:val="left"/>
        <w:rPr>
          <w:color w:val="auto"/>
          <w:highlight w:val="none"/>
        </w:rPr>
      </w:pPr>
      <w:r>
        <w:rPr>
          <w:rFonts w:hint="eastAsia"/>
          <w:color w:val="auto"/>
          <w:highlight w:val="none"/>
        </w:rPr>
        <w:t>(1)采购部(采购文件)</w:t>
      </w:r>
    </w:p>
    <w:p>
      <w:pPr>
        <w:widowControl/>
        <w:spacing w:line="430" w:lineRule="exact"/>
        <w:ind w:firstLine="420" w:firstLineChars="200"/>
        <w:jc w:val="left"/>
        <w:rPr>
          <w:color w:val="auto"/>
          <w:highlight w:val="none"/>
        </w:rPr>
      </w:pPr>
      <w:r>
        <w:rPr>
          <w:rFonts w:hint="eastAsia"/>
          <w:color w:val="auto"/>
          <w:highlight w:val="none"/>
        </w:rPr>
        <w:t>联系人：苏晓婷  联系方式：0777-2886022</w:t>
      </w:r>
    </w:p>
    <w:p>
      <w:pPr>
        <w:widowControl/>
        <w:spacing w:line="430" w:lineRule="exact"/>
        <w:ind w:firstLine="420" w:firstLineChars="200"/>
        <w:jc w:val="left"/>
        <w:rPr>
          <w:color w:val="auto"/>
          <w:highlight w:val="none"/>
        </w:rPr>
      </w:pPr>
      <w:r>
        <w:rPr>
          <w:rFonts w:hint="eastAsia"/>
          <w:color w:val="auto"/>
          <w:highlight w:val="none"/>
        </w:rPr>
        <w:t>(2)综合二部(评审、磋商、成交及合同管理)</w:t>
      </w:r>
    </w:p>
    <w:p>
      <w:pPr>
        <w:widowControl/>
        <w:spacing w:line="430" w:lineRule="exact"/>
        <w:ind w:firstLine="420" w:firstLineChars="200"/>
        <w:jc w:val="left"/>
        <w:rPr>
          <w:color w:val="auto"/>
          <w:highlight w:val="none"/>
        </w:rPr>
      </w:pPr>
      <w:r>
        <w:rPr>
          <w:rFonts w:hint="eastAsia"/>
          <w:color w:val="auto"/>
          <w:highlight w:val="none"/>
        </w:rPr>
        <w:t>联系人：陈侃、陈启梅 联系方式：0777-2886006</w:t>
      </w:r>
    </w:p>
    <w:p>
      <w:pPr>
        <w:widowControl/>
        <w:spacing w:line="430" w:lineRule="exact"/>
        <w:ind w:firstLine="420" w:firstLineChars="200"/>
        <w:jc w:val="left"/>
        <w:rPr>
          <w:color w:val="auto"/>
          <w:highlight w:val="none"/>
        </w:rPr>
      </w:pPr>
      <w:r>
        <w:rPr>
          <w:color w:val="auto"/>
          <w:highlight w:val="none"/>
        </w:rPr>
        <w:t>(</w:t>
      </w:r>
      <w:r>
        <w:rPr>
          <w:rFonts w:hint="eastAsia"/>
          <w:color w:val="auto"/>
          <w:highlight w:val="none"/>
          <w:lang w:val="en-US" w:eastAsia="zh-CN"/>
        </w:rPr>
        <w:t>3</w:t>
      </w:r>
      <w:r>
        <w:rPr>
          <w:color w:val="auto"/>
          <w:highlight w:val="none"/>
        </w:rPr>
        <w:t>)</w:t>
      </w:r>
      <w:r>
        <w:rPr>
          <w:rFonts w:hint="eastAsia"/>
          <w:color w:val="auto"/>
          <w:highlight w:val="none"/>
        </w:rPr>
        <w:t>政采云技术支持热线：</w:t>
      </w:r>
      <w:r>
        <w:rPr>
          <w:rFonts w:hAnsi="宋体"/>
          <w:color w:val="auto"/>
          <w:highlight w:val="none"/>
        </w:rPr>
        <w:t>95763</w:t>
      </w:r>
    </w:p>
    <w:bookmarkEnd w:id="117"/>
    <w:p>
      <w:pPr>
        <w:widowControl/>
        <w:jc w:val="left"/>
        <w:rPr>
          <w:color w:val="auto"/>
          <w:highlight w:val="none"/>
        </w:rPr>
      </w:pPr>
      <w:r>
        <w:rPr>
          <w:color w:val="auto"/>
          <w:highlight w:val="none"/>
        </w:rPr>
        <w:br w:type="page"/>
      </w:r>
    </w:p>
    <w:p>
      <w:pPr>
        <w:widowControl/>
        <w:jc w:val="left"/>
        <w:rPr>
          <w:color w:val="auto"/>
          <w:highlight w:val="none"/>
        </w:rPr>
      </w:pPr>
    </w:p>
    <w:p>
      <w:pPr>
        <w:spacing w:line="320" w:lineRule="exact"/>
        <w:rPr>
          <w:color w:val="auto"/>
          <w:highlight w:val="none"/>
        </w:rPr>
      </w:pPr>
    </w:p>
    <w:p>
      <w:pPr>
        <w:spacing w:line="320" w:lineRule="exact"/>
        <w:rPr>
          <w:color w:val="auto"/>
          <w:highlight w:val="none"/>
        </w:rPr>
      </w:pPr>
      <w:bookmarkStart w:id="118" w:name="_Toc92355027"/>
    </w:p>
    <w:p>
      <w:pPr>
        <w:spacing w:line="320" w:lineRule="exact"/>
        <w:rPr>
          <w:color w:val="auto"/>
          <w:highlight w:val="none"/>
        </w:rPr>
      </w:pPr>
    </w:p>
    <w:p>
      <w:pPr>
        <w:spacing w:line="320" w:lineRule="exact"/>
        <w:rPr>
          <w:color w:val="auto"/>
          <w:highlight w:val="none"/>
        </w:rPr>
      </w:pPr>
    </w:p>
    <w:p>
      <w:pPr>
        <w:spacing w:line="320" w:lineRule="exact"/>
        <w:rPr>
          <w:color w:val="auto"/>
          <w:highlight w:val="none"/>
        </w:rPr>
      </w:pPr>
    </w:p>
    <w:p>
      <w:pPr>
        <w:spacing w:line="320" w:lineRule="exact"/>
        <w:rPr>
          <w:color w:val="auto"/>
          <w:highlight w:val="none"/>
        </w:rPr>
      </w:pPr>
    </w:p>
    <w:p>
      <w:pPr>
        <w:spacing w:line="320" w:lineRule="exact"/>
        <w:rPr>
          <w:color w:val="auto"/>
          <w:highlight w:val="none"/>
        </w:rPr>
      </w:pPr>
    </w:p>
    <w:p>
      <w:pPr>
        <w:spacing w:line="320" w:lineRule="exact"/>
        <w:rPr>
          <w:color w:val="auto"/>
          <w:highlight w:val="none"/>
        </w:rPr>
      </w:pPr>
    </w:p>
    <w:p>
      <w:pPr>
        <w:spacing w:line="320" w:lineRule="exact"/>
        <w:rPr>
          <w:color w:val="auto"/>
          <w:highlight w:val="none"/>
        </w:rPr>
      </w:pPr>
    </w:p>
    <w:p>
      <w:pPr>
        <w:spacing w:line="320" w:lineRule="exact"/>
        <w:rPr>
          <w:color w:val="auto"/>
          <w:highlight w:val="none"/>
        </w:rPr>
      </w:pPr>
    </w:p>
    <w:p>
      <w:pPr>
        <w:spacing w:line="320" w:lineRule="exact"/>
        <w:rPr>
          <w:color w:val="auto"/>
          <w:highlight w:val="none"/>
        </w:rPr>
      </w:pPr>
    </w:p>
    <w:p>
      <w:pPr>
        <w:pStyle w:val="3"/>
        <w:spacing w:line="400" w:lineRule="exact"/>
        <w:rPr>
          <w:rFonts w:ascii="方正小标宋_GBK" w:hAnsi="宋体" w:eastAsia="方正小标宋_GBK"/>
          <w:color w:val="auto"/>
          <w:highlight w:val="none"/>
        </w:rPr>
      </w:pPr>
      <w:bookmarkStart w:id="119" w:name="_第四章__评定标准及推荐原则"/>
      <w:bookmarkEnd w:id="119"/>
      <w:bookmarkStart w:id="120" w:name="_Toc92355026"/>
      <w:r>
        <w:rPr>
          <w:rFonts w:hint="eastAsia" w:ascii="方正小标宋_GBK" w:hAnsi="宋体" w:eastAsia="方正小标宋_GBK"/>
          <w:color w:val="auto"/>
          <w:highlight w:val="none"/>
        </w:rPr>
        <w:t>第四章  评定标准及推荐原则</w:t>
      </w:r>
      <w:bookmarkEnd w:id="120"/>
    </w:p>
    <w:p>
      <w:pPr>
        <w:pStyle w:val="24"/>
        <w:spacing w:line="280" w:lineRule="exact"/>
        <w:jc w:val="center"/>
        <w:rPr>
          <w:rFonts w:hAnsi="宋体"/>
          <w:b/>
          <w:bCs/>
          <w:color w:val="auto"/>
          <w:sz w:val="30"/>
          <w:szCs w:val="30"/>
          <w:highlight w:val="none"/>
        </w:rPr>
      </w:pPr>
      <w:r>
        <w:rPr>
          <w:rFonts w:hAnsi="宋体"/>
          <w:b/>
          <w:bCs/>
          <w:color w:val="auto"/>
          <w:highlight w:val="none"/>
        </w:rPr>
        <w:br w:type="page"/>
      </w:r>
    </w:p>
    <w:p>
      <w:pPr>
        <w:pStyle w:val="8"/>
        <w:rPr>
          <w:rFonts w:ascii="方正小标宋_GBK" w:eastAsia="方正小标宋_GBK"/>
          <w:color w:val="auto"/>
          <w:highlight w:val="none"/>
        </w:rPr>
      </w:pPr>
    </w:p>
    <w:p>
      <w:pPr>
        <w:pStyle w:val="24"/>
        <w:spacing w:line="500" w:lineRule="exact"/>
        <w:jc w:val="center"/>
        <w:rPr>
          <w:rFonts w:hAnsi="宋体"/>
          <w:b/>
          <w:bCs/>
          <w:color w:val="auto"/>
          <w:sz w:val="44"/>
          <w:szCs w:val="44"/>
          <w:highlight w:val="none"/>
        </w:rPr>
      </w:pPr>
      <w:r>
        <w:rPr>
          <w:rFonts w:hint="eastAsia" w:hAnsi="宋体"/>
          <w:b/>
          <w:bCs/>
          <w:color w:val="auto"/>
          <w:sz w:val="44"/>
          <w:szCs w:val="44"/>
          <w:highlight w:val="none"/>
        </w:rPr>
        <w:t>评定标准及推荐原则</w:t>
      </w:r>
    </w:p>
    <w:p>
      <w:pPr>
        <w:spacing w:line="440" w:lineRule="exact"/>
        <w:rPr>
          <w:color w:val="auto"/>
          <w:highlight w:val="none"/>
        </w:rPr>
      </w:pPr>
    </w:p>
    <w:p>
      <w:pPr>
        <w:spacing w:line="460" w:lineRule="exact"/>
        <w:ind w:firstLine="422" w:firstLineChars="200"/>
        <w:rPr>
          <w:rFonts w:hint="eastAsia" w:ascii="宋体" w:hAnsi="宋体" w:cs="宋体"/>
          <w:b/>
          <w:bCs/>
          <w:szCs w:val="21"/>
        </w:rPr>
      </w:pPr>
      <w:r>
        <w:rPr>
          <w:rFonts w:hint="eastAsia" w:ascii="宋体" w:hAnsi="宋体" w:cs="宋体"/>
          <w:b/>
          <w:bCs/>
          <w:szCs w:val="21"/>
        </w:rPr>
        <w:t>一、评审原则</w:t>
      </w:r>
    </w:p>
    <w:p>
      <w:pPr>
        <w:spacing w:line="460" w:lineRule="exact"/>
        <w:ind w:firstLine="420" w:firstLineChars="200"/>
        <w:rPr>
          <w:rFonts w:hint="eastAsia" w:ascii="宋体" w:hAnsi="宋体" w:cs="宋体"/>
          <w:szCs w:val="21"/>
        </w:rPr>
      </w:pPr>
      <w:r>
        <w:rPr>
          <w:rFonts w:hint="eastAsia" w:ascii="宋体" w:hAnsi="宋体" w:cs="宋体"/>
          <w:szCs w:val="21"/>
        </w:rPr>
        <w:t>(一)评审依据：以竞争性磋商采购文件和响应文件为评定依据。</w:t>
      </w:r>
    </w:p>
    <w:p>
      <w:pPr>
        <w:spacing w:line="460" w:lineRule="exact"/>
        <w:ind w:firstLine="420" w:firstLineChars="200"/>
        <w:rPr>
          <w:rFonts w:hint="eastAsia" w:ascii="宋体" w:hAnsi="宋体" w:cs="宋体"/>
          <w:szCs w:val="21"/>
        </w:rPr>
      </w:pPr>
      <w:r>
        <w:rPr>
          <w:rFonts w:hint="eastAsia" w:ascii="宋体" w:hAnsi="宋体" w:cs="宋体"/>
          <w:szCs w:val="21"/>
        </w:rPr>
        <w:t>(二)磋商小组：由采购人代表和评审专家共3人以上单数组成，其中评审专家人数不得少于磋商小组成员总数的2/3。</w:t>
      </w:r>
    </w:p>
    <w:p>
      <w:pPr>
        <w:spacing w:line="460" w:lineRule="exact"/>
        <w:ind w:firstLine="420" w:firstLineChars="200"/>
        <w:rPr>
          <w:rFonts w:hint="eastAsia" w:ascii="宋体" w:hAnsi="宋体" w:cs="宋体"/>
          <w:szCs w:val="21"/>
        </w:rPr>
      </w:pPr>
      <w:r>
        <w:rPr>
          <w:rFonts w:hint="eastAsia" w:ascii="宋体" w:hAnsi="宋体" w:cs="宋体"/>
          <w:szCs w:val="21"/>
        </w:rPr>
        <w:t>(三)评分方式：磋商小组各成员独立对每个有效响应文件进行评价、打分，汇总每个供应商每项评分因素的得分。</w:t>
      </w:r>
    </w:p>
    <w:p>
      <w:pPr>
        <w:spacing w:line="460" w:lineRule="exact"/>
        <w:ind w:firstLine="422" w:firstLineChars="200"/>
        <w:rPr>
          <w:rFonts w:hint="eastAsia" w:ascii="宋体" w:hAnsi="宋体" w:cs="宋体"/>
          <w:b/>
          <w:bCs/>
          <w:szCs w:val="21"/>
        </w:rPr>
      </w:pPr>
      <w:r>
        <w:rPr>
          <w:rFonts w:hint="eastAsia" w:ascii="宋体" w:hAnsi="宋体" w:cs="宋体"/>
          <w:b/>
          <w:bCs/>
          <w:szCs w:val="21"/>
        </w:rPr>
        <w:t>二、评分细则</w:t>
      </w:r>
    </w:p>
    <w:p>
      <w:pPr>
        <w:spacing w:line="460" w:lineRule="exact"/>
        <w:ind w:firstLine="420" w:firstLineChars="200"/>
        <w:rPr>
          <w:rFonts w:hint="eastAsia" w:ascii="宋体" w:hAnsi="宋体" w:cs="宋体"/>
          <w:color w:val="000000"/>
          <w:szCs w:val="21"/>
        </w:rPr>
      </w:pPr>
      <w:r>
        <w:rPr>
          <w:rFonts w:hint="eastAsia" w:ascii="宋体" w:hAnsi="宋体" w:cs="宋体"/>
          <w:szCs w:val="21"/>
        </w:rPr>
        <w:t>(一)磋商报</w:t>
      </w:r>
      <w:r>
        <w:rPr>
          <w:rFonts w:hint="eastAsia" w:ascii="宋体" w:hAnsi="宋体" w:cs="宋体"/>
          <w:color w:val="000000"/>
          <w:szCs w:val="21"/>
        </w:rPr>
        <w:t>价得分(20分)</w:t>
      </w:r>
    </w:p>
    <w:p>
      <w:pPr>
        <w:keepNext w:val="0"/>
        <w:keepLines w:val="0"/>
        <w:pageBreakBefore w:val="0"/>
        <w:kinsoku/>
        <w:wordWrap/>
        <w:overflowPunct/>
        <w:topLinePunct w:val="0"/>
        <w:autoSpaceDE/>
        <w:autoSpaceDN/>
        <w:bidi w:val="0"/>
        <w:snapToGrid w:val="0"/>
        <w:spacing w:line="360" w:lineRule="auto"/>
        <w:ind w:firstLine="420" w:firstLineChars="200"/>
        <w:rPr>
          <w:rFonts w:ascii="宋体" w:hAnsi="宋体"/>
          <w:bCs/>
          <w:strike w:val="0"/>
          <w:dstrike w:val="0"/>
          <w:color w:val="auto"/>
          <w:sz w:val="21"/>
          <w:szCs w:val="21"/>
          <w:highlight w:val="none"/>
        </w:rPr>
      </w:pPr>
      <w:bookmarkStart w:id="121" w:name="OLE_LINK24"/>
      <w:r>
        <w:rPr>
          <w:rFonts w:hint="eastAsia" w:ascii="宋体" w:hAnsi="宋体"/>
          <w:bCs/>
          <w:strike w:val="0"/>
          <w:dstrike w:val="0"/>
          <w:color w:val="auto"/>
          <w:sz w:val="21"/>
          <w:szCs w:val="21"/>
          <w:highlight w:val="none"/>
          <w:lang w:val="en-US" w:eastAsia="zh-CN"/>
        </w:rPr>
        <w:t>1.</w:t>
      </w:r>
      <w:r>
        <w:rPr>
          <w:rFonts w:hint="eastAsia" w:ascii="宋体" w:hAnsi="宋体"/>
          <w:bCs/>
          <w:strike w:val="0"/>
          <w:dstrike w:val="0"/>
          <w:color w:val="auto"/>
          <w:sz w:val="21"/>
          <w:szCs w:val="21"/>
          <w:highlight w:val="none"/>
        </w:rPr>
        <w:t>评标报价为</w:t>
      </w:r>
      <w:r>
        <w:rPr>
          <w:rFonts w:hint="eastAsia" w:ascii="宋体" w:hAnsi="宋体"/>
          <w:bCs/>
          <w:strike w:val="0"/>
          <w:dstrike w:val="0"/>
          <w:color w:val="auto"/>
          <w:sz w:val="21"/>
          <w:szCs w:val="21"/>
          <w:highlight w:val="none"/>
          <w:lang w:val="en-US" w:eastAsia="zh-CN"/>
        </w:rPr>
        <w:t>竞标</w:t>
      </w:r>
      <w:r>
        <w:rPr>
          <w:rFonts w:hint="eastAsia" w:ascii="宋体" w:hAnsi="宋体"/>
          <w:bCs/>
          <w:strike w:val="0"/>
          <w:dstrike w:val="0"/>
          <w:color w:val="auto"/>
          <w:sz w:val="21"/>
          <w:szCs w:val="21"/>
          <w:highlight w:val="none"/>
        </w:rPr>
        <w:t>人的</w:t>
      </w:r>
      <w:r>
        <w:rPr>
          <w:rFonts w:hint="eastAsia" w:ascii="宋体" w:hAnsi="宋体"/>
          <w:bCs/>
          <w:strike w:val="0"/>
          <w:dstrike w:val="0"/>
          <w:color w:val="auto"/>
          <w:sz w:val="21"/>
          <w:szCs w:val="21"/>
          <w:highlight w:val="none"/>
          <w:lang w:val="en-US" w:eastAsia="zh-CN"/>
        </w:rPr>
        <w:t>竞标</w:t>
      </w:r>
      <w:r>
        <w:rPr>
          <w:rFonts w:hint="eastAsia" w:ascii="宋体" w:hAnsi="宋体"/>
          <w:bCs/>
          <w:strike w:val="0"/>
          <w:dstrike w:val="0"/>
          <w:color w:val="auto"/>
          <w:sz w:val="21"/>
          <w:szCs w:val="21"/>
          <w:highlight w:val="none"/>
        </w:rPr>
        <w:t>报价进行政策性扣除后的价格，评标报价只是作为评标时使用。最终</w:t>
      </w:r>
      <w:r>
        <w:rPr>
          <w:rFonts w:hint="eastAsia" w:ascii="宋体" w:hAnsi="宋体"/>
          <w:bCs/>
          <w:strike w:val="0"/>
          <w:dstrike w:val="0"/>
          <w:color w:val="auto"/>
          <w:sz w:val="21"/>
          <w:szCs w:val="21"/>
          <w:highlight w:val="none"/>
          <w:lang w:val="en-US" w:eastAsia="zh-CN"/>
        </w:rPr>
        <w:t>成交</w:t>
      </w:r>
      <w:r>
        <w:rPr>
          <w:rFonts w:hint="eastAsia" w:ascii="宋体" w:hAnsi="宋体"/>
          <w:bCs/>
          <w:strike w:val="0"/>
          <w:dstrike w:val="0"/>
          <w:color w:val="auto"/>
          <w:sz w:val="21"/>
          <w:szCs w:val="21"/>
          <w:highlight w:val="none"/>
        </w:rPr>
        <w:t>人的</w:t>
      </w:r>
      <w:r>
        <w:rPr>
          <w:rFonts w:hint="eastAsia" w:ascii="宋体" w:hAnsi="宋体"/>
          <w:bCs/>
          <w:strike w:val="0"/>
          <w:dstrike w:val="0"/>
          <w:color w:val="auto"/>
          <w:sz w:val="21"/>
          <w:szCs w:val="21"/>
          <w:highlight w:val="none"/>
          <w:lang w:val="en-US" w:eastAsia="zh-CN"/>
        </w:rPr>
        <w:t>成交</w:t>
      </w:r>
      <w:r>
        <w:rPr>
          <w:rFonts w:hint="eastAsia" w:ascii="宋体" w:hAnsi="宋体"/>
          <w:bCs/>
          <w:strike w:val="0"/>
          <w:dstrike w:val="0"/>
          <w:color w:val="auto"/>
          <w:sz w:val="21"/>
          <w:szCs w:val="21"/>
          <w:highlight w:val="none"/>
        </w:rPr>
        <w:t>金额等于</w:t>
      </w:r>
      <w:r>
        <w:rPr>
          <w:rFonts w:hint="eastAsia" w:ascii="宋体" w:hAnsi="宋体"/>
          <w:bCs/>
          <w:strike w:val="0"/>
          <w:dstrike w:val="0"/>
          <w:color w:val="auto"/>
          <w:sz w:val="21"/>
          <w:szCs w:val="21"/>
          <w:highlight w:val="none"/>
          <w:lang w:val="en-US" w:eastAsia="zh-CN"/>
        </w:rPr>
        <w:t>竞标</w:t>
      </w:r>
      <w:r>
        <w:rPr>
          <w:rFonts w:hint="eastAsia" w:ascii="宋体" w:hAnsi="宋体"/>
          <w:bCs/>
          <w:strike w:val="0"/>
          <w:dstrike w:val="0"/>
          <w:color w:val="auto"/>
          <w:sz w:val="21"/>
          <w:szCs w:val="21"/>
          <w:highlight w:val="none"/>
        </w:rPr>
        <w:t>报价。</w:t>
      </w:r>
    </w:p>
    <w:p>
      <w:pPr>
        <w:keepNext w:val="0"/>
        <w:keepLines w:val="0"/>
        <w:pageBreakBefore w:val="0"/>
        <w:kinsoku/>
        <w:wordWrap/>
        <w:overflowPunct/>
        <w:topLinePunct w:val="0"/>
        <w:autoSpaceDE/>
        <w:autoSpaceDN/>
        <w:bidi w:val="0"/>
        <w:snapToGrid w:val="0"/>
        <w:spacing w:line="360" w:lineRule="auto"/>
        <w:ind w:firstLine="420" w:firstLineChars="200"/>
        <w:rPr>
          <w:rFonts w:hint="eastAsia" w:ascii="宋体" w:hAnsi="宋体"/>
          <w:bCs/>
          <w:strike w:val="0"/>
          <w:dstrike w:val="0"/>
          <w:color w:val="auto"/>
          <w:sz w:val="21"/>
          <w:szCs w:val="21"/>
          <w:highlight w:val="none"/>
        </w:rPr>
      </w:pPr>
      <w:r>
        <w:rPr>
          <w:rFonts w:hint="eastAsia" w:ascii="宋体" w:hAnsi="宋体"/>
          <w:bCs/>
          <w:strike w:val="0"/>
          <w:dstrike w:val="0"/>
          <w:color w:val="auto"/>
          <w:sz w:val="21"/>
          <w:szCs w:val="21"/>
          <w:highlight w:val="none"/>
          <w:lang w:val="en-US" w:eastAsia="zh-CN"/>
        </w:rPr>
        <w:t>2.</w:t>
      </w:r>
      <w:r>
        <w:rPr>
          <w:rFonts w:hint="eastAsia" w:ascii="宋体" w:hAnsi="宋体"/>
          <w:bCs/>
          <w:strike w:val="0"/>
          <w:dstrike w:val="0"/>
          <w:color w:val="auto"/>
          <w:sz w:val="21"/>
          <w:szCs w:val="21"/>
          <w:highlight w:val="none"/>
        </w:rPr>
        <w:t>政策性扣除计算方法。</w:t>
      </w:r>
    </w:p>
    <w:p>
      <w:pPr>
        <w:keepNext w:val="0"/>
        <w:keepLines w:val="0"/>
        <w:pageBreakBefore w:val="0"/>
        <w:kinsoku/>
        <w:wordWrap/>
        <w:overflowPunct/>
        <w:topLinePunct w:val="0"/>
        <w:autoSpaceDE/>
        <w:autoSpaceDN/>
        <w:bidi w:val="0"/>
        <w:snapToGrid w:val="0"/>
        <w:spacing w:line="360" w:lineRule="auto"/>
        <w:ind w:firstLine="420" w:firstLineChars="200"/>
        <w:rPr>
          <w:rFonts w:hint="eastAsia" w:ascii="宋体" w:hAnsi="宋体"/>
          <w:strike w:val="0"/>
          <w:dstrike w:val="0"/>
          <w:color w:val="auto"/>
          <w:sz w:val="21"/>
          <w:szCs w:val="21"/>
          <w:highlight w:val="none"/>
        </w:rPr>
      </w:pPr>
      <w:r>
        <w:rPr>
          <w:rFonts w:hint="eastAsia" w:ascii="宋体" w:hAnsi="宋体"/>
          <w:bCs/>
          <w:strike w:val="0"/>
          <w:dstrike w:val="0"/>
          <w:color w:val="auto"/>
          <w:sz w:val="21"/>
          <w:szCs w:val="21"/>
          <w:highlight w:val="none"/>
          <w:lang w:val="en-US" w:eastAsia="zh-CN"/>
        </w:rPr>
        <w:t>（1）</w:t>
      </w:r>
      <w:r>
        <w:rPr>
          <w:rFonts w:hint="eastAsia" w:ascii="宋体" w:hAnsi="宋体"/>
          <w:bCs/>
          <w:strike w:val="0"/>
          <w:dstrike w:val="0"/>
          <w:color w:val="auto"/>
          <w:sz w:val="21"/>
          <w:szCs w:val="21"/>
          <w:highlight w:val="none"/>
        </w:rPr>
        <w:t>根据《政府采购促进中小企业发展管理办法》（财库〔2020〕46号）及《广西壮族自治区财政厅关于持续优化政府采购营商环境推动高质量发展的通知》（桂财采〔2024〕55号）的规定，</w:t>
      </w:r>
      <w:r>
        <w:rPr>
          <w:rFonts w:hint="eastAsia" w:ascii="宋体" w:hAnsi="宋体"/>
          <w:bCs/>
          <w:strike w:val="0"/>
          <w:dstrike w:val="0"/>
          <w:color w:val="auto"/>
          <w:sz w:val="21"/>
          <w:szCs w:val="21"/>
          <w:highlight w:val="none"/>
          <w:lang w:val="en-US" w:eastAsia="zh-CN"/>
        </w:rPr>
        <w:t>竞标</w:t>
      </w:r>
      <w:r>
        <w:rPr>
          <w:rFonts w:hint="eastAsia" w:ascii="宋体" w:hAnsi="宋体"/>
          <w:bCs/>
          <w:strike w:val="0"/>
          <w:dstrike w:val="0"/>
          <w:color w:val="auto"/>
          <w:sz w:val="21"/>
          <w:szCs w:val="21"/>
          <w:highlight w:val="none"/>
        </w:rPr>
        <w:t>人在其</w:t>
      </w:r>
      <w:r>
        <w:rPr>
          <w:rFonts w:hint="eastAsia" w:ascii="宋体" w:hAnsi="宋体"/>
          <w:bCs/>
          <w:strike w:val="0"/>
          <w:dstrike w:val="0"/>
          <w:color w:val="auto"/>
          <w:sz w:val="21"/>
          <w:szCs w:val="21"/>
          <w:highlight w:val="none"/>
          <w:lang w:val="en-US" w:eastAsia="zh-CN"/>
        </w:rPr>
        <w:t>响应</w:t>
      </w:r>
      <w:r>
        <w:rPr>
          <w:rFonts w:hint="eastAsia" w:ascii="宋体" w:hAnsi="宋体"/>
          <w:bCs/>
          <w:strike w:val="0"/>
          <w:dstrike w:val="0"/>
          <w:color w:val="auto"/>
          <w:sz w:val="21"/>
          <w:szCs w:val="21"/>
          <w:highlight w:val="none"/>
        </w:rPr>
        <w:t>文件中提供《中小企业声明函》，且服务全部由小微企业承接对其</w:t>
      </w:r>
      <w:r>
        <w:rPr>
          <w:rFonts w:hint="eastAsia" w:ascii="宋体" w:hAnsi="宋体"/>
          <w:bCs/>
          <w:strike w:val="0"/>
          <w:dstrike w:val="0"/>
          <w:color w:val="auto"/>
          <w:sz w:val="21"/>
          <w:szCs w:val="21"/>
          <w:highlight w:val="none"/>
          <w:lang w:val="en-US" w:eastAsia="zh-CN"/>
        </w:rPr>
        <w:t>竞标</w:t>
      </w:r>
      <w:r>
        <w:rPr>
          <w:rFonts w:hint="eastAsia" w:ascii="宋体" w:hAnsi="宋体"/>
          <w:bCs/>
          <w:strike w:val="0"/>
          <w:dstrike w:val="0"/>
          <w:color w:val="auto"/>
          <w:sz w:val="21"/>
          <w:szCs w:val="21"/>
          <w:highlight w:val="none"/>
        </w:rPr>
        <w:t>报价给予20%的扣除，扣除后的价格为评标报价，即评标报价=</w:t>
      </w:r>
      <w:r>
        <w:rPr>
          <w:rFonts w:hint="eastAsia" w:ascii="宋体" w:hAnsi="宋体"/>
          <w:bCs/>
          <w:strike w:val="0"/>
          <w:dstrike w:val="0"/>
          <w:color w:val="auto"/>
          <w:sz w:val="21"/>
          <w:szCs w:val="21"/>
          <w:highlight w:val="none"/>
          <w:lang w:val="en-US" w:eastAsia="zh-CN"/>
        </w:rPr>
        <w:t>竞标</w:t>
      </w:r>
      <w:r>
        <w:rPr>
          <w:rFonts w:hint="eastAsia" w:ascii="宋体" w:hAnsi="宋体"/>
          <w:bCs/>
          <w:strike w:val="0"/>
          <w:dstrike w:val="0"/>
          <w:color w:val="auto"/>
          <w:sz w:val="21"/>
          <w:szCs w:val="21"/>
          <w:highlight w:val="none"/>
        </w:rPr>
        <w:t>报价×（1-</w:t>
      </w:r>
      <w:r>
        <w:rPr>
          <w:rFonts w:hint="eastAsia" w:ascii="宋体" w:hAnsi="宋体"/>
          <w:bCs/>
          <w:strike w:val="0"/>
          <w:dstrike w:val="0"/>
          <w:color w:val="auto"/>
          <w:sz w:val="21"/>
          <w:szCs w:val="21"/>
          <w:highlight w:val="none"/>
          <w:u w:val="single"/>
          <w:lang w:val="en-US" w:eastAsia="zh-CN"/>
        </w:rPr>
        <w:t>2</w:t>
      </w:r>
      <w:r>
        <w:rPr>
          <w:rFonts w:hint="eastAsia" w:ascii="宋体" w:hAnsi="宋体"/>
          <w:bCs/>
          <w:strike w:val="0"/>
          <w:dstrike w:val="0"/>
          <w:color w:val="auto"/>
          <w:sz w:val="21"/>
          <w:szCs w:val="21"/>
          <w:highlight w:val="none"/>
          <w:u w:val="single"/>
        </w:rPr>
        <w:t>0</w:t>
      </w:r>
      <w:r>
        <w:rPr>
          <w:rFonts w:hint="eastAsia" w:ascii="宋体" w:hAnsi="宋体"/>
          <w:bCs/>
          <w:strike w:val="0"/>
          <w:dstrike w:val="0"/>
          <w:color w:val="auto"/>
          <w:sz w:val="21"/>
          <w:szCs w:val="21"/>
          <w:highlight w:val="none"/>
        </w:rPr>
        <w:t>%）。除上述情况外，评标报价=</w:t>
      </w:r>
      <w:r>
        <w:rPr>
          <w:rFonts w:hint="eastAsia" w:ascii="宋体" w:hAnsi="宋体"/>
          <w:bCs/>
          <w:strike w:val="0"/>
          <w:dstrike w:val="0"/>
          <w:color w:val="auto"/>
          <w:sz w:val="21"/>
          <w:szCs w:val="21"/>
          <w:highlight w:val="none"/>
          <w:lang w:val="en-US" w:eastAsia="zh-CN"/>
        </w:rPr>
        <w:t>竞标</w:t>
      </w:r>
      <w:r>
        <w:rPr>
          <w:rFonts w:hint="eastAsia" w:ascii="宋体" w:hAnsi="宋体"/>
          <w:bCs/>
          <w:strike w:val="0"/>
          <w:dstrike w:val="0"/>
          <w:color w:val="auto"/>
          <w:sz w:val="21"/>
          <w:szCs w:val="21"/>
          <w:highlight w:val="none"/>
        </w:rPr>
        <w:t>报价。</w:t>
      </w:r>
    </w:p>
    <w:p>
      <w:pPr>
        <w:keepNext w:val="0"/>
        <w:keepLines w:val="0"/>
        <w:pageBreakBefore w:val="0"/>
        <w:kinsoku/>
        <w:wordWrap/>
        <w:overflowPunct/>
        <w:topLinePunct w:val="0"/>
        <w:autoSpaceDE/>
        <w:autoSpaceDN/>
        <w:bidi w:val="0"/>
        <w:snapToGrid w:val="0"/>
        <w:spacing w:line="360" w:lineRule="auto"/>
        <w:ind w:firstLine="420" w:firstLineChars="200"/>
        <w:rPr>
          <w:rFonts w:hint="eastAsia" w:ascii="宋体" w:hAnsi="宋体"/>
          <w:bCs/>
          <w:strike w:val="0"/>
          <w:dstrike w:val="0"/>
          <w:color w:val="auto"/>
          <w:sz w:val="21"/>
          <w:szCs w:val="21"/>
          <w:highlight w:val="none"/>
        </w:rPr>
      </w:pPr>
      <w:r>
        <w:rPr>
          <w:rFonts w:hint="eastAsia" w:ascii="宋体" w:hAnsi="宋体"/>
          <w:bCs/>
          <w:strike w:val="0"/>
          <w:dstrike w:val="0"/>
          <w:color w:val="auto"/>
          <w:sz w:val="21"/>
          <w:szCs w:val="21"/>
          <w:highlight w:val="none"/>
          <w:lang w:eastAsia="zh-CN"/>
        </w:rPr>
        <w:t>（</w:t>
      </w:r>
      <w:r>
        <w:rPr>
          <w:rFonts w:hint="eastAsia" w:ascii="宋体" w:hAnsi="宋体"/>
          <w:bCs/>
          <w:strike w:val="0"/>
          <w:dstrike w:val="0"/>
          <w:color w:val="auto"/>
          <w:sz w:val="21"/>
          <w:szCs w:val="21"/>
          <w:highlight w:val="none"/>
          <w:lang w:val="en-US" w:eastAsia="zh-CN"/>
        </w:rPr>
        <w:t>2</w:t>
      </w:r>
      <w:r>
        <w:rPr>
          <w:rFonts w:hint="eastAsia" w:ascii="宋体" w:hAnsi="宋体"/>
          <w:bCs/>
          <w:strike w:val="0"/>
          <w:dstrike w:val="0"/>
          <w:color w:val="auto"/>
          <w:sz w:val="21"/>
          <w:szCs w:val="21"/>
          <w:highlight w:val="none"/>
          <w:lang w:eastAsia="zh-CN"/>
        </w:rPr>
        <w:t>）</w:t>
      </w:r>
      <w:r>
        <w:rPr>
          <w:rFonts w:hint="eastAsia" w:ascii="宋体" w:hAnsi="宋体"/>
          <w:bCs/>
          <w:strike w:val="0"/>
          <w:dstrike w:val="0"/>
          <w:color w:val="auto"/>
          <w:sz w:val="21"/>
          <w:szCs w:val="21"/>
          <w:highlight w:val="none"/>
        </w:rPr>
        <w:t>按照《财政部、司法部关于政府采购支持监狱企业发展有关问题的通知》（财库〔2014〕68号）的规定，监狱企业视同小型、微型企业，享受预留份额、评审中价格扣除等促进中小企业发展的政府采购政策。</w:t>
      </w:r>
      <w:r>
        <w:rPr>
          <w:rFonts w:hint="eastAsia" w:ascii="宋体" w:hAnsi="宋体"/>
          <w:strike w:val="0"/>
          <w:dstrike w:val="0"/>
          <w:color w:val="auto"/>
          <w:sz w:val="21"/>
          <w:szCs w:val="21"/>
          <w:highlight w:val="none"/>
        </w:rPr>
        <w:t>监狱企业参加政府采购活动时，应当提供由省级以上监狱管理局、戒毒管理局（含新疆生产建设兵团）出具的属于监狱企业的证明文件。</w:t>
      </w:r>
      <w:r>
        <w:rPr>
          <w:rFonts w:hint="eastAsia" w:ascii="宋体" w:hAnsi="宋体"/>
          <w:bCs/>
          <w:strike w:val="0"/>
          <w:dstrike w:val="0"/>
          <w:color w:val="auto"/>
          <w:sz w:val="21"/>
          <w:szCs w:val="21"/>
          <w:highlight w:val="none"/>
        </w:rPr>
        <w:t>监狱企业属于小型、微型企业的，不重复享受政策。</w:t>
      </w:r>
    </w:p>
    <w:p>
      <w:pPr>
        <w:keepNext w:val="0"/>
        <w:keepLines w:val="0"/>
        <w:pageBreakBefore w:val="0"/>
        <w:kinsoku/>
        <w:wordWrap/>
        <w:overflowPunct/>
        <w:topLinePunct w:val="0"/>
        <w:autoSpaceDE/>
        <w:autoSpaceDN/>
        <w:bidi w:val="0"/>
        <w:snapToGrid w:val="0"/>
        <w:spacing w:line="360" w:lineRule="auto"/>
        <w:ind w:firstLine="420" w:firstLineChars="200"/>
        <w:rPr>
          <w:rFonts w:hint="eastAsia" w:ascii="宋体" w:hAnsi="宋体"/>
          <w:bCs/>
          <w:strike w:val="0"/>
          <w:dstrike w:val="0"/>
          <w:color w:val="auto"/>
          <w:sz w:val="21"/>
          <w:szCs w:val="21"/>
          <w:highlight w:val="none"/>
        </w:rPr>
      </w:pPr>
      <w:r>
        <w:rPr>
          <w:rFonts w:hint="eastAsia" w:ascii="宋体" w:hAnsi="宋体"/>
          <w:strike w:val="0"/>
          <w:dstrike w:val="0"/>
          <w:color w:val="auto"/>
          <w:sz w:val="21"/>
          <w:szCs w:val="21"/>
          <w:highlight w:val="none"/>
          <w:lang w:eastAsia="zh-CN"/>
        </w:rPr>
        <w:t>（</w:t>
      </w:r>
      <w:r>
        <w:rPr>
          <w:rFonts w:hint="eastAsia" w:ascii="宋体" w:hAnsi="宋体"/>
          <w:strike w:val="0"/>
          <w:dstrike w:val="0"/>
          <w:color w:val="auto"/>
          <w:sz w:val="21"/>
          <w:szCs w:val="21"/>
          <w:highlight w:val="none"/>
          <w:lang w:val="en-US" w:eastAsia="zh-CN"/>
        </w:rPr>
        <w:t>3</w:t>
      </w:r>
      <w:r>
        <w:rPr>
          <w:rFonts w:hint="eastAsia" w:ascii="宋体" w:hAnsi="宋体"/>
          <w:strike w:val="0"/>
          <w:dstrike w:val="0"/>
          <w:color w:val="auto"/>
          <w:sz w:val="21"/>
          <w:szCs w:val="21"/>
          <w:highlight w:val="none"/>
          <w:lang w:eastAsia="zh-CN"/>
        </w:rPr>
        <w:t>）</w:t>
      </w:r>
      <w:r>
        <w:rPr>
          <w:rFonts w:hint="eastAsia" w:ascii="宋体" w:hAnsi="宋体"/>
          <w:strike w:val="0"/>
          <w:dstrike w:val="0"/>
          <w:color w:val="auto"/>
          <w:sz w:val="21"/>
          <w:szCs w:val="21"/>
          <w:highlight w:val="none"/>
        </w:rPr>
        <w:t>按照</w:t>
      </w:r>
      <w:r>
        <w:rPr>
          <w:rFonts w:hint="eastAsia" w:ascii="宋体" w:hAnsi="宋体"/>
          <w:bCs/>
          <w:strike w:val="0"/>
          <w:dstrike w:val="0"/>
          <w:color w:val="auto"/>
          <w:sz w:val="21"/>
          <w:szCs w:val="21"/>
          <w:highlight w:val="none"/>
        </w:rPr>
        <w:t>《关于促进残疾人就业政府采购政策的通知》（财库〔2017〕141号）的规定，残疾人福利性单位视同小型、微型企业，享受预留份额、评审中价格扣除等促进中小企业发展的政府采购政策。</w:t>
      </w:r>
      <w:r>
        <w:rPr>
          <w:rFonts w:hint="eastAsia" w:ascii="宋体" w:hAnsi="宋体"/>
          <w:strike w:val="0"/>
          <w:dstrike w:val="0"/>
          <w:color w:val="auto"/>
          <w:sz w:val="21"/>
          <w:szCs w:val="21"/>
          <w:highlight w:val="none"/>
        </w:rPr>
        <w:t>残疾人福利性单位参加政府采购活动时，应当提供该通知规定的《残疾人福利性单位声明函》，并对声明的真实性负责。</w:t>
      </w:r>
      <w:r>
        <w:rPr>
          <w:rFonts w:hint="eastAsia" w:ascii="宋体" w:hAnsi="宋体"/>
          <w:bCs/>
          <w:strike w:val="0"/>
          <w:dstrike w:val="0"/>
          <w:color w:val="auto"/>
          <w:sz w:val="21"/>
          <w:szCs w:val="21"/>
          <w:highlight w:val="none"/>
        </w:rPr>
        <w:t>残疾人福利性单位属于小型、微型企业的，不重复享受政策。</w:t>
      </w:r>
    </w:p>
    <w:p>
      <w:pPr>
        <w:keepNext w:val="0"/>
        <w:keepLines w:val="0"/>
        <w:pageBreakBefore w:val="0"/>
        <w:kinsoku/>
        <w:wordWrap/>
        <w:overflowPunct/>
        <w:topLinePunct w:val="0"/>
        <w:autoSpaceDE/>
        <w:autoSpaceDN/>
        <w:bidi w:val="0"/>
        <w:snapToGrid w:val="0"/>
        <w:spacing w:line="360" w:lineRule="auto"/>
        <w:ind w:firstLine="420" w:firstLineChars="200"/>
        <w:rPr>
          <w:rFonts w:hint="eastAsia" w:ascii="宋体" w:hAnsi="宋体"/>
          <w:bCs/>
          <w:strike w:val="0"/>
          <w:dstrike w:val="0"/>
          <w:color w:val="auto"/>
          <w:sz w:val="21"/>
          <w:szCs w:val="21"/>
          <w:highlight w:val="none"/>
        </w:rPr>
      </w:pPr>
      <w:r>
        <w:rPr>
          <w:rFonts w:hint="eastAsia" w:ascii="宋体" w:hAnsi="宋体"/>
          <w:bCs/>
          <w:strike w:val="0"/>
          <w:dstrike w:val="0"/>
          <w:color w:val="auto"/>
          <w:sz w:val="21"/>
          <w:szCs w:val="21"/>
          <w:highlight w:val="none"/>
          <w:lang w:eastAsia="zh-CN"/>
        </w:rPr>
        <w:t>（</w:t>
      </w:r>
      <w:r>
        <w:rPr>
          <w:rFonts w:hint="eastAsia" w:ascii="宋体" w:hAnsi="宋体"/>
          <w:bCs/>
          <w:strike w:val="0"/>
          <w:dstrike w:val="0"/>
          <w:color w:val="auto"/>
          <w:sz w:val="21"/>
          <w:szCs w:val="21"/>
          <w:highlight w:val="none"/>
          <w:lang w:val="en-US" w:eastAsia="zh-CN"/>
        </w:rPr>
        <w:t>4</w:t>
      </w:r>
      <w:r>
        <w:rPr>
          <w:rFonts w:hint="eastAsia" w:ascii="宋体" w:hAnsi="宋体"/>
          <w:bCs/>
          <w:strike w:val="0"/>
          <w:dstrike w:val="0"/>
          <w:color w:val="auto"/>
          <w:sz w:val="21"/>
          <w:szCs w:val="21"/>
          <w:highlight w:val="none"/>
          <w:lang w:eastAsia="zh-CN"/>
        </w:rPr>
        <w:t>）</w:t>
      </w:r>
      <w:r>
        <w:rPr>
          <w:rFonts w:hint="eastAsia" w:ascii="宋体" w:hAnsi="宋体"/>
          <w:bCs/>
          <w:strike w:val="0"/>
          <w:dstrike w:val="0"/>
          <w:color w:val="auto"/>
          <w:sz w:val="21"/>
          <w:szCs w:val="21"/>
          <w:highlight w:val="none"/>
        </w:rPr>
        <w:t>满足</w:t>
      </w:r>
      <w:r>
        <w:rPr>
          <w:rFonts w:hint="eastAsia" w:ascii="宋体" w:hAnsi="宋体"/>
          <w:bCs/>
          <w:strike w:val="0"/>
          <w:dstrike w:val="0"/>
          <w:color w:val="auto"/>
          <w:sz w:val="21"/>
          <w:szCs w:val="21"/>
          <w:highlight w:val="none"/>
          <w:lang w:val="en-US" w:eastAsia="zh-CN"/>
        </w:rPr>
        <w:t>采购</w:t>
      </w:r>
      <w:r>
        <w:rPr>
          <w:rFonts w:hint="eastAsia" w:ascii="宋体" w:hAnsi="宋体"/>
          <w:bCs/>
          <w:strike w:val="0"/>
          <w:dstrike w:val="0"/>
          <w:color w:val="auto"/>
          <w:sz w:val="21"/>
          <w:szCs w:val="21"/>
          <w:highlight w:val="none"/>
        </w:rPr>
        <w:t>文件要求且评标报价最低的评标报价为评标基准价，其价格分为满分。</w:t>
      </w:r>
    </w:p>
    <w:p>
      <w:pPr>
        <w:keepNext w:val="0"/>
        <w:keepLines w:val="0"/>
        <w:pageBreakBefore w:val="0"/>
        <w:kinsoku/>
        <w:wordWrap/>
        <w:overflowPunct/>
        <w:topLinePunct w:val="0"/>
        <w:autoSpaceDE/>
        <w:autoSpaceDN/>
        <w:bidi w:val="0"/>
        <w:spacing w:line="360" w:lineRule="auto"/>
        <w:ind w:firstLine="420" w:firstLineChars="200"/>
        <w:rPr>
          <w:rFonts w:hint="eastAsia" w:ascii="宋体" w:hAnsi="宋体" w:cs="Courier New"/>
          <w:color w:val="auto"/>
          <w:szCs w:val="21"/>
          <w:highlight w:val="none"/>
          <w:lang w:val="en-US" w:eastAsia="zh-CN"/>
        </w:rPr>
      </w:pPr>
      <w:r>
        <w:rPr>
          <w:rFonts w:hint="eastAsia" w:ascii="宋体" w:hAnsi="宋体"/>
          <w:bCs/>
          <w:strike w:val="0"/>
          <w:dstrike w:val="0"/>
          <w:color w:val="auto"/>
          <w:sz w:val="21"/>
          <w:szCs w:val="21"/>
          <w:highlight w:val="none"/>
          <w:lang w:eastAsia="zh-CN"/>
        </w:rPr>
        <w:t>（</w:t>
      </w:r>
      <w:r>
        <w:rPr>
          <w:rFonts w:hint="eastAsia" w:ascii="宋体" w:hAnsi="宋体"/>
          <w:bCs/>
          <w:strike w:val="0"/>
          <w:dstrike w:val="0"/>
          <w:color w:val="auto"/>
          <w:sz w:val="21"/>
          <w:szCs w:val="21"/>
          <w:highlight w:val="none"/>
          <w:lang w:val="en-US" w:eastAsia="zh-CN"/>
        </w:rPr>
        <w:t>5</w:t>
      </w:r>
      <w:r>
        <w:rPr>
          <w:rFonts w:hint="eastAsia" w:ascii="宋体" w:hAnsi="宋体"/>
          <w:bCs/>
          <w:strike w:val="0"/>
          <w:dstrike w:val="0"/>
          <w:color w:val="auto"/>
          <w:sz w:val="21"/>
          <w:szCs w:val="21"/>
          <w:highlight w:val="none"/>
          <w:lang w:eastAsia="zh-CN"/>
        </w:rPr>
        <w:t>）</w:t>
      </w:r>
      <w:r>
        <w:rPr>
          <w:rFonts w:hint="eastAsia" w:ascii="宋体" w:hAnsi="宋体"/>
          <w:bCs/>
          <w:strike w:val="0"/>
          <w:dstrike w:val="0"/>
          <w:color w:val="auto"/>
          <w:sz w:val="21"/>
          <w:szCs w:val="21"/>
          <w:highlight w:val="none"/>
        </w:rPr>
        <w:t>价格分计算公式：价格分</w:t>
      </w:r>
      <w:r>
        <w:rPr>
          <w:rFonts w:hint="eastAsia" w:ascii="宋体" w:hAnsi="宋体" w:cs="Courier New"/>
          <w:bCs/>
          <w:strike w:val="0"/>
          <w:dstrike w:val="0"/>
          <w:color w:val="auto"/>
          <w:sz w:val="21"/>
          <w:szCs w:val="21"/>
          <w:highlight w:val="none"/>
        </w:rPr>
        <w:t>=（评标基准价／评标报价）×</w:t>
      </w:r>
      <w:r>
        <w:rPr>
          <w:rFonts w:hint="eastAsia" w:ascii="宋体" w:hAnsi="宋体"/>
          <w:bCs/>
          <w:strike w:val="0"/>
          <w:dstrike w:val="0"/>
          <w:color w:val="auto"/>
          <w:sz w:val="21"/>
          <w:szCs w:val="21"/>
          <w:highlight w:val="none"/>
          <w:u w:val="single"/>
          <w:lang w:val="en-US" w:eastAsia="zh-CN"/>
        </w:rPr>
        <w:t>20</w:t>
      </w:r>
      <w:r>
        <w:rPr>
          <w:rFonts w:hint="eastAsia" w:ascii="宋体" w:hAnsi="宋体" w:cs="Courier New"/>
          <w:bCs/>
          <w:strike w:val="0"/>
          <w:dstrike w:val="0"/>
          <w:color w:val="auto"/>
          <w:sz w:val="21"/>
          <w:szCs w:val="21"/>
          <w:highlight w:val="none"/>
        </w:rPr>
        <w:t>分</w:t>
      </w:r>
      <w:bookmarkEnd w:id="121"/>
      <w:bookmarkStart w:id="122" w:name="_Hlk219987554"/>
    </w:p>
    <w:p>
      <w:pPr>
        <w:snapToGrid w:val="0"/>
        <w:spacing w:line="410" w:lineRule="exact"/>
        <w:ind w:left="0" w:leftChars="0" w:firstLine="420" w:firstLineChars="200"/>
        <w:rPr>
          <w:rFonts w:hint="eastAsia" w:ascii="宋体" w:hAnsi="宋体" w:eastAsia="宋体" w:cs="Courier New"/>
          <w:color w:val="auto"/>
          <w:szCs w:val="21"/>
          <w:highlight w:val="none"/>
        </w:rPr>
      </w:pPr>
      <w:r>
        <w:rPr>
          <w:rFonts w:hint="eastAsia" w:ascii="宋体" w:hAnsi="宋体" w:cs="Courier New"/>
          <w:color w:val="auto"/>
          <w:szCs w:val="21"/>
          <w:highlight w:val="none"/>
          <w:lang w:val="en-US" w:eastAsia="zh-CN"/>
        </w:rPr>
        <w:t>3.根据《关于推动解决政府采购异常低价问题的通知》</w:t>
      </w:r>
      <w:r>
        <w:rPr>
          <w:rFonts w:hint="eastAsia" w:ascii="宋体" w:hAnsi="宋体"/>
          <w:bCs/>
          <w:strike w:val="0"/>
          <w:dstrike w:val="0"/>
          <w:color w:val="auto"/>
          <w:sz w:val="21"/>
          <w:szCs w:val="21"/>
          <w:highlight w:val="none"/>
        </w:rPr>
        <w:t>（财库〔20</w:t>
      </w:r>
      <w:r>
        <w:rPr>
          <w:rFonts w:hint="eastAsia" w:ascii="宋体" w:hAnsi="宋体"/>
          <w:bCs/>
          <w:strike w:val="0"/>
          <w:dstrike w:val="0"/>
          <w:color w:val="auto"/>
          <w:sz w:val="21"/>
          <w:szCs w:val="21"/>
          <w:highlight w:val="none"/>
          <w:lang w:val="en-US" w:eastAsia="zh-CN"/>
        </w:rPr>
        <w:t>26</w:t>
      </w:r>
      <w:r>
        <w:rPr>
          <w:rFonts w:hint="eastAsia" w:ascii="宋体" w:hAnsi="宋体"/>
          <w:bCs/>
          <w:strike w:val="0"/>
          <w:dstrike w:val="0"/>
          <w:color w:val="auto"/>
          <w:sz w:val="21"/>
          <w:szCs w:val="21"/>
          <w:highlight w:val="none"/>
        </w:rPr>
        <w:t>〕</w:t>
      </w:r>
      <w:r>
        <w:rPr>
          <w:rFonts w:hint="eastAsia" w:ascii="宋体" w:hAnsi="宋体"/>
          <w:bCs/>
          <w:strike w:val="0"/>
          <w:dstrike w:val="0"/>
          <w:color w:val="auto"/>
          <w:sz w:val="21"/>
          <w:szCs w:val="21"/>
          <w:highlight w:val="none"/>
          <w:lang w:val="en-US" w:eastAsia="zh-CN"/>
        </w:rPr>
        <w:t>2</w:t>
      </w:r>
      <w:r>
        <w:rPr>
          <w:rFonts w:hint="eastAsia" w:ascii="宋体" w:hAnsi="宋体"/>
          <w:bCs/>
          <w:strike w:val="0"/>
          <w:dstrike w:val="0"/>
          <w:color w:val="auto"/>
          <w:sz w:val="21"/>
          <w:szCs w:val="21"/>
          <w:highlight w:val="none"/>
        </w:rPr>
        <w:t>号）</w:t>
      </w:r>
      <w:r>
        <w:rPr>
          <w:rFonts w:hint="eastAsia" w:ascii="宋体" w:hAnsi="宋体"/>
          <w:bCs/>
          <w:strike w:val="0"/>
          <w:dstrike w:val="0"/>
          <w:color w:val="auto"/>
          <w:sz w:val="21"/>
          <w:szCs w:val="21"/>
          <w:highlight w:val="none"/>
          <w:lang w:eastAsia="zh-CN"/>
        </w:rPr>
        <w:t>的</w:t>
      </w:r>
      <w:r>
        <w:rPr>
          <w:rFonts w:hint="eastAsia" w:ascii="宋体" w:hAnsi="宋体"/>
          <w:bCs/>
          <w:strike w:val="0"/>
          <w:dstrike w:val="0"/>
          <w:color w:val="auto"/>
          <w:sz w:val="21"/>
          <w:szCs w:val="21"/>
          <w:highlight w:val="none"/>
          <w:lang w:val="en-US" w:eastAsia="zh-CN"/>
        </w:rPr>
        <w:t>规定，</w:t>
      </w:r>
      <w:r>
        <w:rPr>
          <w:rFonts w:hint="eastAsia" w:ascii="宋体" w:hAnsi="宋体" w:eastAsia="宋体" w:cs="Courier New"/>
          <w:color w:val="auto"/>
          <w:szCs w:val="21"/>
          <w:highlight w:val="none"/>
        </w:rPr>
        <w:t>评审中出现下列情形之一的，评</w:t>
      </w:r>
      <w:r>
        <w:rPr>
          <w:rFonts w:hint="eastAsia" w:ascii="宋体" w:hAnsi="宋体" w:cs="Courier New"/>
          <w:color w:val="auto"/>
          <w:szCs w:val="21"/>
          <w:highlight w:val="none"/>
          <w:lang w:val="en-US" w:eastAsia="zh-CN"/>
        </w:rPr>
        <w:t>审</w:t>
      </w:r>
      <w:r>
        <w:rPr>
          <w:rFonts w:hint="eastAsia" w:ascii="宋体" w:hAnsi="宋体" w:eastAsia="宋体" w:cs="Courier New"/>
          <w:color w:val="auto"/>
          <w:szCs w:val="21"/>
          <w:highlight w:val="none"/>
        </w:rPr>
        <w:t>委员会应当启动异常低价投标审查程序：</w:t>
      </w:r>
    </w:p>
    <w:p>
      <w:pPr>
        <w:snapToGrid w:val="0"/>
        <w:spacing w:line="410" w:lineRule="exact"/>
        <w:ind w:firstLine="525" w:firstLineChars="250"/>
        <w:rPr>
          <w:rFonts w:hint="eastAsia" w:ascii="宋体" w:hAnsi="宋体" w:eastAsia="宋体" w:cs="Courier New"/>
          <w:color w:val="auto"/>
          <w:szCs w:val="21"/>
          <w:highlight w:val="none"/>
        </w:rPr>
      </w:pPr>
      <w:r>
        <w:rPr>
          <w:rFonts w:hint="eastAsia" w:ascii="宋体" w:hAnsi="宋体" w:cs="Courier New"/>
          <w:color w:val="auto"/>
          <w:szCs w:val="21"/>
          <w:highlight w:val="none"/>
          <w:lang w:val="en-US" w:eastAsia="zh-CN"/>
        </w:rPr>
        <w:t>（1）</w:t>
      </w:r>
      <w:r>
        <w:rPr>
          <w:rFonts w:hint="eastAsia" w:ascii="宋体" w:hAnsi="宋体" w:eastAsia="宋体" w:cs="Courier New"/>
          <w:color w:val="auto"/>
          <w:szCs w:val="21"/>
          <w:highlight w:val="none"/>
        </w:rPr>
        <w:t>投标</w:t>
      </w:r>
      <w:r>
        <w:rPr>
          <w:rFonts w:hint="eastAsia" w:ascii="宋体" w:hAnsi="宋体" w:cs="Courier New"/>
          <w:color w:val="auto"/>
          <w:szCs w:val="21"/>
          <w:highlight w:val="none"/>
          <w:lang w:eastAsia="zh-CN"/>
        </w:rPr>
        <w:t>（</w:t>
      </w:r>
      <w:r>
        <w:rPr>
          <w:rFonts w:hint="eastAsia" w:ascii="宋体" w:hAnsi="宋体" w:cs="Courier New"/>
          <w:color w:val="auto"/>
          <w:szCs w:val="21"/>
          <w:highlight w:val="none"/>
          <w:lang w:val="en-US" w:eastAsia="zh-CN"/>
        </w:rPr>
        <w:t>响应</w:t>
      </w:r>
      <w:r>
        <w:rPr>
          <w:rFonts w:hint="eastAsia" w:ascii="宋体" w:hAnsi="宋体" w:cs="Courier New"/>
          <w:color w:val="auto"/>
          <w:szCs w:val="21"/>
          <w:highlight w:val="none"/>
          <w:lang w:eastAsia="zh-CN"/>
        </w:rPr>
        <w:t>）</w:t>
      </w:r>
      <w:r>
        <w:rPr>
          <w:rFonts w:hint="eastAsia" w:ascii="宋体" w:hAnsi="宋体" w:eastAsia="宋体" w:cs="Courier New"/>
          <w:color w:val="auto"/>
          <w:szCs w:val="21"/>
          <w:highlight w:val="none"/>
        </w:rPr>
        <w:t>报价低于全部通过符合性审查供应商投标</w:t>
      </w:r>
      <w:r>
        <w:rPr>
          <w:rFonts w:hint="eastAsia" w:ascii="宋体" w:hAnsi="宋体" w:cs="Courier New"/>
          <w:color w:val="auto"/>
          <w:szCs w:val="21"/>
          <w:highlight w:val="none"/>
          <w:lang w:eastAsia="zh-CN"/>
        </w:rPr>
        <w:t>（</w:t>
      </w:r>
      <w:r>
        <w:rPr>
          <w:rFonts w:hint="eastAsia" w:ascii="宋体" w:hAnsi="宋体" w:cs="Courier New"/>
          <w:color w:val="auto"/>
          <w:szCs w:val="21"/>
          <w:highlight w:val="none"/>
          <w:lang w:val="en-US" w:eastAsia="zh-CN"/>
        </w:rPr>
        <w:t>响应</w:t>
      </w:r>
      <w:r>
        <w:rPr>
          <w:rFonts w:hint="eastAsia" w:ascii="宋体" w:hAnsi="宋体" w:cs="Courier New"/>
          <w:color w:val="auto"/>
          <w:szCs w:val="21"/>
          <w:highlight w:val="none"/>
          <w:lang w:eastAsia="zh-CN"/>
        </w:rPr>
        <w:t>）</w:t>
      </w:r>
      <w:r>
        <w:rPr>
          <w:rFonts w:hint="eastAsia" w:ascii="宋体" w:hAnsi="宋体" w:eastAsia="宋体" w:cs="Courier New"/>
          <w:color w:val="auto"/>
          <w:szCs w:val="21"/>
          <w:highlight w:val="none"/>
        </w:rPr>
        <w:t>报价平均值50%的，即投标</w:t>
      </w:r>
      <w:r>
        <w:rPr>
          <w:rFonts w:hint="eastAsia" w:ascii="宋体" w:hAnsi="宋体" w:cs="Courier New"/>
          <w:color w:val="auto"/>
          <w:szCs w:val="21"/>
          <w:highlight w:val="none"/>
          <w:lang w:eastAsia="zh-CN"/>
        </w:rPr>
        <w:t>（</w:t>
      </w:r>
      <w:r>
        <w:rPr>
          <w:rFonts w:hint="eastAsia" w:ascii="宋体" w:hAnsi="宋体" w:cs="Courier New"/>
          <w:color w:val="auto"/>
          <w:szCs w:val="21"/>
          <w:highlight w:val="none"/>
          <w:lang w:val="en-US" w:eastAsia="zh-CN"/>
        </w:rPr>
        <w:t>响应</w:t>
      </w:r>
      <w:r>
        <w:rPr>
          <w:rFonts w:hint="eastAsia" w:ascii="宋体" w:hAnsi="宋体" w:cs="Courier New"/>
          <w:color w:val="auto"/>
          <w:szCs w:val="21"/>
          <w:highlight w:val="none"/>
          <w:lang w:eastAsia="zh-CN"/>
        </w:rPr>
        <w:t>）</w:t>
      </w:r>
      <w:r>
        <w:rPr>
          <w:rFonts w:hint="eastAsia" w:ascii="宋体" w:hAnsi="宋体" w:eastAsia="宋体" w:cs="Courier New"/>
          <w:color w:val="auto"/>
          <w:szCs w:val="21"/>
          <w:highlight w:val="none"/>
        </w:rPr>
        <w:t>报价&lt;全部通过符合性审查供应商投标</w:t>
      </w:r>
      <w:r>
        <w:rPr>
          <w:rFonts w:hint="eastAsia" w:ascii="宋体" w:hAnsi="宋体" w:cs="Courier New"/>
          <w:color w:val="auto"/>
          <w:szCs w:val="21"/>
          <w:highlight w:val="none"/>
          <w:lang w:eastAsia="zh-CN"/>
        </w:rPr>
        <w:t>（</w:t>
      </w:r>
      <w:r>
        <w:rPr>
          <w:rFonts w:hint="eastAsia" w:ascii="宋体" w:hAnsi="宋体" w:cs="Courier New"/>
          <w:color w:val="auto"/>
          <w:szCs w:val="21"/>
          <w:highlight w:val="none"/>
          <w:lang w:val="en-US" w:eastAsia="zh-CN"/>
        </w:rPr>
        <w:t>响应</w:t>
      </w:r>
      <w:r>
        <w:rPr>
          <w:rFonts w:hint="eastAsia" w:ascii="宋体" w:hAnsi="宋体" w:cs="Courier New"/>
          <w:color w:val="auto"/>
          <w:szCs w:val="21"/>
          <w:highlight w:val="none"/>
          <w:lang w:eastAsia="zh-CN"/>
        </w:rPr>
        <w:t>）</w:t>
      </w:r>
      <w:r>
        <w:rPr>
          <w:rFonts w:hint="eastAsia" w:ascii="宋体" w:hAnsi="宋体" w:eastAsia="宋体" w:cs="Courier New"/>
          <w:color w:val="auto"/>
          <w:szCs w:val="21"/>
          <w:highlight w:val="none"/>
        </w:rPr>
        <w:t>报价平均值×50%；</w:t>
      </w:r>
    </w:p>
    <w:p>
      <w:pPr>
        <w:snapToGrid w:val="0"/>
        <w:spacing w:line="410" w:lineRule="exact"/>
        <w:ind w:firstLine="525" w:firstLineChars="250"/>
        <w:rPr>
          <w:rFonts w:hint="eastAsia" w:ascii="宋体" w:hAnsi="宋体" w:eastAsia="宋体" w:cs="Courier New"/>
          <w:color w:val="auto"/>
          <w:szCs w:val="21"/>
          <w:highlight w:val="none"/>
        </w:rPr>
      </w:pPr>
      <w:r>
        <w:rPr>
          <w:rFonts w:hint="eastAsia" w:ascii="宋体" w:hAnsi="宋体" w:cs="Courier New"/>
          <w:color w:val="auto"/>
          <w:szCs w:val="21"/>
          <w:highlight w:val="none"/>
          <w:lang w:val="en-US" w:eastAsia="zh-CN"/>
        </w:rPr>
        <w:t>（2）</w:t>
      </w:r>
      <w:r>
        <w:rPr>
          <w:rFonts w:hint="eastAsia" w:ascii="宋体" w:hAnsi="宋体" w:eastAsia="宋体" w:cs="Courier New"/>
          <w:color w:val="auto"/>
          <w:szCs w:val="21"/>
          <w:highlight w:val="none"/>
        </w:rPr>
        <w:t>投标</w:t>
      </w:r>
      <w:r>
        <w:rPr>
          <w:rFonts w:hint="eastAsia" w:ascii="宋体" w:hAnsi="宋体" w:cs="Courier New"/>
          <w:color w:val="auto"/>
          <w:szCs w:val="21"/>
          <w:highlight w:val="none"/>
          <w:lang w:eastAsia="zh-CN"/>
        </w:rPr>
        <w:t>（</w:t>
      </w:r>
      <w:r>
        <w:rPr>
          <w:rFonts w:hint="eastAsia" w:ascii="宋体" w:hAnsi="宋体" w:cs="Courier New"/>
          <w:color w:val="auto"/>
          <w:szCs w:val="21"/>
          <w:highlight w:val="none"/>
          <w:lang w:val="en-US" w:eastAsia="zh-CN"/>
        </w:rPr>
        <w:t>响应</w:t>
      </w:r>
      <w:r>
        <w:rPr>
          <w:rFonts w:hint="eastAsia" w:ascii="宋体" w:hAnsi="宋体" w:cs="Courier New"/>
          <w:color w:val="auto"/>
          <w:szCs w:val="21"/>
          <w:highlight w:val="none"/>
          <w:lang w:eastAsia="zh-CN"/>
        </w:rPr>
        <w:t>）</w:t>
      </w:r>
      <w:r>
        <w:rPr>
          <w:rFonts w:hint="eastAsia" w:ascii="宋体" w:hAnsi="宋体" w:eastAsia="宋体" w:cs="Courier New"/>
          <w:color w:val="auto"/>
          <w:szCs w:val="21"/>
          <w:highlight w:val="none"/>
        </w:rPr>
        <w:t>报价低于通过符合性审查的次低报价供应商投标</w:t>
      </w:r>
      <w:r>
        <w:rPr>
          <w:rFonts w:hint="eastAsia" w:ascii="宋体" w:hAnsi="宋体" w:cs="Courier New"/>
          <w:color w:val="auto"/>
          <w:szCs w:val="21"/>
          <w:highlight w:val="none"/>
          <w:lang w:eastAsia="zh-CN"/>
        </w:rPr>
        <w:t>（</w:t>
      </w:r>
      <w:r>
        <w:rPr>
          <w:rFonts w:hint="eastAsia" w:ascii="宋体" w:hAnsi="宋体" w:cs="Courier New"/>
          <w:color w:val="auto"/>
          <w:szCs w:val="21"/>
          <w:highlight w:val="none"/>
          <w:lang w:val="en-US" w:eastAsia="zh-CN"/>
        </w:rPr>
        <w:t>响应</w:t>
      </w:r>
      <w:r>
        <w:rPr>
          <w:rFonts w:hint="eastAsia" w:ascii="宋体" w:hAnsi="宋体" w:cs="Courier New"/>
          <w:color w:val="auto"/>
          <w:szCs w:val="21"/>
          <w:highlight w:val="none"/>
          <w:lang w:eastAsia="zh-CN"/>
        </w:rPr>
        <w:t>）</w:t>
      </w:r>
      <w:r>
        <w:rPr>
          <w:rFonts w:hint="eastAsia" w:ascii="宋体" w:hAnsi="宋体" w:eastAsia="宋体" w:cs="Courier New"/>
          <w:color w:val="auto"/>
          <w:szCs w:val="21"/>
          <w:highlight w:val="none"/>
        </w:rPr>
        <w:t>报价50%的，即投标</w:t>
      </w:r>
      <w:r>
        <w:rPr>
          <w:rFonts w:hint="eastAsia" w:ascii="宋体" w:hAnsi="宋体" w:cs="Courier New"/>
          <w:color w:val="auto"/>
          <w:szCs w:val="21"/>
          <w:highlight w:val="none"/>
          <w:lang w:eastAsia="zh-CN"/>
        </w:rPr>
        <w:t>（</w:t>
      </w:r>
      <w:r>
        <w:rPr>
          <w:rFonts w:hint="eastAsia" w:ascii="宋体" w:hAnsi="宋体" w:cs="Courier New"/>
          <w:color w:val="auto"/>
          <w:szCs w:val="21"/>
          <w:highlight w:val="none"/>
          <w:lang w:val="en-US" w:eastAsia="zh-CN"/>
        </w:rPr>
        <w:t>响应</w:t>
      </w:r>
      <w:r>
        <w:rPr>
          <w:rFonts w:hint="eastAsia" w:ascii="宋体" w:hAnsi="宋体" w:cs="Courier New"/>
          <w:color w:val="auto"/>
          <w:szCs w:val="21"/>
          <w:highlight w:val="none"/>
          <w:lang w:eastAsia="zh-CN"/>
        </w:rPr>
        <w:t>）</w:t>
      </w:r>
      <w:r>
        <w:rPr>
          <w:rFonts w:hint="eastAsia" w:ascii="宋体" w:hAnsi="宋体" w:eastAsia="宋体" w:cs="Courier New"/>
          <w:color w:val="auto"/>
          <w:szCs w:val="21"/>
          <w:highlight w:val="none"/>
        </w:rPr>
        <w:t>报价&lt;通过符合性审查的次低报价供应商投标</w:t>
      </w:r>
      <w:r>
        <w:rPr>
          <w:rFonts w:hint="eastAsia" w:ascii="宋体" w:hAnsi="宋体" w:cs="Courier New"/>
          <w:color w:val="auto"/>
          <w:szCs w:val="21"/>
          <w:highlight w:val="none"/>
          <w:lang w:eastAsia="zh-CN"/>
        </w:rPr>
        <w:t>（</w:t>
      </w:r>
      <w:r>
        <w:rPr>
          <w:rFonts w:hint="eastAsia" w:ascii="宋体" w:hAnsi="宋体" w:cs="Courier New"/>
          <w:color w:val="auto"/>
          <w:szCs w:val="21"/>
          <w:highlight w:val="none"/>
          <w:lang w:val="en-US" w:eastAsia="zh-CN"/>
        </w:rPr>
        <w:t>响应</w:t>
      </w:r>
      <w:r>
        <w:rPr>
          <w:rFonts w:hint="eastAsia" w:ascii="宋体" w:hAnsi="宋体" w:cs="Courier New"/>
          <w:color w:val="auto"/>
          <w:szCs w:val="21"/>
          <w:highlight w:val="none"/>
          <w:lang w:eastAsia="zh-CN"/>
        </w:rPr>
        <w:t>）</w:t>
      </w:r>
      <w:r>
        <w:rPr>
          <w:rFonts w:hint="eastAsia" w:ascii="宋体" w:hAnsi="宋体" w:eastAsia="宋体" w:cs="Courier New"/>
          <w:color w:val="auto"/>
          <w:szCs w:val="21"/>
          <w:highlight w:val="none"/>
        </w:rPr>
        <w:t>报价×50%；</w:t>
      </w:r>
    </w:p>
    <w:p>
      <w:pPr>
        <w:snapToGrid w:val="0"/>
        <w:spacing w:line="410" w:lineRule="exact"/>
        <w:ind w:firstLine="525" w:firstLineChars="250"/>
        <w:rPr>
          <w:rFonts w:hint="eastAsia" w:ascii="宋体" w:hAnsi="宋体" w:eastAsia="宋体" w:cs="Courier New"/>
          <w:color w:val="auto"/>
          <w:szCs w:val="21"/>
          <w:highlight w:val="none"/>
        </w:rPr>
      </w:pPr>
      <w:r>
        <w:rPr>
          <w:rFonts w:hint="eastAsia" w:ascii="宋体" w:hAnsi="宋体" w:cs="Courier New"/>
          <w:color w:val="auto"/>
          <w:szCs w:val="21"/>
          <w:highlight w:val="none"/>
          <w:lang w:val="en-US" w:eastAsia="zh-CN"/>
        </w:rPr>
        <w:t>（3）</w:t>
      </w:r>
      <w:r>
        <w:rPr>
          <w:rFonts w:hint="eastAsia" w:ascii="宋体" w:hAnsi="宋体" w:eastAsia="宋体" w:cs="Courier New"/>
          <w:color w:val="auto"/>
          <w:szCs w:val="21"/>
          <w:highlight w:val="none"/>
        </w:rPr>
        <w:t>投标</w:t>
      </w:r>
      <w:r>
        <w:rPr>
          <w:rFonts w:hint="eastAsia" w:ascii="宋体" w:hAnsi="宋体" w:cs="Courier New"/>
          <w:color w:val="auto"/>
          <w:szCs w:val="21"/>
          <w:highlight w:val="none"/>
          <w:lang w:eastAsia="zh-CN"/>
        </w:rPr>
        <w:t>（</w:t>
      </w:r>
      <w:r>
        <w:rPr>
          <w:rFonts w:hint="eastAsia" w:ascii="宋体" w:hAnsi="宋体" w:cs="Courier New"/>
          <w:color w:val="auto"/>
          <w:szCs w:val="21"/>
          <w:highlight w:val="none"/>
          <w:lang w:val="en-US" w:eastAsia="zh-CN"/>
        </w:rPr>
        <w:t>响应</w:t>
      </w:r>
      <w:r>
        <w:rPr>
          <w:rFonts w:hint="eastAsia" w:ascii="宋体" w:hAnsi="宋体" w:cs="Courier New"/>
          <w:color w:val="auto"/>
          <w:szCs w:val="21"/>
          <w:highlight w:val="none"/>
          <w:lang w:eastAsia="zh-CN"/>
        </w:rPr>
        <w:t>）</w:t>
      </w:r>
      <w:r>
        <w:rPr>
          <w:rFonts w:hint="eastAsia" w:ascii="宋体" w:hAnsi="宋体" w:eastAsia="宋体" w:cs="Courier New"/>
          <w:color w:val="auto"/>
          <w:szCs w:val="21"/>
          <w:highlight w:val="none"/>
        </w:rPr>
        <w:t>报价低于采购项目最高限价45%的，即投标</w:t>
      </w:r>
      <w:r>
        <w:rPr>
          <w:rFonts w:hint="eastAsia" w:ascii="宋体" w:hAnsi="宋体" w:cs="Courier New"/>
          <w:color w:val="auto"/>
          <w:szCs w:val="21"/>
          <w:highlight w:val="none"/>
          <w:lang w:eastAsia="zh-CN"/>
        </w:rPr>
        <w:t>（</w:t>
      </w:r>
      <w:r>
        <w:rPr>
          <w:rFonts w:hint="eastAsia" w:ascii="宋体" w:hAnsi="宋体" w:cs="Courier New"/>
          <w:color w:val="auto"/>
          <w:szCs w:val="21"/>
          <w:highlight w:val="none"/>
          <w:lang w:val="en-US" w:eastAsia="zh-CN"/>
        </w:rPr>
        <w:t>响应</w:t>
      </w:r>
      <w:r>
        <w:rPr>
          <w:rFonts w:hint="eastAsia" w:ascii="宋体" w:hAnsi="宋体" w:cs="Courier New"/>
          <w:color w:val="auto"/>
          <w:szCs w:val="21"/>
          <w:highlight w:val="none"/>
          <w:lang w:eastAsia="zh-CN"/>
        </w:rPr>
        <w:t>）</w:t>
      </w:r>
      <w:r>
        <w:rPr>
          <w:rFonts w:hint="eastAsia" w:ascii="宋体" w:hAnsi="宋体" w:eastAsia="宋体" w:cs="Courier New"/>
          <w:color w:val="auto"/>
          <w:szCs w:val="21"/>
          <w:highlight w:val="none"/>
        </w:rPr>
        <w:t>报价&lt;采购项目最高限价×45%；(未设定最高限价的采购项目，以采购项目预算金额作为最高限价)</w:t>
      </w:r>
    </w:p>
    <w:p>
      <w:pPr>
        <w:snapToGrid w:val="0"/>
        <w:spacing w:line="410" w:lineRule="exact"/>
        <w:ind w:firstLine="525" w:firstLineChars="250"/>
        <w:rPr>
          <w:rFonts w:hint="eastAsia" w:ascii="宋体" w:hAnsi="宋体" w:eastAsia="宋体" w:cs="Courier New"/>
          <w:color w:val="auto"/>
          <w:szCs w:val="21"/>
          <w:highlight w:val="none"/>
        </w:rPr>
      </w:pPr>
      <w:r>
        <w:rPr>
          <w:rFonts w:hint="eastAsia" w:ascii="宋体" w:hAnsi="宋体" w:cs="Courier New"/>
          <w:color w:val="auto"/>
          <w:szCs w:val="21"/>
          <w:highlight w:val="none"/>
          <w:lang w:val="en-US" w:eastAsia="zh-CN"/>
        </w:rPr>
        <w:t>（4）</w:t>
      </w:r>
      <w:r>
        <w:rPr>
          <w:rFonts w:hint="eastAsia" w:ascii="宋体" w:hAnsi="宋体" w:eastAsia="宋体" w:cs="Courier New"/>
          <w:color w:val="auto"/>
          <w:szCs w:val="21"/>
          <w:highlight w:val="none"/>
        </w:rPr>
        <w:t>评标委员会基于专业判断，认为供应商报价过低，有可能影响产品质量或者不能诚信履约的其他情形。</w:t>
      </w:r>
    </w:p>
    <w:p>
      <w:pPr>
        <w:snapToGrid w:val="0"/>
        <w:spacing w:line="410" w:lineRule="exact"/>
        <w:ind w:firstLine="525" w:firstLineChars="250"/>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相关法律法规对供应商报价有规定的，从其规定。</w:t>
      </w:r>
    </w:p>
    <w:p>
      <w:pPr>
        <w:snapToGrid w:val="0"/>
        <w:spacing w:line="410" w:lineRule="exact"/>
        <w:ind w:firstLine="525" w:firstLineChars="250"/>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评标委员会启动异常低价投标</w:t>
      </w:r>
      <w:r>
        <w:rPr>
          <w:rFonts w:hint="eastAsia" w:ascii="宋体" w:hAnsi="宋体" w:cs="Courier New"/>
          <w:color w:val="auto"/>
          <w:szCs w:val="21"/>
          <w:highlight w:val="none"/>
          <w:lang w:eastAsia="zh-CN"/>
        </w:rPr>
        <w:t>（</w:t>
      </w:r>
      <w:r>
        <w:rPr>
          <w:rFonts w:hint="eastAsia" w:ascii="宋体" w:hAnsi="宋体" w:cs="Courier New"/>
          <w:color w:val="auto"/>
          <w:szCs w:val="21"/>
          <w:highlight w:val="none"/>
          <w:lang w:val="en-US" w:eastAsia="zh-CN"/>
        </w:rPr>
        <w:t>响应</w:t>
      </w:r>
      <w:r>
        <w:rPr>
          <w:rFonts w:hint="eastAsia" w:ascii="宋体" w:hAnsi="宋体" w:cs="Courier New"/>
          <w:color w:val="auto"/>
          <w:szCs w:val="21"/>
          <w:highlight w:val="none"/>
          <w:lang w:eastAsia="zh-CN"/>
        </w:rPr>
        <w:t>）</w:t>
      </w:r>
      <w:r>
        <w:rPr>
          <w:rFonts w:hint="eastAsia" w:ascii="宋体" w:hAnsi="宋体" w:eastAsia="宋体" w:cs="Courier New"/>
          <w:color w:val="auto"/>
          <w:szCs w:val="21"/>
          <w:highlight w:val="none"/>
        </w:rPr>
        <w:t>审查后，属于前述第</w:t>
      </w:r>
      <w:r>
        <w:rPr>
          <w:rFonts w:hint="eastAsia" w:ascii="宋体" w:hAnsi="宋体" w:cs="Courier New"/>
          <w:color w:val="auto"/>
          <w:szCs w:val="21"/>
          <w:highlight w:val="none"/>
          <w:lang w:val="en-US" w:eastAsia="zh-CN"/>
        </w:rPr>
        <w:t>（1）</w:t>
      </w:r>
      <w:r>
        <w:rPr>
          <w:rFonts w:hint="eastAsia" w:ascii="宋体" w:hAnsi="宋体" w:eastAsia="宋体" w:cs="Courier New"/>
          <w:color w:val="auto"/>
          <w:szCs w:val="21"/>
          <w:highlight w:val="none"/>
        </w:rPr>
        <w:t>项至第</w:t>
      </w:r>
      <w:r>
        <w:rPr>
          <w:rFonts w:hint="eastAsia" w:ascii="宋体" w:hAnsi="宋体" w:cs="Courier New"/>
          <w:color w:val="auto"/>
          <w:szCs w:val="21"/>
          <w:highlight w:val="none"/>
          <w:lang w:val="en-US" w:eastAsia="zh-CN"/>
        </w:rPr>
        <w:t>（4）</w:t>
      </w:r>
      <w:r>
        <w:rPr>
          <w:rFonts w:hint="eastAsia" w:ascii="宋体" w:hAnsi="宋体" w:eastAsia="宋体" w:cs="Courier New"/>
          <w:color w:val="auto"/>
          <w:szCs w:val="21"/>
          <w:highlight w:val="none"/>
        </w:rPr>
        <w:t>项情形的，应当要求相关供应商在评审现场合理的时间内对投标价格作出解释，提供项目具体成本测算等与报价合理性相关的书面说明及必要的证明材料，包括但不限于原材料成本、人工成本、制造费用等，给予相关供应商的合理时间一般不少于30分钟。其中，属于第</w:t>
      </w:r>
      <w:r>
        <w:rPr>
          <w:rFonts w:hint="eastAsia" w:ascii="宋体" w:hAnsi="宋体" w:cs="Courier New"/>
          <w:color w:val="auto"/>
          <w:szCs w:val="21"/>
          <w:highlight w:val="none"/>
          <w:lang w:val="en-US" w:eastAsia="zh-CN"/>
        </w:rPr>
        <w:t>（3）</w:t>
      </w:r>
      <w:r>
        <w:rPr>
          <w:rFonts w:hint="eastAsia" w:ascii="宋体" w:hAnsi="宋体" w:eastAsia="宋体" w:cs="Courier New"/>
          <w:color w:val="auto"/>
          <w:szCs w:val="21"/>
          <w:highlight w:val="none"/>
        </w:rPr>
        <w:t>项情形，供应商已随投标</w:t>
      </w:r>
      <w:r>
        <w:rPr>
          <w:rFonts w:hint="eastAsia" w:ascii="宋体" w:hAnsi="宋体" w:cs="Courier New"/>
          <w:color w:val="auto"/>
          <w:szCs w:val="21"/>
          <w:highlight w:val="none"/>
          <w:lang w:eastAsia="zh-CN"/>
        </w:rPr>
        <w:t>（</w:t>
      </w:r>
      <w:r>
        <w:rPr>
          <w:rFonts w:hint="eastAsia" w:ascii="宋体" w:hAnsi="宋体" w:cs="Courier New"/>
          <w:color w:val="auto"/>
          <w:szCs w:val="21"/>
          <w:highlight w:val="none"/>
          <w:lang w:val="en-US" w:eastAsia="zh-CN"/>
        </w:rPr>
        <w:t>响应</w:t>
      </w:r>
      <w:r>
        <w:rPr>
          <w:rFonts w:hint="eastAsia" w:ascii="宋体" w:hAnsi="宋体" w:cs="Courier New"/>
          <w:color w:val="auto"/>
          <w:szCs w:val="21"/>
          <w:highlight w:val="none"/>
          <w:lang w:eastAsia="zh-CN"/>
        </w:rPr>
        <w:t>）</w:t>
      </w:r>
      <w:r>
        <w:rPr>
          <w:rFonts w:hint="eastAsia" w:ascii="宋体" w:hAnsi="宋体" w:eastAsia="宋体" w:cs="Courier New"/>
          <w:color w:val="auto"/>
          <w:szCs w:val="21"/>
          <w:highlight w:val="none"/>
        </w:rPr>
        <w:t>文件一并提交相关书面说明及必要的证明材料的，在评审现场可不再重复提交。</w:t>
      </w:r>
    </w:p>
    <w:p>
      <w:pPr>
        <w:spacing w:line="460" w:lineRule="exact"/>
        <w:ind w:firstLine="420"/>
        <w:jc w:val="left"/>
        <w:rPr>
          <w:rFonts w:hint="eastAsia" w:ascii="宋体" w:hAnsi="宋体" w:cs="Courier New"/>
          <w:color w:val="auto"/>
          <w:szCs w:val="21"/>
          <w:highlight w:val="none"/>
        </w:rPr>
      </w:pPr>
      <w:r>
        <w:rPr>
          <w:rFonts w:hint="eastAsia" w:ascii="宋体" w:hAnsi="宋体" w:eastAsia="宋体" w:cs="Courier New"/>
          <w:color w:val="auto"/>
          <w:szCs w:val="21"/>
          <w:highlight w:val="none"/>
        </w:rPr>
        <w:t>评标委员会依据专业经验，参考同类项目成交价格、类似产品市场价格水平、行业人工费用标准、国家有关部门指导行业协会发布的行业平均成本等情况，对报价合理性进行判断。投标</w:t>
      </w:r>
      <w:r>
        <w:rPr>
          <w:rFonts w:hint="eastAsia" w:ascii="宋体" w:hAnsi="宋体" w:cs="Courier New"/>
          <w:color w:val="auto"/>
          <w:szCs w:val="21"/>
          <w:highlight w:val="none"/>
          <w:lang w:eastAsia="zh-CN"/>
        </w:rPr>
        <w:t>（</w:t>
      </w:r>
      <w:r>
        <w:rPr>
          <w:rFonts w:hint="eastAsia" w:ascii="宋体" w:hAnsi="宋体" w:cs="Courier New"/>
          <w:color w:val="auto"/>
          <w:szCs w:val="21"/>
          <w:highlight w:val="none"/>
          <w:lang w:val="en-US" w:eastAsia="zh-CN"/>
        </w:rPr>
        <w:t>响应</w:t>
      </w:r>
      <w:r>
        <w:rPr>
          <w:rFonts w:hint="eastAsia" w:ascii="宋体" w:hAnsi="宋体" w:cs="Courier New"/>
          <w:color w:val="auto"/>
          <w:szCs w:val="21"/>
          <w:highlight w:val="none"/>
          <w:lang w:eastAsia="zh-CN"/>
        </w:rPr>
        <w:t>）</w:t>
      </w:r>
      <w:r>
        <w:rPr>
          <w:rFonts w:hint="eastAsia" w:ascii="宋体" w:hAnsi="宋体" w:eastAsia="宋体" w:cs="Courier New"/>
          <w:color w:val="auto"/>
          <w:szCs w:val="21"/>
          <w:highlight w:val="none"/>
        </w:rPr>
        <w:t>供应商不能提供书面说明、证明材料，或者提供的书面说明、证明材料不能证明其报价合理性的，评审委员会应当将其作为无效投标</w:t>
      </w:r>
      <w:r>
        <w:rPr>
          <w:rFonts w:hint="eastAsia" w:ascii="宋体" w:hAnsi="宋体" w:cs="Courier New"/>
          <w:color w:val="auto"/>
          <w:szCs w:val="21"/>
          <w:highlight w:val="none"/>
          <w:lang w:eastAsia="zh-CN"/>
        </w:rPr>
        <w:t>（</w:t>
      </w:r>
      <w:r>
        <w:rPr>
          <w:rFonts w:hint="eastAsia" w:ascii="宋体" w:hAnsi="宋体" w:cs="Courier New"/>
          <w:color w:val="auto"/>
          <w:szCs w:val="21"/>
          <w:highlight w:val="none"/>
          <w:lang w:val="en-US" w:eastAsia="zh-CN"/>
        </w:rPr>
        <w:t>响应</w:t>
      </w:r>
      <w:r>
        <w:rPr>
          <w:rFonts w:hint="eastAsia" w:ascii="宋体" w:hAnsi="宋体" w:cs="Courier New"/>
          <w:color w:val="auto"/>
          <w:szCs w:val="21"/>
          <w:highlight w:val="none"/>
          <w:lang w:eastAsia="zh-CN"/>
        </w:rPr>
        <w:t>）</w:t>
      </w:r>
      <w:r>
        <w:rPr>
          <w:rFonts w:hint="eastAsia" w:ascii="宋体" w:hAnsi="宋体" w:eastAsia="宋体" w:cs="Courier New"/>
          <w:color w:val="auto"/>
          <w:szCs w:val="21"/>
          <w:highlight w:val="none"/>
        </w:rPr>
        <w:t>处理。</w:t>
      </w:r>
    </w:p>
    <w:bookmarkEnd w:id="122"/>
    <w:p>
      <w:pPr>
        <w:spacing w:line="460" w:lineRule="exact"/>
        <w:ind w:firstLine="420"/>
        <w:rPr>
          <w:rFonts w:hint="eastAsia" w:ascii="宋体" w:hAnsi="宋体" w:cs="宋体"/>
          <w:color w:val="000000"/>
          <w:szCs w:val="21"/>
        </w:rPr>
      </w:pPr>
      <w:r>
        <w:rPr>
          <w:rFonts w:hint="eastAsia" w:ascii="宋体" w:hAnsi="宋体" w:cs="宋体"/>
          <w:color w:val="000000"/>
          <w:szCs w:val="21"/>
        </w:rPr>
        <w:t>(二)商务技术分(80分)</w:t>
      </w:r>
    </w:p>
    <w:p>
      <w:pPr>
        <w:spacing w:line="446" w:lineRule="exact"/>
        <w:ind w:firstLine="284"/>
        <w:rPr>
          <w:rFonts w:ascii="宋体" w:hAnsi="宋体" w:cs="宋体"/>
          <w:b/>
          <w:bCs/>
        </w:rPr>
      </w:pPr>
      <w:r>
        <w:rPr>
          <w:rFonts w:hint="eastAsia" w:ascii="宋体" w:hAnsi="宋体" w:cs="宋体"/>
          <w:b/>
          <w:bCs/>
        </w:rPr>
        <w:t>1</w:t>
      </w:r>
      <w:r>
        <w:rPr>
          <w:rFonts w:ascii="宋体" w:hAnsi="宋体" w:cs="宋体"/>
          <w:b/>
          <w:bCs/>
        </w:rPr>
        <w:t>.</w:t>
      </w:r>
      <w:r>
        <w:rPr>
          <w:rFonts w:hint="eastAsia" w:ascii="宋体" w:hAnsi="宋体" w:cs="宋体"/>
          <w:b/>
          <w:bCs/>
        </w:rPr>
        <w:t>技术分(</w:t>
      </w:r>
      <w:r>
        <w:rPr>
          <w:rFonts w:hint="eastAsia" w:ascii="宋体" w:hAnsi="宋体" w:cs="宋体"/>
          <w:b/>
          <w:bCs/>
          <w:lang w:val="en-US" w:eastAsia="zh-CN"/>
        </w:rPr>
        <w:t>62</w:t>
      </w:r>
      <w:r>
        <w:rPr>
          <w:rFonts w:hint="eastAsia" w:ascii="宋体" w:hAnsi="宋体" w:cs="宋体"/>
          <w:b/>
          <w:bCs/>
        </w:rPr>
        <w:t>分)</w:t>
      </w:r>
    </w:p>
    <w:p>
      <w:pPr>
        <w:spacing w:line="446" w:lineRule="exact"/>
        <w:ind w:firstLine="284"/>
        <w:rPr>
          <w:rFonts w:ascii="宋体" w:hAnsi="宋体"/>
          <w:b/>
          <w:bCs/>
        </w:rPr>
      </w:pPr>
      <w:r>
        <w:rPr>
          <w:rFonts w:ascii="宋体" w:hAnsi="宋体" w:cs="宋体"/>
          <w:b/>
          <w:bCs/>
        </w:rPr>
        <w:t>1.1</w:t>
      </w:r>
      <w:r>
        <w:rPr>
          <w:rFonts w:hint="eastAsia" w:ascii="宋体" w:cs="Courier New"/>
          <w:b/>
          <w:szCs w:val="21"/>
        </w:rPr>
        <w:t>性能指标</w:t>
      </w:r>
      <w:r>
        <w:rPr>
          <w:rFonts w:ascii="宋体" w:cs="Courier New"/>
          <w:b/>
          <w:szCs w:val="21"/>
        </w:rPr>
        <w:t>分(</w:t>
      </w:r>
      <w:r>
        <w:rPr>
          <w:rFonts w:hint="eastAsia" w:ascii="宋体" w:cs="Courier New"/>
          <w:b/>
          <w:szCs w:val="21"/>
        </w:rPr>
        <w:t>22</w:t>
      </w:r>
      <w:r>
        <w:rPr>
          <w:rFonts w:ascii="宋体" w:cs="Courier New"/>
          <w:b/>
          <w:szCs w:val="21"/>
        </w:rPr>
        <w:t>分)</w:t>
      </w:r>
    </w:p>
    <w:p>
      <w:pPr>
        <w:spacing w:line="446" w:lineRule="exact"/>
        <w:ind w:firstLine="284"/>
        <w:jc w:val="left"/>
        <w:rPr>
          <w:rFonts w:hint="eastAsia" w:ascii="宋体" w:hAnsi="宋体"/>
        </w:rPr>
      </w:pPr>
      <w:r>
        <w:rPr>
          <w:rFonts w:hint="eastAsia" w:ascii="宋体" w:hAnsi="宋体"/>
        </w:rPr>
        <w:t>1.1.1评审小组认定供应商提供的服务技术指标满足或优于招标文件《项目需求》中标注▲号技术要求，并提供证明材料的，每项得1分，满分20分。(证明材料包括但不限于功能截图或厂家证明或国家认可的第三方检测报告等，并加盖供应商公章)</w:t>
      </w:r>
    </w:p>
    <w:p>
      <w:pPr>
        <w:spacing w:line="446" w:lineRule="exact"/>
        <w:ind w:firstLine="284"/>
        <w:jc w:val="left"/>
        <w:rPr>
          <w:rFonts w:ascii="宋体" w:hAnsi="宋体"/>
        </w:rPr>
      </w:pPr>
      <w:r>
        <w:rPr>
          <w:rFonts w:hint="eastAsia" w:ascii="宋体" w:hAnsi="宋体"/>
        </w:rPr>
        <w:t>1.1.2供应商提供的网络具备7×24小时网络监控功能，并提供网管系统界面截图的得2分。</w:t>
      </w:r>
    </w:p>
    <w:p>
      <w:pPr>
        <w:spacing w:line="440" w:lineRule="exact"/>
        <w:ind w:firstLine="284"/>
        <w:jc w:val="left"/>
        <w:rPr>
          <w:rFonts w:ascii="宋体" w:cs="Courier New"/>
          <w:b/>
          <w:szCs w:val="21"/>
        </w:rPr>
      </w:pPr>
      <w:r>
        <w:rPr>
          <w:rFonts w:hint="eastAsia" w:ascii="宋体" w:cs="Courier New"/>
          <w:b/>
          <w:szCs w:val="21"/>
        </w:rPr>
        <w:t>1.2技术方案分(15分)</w:t>
      </w:r>
    </w:p>
    <w:p>
      <w:pPr>
        <w:spacing w:line="446" w:lineRule="exact"/>
        <w:ind w:firstLine="284"/>
        <w:jc w:val="left"/>
        <w:rPr>
          <w:rFonts w:ascii="宋体" w:hAnsi="宋体"/>
        </w:rPr>
      </w:pPr>
      <w:r>
        <w:rPr>
          <w:rFonts w:hint="eastAsia" w:ascii="宋体" w:hAnsi="宋体" w:cs="宋体"/>
          <w:bCs/>
          <w:kern w:val="0"/>
          <w:szCs w:val="21"/>
        </w:rPr>
        <w:t>由评审小组各成员根据各供应商提供的项目实施方案进行评定：</w:t>
      </w:r>
    </w:p>
    <w:p>
      <w:pPr>
        <w:spacing w:line="446" w:lineRule="exact"/>
        <w:ind w:firstLine="284"/>
        <w:jc w:val="left"/>
        <w:rPr>
          <w:rFonts w:hint="eastAsia" w:ascii="宋体" w:hAnsi="宋体"/>
        </w:rPr>
      </w:pPr>
      <w:r>
        <w:rPr>
          <w:rFonts w:hint="eastAsia" w:ascii="宋体" w:hAnsi="宋体"/>
        </w:rPr>
        <w:t>供应商提供的技术方案包含①对项目总体技术要求的理解，准确罗列项目需求主要技术指标和建设内容、②提供覆盖管理部门、各单位两级的网络架构拓扑图，图中标明了核心、汇聚、接入节点的位置及连接关系、③对网络结构进行了分层次说明，并描述了关键功能的实现逻辑与技术选型依据、④结合本项目单位的现有网络环境、地理位置分布、带宽需求等实际情况，分析了技术设计如何与之适配，针对单位线路的可靠性设计，提供关键设备和链路的冗余备份方案、⑤网络拓扑图中标注关键设备与连接路径，系统设计分模块阐述，网络架构支持未来业务规模扩展需求，上述内容符合项目需求，且在方案中有明确描述的，每项得3分，满分15分。</w:t>
      </w:r>
    </w:p>
    <w:p>
      <w:pPr>
        <w:spacing w:line="440" w:lineRule="exact"/>
        <w:ind w:firstLine="284"/>
        <w:jc w:val="left"/>
        <w:rPr>
          <w:rFonts w:ascii="宋体" w:hAnsi="宋体"/>
        </w:rPr>
      </w:pPr>
      <w:r>
        <w:rPr>
          <w:rFonts w:hint="eastAsia" w:ascii="宋体" w:cs="Courier New"/>
          <w:b/>
          <w:szCs w:val="21"/>
        </w:rPr>
        <w:t>1</w:t>
      </w:r>
      <w:r>
        <w:rPr>
          <w:rFonts w:ascii="宋体" w:cs="Courier New"/>
          <w:b/>
          <w:szCs w:val="21"/>
        </w:rPr>
        <w:t>.</w:t>
      </w:r>
      <w:bookmarkStart w:id="123" w:name="_Hlk150872328"/>
      <w:r>
        <w:rPr>
          <w:rFonts w:hint="eastAsia" w:ascii="宋体" w:cs="Courier New"/>
          <w:b/>
          <w:szCs w:val="21"/>
        </w:rPr>
        <w:t>3项目实施</w:t>
      </w:r>
      <w:r>
        <w:rPr>
          <w:rFonts w:ascii="宋体" w:cs="Courier New"/>
          <w:b/>
          <w:szCs w:val="21"/>
        </w:rPr>
        <w:t>方案</w:t>
      </w:r>
      <w:bookmarkEnd w:id="123"/>
      <w:r>
        <w:rPr>
          <w:rFonts w:ascii="宋体" w:cs="Courier New"/>
          <w:b/>
          <w:szCs w:val="21"/>
        </w:rPr>
        <w:t>分(</w:t>
      </w:r>
      <w:r>
        <w:rPr>
          <w:rFonts w:hint="eastAsia" w:ascii="宋体" w:cs="Courier New"/>
          <w:b/>
          <w:szCs w:val="21"/>
        </w:rPr>
        <w:t>11</w:t>
      </w:r>
      <w:r>
        <w:rPr>
          <w:rFonts w:ascii="宋体" w:cs="Courier New"/>
          <w:b/>
          <w:szCs w:val="21"/>
        </w:rPr>
        <w:t>分)</w:t>
      </w:r>
    </w:p>
    <w:p>
      <w:pPr>
        <w:spacing w:line="440" w:lineRule="exact"/>
        <w:ind w:firstLine="284"/>
        <w:jc w:val="left"/>
        <w:rPr>
          <w:rFonts w:ascii="宋体" w:hAnsi="宋体"/>
        </w:rPr>
      </w:pPr>
      <w:r>
        <w:rPr>
          <w:rFonts w:hint="eastAsia" w:ascii="宋体" w:hAnsi="宋体" w:cs="宋体"/>
          <w:bCs/>
          <w:kern w:val="0"/>
          <w:szCs w:val="21"/>
        </w:rPr>
        <w:t>由评审小组各成员根据各供应商提供的项目实施方案进行评定：</w:t>
      </w:r>
    </w:p>
    <w:p>
      <w:pPr>
        <w:spacing w:line="440" w:lineRule="exact"/>
        <w:ind w:firstLine="284"/>
        <w:jc w:val="left"/>
        <w:rPr>
          <w:rFonts w:ascii="宋体" w:hAnsi="宋体" w:cs="宋体"/>
          <w:bCs/>
          <w:kern w:val="0"/>
          <w:szCs w:val="21"/>
        </w:rPr>
      </w:pPr>
      <w:r>
        <w:rPr>
          <w:rFonts w:hint="eastAsia" w:ascii="宋体" w:hAnsi="宋体" w:cs="宋体"/>
          <w:bCs/>
          <w:kern w:val="0"/>
          <w:szCs w:val="21"/>
        </w:rPr>
        <w:t>1.3.1供应商的实施方案具有对项目总体实施要求的准确认识、理解采购人建设目标的得1分；增加落实计划、按图部署等实施环节，明确各环节需达成的成果的得1分。</w:t>
      </w:r>
    </w:p>
    <w:p>
      <w:pPr>
        <w:spacing w:line="440" w:lineRule="exact"/>
        <w:ind w:firstLine="284"/>
        <w:jc w:val="left"/>
        <w:rPr>
          <w:rFonts w:ascii="宋体" w:hAnsi="宋体"/>
        </w:rPr>
      </w:pPr>
      <w:r>
        <w:rPr>
          <w:rFonts w:hint="eastAsia" w:ascii="宋体" w:hAnsi="宋体" w:cs="宋体"/>
          <w:bCs/>
          <w:kern w:val="0"/>
          <w:szCs w:val="21"/>
        </w:rPr>
        <w:t>1</w:t>
      </w:r>
      <w:r>
        <w:rPr>
          <w:rFonts w:ascii="宋体" w:hAnsi="宋体" w:cs="宋体"/>
          <w:bCs/>
          <w:kern w:val="0"/>
          <w:szCs w:val="21"/>
        </w:rPr>
        <w:t>.</w:t>
      </w:r>
      <w:r>
        <w:rPr>
          <w:rFonts w:hint="eastAsia" w:ascii="宋体" w:hAnsi="宋体" w:cs="宋体"/>
          <w:bCs/>
          <w:kern w:val="0"/>
          <w:szCs w:val="21"/>
        </w:rPr>
        <w:t>3</w:t>
      </w:r>
      <w:r>
        <w:rPr>
          <w:rFonts w:ascii="宋体" w:hAnsi="宋体" w:cs="宋体"/>
          <w:bCs/>
          <w:kern w:val="0"/>
          <w:szCs w:val="21"/>
        </w:rPr>
        <w:t>.2</w:t>
      </w:r>
      <w:r>
        <w:rPr>
          <w:rFonts w:hint="eastAsia" w:ascii="宋体" w:cs="Courier New"/>
          <w:szCs w:val="21"/>
        </w:rPr>
        <w:t>供应商提供为本项目组织的</w:t>
      </w:r>
      <w:r>
        <w:rPr>
          <w:rFonts w:hint="eastAsia" w:ascii="宋体" w:cs="Courier New"/>
          <w:bCs/>
          <w:szCs w:val="21"/>
        </w:rPr>
        <w:t>项目实施管理机构的1分；项目实施管理机构具有明确的架构设置，有明确的管理人员，利于项目实施</w:t>
      </w:r>
      <w:r>
        <w:rPr>
          <w:rFonts w:hint="eastAsia" w:ascii="宋体" w:cs="Courier New"/>
          <w:szCs w:val="21"/>
        </w:rPr>
        <w:t>的得1分。</w:t>
      </w:r>
    </w:p>
    <w:p>
      <w:pPr>
        <w:spacing w:line="440" w:lineRule="exact"/>
        <w:ind w:firstLine="284"/>
        <w:jc w:val="left"/>
        <w:rPr>
          <w:rFonts w:ascii="宋体" w:hAnsi="宋体"/>
        </w:rPr>
      </w:pPr>
      <w:r>
        <w:rPr>
          <w:rFonts w:hint="eastAsia" w:ascii="宋体" w:hAnsi="宋体" w:cs="宋体"/>
          <w:bCs/>
          <w:kern w:val="0"/>
          <w:szCs w:val="21"/>
        </w:rPr>
        <w:t>1</w:t>
      </w:r>
      <w:r>
        <w:rPr>
          <w:rFonts w:ascii="宋体" w:hAnsi="宋体" w:cs="宋体"/>
          <w:bCs/>
          <w:kern w:val="0"/>
          <w:szCs w:val="21"/>
        </w:rPr>
        <w:t>.</w:t>
      </w:r>
      <w:r>
        <w:rPr>
          <w:rFonts w:hint="eastAsia" w:ascii="宋体" w:hAnsi="宋体" w:cs="宋体"/>
          <w:bCs/>
          <w:kern w:val="0"/>
          <w:szCs w:val="21"/>
        </w:rPr>
        <w:t>3</w:t>
      </w:r>
      <w:r>
        <w:rPr>
          <w:rFonts w:ascii="宋体" w:hAnsi="宋体" w:cs="宋体"/>
          <w:bCs/>
          <w:kern w:val="0"/>
          <w:szCs w:val="21"/>
        </w:rPr>
        <w:t>.3</w:t>
      </w:r>
      <w:r>
        <w:rPr>
          <w:rFonts w:hint="eastAsia" w:ascii="宋体" w:hAnsi="宋体" w:cs="宋体"/>
          <w:bCs/>
          <w:kern w:val="0"/>
          <w:szCs w:val="21"/>
        </w:rPr>
        <w:t>供应商的技术方案具有明确的实施日程、</w:t>
      </w:r>
      <w:r>
        <w:rPr>
          <w:rFonts w:hint="eastAsia"/>
        </w:rPr>
        <w:t>进度安排、人员安排职责分工，满足项目需求的得1分。</w:t>
      </w:r>
    </w:p>
    <w:p>
      <w:pPr>
        <w:spacing w:line="440" w:lineRule="exact"/>
        <w:ind w:firstLine="284"/>
        <w:jc w:val="left"/>
        <w:rPr>
          <w:rFonts w:ascii="宋体" w:hAnsi="宋体" w:cs="宋体"/>
          <w:bCs/>
          <w:kern w:val="0"/>
          <w:szCs w:val="21"/>
        </w:rPr>
      </w:pPr>
      <w:r>
        <w:rPr>
          <w:rFonts w:hint="eastAsia" w:ascii="宋体" w:cs="Courier New"/>
          <w:szCs w:val="21"/>
        </w:rPr>
        <w:t>1</w:t>
      </w:r>
      <w:r>
        <w:rPr>
          <w:rFonts w:ascii="宋体" w:cs="Courier New"/>
          <w:szCs w:val="21"/>
        </w:rPr>
        <w:t>.</w:t>
      </w:r>
      <w:r>
        <w:rPr>
          <w:rFonts w:hint="eastAsia" w:ascii="宋体" w:cs="Courier New"/>
          <w:szCs w:val="21"/>
        </w:rPr>
        <w:t>3</w:t>
      </w:r>
      <w:r>
        <w:rPr>
          <w:rFonts w:ascii="宋体" w:cs="Courier New"/>
          <w:szCs w:val="21"/>
        </w:rPr>
        <w:t>.4</w:t>
      </w:r>
      <w:r>
        <w:rPr>
          <w:rFonts w:hint="eastAsia" w:ascii="宋体" w:hAnsi="宋体" w:cs="Arial"/>
          <w:bCs/>
          <w:szCs w:val="21"/>
        </w:rPr>
        <w:t>供应商提供符合项目需求的服务</w:t>
      </w:r>
      <w:r>
        <w:rPr>
          <w:rFonts w:hint="eastAsia" w:ascii="宋体" w:hAnsi="宋体" w:cs="宋体"/>
          <w:szCs w:val="21"/>
        </w:rPr>
        <w:t>质量保证方案、措施及承诺的得2分。</w:t>
      </w:r>
    </w:p>
    <w:p>
      <w:pPr>
        <w:spacing w:line="440" w:lineRule="exact"/>
        <w:ind w:firstLine="284"/>
        <w:jc w:val="left"/>
        <w:rPr>
          <w:rFonts w:ascii="宋体" w:hAnsi="宋体" w:cs="宋体"/>
          <w:bCs/>
          <w:kern w:val="0"/>
          <w:szCs w:val="21"/>
        </w:rPr>
      </w:pPr>
      <w:r>
        <w:rPr>
          <w:rFonts w:hint="eastAsia" w:ascii="宋体" w:cs="Courier New"/>
          <w:szCs w:val="21"/>
        </w:rPr>
        <w:t>1</w:t>
      </w:r>
      <w:r>
        <w:rPr>
          <w:rFonts w:ascii="宋体" w:cs="Courier New"/>
          <w:szCs w:val="21"/>
        </w:rPr>
        <w:t>.</w:t>
      </w:r>
      <w:r>
        <w:rPr>
          <w:rFonts w:hint="eastAsia" w:ascii="宋体" w:cs="Courier New"/>
          <w:szCs w:val="21"/>
        </w:rPr>
        <w:t>3</w:t>
      </w:r>
      <w:r>
        <w:rPr>
          <w:rFonts w:ascii="宋体" w:cs="Courier New"/>
          <w:szCs w:val="21"/>
        </w:rPr>
        <w:t>.5</w:t>
      </w:r>
      <w:r>
        <w:rPr>
          <w:rFonts w:hint="eastAsia" w:ascii="宋体" w:cs="Courier New"/>
          <w:szCs w:val="21"/>
        </w:rPr>
        <w:t>供应商为采购人</w:t>
      </w:r>
      <w:r>
        <w:rPr>
          <w:rFonts w:hint="eastAsia" w:ascii="宋体" w:cs="Courier New"/>
          <w:bCs/>
          <w:szCs w:val="21"/>
        </w:rPr>
        <w:t>提供明确的培训计划有明确的培训</w:t>
      </w:r>
      <w:r>
        <w:rPr>
          <w:rFonts w:ascii="宋体" w:cs="Courier New"/>
          <w:bCs/>
          <w:szCs w:val="21"/>
        </w:rPr>
        <w:t>时间</w:t>
      </w:r>
      <w:r>
        <w:rPr>
          <w:rFonts w:hint="eastAsia" w:ascii="宋体" w:cs="Courier New"/>
          <w:bCs/>
          <w:szCs w:val="21"/>
        </w:rPr>
        <w:t>表、培训内容的得1分。</w:t>
      </w:r>
    </w:p>
    <w:p>
      <w:pPr>
        <w:spacing w:line="440" w:lineRule="exact"/>
        <w:ind w:firstLine="284"/>
        <w:jc w:val="left"/>
        <w:rPr>
          <w:rFonts w:ascii="宋体" w:hAnsi="宋体" w:cs="宋体"/>
          <w:bCs/>
          <w:kern w:val="0"/>
          <w:szCs w:val="21"/>
        </w:rPr>
      </w:pPr>
      <w:r>
        <w:rPr>
          <w:rFonts w:hint="eastAsia" w:ascii="宋体" w:hAnsi="宋体" w:cs="Arial"/>
          <w:bCs/>
          <w:szCs w:val="21"/>
        </w:rPr>
        <w:t>1</w:t>
      </w:r>
      <w:r>
        <w:rPr>
          <w:rFonts w:ascii="宋体" w:hAnsi="宋体" w:cs="Arial"/>
          <w:bCs/>
          <w:szCs w:val="21"/>
        </w:rPr>
        <w:t>.</w:t>
      </w:r>
      <w:r>
        <w:rPr>
          <w:rFonts w:hint="eastAsia" w:ascii="宋体" w:hAnsi="宋体" w:cs="Arial"/>
          <w:bCs/>
          <w:szCs w:val="21"/>
        </w:rPr>
        <w:t>3</w:t>
      </w:r>
      <w:r>
        <w:rPr>
          <w:rFonts w:ascii="宋体" w:hAnsi="宋体" w:cs="Arial"/>
          <w:bCs/>
          <w:szCs w:val="21"/>
        </w:rPr>
        <w:t>.6</w:t>
      </w:r>
      <w:r>
        <w:rPr>
          <w:rFonts w:hint="eastAsia" w:ascii="宋体" w:hAnsi="宋体"/>
          <w:szCs w:val="21"/>
        </w:rPr>
        <w:t>供应商</w:t>
      </w:r>
      <w:r>
        <w:rPr>
          <w:rFonts w:hint="eastAsia" w:ascii="宋体" w:hAnsi="宋体" w:cs="宋体"/>
          <w:szCs w:val="21"/>
        </w:rPr>
        <w:t>具有符合本项目情形的突发事件应急预案和处理措施的得1分。</w:t>
      </w:r>
    </w:p>
    <w:p>
      <w:pPr>
        <w:spacing w:line="440" w:lineRule="exact"/>
        <w:ind w:firstLine="284"/>
        <w:jc w:val="left"/>
        <w:rPr>
          <w:rFonts w:hint="eastAsia" w:ascii="宋体" w:hAnsi="宋体" w:cs="宋体"/>
          <w:bCs/>
          <w:kern w:val="0"/>
          <w:szCs w:val="21"/>
        </w:rPr>
      </w:pPr>
      <w:r>
        <w:rPr>
          <w:rFonts w:hint="eastAsia" w:ascii="宋体" w:hAnsi="宋体"/>
          <w:szCs w:val="21"/>
        </w:rPr>
        <w:t>1</w:t>
      </w:r>
      <w:r>
        <w:rPr>
          <w:rFonts w:ascii="宋体" w:hAnsi="宋体"/>
          <w:szCs w:val="21"/>
        </w:rPr>
        <w:t>.</w:t>
      </w:r>
      <w:r>
        <w:rPr>
          <w:rFonts w:hint="eastAsia" w:ascii="宋体" w:hAnsi="宋体"/>
          <w:szCs w:val="21"/>
        </w:rPr>
        <w:t>3</w:t>
      </w:r>
      <w:r>
        <w:rPr>
          <w:rFonts w:ascii="宋体" w:hAnsi="宋体"/>
          <w:szCs w:val="21"/>
        </w:rPr>
        <w:t>.7</w:t>
      </w:r>
      <w:r>
        <w:rPr>
          <w:rFonts w:hint="eastAsia" w:ascii="宋体" w:hAnsi="宋体" w:cs="Arial"/>
          <w:bCs/>
          <w:szCs w:val="21"/>
        </w:rPr>
        <w:t>供应商提供满足本项目的</w:t>
      </w:r>
      <w:r>
        <w:rPr>
          <w:rFonts w:hint="eastAsia" w:ascii="宋体" w:hAnsi="宋体"/>
          <w:szCs w:val="21"/>
        </w:rPr>
        <w:t>验收方案，包含验收依据、相关的技术标准，验收的组织形式、程序、注意事项及验收内容的</w:t>
      </w:r>
      <w:r>
        <w:rPr>
          <w:rFonts w:hint="eastAsia" w:ascii="宋体" w:hAnsi="宋体" w:cs="宋体"/>
          <w:bCs/>
          <w:kern w:val="0"/>
          <w:szCs w:val="21"/>
        </w:rPr>
        <w:t>得2分。</w:t>
      </w:r>
    </w:p>
    <w:p>
      <w:pPr>
        <w:spacing w:line="446" w:lineRule="exact"/>
        <w:ind w:firstLine="284"/>
        <w:rPr>
          <w:rFonts w:hint="eastAsia" w:ascii="宋体" w:hAnsi="宋体" w:cs="宋体"/>
          <w:b/>
          <w:bCs/>
        </w:rPr>
      </w:pPr>
      <w:r>
        <w:rPr>
          <w:rFonts w:ascii="宋体" w:hAnsi="宋体" w:cs="宋体"/>
          <w:b/>
          <w:bCs/>
        </w:rPr>
        <w:t>1.</w:t>
      </w:r>
      <w:r>
        <w:rPr>
          <w:rFonts w:hint="eastAsia" w:ascii="宋体" w:hAnsi="宋体" w:cs="宋体"/>
          <w:b/>
          <w:bCs/>
          <w:lang w:val="en-US" w:eastAsia="zh-CN"/>
        </w:rPr>
        <w:t>4</w:t>
      </w:r>
      <w:r>
        <w:rPr>
          <w:rFonts w:hint="eastAsia" w:ascii="宋体" w:hAnsi="宋体" w:cs="宋体"/>
          <w:b/>
          <w:bCs/>
        </w:rPr>
        <w:t>运营维护保障分(1</w:t>
      </w:r>
      <w:r>
        <w:rPr>
          <w:rFonts w:hint="eastAsia" w:ascii="宋体" w:hAnsi="宋体" w:cs="宋体"/>
          <w:b/>
          <w:bCs/>
          <w:lang w:val="en-US" w:eastAsia="zh-CN"/>
        </w:rPr>
        <w:t>4</w:t>
      </w:r>
      <w:r>
        <w:rPr>
          <w:rFonts w:hint="eastAsia" w:ascii="宋体" w:hAnsi="宋体" w:cs="宋体"/>
          <w:b/>
          <w:bCs/>
        </w:rPr>
        <w:t>分)</w:t>
      </w:r>
    </w:p>
    <w:p>
      <w:pPr>
        <w:spacing w:line="446" w:lineRule="exact"/>
        <w:ind w:firstLine="284"/>
        <w:rPr>
          <w:rFonts w:hint="eastAsia" w:ascii="宋体" w:hAnsi="宋体" w:cs="Arial"/>
          <w:bCs/>
          <w:szCs w:val="21"/>
        </w:rPr>
      </w:pPr>
      <w:r>
        <w:rPr>
          <w:rFonts w:hint="eastAsia" w:ascii="宋体" w:hAnsi="宋体" w:cs="Arial"/>
          <w:bCs/>
          <w:szCs w:val="21"/>
        </w:rPr>
        <w:t>由评审小组各成员对供应商提供的运营维护保障服务方案按以下规则进行评分：</w:t>
      </w:r>
    </w:p>
    <w:p>
      <w:pPr>
        <w:spacing w:line="446" w:lineRule="exact"/>
        <w:ind w:firstLine="284"/>
        <w:rPr>
          <w:rFonts w:ascii="宋体" w:hAnsi="宋体" w:cs="Arial"/>
          <w:bCs/>
          <w:color w:val="000000"/>
          <w:szCs w:val="21"/>
        </w:rPr>
      </w:pPr>
      <w:r>
        <w:rPr>
          <w:rFonts w:hint="eastAsia" w:ascii="宋体" w:hAnsi="宋体" w:cs="Arial"/>
          <w:bCs/>
          <w:szCs w:val="21"/>
        </w:rPr>
        <w:t>1.</w:t>
      </w:r>
      <w:r>
        <w:rPr>
          <w:rFonts w:hint="eastAsia" w:ascii="宋体" w:hAnsi="宋体" w:cs="Arial"/>
          <w:bCs/>
          <w:szCs w:val="21"/>
          <w:lang w:val="en-US" w:eastAsia="zh-CN"/>
        </w:rPr>
        <w:t>4</w:t>
      </w:r>
      <w:r>
        <w:rPr>
          <w:rFonts w:hint="eastAsia" w:ascii="宋体" w:hAnsi="宋体" w:cs="Arial"/>
          <w:bCs/>
          <w:szCs w:val="21"/>
        </w:rPr>
        <w:t>.1供应商提供明确的服务响应体系(包含但不限于维修人员、应急设备等)和服务响应时间、方式及运维</w:t>
      </w:r>
      <w:r>
        <w:rPr>
          <w:rFonts w:hint="eastAsia" w:ascii="宋体" w:hAnsi="宋体" w:cs="Courier New"/>
          <w:szCs w:val="21"/>
        </w:rPr>
        <w:t>保障方案</w:t>
      </w:r>
      <w:r>
        <w:rPr>
          <w:rFonts w:hint="eastAsia" w:ascii="宋体" w:hAnsi="宋体" w:cs="Arial"/>
          <w:bCs/>
          <w:szCs w:val="21"/>
        </w:rPr>
        <w:t>，满足本项目服务要</w:t>
      </w:r>
      <w:r>
        <w:rPr>
          <w:rFonts w:hint="eastAsia" w:ascii="宋体" w:hAnsi="宋体" w:cs="Arial"/>
          <w:bCs/>
          <w:color w:val="000000"/>
          <w:szCs w:val="21"/>
        </w:rPr>
        <w:t>求的得1分。</w:t>
      </w:r>
    </w:p>
    <w:p>
      <w:pPr>
        <w:spacing w:line="446" w:lineRule="exact"/>
        <w:ind w:firstLine="284"/>
        <w:rPr>
          <w:rFonts w:hint="eastAsia" w:ascii="宋体" w:hAnsi="宋体" w:cs="Arial"/>
          <w:bCs/>
          <w:color w:val="000000"/>
          <w:szCs w:val="21"/>
          <w:highlight w:val="none"/>
        </w:rPr>
      </w:pPr>
      <w:r>
        <w:rPr>
          <w:rFonts w:hint="eastAsia" w:ascii="宋体" w:hAnsi="宋体" w:cs="Arial"/>
          <w:bCs/>
          <w:color w:val="000000"/>
          <w:szCs w:val="21"/>
          <w:highlight w:val="none"/>
        </w:rPr>
        <w:t>1.</w:t>
      </w:r>
      <w:r>
        <w:rPr>
          <w:rFonts w:hint="eastAsia" w:ascii="宋体" w:hAnsi="宋体" w:cs="Arial"/>
          <w:bCs/>
          <w:color w:val="000000"/>
          <w:szCs w:val="21"/>
          <w:highlight w:val="none"/>
          <w:lang w:val="en-US" w:eastAsia="zh-CN"/>
        </w:rPr>
        <w:t>4</w:t>
      </w:r>
      <w:r>
        <w:rPr>
          <w:rFonts w:hint="eastAsia" w:ascii="宋体" w:hAnsi="宋体" w:cs="Arial"/>
          <w:bCs/>
          <w:color w:val="000000"/>
          <w:szCs w:val="21"/>
          <w:highlight w:val="none"/>
        </w:rPr>
        <w:t>.2供应商拟投入的项目经理具备通信工程高级工程师或系统分析师等与本项目相关的专业证书的，每</w:t>
      </w:r>
      <w:r>
        <w:rPr>
          <w:rFonts w:hint="eastAsia" w:ascii="宋体" w:hAnsi="宋体" w:cs="Arial"/>
          <w:bCs/>
          <w:color w:val="auto"/>
          <w:szCs w:val="21"/>
          <w:highlight w:val="none"/>
        </w:rPr>
        <w:t>项得</w:t>
      </w:r>
      <w:r>
        <w:rPr>
          <w:rFonts w:hint="eastAsia" w:ascii="宋体" w:hAnsi="宋体" w:cs="Arial"/>
          <w:bCs/>
          <w:color w:val="auto"/>
          <w:szCs w:val="21"/>
          <w:highlight w:val="none"/>
          <w:lang w:val="en-US" w:eastAsia="zh-CN"/>
        </w:rPr>
        <w:t>1</w:t>
      </w:r>
      <w:r>
        <w:rPr>
          <w:rFonts w:hint="eastAsia" w:ascii="宋体" w:hAnsi="宋体" w:cs="Arial"/>
          <w:bCs/>
          <w:color w:val="auto"/>
          <w:szCs w:val="21"/>
          <w:highlight w:val="none"/>
        </w:rPr>
        <w:t>分，满分</w:t>
      </w:r>
      <w:r>
        <w:rPr>
          <w:rFonts w:hint="eastAsia" w:ascii="宋体" w:hAnsi="宋体" w:cs="Arial"/>
          <w:bCs/>
          <w:color w:val="auto"/>
          <w:szCs w:val="21"/>
          <w:highlight w:val="none"/>
          <w:lang w:val="en-US" w:eastAsia="zh-CN"/>
        </w:rPr>
        <w:t>2</w:t>
      </w:r>
      <w:r>
        <w:rPr>
          <w:rFonts w:hint="eastAsia" w:ascii="宋体" w:hAnsi="宋体" w:cs="Arial"/>
          <w:bCs/>
          <w:color w:val="auto"/>
          <w:szCs w:val="21"/>
          <w:highlight w:val="none"/>
        </w:rPr>
        <w:t>分。(</w:t>
      </w:r>
      <w:r>
        <w:rPr>
          <w:rFonts w:hint="eastAsia" w:ascii="宋体" w:hAnsi="宋体" w:cs="Arial"/>
          <w:bCs/>
          <w:color w:val="000000"/>
          <w:szCs w:val="21"/>
          <w:highlight w:val="none"/>
        </w:rPr>
        <w:t>须提供由人力资源和社会保障部门或工信部门颁发的证书)。</w:t>
      </w:r>
    </w:p>
    <w:p>
      <w:pPr>
        <w:spacing w:line="446" w:lineRule="exact"/>
        <w:ind w:firstLine="284"/>
        <w:rPr>
          <w:rFonts w:hint="eastAsia" w:ascii="宋体" w:hAnsi="宋体" w:cs="Arial"/>
          <w:bCs/>
          <w:szCs w:val="21"/>
          <w:highlight w:val="none"/>
        </w:rPr>
      </w:pPr>
      <w:r>
        <w:rPr>
          <w:rFonts w:hint="eastAsia" w:ascii="宋体" w:hAnsi="宋体" w:cs="Arial"/>
          <w:bCs/>
          <w:szCs w:val="21"/>
          <w:highlight w:val="none"/>
        </w:rPr>
        <w:t>1.</w:t>
      </w:r>
      <w:r>
        <w:rPr>
          <w:rFonts w:hint="eastAsia" w:ascii="宋体" w:hAnsi="宋体" w:cs="Arial"/>
          <w:bCs/>
          <w:szCs w:val="21"/>
          <w:highlight w:val="none"/>
          <w:lang w:val="en-US" w:eastAsia="zh-CN"/>
        </w:rPr>
        <w:t>4</w:t>
      </w:r>
      <w:r>
        <w:rPr>
          <w:rFonts w:ascii="宋体" w:hAnsi="宋体" w:cs="Arial"/>
          <w:bCs/>
          <w:szCs w:val="21"/>
          <w:highlight w:val="none"/>
        </w:rPr>
        <w:t>.3</w:t>
      </w:r>
      <w:r>
        <w:rPr>
          <w:rFonts w:hint="eastAsia" w:ascii="宋体" w:hAnsi="宋体" w:cs="Arial"/>
          <w:bCs/>
          <w:szCs w:val="21"/>
          <w:highlight w:val="none"/>
        </w:rPr>
        <w:t>供应商拟投入运维人员中包含项目管理、售后服务、网络信息安全、</w:t>
      </w:r>
      <w:r>
        <w:rPr>
          <w:rFonts w:hint="eastAsia" w:ascii="宋体" w:hAnsi="宋体" w:cs="Arial"/>
          <w:bCs/>
          <w:szCs w:val="21"/>
          <w:highlight w:val="none"/>
          <w:lang w:eastAsia="zh-CN"/>
        </w:rPr>
        <w:t>计算机网络</w:t>
      </w:r>
      <w:r>
        <w:rPr>
          <w:rFonts w:hint="eastAsia" w:ascii="宋体" w:hAnsi="宋体" w:cs="Arial"/>
          <w:bCs/>
          <w:szCs w:val="21"/>
          <w:highlight w:val="none"/>
        </w:rPr>
        <w:t>、</w:t>
      </w:r>
      <w:r>
        <w:rPr>
          <w:rFonts w:hint="eastAsia" w:ascii="宋体" w:hAnsi="宋体" w:cs="Arial"/>
          <w:bCs/>
          <w:szCs w:val="21"/>
          <w:highlight w:val="none"/>
          <w:lang w:eastAsia="zh-CN"/>
        </w:rPr>
        <w:t>网络</w:t>
      </w:r>
      <w:r>
        <w:rPr>
          <w:rFonts w:hint="eastAsia" w:ascii="宋体" w:hAnsi="宋体" w:cs="Arial"/>
          <w:bCs/>
          <w:szCs w:val="21"/>
          <w:highlight w:val="none"/>
        </w:rPr>
        <w:t>规划、系统集成</w:t>
      </w:r>
      <w:bookmarkStart w:id="124" w:name="_Hlk218087033"/>
      <w:r>
        <w:rPr>
          <w:rFonts w:hint="eastAsia" w:ascii="宋体" w:hAnsi="宋体" w:cs="Arial"/>
          <w:bCs/>
          <w:szCs w:val="21"/>
          <w:highlight w:val="none"/>
        </w:rPr>
        <w:t>等与本项目相关</w:t>
      </w:r>
      <w:bookmarkEnd w:id="124"/>
      <w:r>
        <w:rPr>
          <w:rFonts w:hint="eastAsia" w:ascii="宋体" w:hAnsi="宋体" w:cs="Arial"/>
          <w:bCs/>
          <w:szCs w:val="21"/>
          <w:highlight w:val="none"/>
        </w:rPr>
        <w:t>专业的职称或具有国家认可的机构颁发专业能力证书的，每类专业得1分，满分6分。(须提供有效的证书证明材料加盖供应商公章)</w:t>
      </w:r>
    </w:p>
    <w:p>
      <w:pPr>
        <w:spacing w:line="446" w:lineRule="exact"/>
        <w:ind w:firstLine="284"/>
        <w:rPr>
          <w:rFonts w:hint="eastAsia" w:ascii="宋体" w:hAnsi="宋体" w:cs="Arial"/>
          <w:bCs/>
          <w:szCs w:val="21"/>
        </w:rPr>
      </w:pPr>
      <w:r>
        <w:rPr>
          <w:rFonts w:hint="eastAsia" w:ascii="宋体" w:hAnsi="宋体" w:cs="Arial"/>
          <w:bCs/>
          <w:szCs w:val="21"/>
        </w:rPr>
        <w:t>1.</w:t>
      </w:r>
      <w:r>
        <w:rPr>
          <w:rFonts w:hint="eastAsia" w:ascii="宋体" w:hAnsi="宋体" w:cs="Arial"/>
          <w:bCs/>
          <w:szCs w:val="21"/>
          <w:lang w:val="en-US" w:eastAsia="zh-CN"/>
        </w:rPr>
        <w:t>4</w:t>
      </w:r>
      <w:r>
        <w:rPr>
          <w:rFonts w:ascii="宋体" w:hAnsi="宋体" w:cs="Arial"/>
          <w:bCs/>
          <w:szCs w:val="21"/>
        </w:rPr>
        <w:t>.</w:t>
      </w:r>
      <w:r>
        <w:rPr>
          <w:rFonts w:hint="eastAsia" w:ascii="宋体" w:hAnsi="宋体" w:cs="Arial"/>
          <w:bCs/>
          <w:szCs w:val="21"/>
        </w:rPr>
        <w:t>4供应商为本项目投入服务人员(包括项目经理及运维服务人员)在满足项目需求基础上，每增加1人得</w:t>
      </w:r>
      <w:r>
        <w:rPr>
          <w:rFonts w:ascii="宋体" w:hAnsi="宋体" w:cs="Arial"/>
          <w:bCs/>
          <w:szCs w:val="21"/>
        </w:rPr>
        <w:t>1</w:t>
      </w:r>
      <w:r>
        <w:rPr>
          <w:rFonts w:hint="eastAsia" w:ascii="宋体" w:hAnsi="宋体" w:cs="Arial"/>
          <w:bCs/>
          <w:szCs w:val="21"/>
        </w:rPr>
        <w:t>分，满分2分(须提供服务人员清单及专业能力证书)；供应商为本项目投入运行维护服务车辆(包括下述高空维护作业车)在满足项目需求基础上，每增加1辆得</w:t>
      </w:r>
      <w:r>
        <w:rPr>
          <w:rFonts w:ascii="宋体" w:hAnsi="宋体" w:cs="Arial"/>
          <w:bCs/>
          <w:szCs w:val="21"/>
        </w:rPr>
        <w:t>1</w:t>
      </w:r>
      <w:r>
        <w:rPr>
          <w:rFonts w:hint="eastAsia" w:ascii="宋体" w:hAnsi="宋体" w:cs="Arial"/>
          <w:bCs/>
          <w:szCs w:val="21"/>
        </w:rPr>
        <w:t>分，满分2分(须提供车辆行驶证扫描件或相关证明)。本项目满分4分</w:t>
      </w:r>
    </w:p>
    <w:p>
      <w:pPr>
        <w:spacing w:line="446" w:lineRule="exact"/>
        <w:ind w:firstLine="284"/>
        <w:rPr>
          <w:rFonts w:hint="eastAsia" w:ascii="宋体" w:hAnsi="宋体" w:cs="Arial"/>
          <w:bCs/>
          <w:szCs w:val="21"/>
        </w:rPr>
      </w:pPr>
      <w:r>
        <w:rPr>
          <w:rFonts w:hint="eastAsia" w:ascii="宋体" w:hAnsi="宋体" w:cs="Arial"/>
          <w:bCs/>
          <w:szCs w:val="21"/>
        </w:rPr>
        <w:t>1.</w:t>
      </w:r>
      <w:r>
        <w:rPr>
          <w:rFonts w:hint="eastAsia" w:ascii="宋体" w:hAnsi="宋体" w:cs="Arial"/>
          <w:bCs/>
          <w:szCs w:val="21"/>
          <w:lang w:val="en-US" w:eastAsia="zh-CN"/>
        </w:rPr>
        <w:t>4</w:t>
      </w:r>
      <w:r>
        <w:rPr>
          <w:rFonts w:hint="eastAsia" w:ascii="宋体" w:hAnsi="宋体" w:cs="Arial"/>
          <w:bCs/>
          <w:szCs w:val="21"/>
        </w:rPr>
        <w:t>.</w:t>
      </w:r>
      <w:r>
        <w:rPr>
          <w:rFonts w:ascii="宋体" w:hAnsi="宋体" w:cs="Arial"/>
          <w:bCs/>
          <w:szCs w:val="21"/>
        </w:rPr>
        <w:t>5</w:t>
      </w:r>
      <w:r>
        <w:rPr>
          <w:rFonts w:hint="eastAsia" w:ascii="宋体" w:hAnsi="宋体" w:cs="Arial"/>
          <w:bCs/>
          <w:szCs w:val="21"/>
        </w:rPr>
        <w:t>供应商为本项目投入高空维护作业车1辆、高空作业车操作人员1人及高空作业人员1人的得1分。 (须提供车辆行驶证、高空作业车操作人员及高空作业人员高空作业资质证明)</w:t>
      </w:r>
    </w:p>
    <w:p>
      <w:pPr>
        <w:spacing w:line="446" w:lineRule="exact"/>
        <w:ind w:firstLine="284"/>
        <w:rPr>
          <w:rFonts w:ascii="宋体" w:hAnsi="宋体" w:cs="宋体"/>
          <w:color w:val="000000"/>
        </w:rPr>
      </w:pPr>
      <w:r>
        <w:rPr>
          <w:rFonts w:ascii="宋体" w:hAnsi="宋体" w:cs="宋体"/>
          <w:b/>
          <w:bCs/>
          <w:color w:val="000000"/>
        </w:rPr>
        <w:t>2.</w:t>
      </w:r>
      <w:r>
        <w:rPr>
          <w:rFonts w:hint="eastAsia" w:ascii="宋体" w:hAnsi="宋体" w:cs="宋体"/>
          <w:b/>
          <w:bCs/>
          <w:color w:val="000000"/>
        </w:rPr>
        <w:t>商务资信分(1</w:t>
      </w:r>
      <w:r>
        <w:rPr>
          <w:rFonts w:hint="eastAsia" w:ascii="宋体" w:hAnsi="宋体" w:cs="宋体"/>
          <w:b/>
          <w:bCs/>
          <w:color w:val="000000"/>
          <w:lang w:val="en-US" w:eastAsia="zh-CN"/>
        </w:rPr>
        <w:t>8</w:t>
      </w:r>
      <w:r>
        <w:rPr>
          <w:rFonts w:hint="eastAsia" w:ascii="宋体" w:hAnsi="宋体" w:cs="宋体"/>
          <w:b/>
          <w:bCs/>
          <w:color w:val="000000"/>
        </w:rPr>
        <w:t>分)</w:t>
      </w:r>
    </w:p>
    <w:p>
      <w:pPr>
        <w:spacing w:line="446" w:lineRule="exact"/>
        <w:ind w:firstLine="284"/>
        <w:rPr>
          <w:rFonts w:ascii="宋体" w:hAnsi="宋体" w:cs="宋体"/>
          <w:color w:val="000000"/>
        </w:rPr>
      </w:pPr>
      <w:r>
        <w:rPr>
          <w:rFonts w:ascii="宋体" w:hAnsi="宋体" w:cs="宋体"/>
          <w:color w:val="000000"/>
        </w:rPr>
        <w:t>2.1</w:t>
      </w:r>
      <w:bookmarkStart w:id="125" w:name="_Hlk211867860"/>
      <w:r>
        <w:rPr>
          <w:rFonts w:hint="eastAsia" w:ascii="宋体" w:hAnsi="宋体" w:cs="宋体"/>
          <w:color w:val="000000"/>
        </w:rPr>
        <w:t>供应商具备质量管理体系、信息技术服务管理、信息安全管理等方面的能力或认证证明，每提供一项得1分，满分3分。(认证范围必须与本项目相关，须提供由国家认可的认证评价机构出具的证书或认证评价机构官网截图并加盖供应商公章)</w:t>
      </w:r>
    </w:p>
    <w:p>
      <w:pPr>
        <w:spacing w:line="446" w:lineRule="exact"/>
        <w:ind w:firstLine="284"/>
        <w:rPr>
          <w:rFonts w:hint="eastAsia" w:ascii="宋体" w:hAnsi="宋体" w:cs="宋体"/>
          <w:color w:val="000000"/>
        </w:rPr>
      </w:pPr>
      <w:r>
        <w:rPr>
          <w:rFonts w:hint="eastAsia" w:ascii="宋体" w:hAnsi="宋体" w:cs="宋体"/>
          <w:color w:val="000000"/>
        </w:rPr>
        <w:t>2.2供应商具有与本项目相关的网络运营维护所涉及的综合服务能力证书三星级及以下证书的得1分，三星级及以上证书的得2分，不提供不得分，本项满分2分。(认证范围必须与本项目相关，须提供由国家认可的认证评价机构出具的证书并加盖供应商公章)</w:t>
      </w:r>
    </w:p>
    <w:bookmarkEnd w:id="125"/>
    <w:p>
      <w:pPr>
        <w:spacing w:line="446" w:lineRule="exact"/>
        <w:ind w:firstLine="284"/>
        <w:rPr>
          <w:rFonts w:ascii="宋体" w:hAnsi="宋体"/>
          <w:color w:val="000000"/>
          <w:szCs w:val="21"/>
        </w:rPr>
      </w:pPr>
      <w:r>
        <w:rPr>
          <w:rFonts w:hint="eastAsia" w:ascii="宋体" w:hAnsi="宋体"/>
          <w:color w:val="000000"/>
          <w:szCs w:val="21"/>
        </w:rPr>
        <w:t>2.3供应商自2022年以来具有同类业务的，每项得2分，满分</w:t>
      </w:r>
      <w:r>
        <w:rPr>
          <w:rFonts w:hint="eastAsia" w:ascii="宋体" w:hAnsi="宋体"/>
          <w:color w:val="000000"/>
          <w:szCs w:val="21"/>
          <w:lang w:val="en-US" w:eastAsia="zh-CN"/>
        </w:rPr>
        <w:t>10</w:t>
      </w:r>
      <w:r>
        <w:rPr>
          <w:rFonts w:hint="eastAsia" w:ascii="宋体" w:hAnsi="宋体"/>
          <w:color w:val="000000"/>
          <w:szCs w:val="21"/>
        </w:rPr>
        <w:t>分。(须提供包括合同名称、标的、金额、期限、签字盖章内容的关键页)</w:t>
      </w:r>
    </w:p>
    <w:p>
      <w:pPr>
        <w:spacing w:line="446" w:lineRule="exact"/>
        <w:ind w:firstLine="284"/>
        <w:rPr>
          <w:rFonts w:hint="eastAsia" w:ascii="宋体" w:hAnsi="宋体"/>
          <w:color w:val="000000"/>
        </w:rPr>
      </w:pPr>
      <w:r>
        <w:rPr>
          <w:rFonts w:hint="eastAsia" w:ascii="宋体" w:hAnsi="宋体"/>
          <w:color w:val="000000"/>
        </w:rPr>
        <w:t>2.4</w:t>
      </w:r>
      <w:r>
        <w:rPr>
          <w:rFonts w:hint="eastAsia" w:ascii="宋体" w:hAnsi="宋体"/>
          <w:color w:val="000000"/>
          <w:szCs w:val="21"/>
        </w:rPr>
        <w:t>供应商自2022年以来获得市级及以上行政部门颁发的荣誉或奖项的，每项得1分，满分3分。(须提供相关证明材料)</w:t>
      </w:r>
    </w:p>
    <w:p>
      <w:pPr>
        <w:spacing w:line="460" w:lineRule="exact"/>
        <w:ind w:firstLine="420" w:firstLineChars="200"/>
        <w:rPr>
          <w:rFonts w:hint="eastAsia" w:ascii="宋体" w:hAnsi="宋体" w:cs="宋体"/>
          <w:szCs w:val="21"/>
        </w:rPr>
      </w:pPr>
      <w:r>
        <w:rPr>
          <w:rFonts w:hint="eastAsia" w:ascii="宋体" w:hAnsi="宋体" w:cs="宋体"/>
          <w:szCs w:val="21"/>
        </w:rPr>
        <w:t>三、总得分=磋商报价得分+商务技术分</w:t>
      </w:r>
    </w:p>
    <w:p>
      <w:pPr>
        <w:spacing w:line="460" w:lineRule="exact"/>
        <w:ind w:firstLine="420" w:firstLineChars="200"/>
        <w:rPr>
          <w:rFonts w:hint="eastAsia" w:ascii="宋体" w:hAnsi="宋体" w:cs="宋体"/>
          <w:szCs w:val="21"/>
        </w:rPr>
      </w:pPr>
      <w:r>
        <w:rPr>
          <w:rFonts w:hint="eastAsia" w:ascii="宋体" w:hAnsi="宋体" w:cs="宋体"/>
          <w:szCs w:val="21"/>
        </w:rPr>
        <w:t>四、成交供应商的推荐</w:t>
      </w:r>
    </w:p>
    <w:p>
      <w:pPr>
        <w:spacing w:line="460" w:lineRule="exact"/>
        <w:ind w:firstLine="420" w:firstLineChars="200"/>
        <w:rPr>
          <w:rFonts w:hint="default" w:ascii="宋体" w:hAnsi="宋体" w:eastAsia="宋体"/>
          <w:szCs w:val="21"/>
          <w:lang w:val="en-US" w:eastAsia="zh-CN"/>
        </w:rPr>
      </w:pPr>
      <w:r>
        <w:rPr>
          <w:rFonts w:hint="eastAsia" w:ascii="宋体" w:hAnsi="宋体" w:cs="宋体"/>
          <w:szCs w:val="21"/>
        </w:rPr>
        <w:t>磋商小组应当根据综合评分情况，按照评审得分由高到低顺序推荐3名以上成交候选供应商，并编写评审报告。评审得分相同的，按照最后报价由低到高的顺序推荐。评审得分且最后报价相同的，按照技术指标优劣顺序推荐。市场竞争不充分的科研项目，以及需要扶持的科技成果转化项目或政府购买服务项目，可以推荐2家成交候选供应商。</w:t>
      </w:r>
    </w:p>
    <w:p>
      <w:pPr>
        <w:pStyle w:val="8"/>
        <w:rPr>
          <w:rFonts w:ascii="方正小标宋_GBK" w:eastAsia="方正小标宋_GBK"/>
          <w:color w:val="auto"/>
          <w:highlight w:val="none"/>
        </w:rPr>
      </w:pPr>
      <w:r>
        <w:rPr>
          <w:color w:val="auto"/>
          <w:highlight w:val="none"/>
        </w:rPr>
        <w:br w:type="page"/>
      </w:r>
    </w:p>
    <w:p>
      <w:pPr>
        <w:pStyle w:val="8"/>
        <w:ind w:firstLine="0"/>
        <w:rPr>
          <w:rFonts w:ascii="方正小标宋_GBK" w:eastAsia="方正小标宋_GBK"/>
          <w:color w:val="auto"/>
          <w:highlight w:val="none"/>
        </w:rPr>
      </w:pPr>
    </w:p>
    <w:p>
      <w:pPr>
        <w:pStyle w:val="8"/>
        <w:rPr>
          <w:rFonts w:ascii="方正小标宋_GBK" w:eastAsia="方正小标宋_GBK"/>
          <w:color w:val="auto"/>
          <w:highlight w:val="none"/>
        </w:rPr>
      </w:pPr>
    </w:p>
    <w:p>
      <w:pPr>
        <w:pStyle w:val="3"/>
        <w:spacing w:line="1000" w:lineRule="exact"/>
        <w:rPr>
          <w:rFonts w:ascii="方正小标宋_GBK" w:eastAsia="方正小标宋_GBK"/>
          <w:color w:val="auto"/>
          <w:highlight w:val="none"/>
        </w:rPr>
      </w:pPr>
      <w:r>
        <w:rPr>
          <w:rFonts w:hint="eastAsia" w:ascii="方正小标宋_GBK" w:eastAsia="方正小标宋_GBK"/>
          <w:color w:val="auto"/>
          <w:highlight w:val="none"/>
        </w:rPr>
        <w:t>第五章  合同文本</w:t>
      </w:r>
      <w:bookmarkEnd w:id="118"/>
    </w:p>
    <w:p>
      <w:pPr>
        <w:pStyle w:val="24"/>
        <w:jc w:val="center"/>
        <w:rPr>
          <w:rFonts w:ascii="Times New Roman" w:hAnsi="宋体"/>
          <w:b/>
          <w:bCs/>
          <w:color w:val="auto"/>
          <w:sz w:val="28"/>
          <w:szCs w:val="28"/>
          <w:highlight w:val="none"/>
        </w:rPr>
      </w:pPr>
      <w:r>
        <w:rPr>
          <w:rFonts w:hint="eastAsia" w:ascii="Times New Roman" w:hAnsi="宋体"/>
          <w:b/>
          <w:bCs/>
          <w:color w:val="auto"/>
          <w:sz w:val="28"/>
          <w:szCs w:val="28"/>
          <w:highlight w:val="none"/>
        </w:rPr>
        <w:t>（参考格式）</w:t>
      </w:r>
    </w:p>
    <w:p>
      <w:pPr>
        <w:pStyle w:val="24"/>
        <w:spacing w:line="340" w:lineRule="exact"/>
        <w:rPr>
          <w:rFonts w:hAnsi="宋体"/>
          <w:b/>
          <w:color w:val="auto"/>
          <w:highlight w:val="none"/>
        </w:rPr>
      </w:pPr>
      <w:r>
        <w:rPr>
          <w:rFonts w:hAnsi="宋体"/>
          <w:bCs/>
          <w:color w:val="auto"/>
          <w:highlight w:val="none"/>
        </w:rPr>
        <w:br w:type="page"/>
      </w:r>
      <w:r>
        <w:rPr>
          <w:rFonts w:hint="eastAsia" w:hAnsi="宋体"/>
          <w:b/>
          <w:color w:val="auto"/>
          <w:highlight w:val="none"/>
        </w:rPr>
        <w:t>说明：</w:t>
      </w:r>
    </w:p>
    <w:p>
      <w:pPr>
        <w:pStyle w:val="24"/>
        <w:spacing w:line="340" w:lineRule="exact"/>
        <w:rPr>
          <w:rFonts w:hAnsi="宋体"/>
          <w:b/>
          <w:color w:val="auto"/>
          <w:highlight w:val="none"/>
        </w:rPr>
      </w:pPr>
      <w:r>
        <w:rPr>
          <w:rFonts w:hint="eastAsia" w:hAnsi="宋体"/>
          <w:b/>
          <w:color w:val="auto"/>
          <w:highlight w:val="none"/>
        </w:rPr>
        <w:t>1.本合同书仅供签订正式合同时参考用。</w:t>
      </w:r>
    </w:p>
    <w:p>
      <w:pPr>
        <w:pStyle w:val="24"/>
        <w:spacing w:line="340" w:lineRule="exact"/>
        <w:rPr>
          <w:rFonts w:hAnsi="宋体"/>
          <w:b/>
          <w:color w:val="auto"/>
          <w:highlight w:val="none"/>
        </w:rPr>
      </w:pPr>
      <w:r>
        <w:rPr>
          <w:rFonts w:hint="eastAsia" w:hAnsi="宋体"/>
          <w:b/>
          <w:color w:val="auto"/>
          <w:highlight w:val="none"/>
        </w:rPr>
        <w:t>2.合同签订双方可根据项目的具体要求进行修订，但合同条款不得与采购文件和成交供应商响应文件有实质性偏离。</w:t>
      </w:r>
    </w:p>
    <w:p>
      <w:pPr>
        <w:pStyle w:val="24"/>
        <w:spacing w:line="340" w:lineRule="exact"/>
        <w:rPr>
          <w:rFonts w:hAnsi="宋体"/>
          <w:b/>
          <w:color w:val="auto"/>
          <w:highlight w:val="none"/>
        </w:rPr>
      </w:pPr>
    </w:p>
    <w:p>
      <w:pPr>
        <w:pStyle w:val="24"/>
        <w:spacing w:line="340" w:lineRule="exact"/>
        <w:rPr>
          <w:rFonts w:hAnsi="宋体"/>
          <w:b/>
          <w:color w:val="auto"/>
          <w:highlight w:val="none"/>
        </w:rPr>
      </w:pPr>
    </w:p>
    <w:p>
      <w:pPr>
        <w:spacing w:line="520" w:lineRule="exact"/>
        <w:ind w:firstLine="881"/>
        <w:jc w:val="center"/>
        <w:rPr>
          <w:rFonts w:ascii="宋体" w:hAnsi="宋体" w:cs="Courier New"/>
          <w:b/>
          <w:color w:val="auto"/>
          <w:sz w:val="32"/>
          <w:szCs w:val="32"/>
          <w:highlight w:val="none"/>
        </w:rPr>
      </w:pPr>
      <w:bookmarkStart w:id="126" w:name="_Toc397585460"/>
      <w:bookmarkStart w:id="127" w:name="_Toc92355028"/>
      <w:r>
        <w:rPr>
          <w:rFonts w:hint="eastAsia" w:eastAsia="华文中宋"/>
          <w:b/>
          <w:color w:val="auto"/>
          <w:sz w:val="44"/>
          <w:szCs w:val="44"/>
          <w:highlight w:val="none"/>
        </w:rPr>
        <w:t>政府采购合同（格式）</w:t>
      </w:r>
    </w:p>
    <w:p>
      <w:pPr>
        <w:spacing w:line="520" w:lineRule="exact"/>
        <w:ind w:firstLine="643"/>
        <w:rPr>
          <w:rFonts w:ascii="宋体" w:hAnsi="宋体" w:cs="Courier New"/>
          <w:b/>
          <w:color w:val="auto"/>
          <w:sz w:val="32"/>
          <w:szCs w:val="32"/>
          <w:highlight w:val="none"/>
        </w:rPr>
      </w:pPr>
    </w:p>
    <w:p>
      <w:pPr>
        <w:spacing w:line="360" w:lineRule="auto"/>
        <w:ind w:right="800" w:firstLine="420"/>
        <w:rPr>
          <w:rFonts w:ascii="宋体" w:hAnsi="宋体" w:cs="宋体"/>
          <w:color w:val="auto"/>
          <w:highlight w:val="none"/>
        </w:rPr>
      </w:pPr>
    </w:p>
    <w:p>
      <w:pPr>
        <w:spacing w:line="360" w:lineRule="auto"/>
        <w:ind w:right="800" w:firstLine="420"/>
        <w:rPr>
          <w:rFonts w:ascii="宋体" w:hAnsi="宋体" w:cs="宋体"/>
          <w:bCs/>
          <w:color w:val="auto"/>
          <w:highlight w:val="none"/>
          <w:u w:val="single"/>
        </w:rPr>
      </w:pPr>
      <w:r>
        <w:rPr>
          <w:rFonts w:hint="eastAsia" w:ascii="宋体" w:hAnsi="宋体" w:cs="宋体"/>
          <w:color w:val="auto"/>
          <w:highlight w:val="none"/>
        </w:rPr>
        <w:t>采购计划号：</w:t>
      </w:r>
      <w:r>
        <w:rPr>
          <w:rFonts w:hint="eastAsia" w:ascii="宋体" w:hAnsi="宋体" w:cs="宋体"/>
          <w:color w:val="auto"/>
          <w:highlight w:val="none"/>
          <w:u w:val="single"/>
        </w:rPr>
        <w:t xml:space="preserve"> </w:t>
      </w:r>
      <w:r>
        <w:rPr>
          <w:rFonts w:ascii="宋体" w:hAnsi="宋体" w:cs="宋体"/>
          <w:color w:val="auto"/>
          <w:highlight w:val="none"/>
          <w:u w:val="single"/>
        </w:rPr>
        <w:t xml:space="preserve">                        </w:t>
      </w:r>
      <w:r>
        <w:rPr>
          <w:rFonts w:ascii="宋体" w:hAnsi="宋体" w:cs="宋体"/>
          <w:color w:val="auto"/>
          <w:highlight w:val="none"/>
        </w:rPr>
        <w:t xml:space="preserve">   </w:t>
      </w:r>
      <w:r>
        <w:rPr>
          <w:rFonts w:hint="eastAsia" w:ascii="宋体" w:hAnsi="宋体" w:cs="宋体"/>
          <w:bCs/>
          <w:color w:val="auto"/>
          <w:highlight w:val="none"/>
        </w:rPr>
        <w:t>合同编号：</w:t>
      </w:r>
      <w:r>
        <w:rPr>
          <w:rFonts w:ascii="宋体" w:hAnsi="宋体" w:cs="宋体"/>
          <w:color w:val="auto"/>
          <w:highlight w:val="none"/>
          <w:u w:val="single"/>
        </w:rPr>
        <w:t xml:space="preserve">                      </w:t>
      </w:r>
      <w:r>
        <w:rPr>
          <w:rFonts w:hint="eastAsia" w:ascii="宋体" w:hAnsi="宋体" w:cs="宋体"/>
          <w:color w:val="auto"/>
          <w:highlight w:val="none"/>
          <w:u w:val="single"/>
        </w:rPr>
        <w:t xml:space="preserve">  </w:t>
      </w:r>
      <w:r>
        <w:rPr>
          <w:rFonts w:ascii="宋体" w:hAnsi="宋体" w:cs="宋体"/>
          <w:color w:val="auto"/>
          <w:highlight w:val="none"/>
          <w:u w:val="single"/>
        </w:rPr>
        <w:t xml:space="preserve">  </w:t>
      </w:r>
    </w:p>
    <w:p>
      <w:pPr>
        <w:spacing w:line="360" w:lineRule="auto"/>
        <w:ind w:firstLine="420"/>
        <w:rPr>
          <w:rFonts w:ascii="宋体" w:hAnsi="宋体" w:cs="宋体"/>
          <w:color w:val="auto"/>
          <w:highlight w:val="none"/>
          <w:u w:val="single"/>
        </w:rPr>
      </w:pPr>
      <w:r>
        <w:rPr>
          <w:rFonts w:hint="eastAsia" w:ascii="宋体" w:hAnsi="宋体" w:cs="宋体"/>
          <w:color w:val="auto"/>
          <w:highlight w:val="none"/>
        </w:rPr>
        <w:t>采购人（甲方）：</w:t>
      </w:r>
      <w:r>
        <w:rPr>
          <w:rFonts w:hint="eastAsia" w:ascii="宋体" w:hAnsi="宋体" w:cs="宋体"/>
          <w:color w:val="auto"/>
          <w:highlight w:val="none"/>
          <w:u w:val="single"/>
        </w:rPr>
        <w:t xml:space="preserve"> </w:t>
      </w:r>
      <w:r>
        <w:rPr>
          <w:rFonts w:ascii="宋体" w:hAnsi="宋体" w:cs="宋体"/>
          <w:color w:val="auto"/>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供应商（乙方）：</w:t>
      </w:r>
      <w:r>
        <w:rPr>
          <w:rFonts w:ascii="宋体" w:hAnsi="宋体" w:cs="宋体"/>
          <w:color w:val="auto"/>
          <w:highlight w:val="none"/>
          <w:u w:val="single"/>
        </w:rPr>
        <w:t xml:space="preserve">                    </w:t>
      </w:r>
    </w:p>
    <w:p>
      <w:pPr>
        <w:spacing w:line="360" w:lineRule="auto"/>
        <w:ind w:firstLine="420"/>
        <w:rPr>
          <w:rFonts w:ascii="宋体" w:hAnsi="宋体" w:cs="宋体"/>
          <w:color w:val="auto"/>
          <w:highlight w:val="none"/>
          <w:u w:val="single"/>
        </w:rPr>
      </w:pPr>
      <w:r>
        <w:rPr>
          <w:rFonts w:hint="eastAsia" w:ascii="宋体" w:hAnsi="宋体" w:cs="宋体"/>
          <w:color w:val="auto"/>
          <w:highlight w:val="none"/>
        </w:rPr>
        <w:t>项目名称：</w:t>
      </w:r>
      <w:r>
        <w:rPr>
          <w:rFonts w:ascii="宋体" w:hAnsi="宋体" w:cs="宋体"/>
          <w:color w:val="auto"/>
          <w:highlight w:val="none"/>
          <w:u w:val="single"/>
        </w:rPr>
        <w:t xml:space="preserve">                       </w:t>
      </w:r>
      <w:r>
        <w:rPr>
          <w:rFonts w:hint="eastAsia" w:ascii="宋体" w:hAnsi="宋体" w:cs="宋体"/>
          <w:color w:val="auto"/>
          <w:highlight w:val="none"/>
          <w:u w:val="single"/>
        </w:rPr>
        <w:t xml:space="preserve">  </w:t>
      </w:r>
      <w:r>
        <w:rPr>
          <w:rFonts w:ascii="宋体" w:hAnsi="宋体" w:cs="宋体"/>
          <w:color w:val="auto"/>
          <w:highlight w:val="none"/>
          <w:u w:val="single"/>
        </w:rPr>
        <w:t xml:space="preserve">  </w:t>
      </w:r>
      <w:r>
        <w:rPr>
          <w:rFonts w:ascii="宋体" w:hAnsi="宋体" w:cs="宋体"/>
          <w:color w:val="auto"/>
          <w:highlight w:val="none"/>
        </w:rPr>
        <w:t xml:space="preserve">   </w:t>
      </w:r>
      <w:r>
        <w:rPr>
          <w:rFonts w:hint="eastAsia" w:ascii="宋体" w:hAnsi="宋体" w:cs="宋体"/>
          <w:color w:val="auto"/>
          <w:highlight w:val="none"/>
        </w:rPr>
        <w:t>项目编号：</w:t>
      </w:r>
      <w:r>
        <w:rPr>
          <w:rFonts w:ascii="宋体" w:hAnsi="宋体" w:cs="宋体"/>
          <w:color w:val="auto"/>
          <w:highlight w:val="none"/>
          <w:u w:val="single"/>
        </w:rPr>
        <w:t xml:space="preserve">                          </w:t>
      </w:r>
    </w:p>
    <w:p>
      <w:pPr>
        <w:spacing w:line="360" w:lineRule="auto"/>
        <w:ind w:firstLine="420"/>
        <w:rPr>
          <w:rFonts w:ascii="宋体" w:hAnsi="宋体" w:cs="宋体"/>
          <w:color w:val="auto"/>
          <w:highlight w:val="none"/>
          <w:u w:val="single"/>
        </w:rPr>
      </w:pPr>
      <w:r>
        <w:rPr>
          <w:rFonts w:hint="eastAsia" w:ascii="宋体" w:hAnsi="宋体" w:cs="宋体"/>
          <w:color w:val="auto"/>
          <w:highlight w:val="none"/>
        </w:rPr>
        <w:t>签订地点：</w:t>
      </w:r>
      <w:r>
        <w:rPr>
          <w:rFonts w:hint="eastAsia" w:ascii="宋体" w:hAnsi="宋体" w:cs="宋体"/>
          <w:color w:val="auto"/>
          <w:highlight w:val="none"/>
          <w:u w:val="single"/>
        </w:rPr>
        <w:t xml:space="preserve"> </w:t>
      </w:r>
      <w:r>
        <w:rPr>
          <w:rFonts w:ascii="宋体" w:hAnsi="宋体" w:cs="宋体"/>
          <w:color w:val="auto"/>
          <w:highlight w:val="none"/>
          <w:u w:val="single"/>
        </w:rPr>
        <w:t xml:space="preserve">                    </w:t>
      </w:r>
      <w:r>
        <w:rPr>
          <w:rFonts w:hint="eastAsia" w:ascii="宋体" w:hAnsi="宋体" w:cs="宋体"/>
          <w:color w:val="auto"/>
          <w:highlight w:val="none"/>
          <w:u w:val="single"/>
        </w:rPr>
        <w:t xml:space="preserve">  </w:t>
      </w:r>
      <w:r>
        <w:rPr>
          <w:rFonts w:ascii="宋体" w:hAnsi="宋体" w:cs="宋体"/>
          <w:color w:val="auto"/>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签订时间：</w:t>
      </w:r>
      <w:r>
        <w:rPr>
          <w:rFonts w:hint="eastAsia" w:ascii="宋体" w:hAnsi="宋体" w:cs="宋体"/>
          <w:color w:val="auto"/>
          <w:highlight w:val="none"/>
          <w:u w:val="single"/>
        </w:rPr>
        <w:t xml:space="preserve">        </w:t>
      </w:r>
      <w:r>
        <w:rPr>
          <w:rFonts w:ascii="宋体" w:hAnsi="宋体" w:cs="宋体"/>
          <w:color w:val="auto"/>
          <w:highlight w:val="none"/>
          <w:u w:val="single"/>
        </w:rPr>
        <w:t xml:space="preserve">           </w:t>
      </w:r>
      <w:r>
        <w:rPr>
          <w:rFonts w:hint="eastAsia" w:ascii="宋体" w:hAnsi="宋体" w:cs="宋体"/>
          <w:color w:val="auto"/>
          <w:highlight w:val="none"/>
          <w:u w:val="single"/>
        </w:rPr>
        <w:t xml:space="preserve">     </w:t>
      </w:r>
      <w:r>
        <w:rPr>
          <w:rFonts w:ascii="宋体" w:hAnsi="宋体" w:cs="宋体"/>
          <w:color w:val="auto"/>
          <w:highlight w:val="none"/>
          <w:u w:val="single"/>
        </w:rPr>
        <w:t xml:space="preserve">  </w:t>
      </w:r>
    </w:p>
    <w:p>
      <w:pPr>
        <w:spacing w:line="360" w:lineRule="auto"/>
        <w:ind w:firstLine="420"/>
        <w:rPr>
          <w:rFonts w:ascii="宋体" w:hAnsi="宋体" w:cs="宋体"/>
          <w:color w:val="auto"/>
          <w:highlight w:val="none"/>
        </w:rPr>
      </w:pPr>
      <w:r>
        <w:rPr>
          <w:rFonts w:hint="eastAsia" w:ascii="宋体" w:hAnsi="宋体" w:cs="宋体"/>
          <w:color w:val="auto"/>
          <w:highlight w:val="none"/>
        </w:rPr>
        <w:t>本合同为中小企业预留合同：</w:t>
      </w:r>
      <w:r>
        <w:rPr>
          <w:rFonts w:hint="eastAsia" w:ascii="宋体" w:hAnsi="宋体" w:cs="宋体"/>
          <w:color w:val="auto"/>
          <w:highlight w:val="none"/>
          <w:u w:val="single"/>
        </w:rPr>
        <w:t>（是/否）</w:t>
      </w:r>
      <w:r>
        <w:rPr>
          <w:rFonts w:hint="eastAsia" w:ascii="宋体" w:hAnsi="宋体" w:cs="宋体"/>
          <w:color w:val="auto"/>
          <w:highlight w:val="none"/>
        </w:rPr>
        <w:t>。</w:t>
      </w:r>
    </w:p>
    <w:p>
      <w:pPr>
        <w:spacing w:line="360" w:lineRule="auto"/>
        <w:ind w:firstLine="420"/>
        <w:rPr>
          <w:rFonts w:ascii="宋体" w:hAnsi="宋体" w:cs="宋体"/>
          <w:color w:val="auto"/>
          <w:highlight w:val="none"/>
        </w:rPr>
      </w:pPr>
    </w:p>
    <w:p>
      <w:pPr>
        <w:snapToGrid w:val="0"/>
        <w:ind w:firstLine="420"/>
        <w:jc w:val="left"/>
        <w:rPr>
          <w:rFonts w:ascii="宋体" w:hAnsi="宋体"/>
          <w:color w:val="auto"/>
          <w:highlight w:val="none"/>
        </w:rPr>
      </w:pPr>
      <w:r>
        <w:rPr>
          <w:rFonts w:hint="eastAsia" w:ascii="宋体" w:hAnsi="宋体"/>
          <w:bCs/>
          <w:color w:val="auto"/>
          <w:highlight w:val="none"/>
        </w:rPr>
        <w:t>根据《中华人民共和国政府采购法》、《中华人民共和国民法典》等法律、法规规定，按照竞争性磋商文件（采购文件）规定条款和成交供应商响应文件承诺，</w:t>
      </w:r>
      <w:r>
        <w:rPr>
          <w:rFonts w:hint="eastAsia" w:ascii="宋体" w:hAnsi="宋体"/>
          <w:color w:val="auto"/>
          <w:highlight w:val="none"/>
        </w:rPr>
        <w:t>甲乙双方签订本合同。</w:t>
      </w:r>
    </w:p>
    <w:p>
      <w:pPr>
        <w:snapToGrid w:val="0"/>
        <w:spacing w:line="400" w:lineRule="atLeast"/>
        <w:ind w:firstLine="422"/>
        <w:rPr>
          <w:rFonts w:ascii="宋体" w:hAnsi="宋体"/>
          <w:b/>
          <w:color w:val="auto"/>
          <w:highlight w:val="none"/>
        </w:rPr>
      </w:pPr>
      <w:r>
        <w:rPr>
          <w:rFonts w:hint="eastAsia" w:ascii="宋体" w:hAnsi="宋体"/>
          <w:b/>
          <w:color w:val="auto"/>
          <w:highlight w:val="none"/>
        </w:rPr>
        <w:t>第一条　合同标的</w:t>
      </w:r>
    </w:p>
    <w:p>
      <w:pPr>
        <w:tabs>
          <w:tab w:val="left" w:pos="8280"/>
        </w:tabs>
        <w:snapToGrid w:val="0"/>
        <w:spacing w:line="400" w:lineRule="atLeast"/>
        <w:ind w:right="26" w:firstLine="420"/>
        <w:rPr>
          <w:rFonts w:ascii="宋体" w:hAnsi="宋体"/>
          <w:color w:val="auto"/>
          <w:highlight w:val="none"/>
        </w:rPr>
      </w:pPr>
      <w:r>
        <w:rPr>
          <w:rFonts w:hint="eastAsia" w:ascii="宋体" w:hAnsi="宋体"/>
          <w:color w:val="auto"/>
          <w:highlight w:val="none"/>
        </w:rPr>
        <w:t>1.服务项目</w:t>
      </w:r>
    </w:p>
    <w:p>
      <w:pPr>
        <w:tabs>
          <w:tab w:val="left" w:pos="8280"/>
        </w:tabs>
        <w:snapToGrid w:val="0"/>
        <w:spacing w:line="400" w:lineRule="atLeast"/>
        <w:ind w:right="26" w:firstLine="420"/>
        <w:rPr>
          <w:rFonts w:ascii="宋体" w:hAnsi="宋体"/>
          <w:color w:val="auto"/>
          <w:highlight w:val="none"/>
        </w:rPr>
      </w:pPr>
      <w:r>
        <w:rPr>
          <w:rFonts w:hint="eastAsia" w:ascii="宋体" w:hAnsi="宋体"/>
          <w:color w:val="auto"/>
          <w:highlight w:val="none"/>
        </w:rPr>
        <w:t>乙方接受甲方委托，承担《</w:t>
      </w:r>
      <w:r>
        <w:rPr>
          <w:rFonts w:hint="eastAsia" w:ascii="宋体" w:hAnsi="宋体"/>
          <w:color w:val="auto"/>
          <w:highlight w:val="none"/>
          <w:u w:val="single"/>
        </w:rPr>
        <w:t xml:space="preserve">            </w:t>
      </w:r>
      <w:r>
        <w:rPr>
          <w:rFonts w:hint="eastAsia" w:ascii="宋体" w:hAnsi="宋体"/>
          <w:color w:val="auto"/>
          <w:highlight w:val="none"/>
        </w:rPr>
        <w:t>》项目实施工作，并为甲方提供技术服务，以满足甲方对本合同项目服务需求及要求。</w:t>
      </w:r>
      <w:r>
        <w:rPr>
          <w:rFonts w:hint="eastAsia" w:ascii="宋体" w:hAnsi="宋体"/>
          <w:b/>
          <w:color w:val="auto"/>
          <w:highlight w:val="none"/>
          <w:u w:val="single"/>
        </w:rPr>
        <w:t>合同金额（大写）人民币                （¥       ）（详见报价表）</w:t>
      </w:r>
      <w:r>
        <w:rPr>
          <w:rFonts w:hint="eastAsia" w:ascii="宋体" w:hAnsi="宋体"/>
          <w:color w:val="auto"/>
          <w:highlight w:val="none"/>
        </w:rPr>
        <w:t>。</w:t>
      </w:r>
    </w:p>
    <w:p>
      <w:pPr>
        <w:ind w:firstLine="420"/>
        <w:rPr>
          <w:rFonts w:ascii="宋体" w:hAnsi="宋体"/>
          <w:color w:val="auto"/>
          <w:highlight w:val="none"/>
        </w:rPr>
      </w:pPr>
      <w:r>
        <w:rPr>
          <w:rFonts w:hint="eastAsia" w:ascii="宋体" w:hAnsi="宋体"/>
          <w:color w:val="auto"/>
          <w:highlight w:val="none"/>
        </w:rPr>
        <w:t>2.项目服务所应实现的目标及技术要求以磋商文件和承诺约定为准。</w:t>
      </w:r>
    </w:p>
    <w:p>
      <w:pPr>
        <w:ind w:firstLine="420"/>
        <w:rPr>
          <w:rFonts w:ascii="宋体" w:hAnsi="宋体"/>
          <w:color w:val="auto"/>
          <w:highlight w:val="none"/>
        </w:rPr>
      </w:pPr>
      <w:r>
        <w:rPr>
          <w:rFonts w:hint="eastAsia" w:ascii="宋体" w:hAnsi="宋体"/>
          <w:color w:val="auto"/>
          <w:highlight w:val="none"/>
        </w:rPr>
        <w:t>3</w:t>
      </w:r>
      <w:r>
        <w:rPr>
          <w:rFonts w:ascii="宋体" w:hAnsi="宋体"/>
          <w:color w:val="auto"/>
          <w:highlight w:val="none"/>
        </w:rPr>
        <w:t>.</w:t>
      </w:r>
      <w:r>
        <w:rPr>
          <w:rFonts w:hint="eastAsia" w:ascii="宋体" w:hAnsi="宋体"/>
          <w:color w:val="auto"/>
          <w:highlight w:val="none"/>
        </w:rPr>
        <w:t>合同合计金额包括完成本项目采购要求、人员要求所产生的全部费用。如采购文件对其另有规定的，从其规定。</w:t>
      </w:r>
    </w:p>
    <w:p>
      <w:pPr>
        <w:ind w:firstLine="422"/>
        <w:rPr>
          <w:rFonts w:ascii="宋体" w:hAnsi="宋体"/>
          <w:b/>
          <w:color w:val="auto"/>
          <w:highlight w:val="none"/>
        </w:rPr>
      </w:pPr>
      <w:r>
        <w:rPr>
          <w:rFonts w:hint="eastAsia" w:ascii="宋体" w:hAnsi="宋体"/>
          <w:b/>
          <w:color w:val="auto"/>
          <w:highlight w:val="none"/>
        </w:rPr>
        <w:t>第二条　质量保证</w:t>
      </w:r>
    </w:p>
    <w:p>
      <w:pPr>
        <w:ind w:firstLine="420"/>
        <w:rPr>
          <w:rFonts w:ascii="宋体" w:hAnsi="宋体"/>
          <w:color w:val="auto"/>
          <w:highlight w:val="none"/>
        </w:rPr>
      </w:pPr>
      <w:r>
        <w:rPr>
          <w:rFonts w:hint="eastAsia" w:ascii="宋体" w:hAnsi="宋体"/>
          <w:color w:val="auto"/>
          <w:highlight w:val="none"/>
        </w:rPr>
        <w:t>1</w:t>
      </w:r>
      <w:r>
        <w:rPr>
          <w:rFonts w:ascii="宋体" w:hAnsi="宋体"/>
          <w:color w:val="auto"/>
          <w:highlight w:val="none"/>
        </w:rPr>
        <w:t>.</w:t>
      </w:r>
      <w:r>
        <w:rPr>
          <w:rFonts w:hint="eastAsia" w:ascii="宋体" w:hAnsi="宋体"/>
          <w:color w:val="auto"/>
          <w:highlight w:val="none"/>
        </w:rPr>
        <w:t>乙方所提供的服务必须与采购文件和响应承诺相一致。</w:t>
      </w:r>
    </w:p>
    <w:p>
      <w:pPr>
        <w:ind w:firstLine="420"/>
        <w:rPr>
          <w:rFonts w:ascii="宋体" w:hAnsi="宋体"/>
          <w:color w:val="auto"/>
          <w:highlight w:val="none"/>
        </w:rPr>
      </w:pPr>
      <w:r>
        <w:rPr>
          <w:rFonts w:hint="eastAsia" w:ascii="宋体" w:hAnsi="宋体"/>
          <w:color w:val="auto"/>
          <w:highlight w:val="none"/>
        </w:rPr>
        <w:t>2</w:t>
      </w:r>
      <w:r>
        <w:rPr>
          <w:rFonts w:ascii="宋体" w:hAnsi="宋体"/>
          <w:color w:val="auto"/>
          <w:highlight w:val="none"/>
        </w:rPr>
        <w:t>.</w:t>
      </w:r>
      <w:r>
        <w:rPr>
          <w:rFonts w:hint="eastAsia" w:ascii="宋体" w:hAnsi="宋体"/>
          <w:color w:val="auto"/>
          <w:highlight w:val="none"/>
        </w:rPr>
        <w:t>乙方所提供的服务质量应达到采购文件要求和响应承诺的质量要求。</w:t>
      </w:r>
    </w:p>
    <w:p>
      <w:pPr>
        <w:ind w:firstLine="422"/>
        <w:rPr>
          <w:rFonts w:ascii="宋体" w:hAnsi="宋体"/>
          <w:b/>
          <w:color w:val="auto"/>
          <w:highlight w:val="none"/>
        </w:rPr>
      </w:pPr>
      <w:r>
        <w:rPr>
          <w:rFonts w:hint="eastAsia" w:ascii="宋体" w:hAnsi="宋体"/>
          <w:b/>
          <w:color w:val="auto"/>
          <w:highlight w:val="none"/>
        </w:rPr>
        <w:t>第三条　权利保证</w:t>
      </w:r>
    </w:p>
    <w:p>
      <w:pPr>
        <w:ind w:firstLine="420"/>
        <w:rPr>
          <w:rFonts w:ascii="宋体" w:hAnsi="宋体"/>
          <w:color w:val="auto"/>
          <w:highlight w:val="none"/>
        </w:rPr>
      </w:pPr>
      <w:r>
        <w:rPr>
          <w:rFonts w:hint="eastAsia" w:ascii="宋体" w:hAnsi="宋体"/>
          <w:color w:val="auto"/>
          <w:highlight w:val="none"/>
        </w:rPr>
        <w:t>1.甲方根据工作需要，可为乙方提供相关资料等。</w:t>
      </w:r>
    </w:p>
    <w:p>
      <w:pPr>
        <w:ind w:firstLine="420"/>
        <w:rPr>
          <w:rFonts w:ascii="宋体" w:hAnsi="宋体"/>
          <w:color w:val="auto"/>
          <w:highlight w:val="none"/>
        </w:rPr>
      </w:pPr>
      <w:r>
        <w:rPr>
          <w:rFonts w:hint="eastAsia" w:ascii="宋体" w:hAnsi="宋体"/>
          <w:color w:val="auto"/>
          <w:highlight w:val="none"/>
        </w:rPr>
        <w:t>2.甲方有权定期了解乙方工作进展情况，并对乙方工作进行监督，提出合理建议。</w:t>
      </w:r>
    </w:p>
    <w:p>
      <w:pPr>
        <w:ind w:firstLine="420"/>
        <w:rPr>
          <w:rFonts w:ascii="宋体" w:hAnsi="宋体"/>
          <w:color w:val="auto"/>
          <w:highlight w:val="none"/>
        </w:rPr>
      </w:pPr>
      <w:r>
        <w:rPr>
          <w:rFonts w:hint="eastAsia" w:ascii="宋体" w:hAnsi="宋体"/>
          <w:color w:val="auto"/>
          <w:highlight w:val="none"/>
        </w:rPr>
        <w:t>3.乙方应按规定时间节点内完成项目工作。</w:t>
      </w:r>
    </w:p>
    <w:p>
      <w:pPr>
        <w:ind w:firstLine="420"/>
        <w:rPr>
          <w:rFonts w:ascii="宋体" w:hAnsi="宋体"/>
          <w:color w:val="auto"/>
          <w:highlight w:val="none"/>
        </w:rPr>
      </w:pPr>
      <w:r>
        <w:rPr>
          <w:rFonts w:hint="eastAsia" w:ascii="宋体" w:hAnsi="宋体"/>
          <w:color w:val="auto"/>
          <w:highlight w:val="none"/>
        </w:rPr>
        <w:t>4.乙方应委派具有相应能力、经验的员工为甲方提供服务，合同履行过程中，未经甲方同意，乙方不得随意更换项目人员（见合同附件《项目实施人员一览表》）。</w:t>
      </w:r>
    </w:p>
    <w:p>
      <w:pPr>
        <w:ind w:firstLine="420"/>
        <w:rPr>
          <w:rFonts w:ascii="宋体" w:hAnsi="宋体"/>
          <w:color w:val="auto"/>
          <w:highlight w:val="none"/>
        </w:rPr>
      </w:pPr>
      <w:r>
        <w:rPr>
          <w:rFonts w:hint="eastAsia" w:ascii="宋体" w:hAnsi="宋体"/>
          <w:color w:val="auto"/>
          <w:highlight w:val="none"/>
        </w:rPr>
        <w:t>5.合同履行过程中，乙方应根据甲方要求，定期向甲方汇报工作进展，并接受甲方监督。</w:t>
      </w:r>
    </w:p>
    <w:p>
      <w:pPr>
        <w:ind w:firstLine="420"/>
        <w:rPr>
          <w:rFonts w:ascii="宋体" w:hAnsi="宋体"/>
          <w:color w:val="auto"/>
          <w:highlight w:val="none"/>
        </w:rPr>
      </w:pPr>
      <w:r>
        <w:rPr>
          <w:rFonts w:hint="eastAsia" w:ascii="宋体" w:hAnsi="宋体"/>
          <w:color w:val="auto"/>
          <w:highlight w:val="none"/>
        </w:rPr>
        <w:t>6.乙方有权根据本合同约定及工作需要，要求甲方提供与项目建设有关的信息与资料。</w:t>
      </w:r>
    </w:p>
    <w:p>
      <w:pPr>
        <w:ind w:firstLine="420"/>
        <w:rPr>
          <w:rFonts w:ascii="宋体" w:hAnsi="宋体"/>
          <w:color w:val="auto"/>
          <w:highlight w:val="none"/>
        </w:rPr>
      </w:pPr>
      <w:r>
        <w:rPr>
          <w:rFonts w:hint="eastAsia" w:ascii="宋体" w:hAnsi="宋体"/>
          <w:color w:val="auto"/>
          <w:highlight w:val="none"/>
        </w:rPr>
        <w:t>7.乙方有权要求甲方配合其工作，并要求甲方提供必要的协助。</w:t>
      </w:r>
    </w:p>
    <w:p>
      <w:pPr>
        <w:ind w:firstLine="420"/>
        <w:rPr>
          <w:rFonts w:ascii="宋体" w:hAnsi="宋体"/>
          <w:color w:val="auto"/>
          <w:highlight w:val="none"/>
        </w:rPr>
      </w:pPr>
      <w:r>
        <w:rPr>
          <w:rFonts w:hint="eastAsia" w:ascii="宋体" w:hAnsi="宋体"/>
          <w:color w:val="auto"/>
          <w:highlight w:val="none"/>
        </w:rPr>
        <w:t>8.乙方应保证在项目服务工作实施过程中不会侵犯任何第三方的专利权、著作权、商标权、工业设计权或其他权利。</w:t>
      </w:r>
    </w:p>
    <w:p>
      <w:pPr>
        <w:ind w:firstLine="420"/>
        <w:rPr>
          <w:rFonts w:ascii="宋体" w:hAnsi="宋体"/>
          <w:color w:val="auto"/>
          <w:highlight w:val="none"/>
        </w:rPr>
      </w:pPr>
      <w:r>
        <w:rPr>
          <w:rFonts w:hint="eastAsia" w:ascii="宋体" w:hAnsi="宋体"/>
          <w:color w:val="auto"/>
          <w:highlight w:val="none"/>
        </w:rPr>
        <w:t>9.乙方应按采购文件规定的时间向甲方提供项目实施工作有关技术资料。</w:t>
      </w:r>
    </w:p>
    <w:p>
      <w:pPr>
        <w:ind w:firstLine="420"/>
        <w:rPr>
          <w:rFonts w:ascii="宋体" w:hAnsi="宋体"/>
          <w:color w:val="auto"/>
          <w:highlight w:val="none"/>
        </w:rPr>
      </w:pPr>
      <w:r>
        <w:rPr>
          <w:rFonts w:hint="eastAsia" w:ascii="宋体" w:hAnsi="宋体"/>
          <w:color w:val="auto"/>
          <w:highlight w:val="none"/>
        </w:rPr>
        <w:t>10.没有甲方事先书面同意，乙方不得将由甲方提供的有关合同或任何合同条文、规格、计划、图纸、样品或资料提供给与履行本合同无关的任何其他人。即使向履行本合同有关的人员提供，也应注意保密并限于履行合同的必需范围。乙方未履行保密义务的，按本合同第八条第7款承担违约责任。本合同终止保密条款继续有效。</w:t>
      </w:r>
    </w:p>
    <w:p>
      <w:pPr>
        <w:ind w:firstLine="420"/>
        <w:rPr>
          <w:rFonts w:ascii="宋体" w:hAnsi="宋体"/>
          <w:color w:val="auto"/>
          <w:highlight w:val="none"/>
        </w:rPr>
      </w:pPr>
      <w:r>
        <w:rPr>
          <w:rFonts w:hint="eastAsia" w:ascii="宋体" w:hAnsi="宋体"/>
          <w:color w:val="auto"/>
          <w:highlight w:val="none"/>
        </w:rPr>
        <w:t>11.乙方保证所提供或交付的技术服务所有权完全属于乙方且无任何抵押、质押、查封等产权瑕疵。</w:t>
      </w:r>
    </w:p>
    <w:p>
      <w:pPr>
        <w:ind w:firstLine="420"/>
        <w:rPr>
          <w:rFonts w:ascii="宋体" w:hAnsi="宋体"/>
          <w:color w:val="auto"/>
          <w:highlight w:val="none"/>
        </w:rPr>
      </w:pPr>
      <w:r>
        <w:rPr>
          <w:rFonts w:hint="eastAsia" w:ascii="宋体" w:hAnsi="宋体"/>
          <w:color w:val="auto"/>
          <w:highlight w:val="none"/>
        </w:rPr>
        <w:t>12.乙方所交付的技术成果知识产权归甲方所有（如采购文件另有约定的从其约定）。</w:t>
      </w:r>
    </w:p>
    <w:p>
      <w:pPr>
        <w:ind w:firstLine="422"/>
        <w:rPr>
          <w:rFonts w:ascii="宋体" w:hAnsi="宋体"/>
          <w:b/>
          <w:color w:val="auto"/>
          <w:highlight w:val="none"/>
        </w:rPr>
      </w:pPr>
      <w:r>
        <w:rPr>
          <w:rFonts w:hint="eastAsia" w:ascii="宋体" w:hAnsi="宋体"/>
          <w:b/>
          <w:color w:val="auto"/>
          <w:highlight w:val="none"/>
        </w:rPr>
        <w:t>第四条　交付和验收</w:t>
      </w:r>
    </w:p>
    <w:p>
      <w:pPr>
        <w:snapToGrid w:val="0"/>
        <w:spacing w:line="400" w:lineRule="atLeast"/>
        <w:ind w:firstLine="420"/>
        <w:rPr>
          <w:rFonts w:ascii="宋体" w:hAnsi="宋体"/>
          <w:color w:val="auto"/>
          <w:highlight w:val="none"/>
        </w:rPr>
      </w:pPr>
      <w:r>
        <w:rPr>
          <w:rFonts w:hint="eastAsia" w:ascii="宋体" w:hAnsi="宋体"/>
          <w:color w:val="auto"/>
          <w:highlight w:val="none"/>
        </w:rPr>
        <w:t>1.服务时间及地点：</w:t>
      </w:r>
      <w:r>
        <w:rPr>
          <w:rFonts w:hint="eastAsia" w:ascii="宋体" w:hAnsi="宋体"/>
          <w:color w:val="auto"/>
          <w:highlight w:val="none"/>
          <w:u w:val="single"/>
        </w:rPr>
        <w:t>见合同附件《商务响应表》</w:t>
      </w:r>
    </w:p>
    <w:p>
      <w:pPr>
        <w:snapToGrid w:val="0"/>
        <w:spacing w:line="400" w:lineRule="atLeast"/>
        <w:ind w:firstLine="420"/>
        <w:rPr>
          <w:rFonts w:ascii="宋体" w:hAnsi="宋体"/>
          <w:color w:val="auto"/>
          <w:highlight w:val="none"/>
        </w:rPr>
      </w:pPr>
      <w:r>
        <w:rPr>
          <w:rFonts w:hint="eastAsia" w:ascii="宋体" w:hAnsi="宋体"/>
          <w:color w:val="auto"/>
          <w:highlight w:val="none"/>
        </w:rPr>
        <w:t>2.乙方应按照国家有关法律法规以及采购文件规定的服务内容、技术要求、质量标准和本合同所附的《服务方案》为甲方提供技术服务。乙方提供不符合采购文件和本合同规定的技术服务，甲方有权拒绝接受。</w:t>
      </w:r>
    </w:p>
    <w:p>
      <w:pPr>
        <w:snapToGrid w:val="0"/>
        <w:spacing w:line="400" w:lineRule="atLeast"/>
        <w:ind w:firstLine="420"/>
        <w:rPr>
          <w:rFonts w:ascii="宋体" w:hAnsi="宋体"/>
          <w:color w:val="auto"/>
          <w:highlight w:val="none"/>
        </w:rPr>
      </w:pPr>
      <w:r>
        <w:rPr>
          <w:rFonts w:hint="eastAsia" w:ascii="宋体" w:hAnsi="宋体"/>
          <w:color w:val="auto"/>
          <w:highlight w:val="none"/>
        </w:rPr>
        <w:t>3.乙方向甲方提供无瑕疵的技术服务，并对项目质量负责。</w:t>
      </w:r>
    </w:p>
    <w:p>
      <w:pPr>
        <w:snapToGrid w:val="0"/>
        <w:spacing w:line="400" w:lineRule="atLeast"/>
        <w:ind w:firstLine="420"/>
        <w:rPr>
          <w:rFonts w:ascii="宋体" w:hAnsi="宋体"/>
          <w:color w:val="auto"/>
          <w:highlight w:val="none"/>
        </w:rPr>
      </w:pPr>
      <w:r>
        <w:rPr>
          <w:rFonts w:hint="eastAsia" w:ascii="宋体" w:hAnsi="宋体"/>
          <w:color w:val="auto"/>
          <w:highlight w:val="none"/>
        </w:rPr>
        <w:t>4.乙方应对提交的技术资料作出全面检查和整理，并列出清单，作为甲方验收和使用的技术条件依据，清单应交给甲方。</w:t>
      </w:r>
    </w:p>
    <w:p>
      <w:pPr>
        <w:snapToGrid w:val="0"/>
        <w:spacing w:line="400" w:lineRule="atLeast"/>
        <w:ind w:firstLine="420"/>
        <w:rPr>
          <w:rFonts w:ascii="宋体" w:hAnsi="宋体"/>
          <w:color w:val="auto"/>
          <w:highlight w:val="none"/>
        </w:rPr>
      </w:pPr>
      <w:r>
        <w:rPr>
          <w:rFonts w:hint="eastAsia" w:ascii="宋体" w:hAnsi="宋体"/>
          <w:color w:val="auto"/>
          <w:highlight w:val="none"/>
        </w:rPr>
        <w:t>5.如采购文件已有约定的，乙方应按要求提交技术服务材料，如有缺失应及时补齐，否则视为逾期交付。</w:t>
      </w:r>
    </w:p>
    <w:p>
      <w:pPr>
        <w:snapToGrid w:val="0"/>
        <w:spacing w:line="400" w:lineRule="atLeast"/>
        <w:ind w:firstLine="420"/>
        <w:rPr>
          <w:rFonts w:ascii="宋体" w:hAnsi="宋体"/>
          <w:color w:val="auto"/>
          <w:highlight w:val="none"/>
        </w:rPr>
      </w:pPr>
      <w:r>
        <w:rPr>
          <w:rFonts w:hint="eastAsia" w:ascii="宋体" w:hAnsi="宋体"/>
          <w:color w:val="auto"/>
          <w:highlight w:val="none"/>
        </w:rPr>
        <w:t>6.验收合格后由甲乙双方签署验收单并加盖采购单位公章，甲乙双方各执一份。</w:t>
      </w:r>
    </w:p>
    <w:p>
      <w:pPr>
        <w:ind w:firstLine="420"/>
        <w:rPr>
          <w:rFonts w:ascii="宋体" w:hAnsi="宋体"/>
          <w:color w:val="auto"/>
          <w:highlight w:val="none"/>
        </w:rPr>
      </w:pPr>
      <w:r>
        <w:rPr>
          <w:rFonts w:hint="eastAsia" w:ascii="宋体" w:hAnsi="宋体"/>
          <w:color w:val="auto"/>
          <w:highlight w:val="none"/>
        </w:rPr>
        <w:t>7.甲方对验收有异议的，在验收后五个工作日内以书面形式向乙方提出，乙方应自收到甲方书面异议后</w:t>
      </w:r>
      <w:r>
        <w:rPr>
          <w:rFonts w:hint="eastAsia" w:ascii="宋体" w:hAnsi="宋体"/>
          <w:color w:val="auto"/>
          <w:highlight w:val="none"/>
          <w:u w:val="single"/>
        </w:rPr>
        <w:t xml:space="preserve"> 5个工作 </w:t>
      </w:r>
      <w:r>
        <w:rPr>
          <w:rFonts w:hint="eastAsia" w:ascii="宋体" w:hAnsi="宋体"/>
          <w:color w:val="auto"/>
          <w:highlight w:val="none"/>
        </w:rPr>
        <w:t>日内及时予以解决。乙方必须无条件进行整改、修正，直至甲方验收通过。</w:t>
      </w:r>
    </w:p>
    <w:p>
      <w:pPr>
        <w:ind w:firstLine="420"/>
        <w:rPr>
          <w:rFonts w:ascii="宋体" w:hAnsi="宋体"/>
          <w:color w:val="auto"/>
          <w:highlight w:val="none"/>
        </w:rPr>
      </w:pPr>
      <w:r>
        <w:rPr>
          <w:rFonts w:hint="eastAsia" w:ascii="宋体" w:hAnsi="宋体"/>
          <w:color w:val="auto"/>
          <w:highlight w:val="none"/>
        </w:rPr>
        <w:t>8</w:t>
      </w:r>
      <w:r>
        <w:rPr>
          <w:rFonts w:ascii="宋体" w:hAnsi="宋体"/>
          <w:color w:val="auto"/>
          <w:highlight w:val="none"/>
        </w:rPr>
        <w:t>.</w:t>
      </w:r>
      <w:r>
        <w:rPr>
          <w:rFonts w:hint="eastAsia" w:ascii="宋体" w:hAnsi="宋体"/>
          <w:color w:val="auto"/>
          <w:highlight w:val="none"/>
        </w:rPr>
        <w:t>有关返工、再行验收给甲方造成的损失等费用均由乙方承担。拒不按要求整改（或经多次整改未能改善），或连续两次项目验收不合格的，或发现乙方有弄虚作假的行为，甲方将终止合同或不予验收，并追究乙方的责任，由此带来的一切损失由乙方自行承担。</w:t>
      </w:r>
    </w:p>
    <w:p>
      <w:pPr>
        <w:ind w:firstLine="420"/>
        <w:rPr>
          <w:rFonts w:ascii="宋体" w:hAnsi="宋体"/>
          <w:color w:val="auto"/>
          <w:highlight w:val="none"/>
        </w:rPr>
      </w:pPr>
      <w:r>
        <w:rPr>
          <w:rFonts w:ascii="宋体" w:hAnsi="宋体"/>
          <w:color w:val="auto"/>
          <w:highlight w:val="none"/>
        </w:rPr>
        <w:t>9.</w:t>
      </w:r>
      <w:r>
        <w:rPr>
          <w:rFonts w:hint="eastAsia" w:ascii="宋体" w:hAnsi="宋体"/>
          <w:color w:val="auto"/>
          <w:highlight w:val="none"/>
        </w:rPr>
        <w:t>其他未尽事宜应严格按照《关于印发广西壮族自治区政府采购项目履约验收管理办法的通知》[桂财采〔2015〕22号]以及《财政部关于进一步加强政府采购需求和履约验收管理的指导意见》[财库〔2016〕205号]规定执行。</w:t>
      </w:r>
    </w:p>
    <w:p>
      <w:pPr>
        <w:snapToGrid w:val="0"/>
        <w:spacing w:line="400" w:lineRule="atLeast"/>
        <w:ind w:firstLine="422"/>
        <w:rPr>
          <w:rFonts w:ascii="宋体" w:hAnsi="宋体"/>
          <w:color w:val="auto"/>
          <w:highlight w:val="none"/>
        </w:rPr>
      </w:pPr>
      <w:r>
        <w:rPr>
          <w:rFonts w:hint="eastAsia" w:ascii="宋体" w:hAnsi="宋体"/>
          <w:b/>
          <w:color w:val="auto"/>
          <w:highlight w:val="none"/>
        </w:rPr>
        <w:t>第五条　付款方式</w:t>
      </w:r>
    </w:p>
    <w:p>
      <w:pPr>
        <w:snapToGrid w:val="0"/>
        <w:spacing w:line="400" w:lineRule="atLeast"/>
        <w:ind w:firstLine="420"/>
        <w:rPr>
          <w:rFonts w:ascii="宋体" w:hAnsi="宋体" w:cs="Courier New"/>
          <w:color w:val="auto"/>
          <w:highlight w:val="none"/>
        </w:rPr>
      </w:pPr>
      <w:r>
        <w:rPr>
          <w:rFonts w:hint="eastAsia" w:ascii="宋体" w:hAnsi="宋体" w:cs="Courier New"/>
          <w:bCs/>
          <w:color w:val="auto"/>
          <w:highlight w:val="none"/>
        </w:rPr>
        <w:t>1.</w:t>
      </w:r>
      <w:r>
        <w:rPr>
          <w:rFonts w:hint="eastAsia" w:ascii="宋体" w:hAnsi="宋体" w:cs="Courier New"/>
          <w:color w:val="auto"/>
          <w:highlight w:val="none"/>
        </w:rPr>
        <w:t>在合同履行期间，乙方无违约行文，甲方无合理理由而，乙方已开始实施工作的，甲方应根据乙方已进行的实际工作量给予适当的补偿。</w:t>
      </w:r>
    </w:p>
    <w:p>
      <w:pPr>
        <w:snapToGrid w:val="0"/>
        <w:spacing w:line="400" w:lineRule="atLeast"/>
        <w:ind w:firstLine="420"/>
        <w:rPr>
          <w:rFonts w:ascii="宋体" w:hAnsi="宋体" w:cs="Courier New"/>
          <w:color w:val="auto"/>
          <w:highlight w:val="none"/>
          <w:u w:val="single"/>
        </w:rPr>
      </w:pPr>
      <w:r>
        <w:rPr>
          <w:rFonts w:ascii="宋体" w:hAnsi="宋体"/>
          <w:color w:val="auto"/>
          <w:highlight w:val="none"/>
        </w:rPr>
        <w:t>2</w:t>
      </w:r>
      <w:r>
        <w:rPr>
          <w:rFonts w:hint="eastAsia" w:ascii="宋体" w:hAnsi="宋体"/>
          <w:color w:val="auto"/>
          <w:highlight w:val="none"/>
        </w:rPr>
        <w:t>.付款方式：</w:t>
      </w:r>
      <w:r>
        <w:rPr>
          <w:rFonts w:hint="eastAsia" w:ascii="宋体" w:hAnsi="宋体"/>
          <w:color w:val="auto"/>
          <w:highlight w:val="none"/>
          <w:u w:val="single"/>
        </w:rPr>
        <w:t xml:space="preserve">                                                                    。</w:t>
      </w:r>
      <w:r>
        <w:rPr>
          <w:rFonts w:hint="eastAsia" w:ascii="宋体" w:hAnsi="宋体"/>
          <w:color w:val="auto"/>
          <w:highlight w:val="none"/>
        </w:rPr>
        <w:t xml:space="preserve">              </w:t>
      </w:r>
    </w:p>
    <w:p>
      <w:pPr>
        <w:ind w:firstLine="420"/>
        <w:rPr>
          <w:rFonts w:ascii="宋体" w:hAnsi="宋体"/>
          <w:color w:val="auto"/>
          <w:highlight w:val="none"/>
        </w:rPr>
      </w:pPr>
      <w:r>
        <w:rPr>
          <w:rFonts w:ascii="宋体" w:hAnsi="宋体"/>
          <w:color w:val="auto"/>
          <w:highlight w:val="none"/>
        </w:rPr>
        <w:t>4</w:t>
      </w:r>
      <w:r>
        <w:rPr>
          <w:rFonts w:hint="eastAsia" w:ascii="宋体" w:hAnsi="宋体"/>
          <w:color w:val="auto"/>
          <w:highlight w:val="none"/>
        </w:rPr>
        <w:t>.乙方应在规定时间按要求完成服务工作，并按合同及投标承诺提供技术服务，合同期间，甲方不另行支付任何费用。</w:t>
      </w:r>
    </w:p>
    <w:p>
      <w:pPr>
        <w:ind w:firstLine="422"/>
        <w:rPr>
          <w:rFonts w:ascii="宋体" w:hAnsi="宋体"/>
          <w:b/>
          <w:color w:val="auto"/>
          <w:highlight w:val="none"/>
        </w:rPr>
      </w:pPr>
      <w:r>
        <w:rPr>
          <w:rFonts w:hint="eastAsia" w:ascii="宋体" w:hAnsi="宋体"/>
          <w:b/>
          <w:color w:val="auto"/>
          <w:highlight w:val="none"/>
        </w:rPr>
        <w:t>第六条　履约保证金</w:t>
      </w:r>
    </w:p>
    <w:p>
      <w:pPr>
        <w:ind w:firstLine="420"/>
        <w:rPr>
          <w:rFonts w:ascii="宋体" w:hAnsi="宋体"/>
          <w:color w:val="auto"/>
          <w:highlight w:val="none"/>
        </w:rPr>
      </w:pPr>
      <w:r>
        <w:rPr>
          <w:rFonts w:hint="eastAsia" w:ascii="宋体" w:hAnsi="宋体"/>
          <w:color w:val="auto"/>
          <w:highlight w:val="none"/>
          <w:u w:val="single"/>
        </w:rPr>
        <w:t>本项目合同无履约保证金</w:t>
      </w:r>
      <w:r>
        <w:rPr>
          <w:rFonts w:hint="eastAsia" w:ascii="宋体" w:hAnsi="宋体"/>
          <w:color w:val="auto"/>
          <w:highlight w:val="none"/>
        </w:rPr>
        <w:t>。</w:t>
      </w:r>
    </w:p>
    <w:p>
      <w:pPr>
        <w:ind w:firstLine="422"/>
        <w:rPr>
          <w:rFonts w:ascii="宋体" w:hAnsi="宋体"/>
          <w:b/>
          <w:color w:val="auto"/>
          <w:highlight w:val="none"/>
        </w:rPr>
      </w:pPr>
      <w:r>
        <w:rPr>
          <w:rFonts w:hint="eastAsia" w:ascii="宋体" w:hAnsi="宋体"/>
          <w:b/>
          <w:color w:val="auto"/>
          <w:highlight w:val="none"/>
        </w:rPr>
        <w:t>第七条　税费</w:t>
      </w:r>
    </w:p>
    <w:p>
      <w:pPr>
        <w:ind w:firstLine="420"/>
        <w:rPr>
          <w:rFonts w:ascii="宋体" w:hAnsi="宋体"/>
          <w:color w:val="auto"/>
          <w:highlight w:val="none"/>
        </w:rPr>
      </w:pPr>
      <w:r>
        <w:rPr>
          <w:rFonts w:hint="eastAsia" w:ascii="宋体" w:hAnsi="宋体"/>
          <w:color w:val="auto"/>
          <w:highlight w:val="none"/>
        </w:rPr>
        <w:t>本合同执行中相关的一切税费均由乙方承担。</w:t>
      </w:r>
    </w:p>
    <w:p>
      <w:pPr>
        <w:snapToGrid w:val="0"/>
        <w:spacing w:line="400" w:lineRule="atLeast"/>
        <w:ind w:firstLine="422"/>
        <w:rPr>
          <w:rFonts w:ascii="宋体" w:hAnsi="宋体"/>
          <w:b/>
          <w:color w:val="auto"/>
          <w:highlight w:val="none"/>
        </w:rPr>
      </w:pPr>
      <w:r>
        <w:rPr>
          <w:rFonts w:hint="eastAsia" w:ascii="宋体" w:hAnsi="宋体"/>
          <w:b/>
          <w:color w:val="auto"/>
          <w:highlight w:val="none"/>
        </w:rPr>
        <w:t>第八条　违约责任</w:t>
      </w:r>
    </w:p>
    <w:p>
      <w:pPr>
        <w:snapToGrid w:val="0"/>
        <w:spacing w:line="360" w:lineRule="exact"/>
        <w:ind w:firstLine="420"/>
        <w:rPr>
          <w:rFonts w:ascii="宋体" w:hAnsi="宋体"/>
          <w:color w:val="auto"/>
          <w:highlight w:val="none"/>
        </w:rPr>
      </w:pPr>
      <w:r>
        <w:rPr>
          <w:rFonts w:hint="eastAsia" w:ascii="宋体" w:hAnsi="宋体"/>
          <w:color w:val="auto"/>
          <w:highlight w:val="none"/>
        </w:rPr>
        <w:t>1.乙方所提供的服务成果、数量、服务项目要求(技术参数需求)等质量不符合磋商及响应文件、国家有关质量标准或本合同约定的，应及时调整，调整不及时的按本合同第八条第2款的约定按逾期提交成果处理；因特殊情况甲方同意接收不符合磋商及响应文件、国家有关质量标准或本合同约定的服务或报告的，乙方除承担逾期违约责任外，还应向甲方支付合同总价5%违约金。因乙方无法提供质量符合磋商及响应文件、国家有关质量标准或本合同约定的服务或报告的，甲方有权解除合同。</w:t>
      </w:r>
    </w:p>
    <w:p>
      <w:pPr>
        <w:snapToGrid w:val="0"/>
        <w:spacing w:line="360" w:lineRule="exact"/>
        <w:ind w:firstLine="420"/>
        <w:rPr>
          <w:rFonts w:ascii="宋体" w:hAnsi="宋体"/>
          <w:color w:val="auto"/>
          <w:highlight w:val="none"/>
        </w:rPr>
      </w:pPr>
      <w:r>
        <w:rPr>
          <w:rFonts w:hint="eastAsia" w:ascii="宋体" w:hAnsi="宋体"/>
          <w:color w:val="auto"/>
          <w:highlight w:val="none"/>
        </w:rPr>
        <w:t xml:space="preserve">2.甲方无故延期接收服务成果、乙方逾期提交服务成果的，每天向对方偿付合同总价3‰违约金，但违约金累计不得超过合同总价5%。乙方逾期超过20天甲方有权解除合同。 </w:t>
      </w:r>
    </w:p>
    <w:p>
      <w:pPr>
        <w:snapToGrid w:val="0"/>
        <w:spacing w:line="400" w:lineRule="atLeast"/>
        <w:ind w:firstLine="420"/>
        <w:rPr>
          <w:rFonts w:ascii="宋体" w:hAnsi="宋体"/>
          <w:color w:val="auto"/>
          <w:highlight w:val="none"/>
        </w:rPr>
      </w:pPr>
      <w:r>
        <w:rPr>
          <w:rFonts w:hint="eastAsia" w:ascii="宋体" w:hAnsi="宋体"/>
          <w:color w:val="auto"/>
          <w:highlight w:val="none"/>
        </w:rPr>
        <w:t>3.乙方应当保证有权销售本合同的所有产品或技术服务，不会因此侵犯到第三人的所有权、知识产权等一切权利。属于第三人拥有知识产权的已经取得第三人合法授权，甲方有权不受限制的使用。若因违反本款约定引起的第三方任何纠纷或诉讼的均由乙方负责交涉解决并承担全部责任，包括甲方使用该产品或技术服务所需的授权费以及解决争议发生的一切费用（包括但不限于律师费、诉讼费、鉴定费等）均由乙方承担。如果不能取得使用许可需要另行购买产品或技术服务的，所需费用由乙方承担，并赔偿甲方因此受到的损失。如甲方为解决纠纷先行垫支了费用，乙方须在接到甲方通知之日起5个工作日内向甲方偿还完毕，并赔偿甲方全部经济损失。</w:t>
      </w:r>
    </w:p>
    <w:p>
      <w:pPr>
        <w:snapToGrid w:val="0"/>
        <w:spacing w:line="360" w:lineRule="exact"/>
        <w:ind w:firstLine="420"/>
        <w:rPr>
          <w:rFonts w:ascii="宋体" w:hAnsi="宋体"/>
          <w:color w:val="auto"/>
          <w:highlight w:val="none"/>
        </w:rPr>
      </w:pPr>
      <w:r>
        <w:rPr>
          <w:rFonts w:hint="eastAsia" w:ascii="宋体" w:hAnsi="宋体"/>
          <w:color w:val="auto"/>
          <w:highlight w:val="none"/>
        </w:rPr>
        <w:t>4.由于甲方的原因造成合同不能如期履行的，双方可根据具体情况顺延合同的履行期，对乙方因此遭受的损失，甲方应予以补偿。</w:t>
      </w:r>
    </w:p>
    <w:p>
      <w:pPr>
        <w:snapToGrid w:val="0"/>
        <w:spacing w:line="360" w:lineRule="exact"/>
        <w:ind w:firstLine="420"/>
        <w:rPr>
          <w:rFonts w:ascii="宋体" w:hAnsi="宋体"/>
          <w:color w:val="auto"/>
          <w:highlight w:val="none"/>
        </w:rPr>
      </w:pPr>
      <w:r>
        <w:rPr>
          <w:rFonts w:hint="eastAsia" w:ascii="宋体" w:hAnsi="宋体"/>
          <w:color w:val="auto"/>
          <w:highlight w:val="none"/>
        </w:rPr>
        <w:t>5.乙方不得将项目全部或部分进行转包、分包，如有违反，甲方有权解除合同，且乙方应向甲方一次性支付合同总价20%的违约金。</w:t>
      </w:r>
    </w:p>
    <w:p>
      <w:pPr>
        <w:snapToGrid w:val="0"/>
        <w:spacing w:line="360" w:lineRule="exact"/>
        <w:ind w:firstLine="420"/>
        <w:rPr>
          <w:rFonts w:ascii="宋体" w:hAnsi="宋体"/>
          <w:color w:val="auto"/>
          <w:highlight w:val="none"/>
        </w:rPr>
      </w:pPr>
      <w:r>
        <w:rPr>
          <w:rFonts w:hint="eastAsia" w:ascii="宋体" w:hAnsi="宋体"/>
          <w:color w:val="auto"/>
          <w:highlight w:val="none"/>
        </w:rPr>
        <w:t>6.乙方未按本合同和响应文件中规定的服务承诺提供服务的，乙方应按合同总价</w:t>
      </w:r>
      <w:r>
        <w:rPr>
          <w:rFonts w:ascii="宋体" w:hAnsi="宋体"/>
          <w:color w:val="auto"/>
          <w:highlight w:val="none"/>
        </w:rPr>
        <w:t>10</w:t>
      </w:r>
      <w:r>
        <w:rPr>
          <w:rFonts w:hint="eastAsia" w:ascii="宋体" w:hAnsi="宋体"/>
          <w:color w:val="auto"/>
          <w:highlight w:val="none"/>
        </w:rPr>
        <w:t>%向甲方支付违约金。</w:t>
      </w:r>
    </w:p>
    <w:p>
      <w:pPr>
        <w:snapToGrid w:val="0"/>
        <w:spacing w:line="360" w:lineRule="exact"/>
        <w:ind w:firstLine="420"/>
        <w:rPr>
          <w:rFonts w:ascii="宋体" w:hAnsi="宋体"/>
          <w:color w:val="auto"/>
          <w:highlight w:val="none"/>
        </w:rPr>
      </w:pPr>
      <w:r>
        <w:rPr>
          <w:rFonts w:hint="eastAsia" w:ascii="宋体" w:hAnsi="宋体"/>
          <w:color w:val="auto"/>
          <w:highlight w:val="none"/>
        </w:rPr>
        <w:t>7.乙方有其它违约行为的，每发生一次按合同总价5%收取违约金。</w:t>
      </w:r>
    </w:p>
    <w:p>
      <w:pPr>
        <w:snapToGrid w:val="0"/>
        <w:spacing w:line="360" w:lineRule="exact"/>
        <w:ind w:firstLine="420"/>
        <w:rPr>
          <w:rFonts w:ascii="宋体" w:hAnsi="宋体"/>
          <w:color w:val="auto"/>
          <w:highlight w:val="none"/>
        </w:rPr>
      </w:pPr>
      <w:r>
        <w:rPr>
          <w:rFonts w:hint="eastAsia" w:ascii="宋体" w:hAnsi="宋体"/>
          <w:color w:val="auto"/>
          <w:highlight w:val="none"/>
        </w:rPr>
        <w:t>8.甲方根据本合同约定而解除合同的，有权不予支付任何款项给乙方，已经支付的，乙方应当自甲方要求返还之日起5日内予以返还，除合同有其他约定外，乙方还应支付合同总价5%的违约金给甲方并赔偿甲方经济损失。</w:t>
      </w:r>
    </w:p>
    <w:p>
      <w:pPr>
        <w:snapToGrid w:val="0"/>
        <w:spacing w:line="400" w:lineRule="atLeast"/>
        <w:ind w:firstLine="420"/>
        <w:rPr>
          <w:rFonts w:ascii="宋体" w:hAnsi="宋体"/>
          <w:color w:val="auto"/>
          <w:highlight w:val="none"/>
        </w:rPr>
      </w:pPr>
      <w:r>
        <w:rPr>
          <w:rFonts w:hint="eastAsia" w:ascii="宋体" w:hAnsi="宋体"/>
          <w:color w:val="auto"/>
          <w:highlight w:val="none"/>
        </w:rPr>
        <w:t>9.当以上违约金不足以弥补甲方损失时，乙方还应对甲方超过违约金部分的损失依法承担赔偿责任，甲方有权继续向乙方追偿。乙方应当赔偿因此给甲方造成的所有损失，包括但不限于甲方直接损失、预期利益损失、向第三人承担的违约金、赔偿金、另行委托第三人的成本、为索赔支出的费用、律师费、诉讼费、仲裁费、调查费、公证费、鉴定费等。</w:t>
      </w:r>
    </w:p>
    <w:p>
      <w:pPr>
        <w:snapToGrid w:val="0"/>
        <w:spacing w:line="400" w:lineRule="atLeast"/>
        <w:ind w:firstLine="420"/>
        <w:rPr>
          <w:rFonts w:ascii="宋体" w:hAnsi="宋体"/>
          <w:color w:val="auto"/>
          <w:highlight w:val="none"/>
        </w:rPr>
      </w:pPr>
      <w:r>
        <w:rPr>
          <w:rFonts w:hint="eastAsia" w:ascii="宋体" w:hAnsi="宋体"/>
          <w:color w:val="auto"/>
          <w:highlight w:val="none"/>
        </w:rPr>
        <w:t xml:space="preserve">10.乙方未按期限完成项目工作或者项目工作的完成不符合约定的，乙方应根据本合同约定，向甲方支付违约金并赔偿甲方因此造成的经济损失（包括但不限于诉讼费、保全费、律师费等）。                                       </w:t>
      </w:r>
    </w:p>
    <w:p>
      <w:pPr>
        <w:snapToGrid w:val="0"/>
        <w:spacing w:line="400" w:lineRule="atLeast"/>
        <w:ind w:firstLine="420"/>
        <w:rPr>
          <w:rFonts w:ascii="宋体" w:hAnsi="宋体"/>
          <w:color w:val="auto"/>
          <w:highlight w:val="none"/>
        </w:rPr>
      </w:pPr>
      <w:r>
        <w:rPr>
          <w:rFonts w:hint="eastAsia" w:ascii="宋体" w:hAnsi="宋体"/>
          <w:color w:val="auto"/>
          <w:highlight w:val="none"/>
        </w:rPr>
        <w:t>11.本合同签订后，乙方要求提前解除合同的，应向甲方支付本合同总价款30%的违约金，退还甲方已支付的全部费用并赔偿由此给甲方造成的全部损失。</w:t>
      </w:r>
    </w:p>
    <w:p>
      <w:pPr>
        <w:snapToGrid w:val="0"/>
        <w:spacing w:line="400" w:lineRule="atLeast"/>
        <w:ind w:firstLine="420"/>
        <w:rPr>
          <w:rFonts w:ascii="宋体" w:hAnsi="宋体"/>
          <w:color w:val="auto"/>
          <w:highlight w:val="none"/>
        </w:rPr>
      </w:pPr>
      <w:r>
        <w:rPr>
          <w:rFonts w:hint="eastAsia" w:ascii="宋体" w:hAnsi="宋体"/>
          <w:color w:val="auto"/>
          <w:highlight w:val="none"/>
        </w:rPr>
        <w:t>12.乙方应当支付给甲方的违约金、赔偿金，甲方有权从未支付的合同款中扣除，违约金不足以赔偿给甲方造成损失的，甲方仍有权向乙方进行追偿。</w:t>
      </w:r>
    </w:p>
    <w:p>
      <w:pPr>
        <w:snapToGrid w:val="0"/>
        <w:spacing w:line="400" w:lineRule="atLeast"/>
        <w:ind w:firstLine="420"/>
        <w:rPr>
          <w:rFonts w:ascii="宋体" w:hAnsi="宋体"/>
          <w:color w:val="auto"/>
          <w:highlight w:val="none"/>
        </w:rPr>
      </w:pPr>
      <w:r>
        <w:rPr>
          <w:rFonts w:hint="eastAsia" w:ascii="宋体" w:hAnsi="宋体"/>
          <w:color w:val="auto"/>
          <w:highlight w:val="none"/>
        </w:rPr>
        <w:t>13.按本合同约定甲方选择解除合同的，自甲方解除合同的书面通知送达乙方之日起合同解除，乙方应赔偿由此给甲方造成的全部损失。甲方不支付乙方任何费用，乙方对解除合同有异议的异议期为7日。乙方应当在合同解除后5日内退还甲方支付的所有费用（如有），自费运回所交付的产品，付清违约金、赔偿金。</w:t>
      </w:r>
    </w:p>
    <w:p>
      <w:pPr>
        <w:snapToGrid w:val="0"/>
        <w:spacing w:line="400" w:lineRule="atLeast"/>
        <w:ind w:firstLine="420"/>
        <w:rPr>
          <w:rFonts w:ascii="宋体" w:hAnsi="宋体"/>
          <w:color w:val="auto"/>
          <w:highlight w:val="none"/>
        </w:rPr>
      </w:pPr>
      <w:r>
        <w:rPr>
          <w:rFonts w:hint="eastAsia" w:ascii="宋体" w:hAnsi="宋体"/>
          <w:color w:val="auto"/>
          <w:highlight w:val="none"/>
        </w:rPr>
        <w:t>14.乙方违反本合同约定或法律规定的，应当赔偿给甲方造成的全部损失，包括但不限于直接损失、预期利益损失、甲方向第三人支付的违约金、赔偿金及甲方为索赔或应对第三方索赔而支出的诉讼费、律师费、公证费、保全费、担保费、鉴定费、评估费等全部费用。</w:t>
      </w:r>
    </w:p>
    <w:p>
      <w:pPr>
        <w:ind w:firstLine="420"/>
        <w:rPr>
          <w:rFonts w:ascii="宋体" w:hAnsi="宋体"/>
          <w:color w:val="auto"/>
          <w:highlight w:val="none"/>
        </w:rPr>
      </w:pPr>
      <w:r>
        <w:rPr>
          <w:rFonts w:hint="eastAsia" w:ascii="宋体" w:hAnsi="宋体"/>
          <w:color w:val="auto"/>
          <w:highlight w:val="none"/>
        </w:rPr>
        <w:t>1</w:t>
      </w:r>
      <w:r>
        <w:rPr>
          <w:rFonts w:ascii="宋体" w:hAnsi="宋体"/>
          <w:color w:val="auto"/>
          <w:highlight w:val="none"/>
        </w:rPr>
        <w:t>5.</w:t>
      </w:r>
      <w:r>
        <w:rPr>
          <w:rFonts w:hint="eastAsia" w:ascii="宋体" w:hAnsi="宋体"/>
          <w:color w:val="auto"/>
          <w:highlight w:val="none"/>
        </w:rPr>
        <w:t>出现以下情况之一的，甲方有权终止合同且无需支付合同解除后的合同后续费用，同时乙方应承担项目合同金额15%的违约金，并应当自收到甲方要求解除合同的函之日起5日内退还甲方已付出的所有服务费用，并赔偿由此给甲方造成的全部损失：</w:t>
      </w:r>
    </w:p>
    <w:p>
      <w:pPr>
        <w:ind w:firstLine="420"/>
        <w:rPr>
          <w:rFonts w:ascii="宋体" w:hAnsi="宋体"/>
          <w:color w:val="auto"/>
          <w:highlight w:val="none"/>
        </w:rPr>
      </w:pPr>
      <w:r>
        <w:rPr>
          <w:rFonts w:hint="eastAsia" w:ascii="宋体" w:hAnsi="宋体"/>
          <w:color w:val="auto"/>
          <w:highlight w:val="none"/>
        </w:rPr>
        <w:t>（1）乙方未能按合同交付时间交付完整服务内容资料的。</w:t>
      </w:r>
    </w:p>
    <w:p>
      <w:pPr>
        <w:ind w:firstLine="420"/>
        <w:rPr>
          <w:rFonts w:ascii="宋体" w:hAnsi="宋体"/>
          <w:color w:val="auto"/>
          <w:highlight w:val="none"/>
        </w:rPr>
      </w:pPr>
      <w:r>
        <w:rPr>
          <w:rFonts w:hint="eastAsia" w:ascii="宋体" w:hAnsi="宋体"/>
          <w:color w:val="auto"/>
          <w:highlight w:val="none"/>
        </w:rPr>
        <w:t>（2）乙方未能按响应资料和甲方书面需求提供服务，甲方书面提出整改要求后，乙方未按期整改完毕的。</w:t>
      </w:r>
    </w:p>
    <w:p>
      <w:pPr>
        <w:ind w:firstLine="420"/>
        <w:rPr>
          <w:rFonts w:ascii="宋体" w:hAnsi="宋体"/>
          <w:color w:val="auto"/>
          <w:highlight w:val="none"/>
        </w:rPr>
      </w:pPr>
      <w:r>
        <w:rPr>
          <w:rFonts w:hint="eastAsia" w:ascii="宋体" w:hAnsi="宋体"/>
          <w:color w:val="auto"/>
          <w:highlight w:val="none"/>
        </w:rPr>
        <w:t>（3）乙方不配合甲方进行验收的。</w:t>
      </w:r>
    </w:p>
    <w:p>
      <w:pPr>
        <w:ind w:firstLine="422"/>
        <w:rPr>
          <w:rFonts w:ascii="宋体" w:hAnsi="宋体"/>
          <w:b/>
          <w:color w:val="auto"/>
          <w:highlight w:val="none"/>
        </w:rPr>
      </w:pPr>
      <w:r>
        <w:rPr>
          <w:rFonts w:hint="eastAsia" w:ascii="宋体" w:hAnsi="宋体"/>
          <w:b/>
          <w:color w:val="auto"/>
          <w:highlight w:val="none"/>
        </w:rPr>
        <w:t>第九条  不可抗力事件处理</w:t>
      </w:r>
    </w:p>
    <w:p>
      <w:pPr>
        <w:ind w:firstLine="420"/>
        <w:rPr>
          <w:rFonts w:ascii="宋体" w:hAnsi="宋体"/>
          <w:color w:val="auto"/>
          <w:highlight w:val="none"/>
        </w:rPr>
      </w:pPr>
      <w:r>
        <w:rPr>
          <w:rFonts w:hint="eastAsia" w:ascii="宋体" w:hAnsi="宋体"/>
          <w:color w:val="auto"/>
          <w:highlight w:val="none"/>
        </w:rPr>
        <w:t>1</w:t>
      </w:r>
      <w:r>
        <w:rPr>
          <w:rFonts w:ascii="宋体" w:hAnsi="宋体"/>
          <w:color w:val="auto"/>
          <w:highlight w:val="none"/>
        </w:rPr>
        <w:t>.</w:t>
      </w:r>
      <w:r>
        <w:rPr>
          <w:rFonts w:hint="eastAsia" w:ascii="宋体" w:hAnsi="宋体"/>
          <w:color w:val="auto"/>
          <w:highlight w:val="none"/>
        </w:rPr>
        <w:t>在合同有效期内，任何一方因不可抗力事件导致不能履行合同，则合同履行期可延长，其延长期与不可抗力影响期相同。</w:t>
      </w:r>
    </w:p>
    <w:p>
      <w:pPr>
        <w:ind w:firstLine="420"/>
        <w:rPr>
          <w:rFonts w:ascii="宋体" w:hAnsi="宋体"/>
          <w:color w:val="auto"/>
          <w:highlight w:val="none"/>
        </w:rPr>
      </w:pPr>
      <w:r>
        <w:rPr>
          <w:rFonts w:hint="eastAsia" w:ascii="宋体" w:hAnsi="宋体"/>
          <w:color w:val="auto"/>
          <w:highlight w:val="none"/>
        </w:rPr>
        <w:t>2</w:t>
      </w:r>
      <w:r>
        <w:rPr>
          <w:rFonts w:ascii="宋体" w:hAnsi="宋体"/>
          <w:color w:val="auto"/>
          <w:highlight w:val="none"/>
        </w:rPr>
        <w:t>.</w:t>
      </w:r>
      <w:r>
        <w:rPr>
          <w:rFonts w:hint="eastAsia" w:ascii="宋体" w:hAnsi="宋体"/>
          <w:color w:val="auto"/>
          <w:highlight w:val="none"/>
        </w:rPr>
        <w:t>不可抗力事件发生后，</w:t>
      </w:r>
      <w:r>
        <w:rPr>
          <w:rFonts w:hint="eastAsia" w:ascii="宋体" w:hAnsi="宋体"/>
          <w:color w:val="auto"/>
          <w:kern w:val="0"/>
          <w:highlight w:val="none"/>
        </w:rPr>
        <w:t>应立即通知对方，并寄送有关权威机构出具的证明。声称受到不可抗力的一方应在任何时候采取合理的行动，以避免或尽量减少不可抗力事件的影响。因主观原因延误，未及时采取必要措施而导致损失扩大的，不能免除责任。</w:t>
      </w:r>
    </w:p>
    <w:p>
      <w:pPr>
        <w:ind w:firstLine="420"/>
        <w:rPr>
          <w:rFonts w:ascii="宋体" w:hAnsi="宋体"/>
          <w:color w:val="auto"/>
          <w:highlight w:val="none"/>
        </w:rPr>
      </w:pPr>
      <w:r>
        <w:rPr>
          <w:rFonts w:hint="eastAsia" w:ascii="宋体" w:hAnsi="宋体"/>
          <w:color w:val="auto"/>
          <w:highlight w:val="none"/>
        </w:rPr>
        <w:t>3</w:t>
      </w:r>
      <w:r>
        <w:rPr>
          <w:rFonts w:ascii="宋体" w:hAnsi="宋体"/>
          <w:color w:val="auto"/>
          <w:highlight w:val="none"/>
        </w:rPr>
        <w:t>.</w:t>
      </w:r>
      <w:r>
        <w:rPr>
          <w:rFonts w:hint="eastAsia" w:ascii="宋体" w:hAnsi="宋体"/>
          <w:color w:val="auto"/>
          <w:highlight w:val="none"/>
        </w:rPr>
        <w:t>不可抗力事件延续一百二十天以上，双方应通过友好协商，确定是否继续履行合同。</w:t>
      </w:r>
    </w:p>
    <w:p>
      <w:pPr>
        <w:ind w:firstLine="422"/>
        <w:rPr>
          <w:rFonts w:ascii="宋体" w:hAnsi="宋体"/>
          <w:b/>
          <w:color w:val="auto"/>
          <w:highlight w:val="none"/>
        </w:rPr>
      </w:pPr>
      <w:r>
        <w:rPr>
          <w:rFonts w:hint="eastAsia" w:ascii="宋体" w:hAnsi="宋体"/>
          <w:b/>
          <w:color w:val="auto"/>
          <w:highlight w:val="none"/>
        </w:rPr>
        <w:t>第十条  合同争议解决</w:t>
      </w:r>
    </w:p>
    <w:p>
      <w:pPr>
        <w:ind w:firstLine="420"/>
        <w:rPr>
          <w:rFonts w:ascii="宋体" w:hAnsi="宋体"/>
          <w:color w:val="auto"/>
          <w:highlight w:val="none"/>
        </w:rPr>
      </w:pPr>
      <w:r>
        <w:rPr>
          <w:rFonts w:hint="eastAsia" w:ascii="宋体" w:hAnsi="宋体"/>
          <w:color w:val="auto"/>
          <w:highlight w:val="none"/>
        </w:rPr>
        <w:t>1</w:t>
      </w:r>
      <w:r>
        <w:rPr>
          <w:rFonts w:ascii="宋体" w:hAnsi="宋体"/>
          <w:color w:val="auto"/>
          <w:highlight w:val="none"/>
        </w:rPr>
        <w:t>.</w:t>
      </w:r>
      <w:r>
        <w:rPr>
          <w:rFonts w:hint="eastAsia" w:ascii="宋体" w:hAnsi="宋体"/>
          <w:color w:val="auto"/>
          <w:highlight w:val="none"/>
        </w:rPr>
        <w:t>因服务质量问题发生争议的，应邀请国家认可的权威机构进行鉴定。服务符合标准的，鉴定费由甲方承担；服务不符合标准的，鉴定费由乙方承担。</w:t>
      </w:r>
    </w:p>
    <w:p>
      <w:pPr>
        <w:ind w:firstLine="420"/>
        <w:rPr>
          <w:rFonts w:ascii="宋体" w:hAnsi="宋体"/>
          <w:color w:val="auto"/>
          <w:highlight w:val="none"/>
        </w:rPr>
      </w:pPr>
      <w:r>
        <w:rPr>
          <w:rFonts w:hint="eastAsia" w:ascii="宋体" w:hAnsi="宋体"/>
          <w:color w:val="auto"/>
          <w:highlight w:val="none"/>
        </w:rPr>
        <w:t>2</w:t>
      </w:r>
      <w:r>
        <w:rPr>
          <w:rFonts w:ascii="宋体" w:hAnsi="宋体"/>
          <w:color w:val="auto"/>
          <w:highlight w:val="none"/>
        </w:rPr>
        <w:t>.</w:t>
      </w:r>
      <w:r>
        <w:rPr>
          <w:rFonts w:hint="eastAsia" w:ascii="宋体" w:hAnsi="宋体"/>
          <w:color w:val="auto"/>
          <w:highlight w:val="none"/>
        </w:rPr>
        <w:t>因履行本合同引起的或与本合同有关的争议，甲乙双方应首先通过友好协商解决，如果协商不能解决，可向甲方所在地有管辖权的人民法院提起诉讼。</w:t>
      </w:r>
    </w:p>
    <w:p>
      <w:pPr>
        <w:ind w:firstLine="420"/>
        <w:rPr>
          <w:rFonts w:ascii="宋体" w:hAnsi="宋体"/>
          <w:color w:val="auto"/>
          <w:highlight w:val="none"/>
        </w:rPr>
      </w:pPr>
      <w:r>
        <w:rPr>
          <w:rFonts w:ascii="宋体" w:hAnsi="宋体"/>
          <w:color w:val="auto"/>
          <w:highlight w:val="none"/>
        </w:rPr>
        <w:t>3.</w:t>
      </w:r>
      <w:r>
        <w:rPr>
          <w:rFonts w:hint="eastAsia" w:ascii="宋体" w:hAnsi="宋体"/>
          <w:color w:val="auto"/>
          <w:highlight w:val="none"/>
        </w:rPr>
        <w:t>诉讼期间，本合同继续履行。</w:t>
      </w:r>
    </w:p>
    <w:p>
      <w:pPr>
        <w:ind w:firstLine="422"/>
        <w:rPr>
          <w:rFonts w:ascii="宋体" w:hAnsi="宋体"/>
          <w:b/>
          <w:color w:val="auto"/>
          <w:highlight w:val="none"/>
        </w:rPr>
      </w:pPr>
      <w:r>
        <w:rPr>
          <w:rFonts w:hint="eastAsia" w:ascii="宋体" w:hAnsi="宋体"/>
          <w:b/>
          <w:color w:val="auto"/>
          <w:highlight w:val="none"/>
        </w:rPr>
        <w:t>第十一条  合同的变更、终止与转让</w:t>
      </w:r>
    </w:p>
    <w:p>
      <w:pPr>
        <w:ind w:firstLine="420"/>
        <w:rPr>
          <w:rFonts w:ascii="宋体" w:hAnsi="宋体"/>
          <w:color w:val="auto"/>
          <w:highlight w:val="none"/>
        </w:rPr>
      </w:pPr>
      <w:r>
        <w:rPr>
          <w:rFonts w:hint="eastAsia" w:ascii="宋体" w:hAnsi="宋体"/>
          <w:color w:val="auto"/>
          <w:highlight w:val="none"/>
        </w:rPr>
        <w:t>1</w:t>
      </w:r>
      <w:r>
        <w:rPr>
          <w:rFonts w:ascii="宋体" w:hAnsi="宋体"/>
          <w:color w:val="auto"/>
          <w:highlight w:val="none"/>
        </w:rPr>
        <w:t>.</w:t>
      </w:r>
      <w:r>
        <w:rPr>
          <w:rFonts w:hint="eastAsia" w:ascii="宋体" w:hAnsi="宋体"/>
          <w:color w:val="auto"/>
          <w:highlight w:val="none"/>
        </w:rPr>
        <w:t>除《中华人民共和国政府采购法》第五十条规定的情形外，本合同一经签订，甲乙双方不得擅自变更、中止或终止。</w:t>
      </w:r>
    </w:p>
    <w:p>
      <w:pPr>
        <w:ind w:firstLine="420"/>
        <w:rPr>
          <w:rFonts w:ascii="宋体" w:hAnsi="宋体"/>
          <w:color w:val="auto"/>
          <w:highlight w:val="none"/>
        </w:rPr>
      </w:pPr>
      <w:r>
        <w:rPr>
          <w:rFonts w:hint="eastAsia" w:ascii="宋体" w:hAnsi="宋体"/>
          <w:color w:val="auto"/>
          <w:highlight w:val="none"/>
        </w:rPr>
        <w:t>2</w:t>
      </w:r>
      <w:r>
        <w:rPr>
          <w:rFonts w:ascii="宋体" w:hAnsi="宋体"/>
          <w:color w:val="auto"/>
          <w:highlight w:val="none"/>
        </w:rPr>
        <w:t>.</w:t>
      </w:r>
      <w:r>
        <w:rPr>
          <w:rFonts w:hint="eastAsia" w:ascii="宋体" w:hAnsi="宋体"/>
          <w:color w:val="auto"/>
          <w:highlight w:val="none"/>
        </w:rPr>
        <w:t>乙方不得擅自转让其应履行的合同义务。</w:t>
      </w:r>
    </w:p>
    <w:p>
      <w:pPr>
        <w:ind w:firstLine="420"/>
        <w:rPr>
          <w:rFonts w:ascii="宋体" w:hAnsi="宋体"/>
          <w:color w:val="auto"/>
          <w:highlight w:val="none"/>
        </w:rPr>
      </w:pPr>
      <w:r>
        <w:rPr>
          <w:rFonts w:hint="eastAsia" w:ascii="宋体" w:hAnsi="宋体"/>
          <w:color w:val="auto"/>
          <w:highlight w:val="none"/>
        </w:rPr>
        <w:t>3</w:t>
      </w:r>
      <w:r>
        <w:rPr>
          <w:rFonts w:ascii="宋体" w:hAnsi="宋体"/>
          <w:color w:val="auto"/>
          <w:highlight w:val="none"/>
        </w:rPr>
        <w:t>.</w:t>
      </w:r>
      <w:r>
        <w:rPr>
          <w:rFonts w:hint="eastAsia" w:ascii="宋体" w:hAnsi="宋体"/>
          <w:color w:val="auto"/>
          <w:highlight w:val="none"/>
        </w:rPr>
        <w:t>合同执行中涉及采购资金和采购内容修改或补充的，须签书面补充协议。</w:t>
      </w:r>
    </w:p>
    <w:p>
      <w:pPr>
        <w:snapToGrid w:val="0"/>
        <w:spacing w:line="400" w:lineRule="atLeast"/>
        <w:ind w:firstLine="422"/>
        <w:rPr>
          <w:rFonts w:ascii="宋体" w:hAnsi="宋体"/>
          <w:b/>
          <w:bCs/>
          <w:color w:val="auto"/>
          <w:kern w:val="0"/>
          <w:highlight w:val="none"/>
        </w:rPr>
      </w:pPr>
      <w:r>
        <w:rPr>
          <w:rFonts w:hint="eastAsia" w:ascii="宋体" w:hAnsi="宋体"/>
          <w:b/>
          <w:color w:val="auto"/>
          <w:highlight w:val="none"/>
        </w:rPr>
        <w:t>第十二条　</w:t>
      </w:r>
      <w:r>
        <w:rPr>
          <w:rFonts w:hint="eastAsia" w:ascii="宋体" w:hAnsi="宋体"/>
          <w:b/>
          <w:bCs/>
          <w:color w:val="auto"/>
          <w:kern w:val="0"/>
          <w:highlight w:val="none"/>
        </w:rPr>
        <w:t>合同组成及解释</w:t>
      </w:r>
    </w:p>
    <w:p>
      <w:pPr>
        <w:snapToGrid w:val="0"/>
        <w:spacing w:line="400" w:lineRule="atLeast"/>
        <w:ind w:firstLine="420"/>
        <w:rPr>
          <w:rFonts w:ascii="宋体" w:hAnsi="宋体"/>
          <w:color w:val="auto"/>
          <w:kern w:val="0"/>
          <w:highlight w:val="none"/>
        </w:rPr>
      </w:pPr>
      <w:r>
        <w:rPr>
          <w:rFonts w:hint="eastAsia" w:ascii="宋体" w:hAnsi="宋体"/>
          <w:color w:val="auto"/>
          <w:kern w:val="0"/>
          <w:highlight w:val="none"/>
        </w:rPr>
        <w:t>1.本项目的采购文件（含采购答疑）、符合采购要求的竞标文件、甲方确认采购要求、本合同履行过程中双方签章确认的协议或其他文件均为本合同的组成部分，若合同组成文件之间发生矛盾的，以下排列顺序为合同组成文件之间的优先解释顺序：</w:t>
      </w:r>
    </w:p>
    <w:p>
      <w:pPr>
        <w:snapToGrid w:val="0"/>
        <w:spacing w:line="400" w:lineRule="atLeast"/>
        <w:ind w:firstLine="420"/>
        <w:rPr>
          <w:rFonts w:ascii="宋体" w:hAnsi="宋体"/>
          <w:color w:val="auto"/>
          <w:kern w:val="0"/>
          <w:highlight w:val="none"/>
        </w:rPr>
      </w:pPr>
      <w:r>
        <w:rPr>
          <w:rFonts w:hint="eastAsia" w:ascii="宋体" w:hAnsi="宋体"/>
          <w:color w:val="auto"/>
          <w:kern w:val="0"/>
          <w:highlight w:val="none"/>
        </w:rPr>
        <w:t>（1）合同履行过程中双方签章确认的协议或其他文件；</w:t>
      </w:r>
    </w:p>
    <w:p>
      <w:pPr>
        <w:snapToGrid w:val="0"/>
        <w:spacing w:line="400" w:lineRule="atLeast"/>
        <w:ind w:firstLine="420"/>
        <w:rPr>
          <w:rFonts w:ascii="宋体" w:hAnsi="宋体"/>
          <w:color w:val="auto"/>
          <w:kern w:val="0"/>
          <w:highlight w:val="none"/>
        </w:rPr>
      </w:pPr>
      <w:r>
        <w:rPr>
          <w:rFonts w:hint="eastAsia" w:ascii="宋体" w:hAnsi="宋体"/>
          <w:color w:val="auto"/>
          <w:kern w:val="0"/>
          <w:highlight w:val="none"/>
        </w:rPr>
        <w:t>（2）甲方确认的采购要求；</w:t>
      </w:r>
    </w:p>
    <w:p>
      <w:pPr>
        <w:snapToGrid w:val="0"/>
        <w:spacing w:line="400" w:lineRule="atLeast"/>
        <w:ind w:firstLine="420"/>
        <w:rPr>
          <w:rFonts w:ascii="宋体" w:hAnsi="宋体"/>
          <w:color w:val="auto"/>
          <w:kern w:val="0"/>
          <w:highlight w:val="none"/>
        </w:rPr>
      </w:pPr>
      <w:r>
        <w:rPr>
          <w:rFonts w:hint="eastAsia" w:ascii="宋体" w:hAnsi="宋体"/>
          <w:color w:val="auto"/>
          <w:kern w:val="0"/>
          <w:highlight w:val="none"/>
        </w:rPr>
        <w:t>（3）合同附件；</w:t>
      </w:r>
    </w:p>
    <w:p>
      <w:pPr>
        <w:snapToGrid w:val="0"/>
        <w:spacing w:line="400" w:lineRule="atLeast"/>
        <w:ind w:firstLine="420"/>
        <w:rPr>
          <w:rFonts w:ascii="宋体" w:hAnsi="宋体"/>
          <w:color w:val="auto"/>
          <w:kern w:val="0"/>
          <w:highlight w:val="none"/>
        </w:rPr>
      </w:pPr>
      <w:r>
        <w:rPr>
          <w:rFonts w:hint="eastAsia" w:ascii="宋体" w:hAnsi="宋体"/>
          <w:color w:val="auto"/>
          <w:kern w:val="0"/>
          <w:highlight w:val="none"/>
        </w:rPr>
        <w:t>（4）中标或成交通知书；</w:t>
      </w:r>
    </w:p>
    <w:p>
      <w:pPr>
        <w:snapToGrid w:val="0"/>
        <w:spacing w:line="400" w:lineRule="atLeast"/>
        <w:ind w:firstLine="420"/>
        <w:rPr>
          <w:rFonts w:ascii="宋体" w:hAnsi="宋体"/>
          <w:color w:val="auto"/>
          <w:kern w:val="0"/>
          <w:highlight w:val="none"/>
        </w:rPr>
      </w:pPr>
      <w:r>
        <w:rPr>
          <w:rFonts w:hint="eastAsia" w:ascii="宋体" w:hAnsi="宋体"/>
          <w:color w:val="auto"/>
          <w:kern w:val="0"/>
          <w:highlight w:val="none"/>
        </w:rPr>
        <w:t>（5）采购文件(含答疑)；</w:t>
      </w:r>
    </w:p>
    <w:p>
      <w:pPr>
        <w:snapToGrid w:val="0"/>
        <w:spacing w:line="400" w:lineRule="atLeast"/>
        <w:ind w:firstLine="420"/>
        <w:rPr>
          <w:rFonts w:ascii="宋体" w:hAnsi="宋体"/>
          <w:color w:val="auto"/>
          <w:kern w:val="0"/>
          <w:highlight w:val="none"/>
        </w:rPr>
      </w:pPr>
      <w:r>
        <w:rPr>
          <w:rFonts w:hint="eastAsia" w:ascii="宋体" w:hAnsi="宋体"/>
          <w:color w:val="auto"/>
          <w:kern w:val="0"/>
          <w:highlight w:val="none"/>
        </w:rPr>
        <w:t>（6）符合采购要求的投标文件；</w:t>
      </w:r>
    </w:p>
    <w:p>
      <w:pPr>
        <w:snapToGrid w:val="0"/>
        <w:spacing w:line="400" w:lineRule="atLeast"/>
        <w:ind w:firstLine="420"/>
        <w:rPr>
          <w:rFonts w:ascii="宋体" w:hAnsi="宋体"/>
          <w:color w:val="auto"/>
          <w:kern w:val="0"/>
          <w:highlight w:val="none"/>
        </w:rPr>
      </w:pPr>
      <w:r>
        <w:rPr>
          <w:rFonts w:hint="eastAsia" w:ascii="宋体" w:hAnsi="宋体"/>
          <w:color w:val="auto"/>
          <w:kern w:val="0"/>
          <w:highlight w:val="none"/>
        </w:rPr>
        <w:t>（7）标准、规范及有关技术文件；</w:t>
      </w:r>
    </w:p>
    <w:p>
      <w:pPr>
        <w:snapToGrid w:val="0"/>
        <w:spacing w:line="400" w:lineRule="atLeast"/>
        <w:ind w:firstLine="420"/>
        <w:rPr>
          <w:rFonts w:ascii="宋体" w:hAnsi="宋体"/>
          <w:color w:val="auto"/>
          <w:kern w:val="0"/>
          <w:highlight w:val="none"/>
        </w:rPr>
      </w:pPr>
      <w:r>
        <w:rPr>
          <w:rFonts w:hint="eastAsia" w:ascii="宋体" w:hAnsi="宋体"/>
          <w:color w:val="auto"/>
          <w:kern w:val="0"/>
          <w:highlight w:val="none"/>
        </w:rPr>
        <w:t>（8）其他合同文件。</w:t>
      </w:r>
    </w:p>
    <w:p>
      <w:pPr>
        <w:snapToGrid w:val="0"/>
        <w:spacing w:line="400" w:lineRule="atLeast"/>
        <w:ind w:firstLine="420"/>
        <w:rPr>
          <w:rFonts w:ascii="宋体" w:hAnsi="宋体"/>
          <w:color w:val="auto"/>
          <w:kern w:val="0"/>
          <w:highlight w:val="none"/>
        </w:rPr>
      </w:pPr>
      <w:r>
        <w:rPr>
          <w:rFonts w:hint="eastAsia" w:ascii="宋体" w:hAnsi="宋体"/>
          <w:color w:val="auto"/>
          <w:kern w:val="0"/>
          <w:highlight w:val="none"/>
        </w:rPr>
        <w:t>2.前述文件应认为是互为补充和解释的，但如有互相矛盾之处，以前述文件所列顺序作为其优先解释的顺序，但如果某一文件对甲方权利维护更有利或对设计工作有更高、更严格要求的以该文件内容为准。</w:t>
      </w:r>
    </w:p>
    <w:p>
      <w:pPr>
        <w:ind w:firstLine="420"/>
        <w:rPr>
          <w:rFonts w:ascii="宋体" w:hAnsi="宋体"/>
          <w:color w:val="auto"/>
          <w:kern w:val="0"/>
          <w:highlight w:val="none"/>
        </w:rPr>
      </w:pPr>
      <w:r>
        <w:rPr>
          <w:rFonts w:hint="eastAsia" w:ascii="宋体" w:hAnsi="宋体"/>
          <w:color w:val="auto"/>
          <w:kern w:val="0"/>
          <w:highlight w:val="none"/>
        </w:rPr>
        <w:t>3.前述各项文件包括双方就该合同组成文件所作出的补充和修改，属于同一项文件的，应以最新签署的为准。</w:t>
      </w:r>
    </w:p>
    <w:p>
      <w:pPr>
        <w:snapToGrid w:val="0"/>
        <w:spacing w:line="400" w:lineRule="atLeast"/>
        <w:ind w:firstLine="422"/>
        <w:rPr>
          <w:rFonts w:ascii="宋体" w:hAnsi="宋体"/>
          <w:bCs/>
          <w:color w:val="auto"/>
          <w:highlight w:val="none"/>
        </w:rPr>
      </w:pPr>
      <w:r>
        <w:rPr>
          <w:rFonts w:hint="eastAsia" w:ascii="宋体" w:hAnsi="宋体"/>
          <w:b/>
          <w:color w:val="auto"/>
          <w:highlight w:val="none"/>
        </w:rPr>
        <w:t>第十三条　通知与送达</w:t>
      </w:r>
    </w:p>
    <w:p>
      <w:pPr>
        <w:ind w:firstLine="420"/>
        <w:rPr>
          <w:rFonts w:ascii="宋体" w:hAnsi="宋体"/>
          <w:color w:val="auto"/>
          <w:highlight w:val="none"/>
        </w:rPr>
      </w:pPr>
      <w:r>
        <w:rPr>
          <w:rFonts w:ascii="宋体" w:hAnsi="宋体"/>
          <w:color w:val="auto"/>
          <w:highlight w:val="none"/>
        </w:rPr>
        <w:t>1.</w:t>
      </w:r>
      <w:r>
        <w:rPr>
          <w:rFonts w:hint="eastAsia" w:ascii="宋体" w:hAnsi="宋体"/>
          <w:color w:val="auto"/>
          <w:highlight w:val="none"/>
        </w:rPr>
        <w:t>双方确认，以下为各方真实有效通讯地址：</w:t>
      </w:r>
    </w:p>
    <w:p>
      <w:pPr>
        <w:ind w:firstLine="420"/>
        <w:rPr>
          <w:rFonts w:ascii="宋体" w:hAnsi="宋体"/>
          <w:color w:val="auto"/>
          <w:highlight w:val="none"/>
        </w:rPr>
      </w:pPr>
      <w:r>
        <w:rPr>
          <w:rFonts w:hint="eastAsia" w:ascii="宋体" w:hAnsi="宋体"/>
          <w:color w:val="auto"/>
          <w:highlight w:val="none"/>
        </w:rPr>
        <w:t>甲方：</w:t>
      </w:r>
      <w:r>
        <w:rPr>
          <w:rFonts w:hint="eastAsia" w:ascii="宋体" w:hAnsi="宋体"/>
          <w:color w:val="auto"/>
          <w:highlight w:val="none"/>
          <w:u w:val="single"/>
        </w:rPr>
        <w:t xml:space="preserve">                           </w:t>
      </w:r>
      <w:r>
        <w:rPr>
          <w:rFonts w:hint="eastAsia" w:ascii="宋体" w:hAnsi="宋体"/>
          <w:color w:val="auto"/>
          <w:highlight w:val="none"/>
        </w:rPr>
        <w:t>，地址：</w:t>
      </w:r>
      <w:r>
        <w:rPr>
          <w:rFonts w:hint="eastAsia" w:ascii="宋体" w:hAnsi="宋体"/>
          <w:color w:val="auto"/>
          <w:highlight w:val="none"/>
          <w:u w:val="single"/>
        </w:rPr>
        <w:t xml:space="preserve">                                </w:t>
      </w:r>
      <w:r>
        <w:rPr>
          <w:rFonts w:hint="eastAsia" w:ascii="宋体" w:hAnsi="宋体"/>
          <w:color w:val="auto"/>
          <w:highlight w:val="none"/>
        </w:rPr>
        <w:t>，收件人：</w:t>
      </w:r>
      <w:r>
        <w:rPr>
          <w:rFonts w:hint="eastAsia" w:ascii="宋体" w:hAnsi="宋体"/>
          <w:color w:val="auto"/>
          <w:highlight w:val="none"/>
          <w:u w:val="single"/>
        </w:rPr>
        <w:t xml:space="preserve"> </w:t>
      </w:r>
      <w:r>
        <w:rPr>
          <w:rFonts w:ascii="宋体" w:hAnsi="宋体"/>
          <w:color w:val="auto"/>
          <w:highlight w:val="none"/>
          <w:u w:val="single"/>
        </w:rPr>
        <w:t xml:space="preserve">    </w:t>
      </w:r>
      <w:r>
        <w:rPr>
          <w:rFonts w:hint="eastAsia" w:ascii="宋体" w:hAnsi="宋体"/>
          <w:color w:val="auto"/>
          <w:highlight w:val="none"/>
        </w:rPr>
        <w:t>，联系电话：</w:t>
      </w:r>
      <w:r>
        <w:rPr>
          <w:rFonts w:ascii="宋体" w:hAnsi="宋体"/>
          <w:color w:val="auto"/>
          <w:highlight w:val="none"/>
          <w:u w:val="single"/>
        </w:rPr>
        <w:t xml:space="preserve">          </w:t>
      </w:r>
      <w:r>
        <w:rPr>
          <w:rFonts w:hint="eastAsia" w:ascii="宋体" w:hAnsi="宋体"/>
          <w:color w:val="auto"/>
          <w:highlight w:val="none"/>
        </w:rPr>
        <w:t>。</w:t>
      </w:r>
    </w:p>
    <w:p>
      <w:pPr>
        <w:ind w:firstLine="420"/>
        <w:rPr>
          <w:rFonts w:ascii="宋体" w:hAnsi="宋体"/>
          <w:color w:val="auto"/>
          <w:highlight w:val="none"/>
        </w:rPr>
      </w:pPr>
      <w:r>
        <w:rPr>
          <w:rFonts w:hint="eastAsia" w:ascii="宋体" w:hAnsi="宋体"/>
          <w:color w:val="auto"/>
          <w:highlight w:val="none"/>
        </w:rPr>
        <w:t>乙方：</w:t>
      </w:r>
      <w:r>
        <w:rPr>
          <w:rFonts w:hint="eastAsia" w:ascii="宋体" w:hAnsi="宋体"/>
          <w:color w:val="auto"/>
          <w:highlight w:val="none"/>
          <w:u w:val="single"/>
        </w:rPr>
        <w:t xml:space="preserve">       </w:t>
      </w:r>
      <w:r>
        <w:rPr>
          <w:rFonts w:hint="eastAsia" w:ascii="宋体" w:hAnsi="宋体"/>
          <w:color w:val="auto"/>
          <w:highlight w:val="none"/>
        </w:rPr>
        <w:t>，地址：</w:t>
      </w:r>
      <w:r>
        <w:rPr>
          <w:rFonts w:hint="eastAsia" w:ascii="宋体" w:hAnsi="宋体"/>
          <w:color w:val="auto"/>
          <w:highlight w:val="none"/>
          <w:u w:val="single"/>
        </w:rPr>
        <w:t xml:space="preserve">          </w:t>
      </w:r>
      <w:r>
        <w:rPr>
          <w:rFonts w:hint="eastAsia" w:ascii="宋体" w:hAnsi="宋体"/>
          <w:color w:val="auto"/>
          <w:highlight w:val="none"/>
        </w:rPr>
        <w:t>，收件人：</w:t>
      </w:r>
      <w:r>
        <w:rPr>
          <w:rFonts w:hint="eastAsia" w:ascii="宋体" w:hAnsi="宋体"/>
          <w:color w:val="auto"/>
          <w:highlight w:val="none"/>
          <w:u w:val="single"/>
        </w:rPr>
        <w:t xml:space="preserve">          </w:t>
      </w:r>
      <w:r>
        <w:rPr>
          <w:rFonts w:hint="eastAsia" w:ascii="宋体" w:hAnsi="宋体"/>
          <w:color w:val="auto"/>
          <w:highlight w:val="none"/>
        </w:rPr>
        <w:t>，联系电话：</w:t>
      </w:r>
      <w:r>
        <w:rPr>
          <w:rFonts w:hint="eastAsia" w:ascii="宋体" w:hAnsi="宋体"/>
          <w:color w:val="auto"/>
          <w:highlight w:val="none"/>
          <w:u w:val="single"/>
        </w:rPr>
        <w:t xml:space="preserve">          </w:t>
      </w:r>
      <w:r>
        <w:rPr>
          <w:rFonts w:hint="eastAsia" w:ascii="宋体" w:hAnsi="宋体"/>
          <w:color w:val="auto"/>
          <w:highlight w:val="none"/>
        </w:rPr>
        <w:t>。</w:t>
      </w:r>
    </w:p>
    <w:p>
      <w:pPr>
        <w:snapToGrid w:val="0"/>
        <w:spacing w:line="400" w:lineRule="atLeast"/>
        <w:ind w:firstLine="420"/>
        <w:rPr>
          <w:rFonts w:ascii="宋体" w:hAnsi="宋体"/>
          <w:color w:val="auto"/>
          <w:highlight w:val="none"/>
        </w:rPr>
      </w:pPr>
      <w:r>
        <w:rPr>
          <w:rFonts w:hint="eastAsia" w:ascii="宋体" w:hAnsi="宋体"/>
          <w:color w:val="auto"/>
          <w:highlight w:val="none"/>
        </w:rPr>
        <w:t>2</w:t>
      </w:r>
      <w:r>
        <w:rPr>
          <w:rFonts w:ascii="宋体" w:hAnsi="宋体"/>
          <w:color w:val="auto"/>
          <w:highlight w:val="none"/>
        </w:rPr>
        <w:t>.</w:t>
      </w:r>
      <w:r>
        <w:rPr>
          <w:rFonts w:hint="eastAsia" w:ascii="宋体" w:hAnsi="宋体"/>
          <w:color w:val="auto"/>
          <w:highlight w:val="none"/>
        </w:rPr>
        <w:t>一方向对方发出的任何通知、信函和文件，以挂号信函或快递信函方式向对方地址邮寄有关通知、信函和文件的，自发出之日起第三日视为送达对方，挂号信函或快递信函的邮寄凭证即视为成功送达的有效凭证。一方地址变更的，</w:t>
      </w:r>
      <w:r>
        <w:rPr>
          <w:rFonts w:hint="eastAsia" w:ascii="宋体" w:hAnsi="宋体"/>
          <w:bCs/>
          <w:color w:val="auto"/>
          <w:highlight w:val="none"/>
        </w:rPr>
        <w:t>应当在变更后3日内及时书面通知对方当事人，</w:t>
      </w:r>
      <w:r>
        <w:rPr>
          <w:rFonts w:hint="eastAsia" w:ascii="宋体" w:hAnsi="宋体"/>
          <w:color w:val="auto"/>
          <w:highlight w:val="none"/>
        </w:rPr>
        <w:t>否则上述地址仍为真实有效通讯地址；</w:t>
      </w:r>
      <w:r>
        <w:rPr>
          <w:rFonts w:hint="eastAsia" w:ascii="宋体" w:hAnsi="宋体"/>
          <w:bCs/>
          <w:color w:val="auto"/>
          <w:highlight w:val="none"/>
        </w:rPr>
        <w:t>对方当事人实际收到变更通知前的送达仍为有效送达。</w:t>
      </w:r>
      <w:r>
        <w:rPr>
          <w:rFonts w:hint="eastAsia" w:ascii="宋体" w:hAnsi="宋体"/>
          <w:color w:val="auto"/>
          <w:highlight w:val="none"/>
        </w:rPr>
        <w:t>若为提交的，自对方签收时视为送达对方。</w:t>
      </w:r>
    </w:p>
    <w:p>
      <w:pPr>
        <w:snapToGrid w:val="0"/>
        <w:spacing w:line="400" w:lineRule="atLeast"/>
        <w:ind w:firstLine="420"/>
        <w:rPr>
          <w:rFonts w:ascii="宋体" w:hAnsi="宋体"/>
          <w:bCs/>
          <w:color w:val="auto"/>
          <w:highlight w:val="none"/>
        </w:rPr>
      </w:pPr>
      <w:r>
        <w:rPr>
          <w:rFonts w:hint="eastAsia" w:ascii="宋体" w:hAnsi="宋体"/>
          <w:bCs/>
          <w:color w:val="auto"/>
          <w:highlight w:val="none"/>
        </w:rPr>
        <w:t>3</w:t>
      </w:r>
      <w:r>
        <w:rPr>
          <w:rFonts w:ascii="宋体" w:hAnsi="宋体"/>
          <w:bCs/>
          <w:color w:val="auto"/>
          <w:highlight w:val="none"/>
        </w:rPr>
        <w:t>.</w:t>
      </w:r>
      <w:r>
        <w:rPr>
          <w:rFonts w:hint="eastAsia" w:ascii="宋体" w:hAnsi="宋体"/>
          <w:bCs/>
          <w:color w:val="auto"/>
          <w:highlight w:val="none"/>
        </w:rPr>
        <w:t>若送达日为非工作日,则视为在下一工作日送达。</w:t>
      </w:r>
    </w:p>
    <w:p>
      <w:pPr>
        <w:ind w:firstLine="422"/>
        <w:rPr>
          <w:rFonts w:ascii="宋体" w:hAnsi="宋体"/>
          <w:b/>
          <w:color w:val="auto"/>
          <w:highlight w:val="none"/>
        </w:rPr>
      </w:pPr>
      <w:r>
        <w:rPr>
          <w:rFonts w:hint="eastAsia" w:ascii="宋体" w:hAnsi="宋体"/>
          <w:b/>
          <w:color w:val="auto"/>
          <w:highlight w:val="none"/>
        </w:rPr>
        <w:t>第十四条  合同生效及其它</w:t>
      </w:r>
    </w:p>
    <w:p>
      <w:pPr>
        <w:ind w:firstLine="420"/>
        <w:rPr>
          <w:rFonts w:ascii="宋体" w:hAnsi="宋体"/>
          <w:color w:val="auto"/>
          <w:highlight w:val="none"/>
        </w:rPr>
      </w:pPr>
      <w:r>
        <w:rPr>
          <w:rFonts w:hint="eastAsia" w:ascii="宋体" w:hAnsi="宋体"/>
          <w:color w:val="auto"/>
          <w:highlight w:val="none"/>
        </w:rPr>
        <w:t>1</w:t>
      </w:r>
      <w:r>
        <w:rPr>
          <w:rFonts w:ascii="宋体" w:hAnsi="宋体"/>
          <w:color w:val="auto"/>
          <w:highlight w:val="none"/>
        </w:rPr>
        <w:t>.</w:t>
      </w:r>
      <w:r>
        <w:rPr>
          <w:rFonts w:hint="eastAsia" w:ascii="宋体" w:hAnsi="宋体"/>
          <w:color w:val="auto"/>
          <w:highlight w:val="none"/>
        </w:rPr>
        <w:t>合同经双方法定代表人</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负责人</w:t>
      </w:r>
      <w:r>
        <w:rPr>
          <w:rFonts w:hint="eastAsia" w:ascii="宋体" w:hAnsi="宋体"/>
          <w:color w:val="auto"/>
          <w:szCs w:val="21"/>
          <w:highlight w:val="none"/>
          <w:lang w:eastAsia="zh-CN"/>
        </w:rPr>
        <w:t>）</w:t>
      </w:r>
      <w:r>
        <w:rPr>
          <w:rFonts w:hint="eastAsia" w:ascii="宋体" w:hAnsi="宋体"/>
          <w:color w:val="auto"/>
          <w:highlight w:val="none"/>
        </w:rPr>
        <w:t>或授权代表签字并加盖单位公章后生效。</w:t>
      </w:r>
    </w:p>
    <w:p>
      <w:pPr>
        <w:ind w:firstLine="420"/>
        <w:rPr>
          <w:rFonts w:ascii="宋体" w:hAnsi="宋体"/>
          <w:color w:val="auto"/>
          <w:highlight w:val="none"/>
        </w:rPr>
      </w:pPr>
      <w:r>
        <w:rPr>
          <w:rFonts w:hint="eastAsia" w:ascii="宋体" w:hAnsi="宋体"/>
          <w:color w:val="auto"/>
          <w:highlight w:val="none"/>
        </w:rPr>
        <w:t>2</w:t>
      </w:r>
      <w:r>
        <w:rPr>
          <w:rFonts w:ascii="宋体" w:hAnsi="宋体"/>
          <w:color w:val="auto"/>
          <w:highlight w:val="none"/>
        </w:rPr>
        <w:t>.</w:t>
      </w:r>
      <w:r>
        <w:rPr>
          <w:rFonts w:hint="eastAsia" w:ascii="宋体" w:hAnsi="宋体"/>
          <w:color w:val="auto"/>
          <w:highlight w:val="none"/>
        </w:rPr>
        <w:t>本合同未尽事宜，遵照《中华人民共和国民法典》有关条文执行。</w:t>
      </w:r>
    </w:p>
    <w:p>
      <w:pPr>
        <w:ind w:firstLine="420"/>
        <w:rPr>
          <w:rFonts w:ascii="宋体" w:hAnsi="宋体"/>
          <w:color w:val="auto"/>
          <w:highlight w:val="none"/>
        </w:rPr>
      </w:pPr>
      <w:r>
        <w:rPr>
          <w:rFonts w:hint="eastAsia" w:ascii="宋体" w:hAnsi="宋体"/>
          <w:color w:val="auto"/>
          <w:highlight w:val="none"/>
        </w:rPr>
        <w:t>3</w:t>
      </w:r>
      <w:r>
        <w:rPr>
          <w:rFonts w:ascii="宋体" w:hAnsi="宋体"/>
          <w:color w:val="auto"/>
          <w:highlight w:val="none"/>
        </w:rPr>
        <w:t>.</w:t>
      </w:r>
      <w:r>
        <w:rPr>
          <w:rFonts w:hint="eastAsia" w:ascii="宋体" w:hAnsi="宋体"/>
          <w:color w:val="auto"/>
          <w:highlight w:val="none"/>
        </w:rPr>
        <w:t>本合同一式六份，具有同等法律效力，甲方三份，乙方二份，采购代理机构一份。</w:t>
      </w:r>
      <w:r>
        <w:rPr>
          <w:rFonts w:hint="eastAsia" w:ascii="宋体" w:hAnsi="宋体" w:cs="宋体"/>
          <w:color w:val="auto"/>
          <w:highlight w:val="none"/>
        </w:rPr>
        <w:t>本合同自签订之日起2个工作日内，甲方应当将采购合同在广西壮族自治区财政厅指定的媒体上公告。</w:t>
      </w:r>
    </w:p>
    <w:p>
      <w:pPr>
        <w:snapToGrid w:val="0"/>
        <w:spacing w:line="360" w:lineRule="atLeast"/>
        <w:ind w:firstLine="420"/>
        <w:rPr>
          <w:rFonts w:ascii="宋体" w:hAnsi="宋体"/>
          <w:color w:val="auto"/>
          <w:highlight w:val="none"/>
        </w:rPr>
      </w:pP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69"/>
        <w:gridCol w:w="5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2500" w:type="pct"/>
            <w:tcBorders>
              <w:top w:val="single" w:color="auto" w:sz="4" w:space="0"/>
              <w:left w:val="single" w:color="auto" w:sz="4" w:space="0"/>
              <w:bottom w:val="single" w:color="auto" w:sz="4" w:space="0"/>
              <w:right w:val="single" w:color="auto" w:sz="4" w:space="0"/>
            </w:tcBorders>
            <w:noWrap/>
            <w:vAlign w:val="center"/>
          </w:tcPr>
          <w:p>
            <w:pPr>
              <w:snapToGrid w:val="0"/>
              <w:spacing w:line="360" w:lineRule="atLeast"/>
              <w:ind w:firstLine="420"/>
              <w:rPr>
                <w:rFonts w:ascii="宋体" w:hAnsi="宋体"/>
                <w:color w:val="auto"/>
                <w:highlight w:val="none"/>
              </w:rPr>
            </w:pPr>
            <w:r>
              <w:rPr>
                <w:rFonts w:hint="eastAsia" w:ascii="宋体" w:hAnsi="宋体"/>
                <w:color w:val="auto"/>
                <w:highlight w:val="none"/>
              </w:rPr>
              <w:t xml:space="preserve">甲方（章）           </w:t>
            </w:r>
          </w:p>
          <w:p>
            <w:pPr>
              <w:snapToGrid w:val="0"/>
              <w:spacing w:line="360" w:lineRule="atLeast"/>
              <w:ind w:firstLine="420"/>
              <w:rPr>
                <w:rFonts w:ascii="宋体" w:hAnsi="宋体"/>
                <w:color w:val="auto"/>
                <w:highlight w:val="none"/>
              </w:rPr>
            </w:pPr>
          </w:p>
          <w:p>
            <w:pPr>
              <w:snapToGrid w:val="0"/>
              <w:spacing w:line="360" w:lineRule="atLeast"/>
              <w:ind w:firstLine="945" w:firstLineChars="450"/>
              <w:jc w:val="right"/>
              <w:rPr>
                <w:rFonts w:ascii="宋体" w:hAnsi="宋体"/>
                <w:color w:val="auto"/>
                <w:highlight w:val="none"/>
              </w:rPr>
            </w:pPr>
            <w:r>
              <w:rPr>
                <w:rFonts w:hint="eastAsia" w:ascii="宋体" w:hAnsi="宋体"/>
                <w:color w:val="auto"/>
                <w:highlight w:val="none"/>
              </w:rPr>
              <w:t>年   月   日</w:t>
            </w:r>
          </w:p>
        </w:tc>
        <w:tc>
          <w:tcPr>
            <w:tcW w:w="2500" w:type="pct"/>
            <w:tcBorders>
              <w:top w:val="single" w:color="auto" w:sz="4" w:space="0"/>
              <w:left w:val="single" w:color="auto" w:sz="4" w:space="0"/>
              <w:bottom w:val="single" w:color="auto" w:sz="4" w:space="0"/>
              <w:right w:val="single" w:color="auto" w:sz="4" w:space="0"/>
            </w:tcBorders>
            <w:noWrap/>
            <w:vAlign w:val="center"/>
          </w:tcPr>
          <w:p>
            <w:pPr>
              <w:snapToGrid w:val="0"/>
              <w:spacing w:line="360" w:lineRule="atLeast"/>
              <w:ind w:firstLine="420"/>
              <w:rPr>
                <w:rFonts w:ascii="宋体" w:hAnsi="宋体"/>
                <w:color w:val="auto"/>
                <w:highlight w:val="none"/>
              </w:rPr>
            </w:pPr>
            <w:r>
              <w:rPr>
                <w:rFonts w:hint="eastAsia" w:ascii="宋体" w:hAnsi="宋体"/>
                <w:color w:val="auto"/>
                <w:highlight w:val="none"/>
              </w:rPr>
              <w:t xml:space="preserve">乙方（章）              </w:t>
            </w:r>
          </w:p>
          <w:p>
            <w:pPr>
              <w:snapToGrid w:val="0"/>
              <w:spacing w:line="360" w:lineRule="atLeast"/>
              <w:ind w:firstLine="420"/>
              <w:rPr>
                <w:rFonts w:ascii="宋体" w:hAnsi="宋体"/>
                <w:color w:val="auto"/>
                <w:highlight w:val="none"/>
              </w:rPr>
            </w:pPr>
          </w:p>
          <w:p>
            <w:pPr>
              <w:snapToGrid w:val="0"/>
              <w:spacing w:line="360" w:lineRule="atLeast"/>
              <w:ind w:firstLine="420"/>
              <w:jc w:val="right"/>
              <w:rPr>
                <w:rFonts w:ascii="宋体" w:hAnsi="宋体"/>
                <w:color w:val="auto"/>
                <w:highlight w:val="none"/>
              </w:rPr>
            </w:pPr>
            <w:r>
              <w:rPr>
                <w:rFonts w:hint="eastAsia" w:ascii="宋体" w:hAnsi="宋体"/>
                <w:color w:val="auto"/>
                <w:highlight w:val="none"/>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tcBorders>
              <w:top w:val="single" w:color="auto" w:sz="4" w:space="0"/>
              <w:left w:val="single" w:color="auto" w:sz="4" w:space="0"/>
              <w:bottom w:val="single" w:color="auto" w:sz="4" w:space="0"/>
              <w:right w:val="single" w:color="auto" w:sz="4" w:space="0"/>
            </w:tcBorders>
            <w:noWrap/>
            <w:vAlign w:val="center"/>
          </w:tcPr>
          <w:p>
            <w:pPr>
              <w:snapToGrid w:val="0"/>
              <w:spacing w:line="360" w:lineRule="atLeast"/>
              <w:ind w:firstLine="420"/>
              <w:rPr>
                <w:rFonts w:ascii="宋体" w:hAnsi="宋体"/>
                <w:color w:val="auto"/>
                <w:highlight w:val="none"/>
              </w:rPr>
            </w:pPr>
            <w:r>
              <w:rPr>
                <w:rFonts w:hint="eastAsia" w:ascii="宋体" w:hAnsi="宋体"/>
                <w:color w:val="auto"/>
                <w:highlight w:val="none"/>
              </w:rPr>
              <w:t>单位地址：</w:t>
            </w:r>
          </w:p>
        </w:tc>
        <w:tc>
          <w:tcPr>
            <w:tcW w:w="2500" w:type="pct"/>
            <w:tcBorders>
              <w:top w:val="single" w:color="auto" w:sz="4" w:space="0"/>
              <w:left w:val="single" w:color="auto" w:sz="4" w:space="0"/>
              <w:bottom w:val="single" w:color="auto" w:sz="4" w:space="0"/>
              <w:right w:val="single" w:color="auto" w:sz="4" w:space="0"/>
            </w:tcBorders>
            <w:noWrap/>
            <w:vAlign w:val="center"/>
          </w:tcPr>
          <w:p>
            <w:pPr>
              <w:snapToGrid w:val="0"/>
              <w:spacing w:line="360" w:lineRule="atLeast"/>
              <w:ind w:firstLine="420"/>
              <w:rPr>
                <w:rFonts w:ascii="宋体" w:hAnsi="宋体"/>
                <w:color w:val="auto"/>
                <w:highlight w:val="none"/>
              </w:rPr>
            </w:pPr>
            <w:r>
              <w:rPr>
                <w:rFonts w:hint="eastAsia" w:ascii="宋体" w:hAnsi="宋体"/>
                <w:color w:val="auto"/>
                <w:highlight w:val="none"/>
              </w:rPr>
              <w:t>单位地址：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tcBorders>
              <w:top w:val="single" w:color="auto" w:sz="4" w:space="0"/>
              <w:left w:val="single" w:color="auto" w:sz="4" w:space="0"/>
              <w:bottom w:val="single" w:color="auto" w:sz="4" w:space="0"/>
              <w:right w:val="single" w:color="auto" w:sz="4" w:space="0"/>
            </w:tcBorders>
            <w:noWrap/>
            <w:vAlign w:val="center"/>
          </w:tcPr>
          <w:p>
            <w:pPr>
              <w:snapToGrid w:val="0"/>
              <w:spacing w:line="360" w:lineRule="atLeast"/>
              <w:ind w:firstLine="420"/>
              <w:rPr>
                <w:rFonts w:ascii="宋体" w:hAnsi="宋体"/>
                <w:color w:val="auto"/>
                <w:highlight w:val="none"/>
              </w:rPr>
            </w:pPr>
            <w:r>
              <w:rPr>
                <w:rFonts w:hint="eastAsia" w:ascii="宋体" w:hAnsi="宋体"/>
                <w:color w:val="auto"/>
                <w:highlight w:val="none"/>
              </w:rPr>
              <w:t>法定代表人</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负责人</w:t>
            </w:r>
            <w:r>
              <w:rPr>
                <w:rFonts w:hint="eastAsia" w:ascii="宋体" w:hAnsi="宋体"/>
                <w:color w:val="auto"/>
                <w:szCs w:val="21"/>
                <w:highlight w:val="none"/>
                <w:lang w:eastAsia="zh-CN"/>
              </w:rPr>
              <w:t>）</w:t>
            </w:r>
            <w:r>
              <w:rPr>
                <w:rFonts w:hint="eastAsia" w:ascii="宋体" w:hAnsi="宋体"/>
                <w:color w:val="auto"/>
                <w:highlight w:val="none"/>
              </w:rPr>
              <w:t>：</w:t>
            </w:r>
          </w:p>
        </w:tc>
        <w:tc>
          <w:tcPr>
            <w:tcW w:w="2500" w:type="pct"/>
            <w:tcBorders>
              <w:top w:val="single" w:color="auto" w:sz="4" w:space="0"/>
              <w:left w:val="single" w:color="auto" w:sz="4" w:space="0"/>
              <w:bottom w:val="single" w:color="auto" w:sz="4" w:space="0"/>
              <w:right w:val="single" w:color="auto" w:sz="4" w:space="0"/>
            </w:tcBorders>
            <w:noWrap/>
            <w:vAlign w:val="center"/>
          </w:tcPr>
          <w:p>
            <w:pPr>
              <w:snapToGrid w:val="0"/>
              <w:spacing w:line="360" w:lineRule="atLeast"/>
              <w:ind w:firstLine="420"/>
              <w:rPr>
                <w:rFonts w:ascii="宋体" w:hAnsi="宋体"/>
                <w:color w:val="auto"/>
                <w:highlight w:val="none"/>
              </w:rPr>
            </w:pPr>
            <w:r>
              <w:rPr>
                <w:rFonts w:hint="eastAsia" w:ascii="宋体" w:hAnsi="宋体"/>
                <w:color w:val="auto"/>
                <w:highlight w:val="none"/>
              </w:rPr>
              <w:t>法定代表人</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负责人</w:t>
            </w:r>
            <w:r>
              <w:rPr>
                <w:rFonts w:hint="eastAsia" w:ascii="宋体" w:hAnsi="宋体"/>
                <w:color w:val="auto"/>
                <w:szCs w:val="21"/>
                <w:highlight w:val="none"/>
                <w:lang w:eastAsia="zh-CN"/>
              </w:rPr>
              <w:t>）</w:t>
            </w:r>
            <w:r>
              <w:rPr>
                <w:rFonts w:hint="eastAsia" w:ascii="宋体" w:hAnsi="宋体"/>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tcBorders>
              <w:top w:val="single" w:color="auto" w:sz="4" w:space="0"/>
              <w:left w:val="single" w:color="auto" w:sz="4" w:space="0"/>
              <w:bottom w:val="single" w:color="auto" w:sz="4" w:space="0"/>
              <w:right w:val="single" w:color="auto" w:sz="4" w:space="0"/>
            </w:tcBorders>
            <w:noWrap/>
            <w:vAlign w:val="center"/>
          </w:tcPr>
          <w:p>
            <w:pPr>
              <w:snapToGrid w:val="0"/>
              <w:spacing w:line="360" w:lineRule="atLeast"/>
              <w:ind w:firstLine="420"/>
              <w:rPr>
                <w:rFonts w:ascii="宋体" w:hAnsi="宋体"/>
                <w:color w:val="auto"/>
                <w:highlight w:val="none"/>
              </w:rPr>
            </w:pPr>
            <w:r>
              <w:rPr>
                <w:rFonts w:hint="eastAsia" w:ascii="宋体" w:hAnsi="宋体"/>
                <w:color w:val="auto"/>
                <w:highlight w:val="none"/>
              </w:rPr>
              <w:t>委托代理人：</w:t>
            </w:r>
          </w:p>
        </w:tc>
        <w:tc>
          <w:tcPr>
            <w:tcW w:w="2500" w:type="pct"/>
            <w:tcBorders>
              <w:top w:val="single" w:color="auto" w:sz="4" w:space="0"/>
              <w:left w:val="single" w:color="auto" w:sz="4" w:space="0"/>
              <w:bottom w:val="single" w:color="auto" w:sz="4" w:space="0"/>
              <w:right w:val="single" w:color="auto" w:sz="4" w:space="0"/>
            </w:tcBorders>
            <w:noWrap/>
            <w:vAlign w:val="center"/>
          </w:tcPr>
          <w:p>
            <w:pPr>
              <w:snapToGrid w:val="0"/>
              <w:spacing w:line="360" w:lineRule="atLeast"/>
              <w:ind w:firstLine="420"/>
              <w:rPr>
                <w:rFonts w:ascii="宋体" w:hAnsi="宋体"/>
                <w:color w:val="auto"/>
                <w:highlight w:val="none"/>
              </w:rPr>
            </w:pPr>
            <w:r>
              <w:rPr>
                <w:rFonts w:hint="eastAsia" w:ascii="宋体" w:hAnsi="宋体"/>
                <w:color w:val="auto"/>
                <w:highlight w:val="none"/>
              </w:rPr>
              <w:t>委托代理人：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tcBorders>
              <w:top w:val="single" w:color="auto" w:sz="4" w:space="0"/>
              <w:left w:val="single" w:color="auto" w:sz="4" w:space="0"/>
              <w:bottom w:val="single" w:color="auto" w:sz="4" w:space="0"/>
              <w:right w:val="single" w:color="auto" w:sz="4" w:space="0"/>
            </w:tcBorders>
            <w:noWrap/>
            <w:vAlign w:val="center"/>
          </w:tcPr>
          <w:p>
            <w:pPr>
              <w:snapToGrid w:val="0"/>
              <w:spacing w:line="360" w:lineRule="atLeast"/>
              <w:ind w:firstLine="420"/>
              <w:rPr>
                <w:rFonts w:ascii="宋体" w:hAnsi="宋体"/>
                <w:color w:val="auto"/>
                <w:highlight w:val="none"/>
              </w:rPr>
            </w:pPr>
            <w:r>
              <w:rPr>
                <w:rFonts w:hint="eastAsia" w:ascii="宋体" w:hAnsi="宋体"/>
                <w:color w:val="auto"/>
                <w:highlight w:val="none"/>
              </w:rPr>
              <w:t>电话：</w:t>
            </w:r>
          </w:p>
        </w:tc>
        <w:tc>
          <w:tcPr>
            <w:tcW w:w="2500" w:type="pct"/>
            <w:tcBorders>
              <w:top w:val="single" w:color="auto" w:sz="4" w:space="0"/>
              <w:left w:val="single" w:color="auto" w:sz="4" w:space="0"/>
              <w:bottom w:val="single" w:color="auto" w:sz="4" w:space="0"/>
              <w:right w:val="single" w:color="auto" w:sz="4" w:space="0"/>
            </w:tcBorders>
            <w:noWrap/>
            <w:vAlign w:val="center"/>
          </w:tcPr>
          <w:p>
            <w:pPr>
              <w:snapToGrid w:val="0"/>
              <w:spacing w:line="360" w:lineRule="atLeast"/>
              <w:ind w:firstLine="420"/>
              <w:rPr>
                <w:rFonts w:ascii="宋体" w:hAnsi="宋体"/>
                <w:color w:val="auto"/>
                <w:highlight w:val="none"/>
              </w:rPr>
            </w:pPr>
            <w:r>
              <w:rPr>
                <w:rFonts w:hint="eastAsia" w:ascii="宋体" w:hAnsi="宋体"/>
                <w:color w:val="auto"/>
                <w:highlight w:val="none"/>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tcBorders>
              <w:top w:val="single" w:color="auto" w:sz="4" w:space="0"/>
              <w:left w:val="single" w:color="auto" w:sz="4" w:space="0"/>
              <w:bottom w:val="single" w:color="auto" w:sz="4" w:space="0"/>
              <w:right w:val="single" w:color="auto" w:sz="4" w:space="0"/>
            </w:tcBorders>
            <w:noWrap/>
            <w:vAlign w:val="center"/>
          </w:tcPr>
          <w:p>
            <w:pPr>
              <w:snapToGrid w:val="0"/>
              <w:spacing w:line="360" w:lineRule="atLeast"/>
              <w:ind w:firstLine="420"/>
              <w:rPr>
                <w:rFonts w:ascii="宋体" w:hAnsi="宋体"/>
                <w:color w:val="auto"/>
                <w:highlight w:val="none"/>
              </w:rPr>
            </w:pPr>
            <w:r>
              <w:rPr>
                <w:rFonts w:hint="eastAsia" w:ascii="宋体" w:hAnsi="宋体"/>
                <w:color w:val="auto"/>
                <w:highlight w:val="none"/>
              </w:rPr>
              <w:t>传真：</w:t>
            </w:r>
          </w:p>
        </w:tc>
        <w:tc>
          <w:tcPr>
            <w:tcW w:w="2500" w:type="pct"/>
            <w:tcBorders>
              <w:top w:val="single" w:color="auto" w:sz="4" w:space="0"/>
              <w:left w:val="single" w:color="auto" w:sz="4" w:space="0"/>
              <w:bottom w:val="single" w:color="auto" w:sz="4" w:space="0"/>
              <w:right w:val="single" w:color="auto" w:sz="4" w:space="0"/>
            </w:tcBorders>
            <w:noWrap/>
            <w:vAlign w:val="center"/>
          </w:tcPr>
          <w:p>
            <w:pPr>
              <w:snapToGrid w:val="0"/>
              <w:spacing w:line="360" w:lineRule="atLeast"/>
              <w:ind w:firstLine="420"/>
              <w:rPr>
                <w:rFonts w:ascii="宋体" w:hAnsi="宋体"/>
                <w:color w:val="auto"/>
                <w:highlight w:val="none"/>
              </w:rPr>
            </w:pPr>
            <w:r>
              <w:rPr>
                <w:rFonts w:hint="eastAsia" w:ascii="宋体" w:hAnsi="宋体"/>
                <w:color w:val="auto"/>
                <w:highlight w:val="none"/>
              </w:rPr>
              <w:t>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tcBorders>
              <w:top w:val="single" w:color="auto" w:sz="4" w:space="0"/>
              <w:left w:val="single" w:color="auto" w:sz="4" w:space="0"/>
              <w:bottom w:val="single" w:color="auto" w:sz="4" w:space="0"/>
              <w:right w:val="single" w:color="auto" w:sz="4" w:space="0"/>
            </w:tcBorders>
            <w:noWrap/>
            <w:vAlign w:val="center"/>
          </w:tcPr>
          <w:p>
            <w:pPr>
              <w:snapToGrid w:val="0"/>
              <w:spacing w:line="360" w:lineRule="atLeast"/>
              <w:ind w:firstLine="420"/>
              <w:rPr>
                <w:rFonts w:ascii="宋体" w:hAnsi="宋体"/>
                <w:color w:val="auto"/>
                <w:highlight w:val="none"/>
              </w:rPr>
            </w:pPr>
            <w:r>
              <w:rPr>
                <w:rFonts w:hint="eastAsia" w:ascii="宋体" w:hAnsi="宋体"/>
                <w:color w:val="auto"/>
                <w:highlight w:val="none"/>
              </w:rPr>
              <w:t>电子邮箱：</w:t>
            </w:r>
          </w:p>
        </w:tc>
        <w:tc>
          <w:tcPr>
            <w:tcW w:w="2500" w:type="pct"/>
            <w:tcBorders>
              <w:top w:val="single" w:color="auto" w:sz="4" w:space="0"/>
              <w:left w:val="single" w:color="auto" w:sz="4" w:space="0"/>
              <w:bottom w:val="single" w:color="auto" w:sz="4" w:space="0"/>
              <w:right w:val="single" w:color="auto" w:sz="4" w:space="0"/>
            </w:tcBorders>
            <w:noWrap/>
            <w:vAlign w:val="center"/>
          </w:tcPr>
          <w:p>
            <w:pPr>
              <w:snapToGrid w:val="0"/>
              <w:spacing w:line="360" w:lineRule="atLeast"/>
              <w:ind w:firstLine="420"/>
              <w:rPr>
                <w:rFonts w:ascii="宋体" w:hAnsi="宋体"/>
                <w:color w:val="auto"/>
                <w:highlight w:val="none"/>
              </w:rPr>
            </w:pPr>
            <w:r>
              <w:rPr>
                <w:rFonts w:hint="eastAsia" w:ascii="宋体" w:hAnsi="宋体"/>
                <w:color w:val="auto"/>
                <w:highlight w:val="none"/>
              </w:rPr>
              <w:t>电子邮箱：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tcBorders>
              <w:top w:val="single" w:color="auto" w:sz="4" w:space="0"/>
              <w:left w:val="single" w:color="auto" w:sz="4" w:space="0"/>
              <w:bottom w:val="single" w:color="auto" w:sz="4" w:space="0"/>
              <w:right w:val="single" w:color="auto" w:sz="4" w:space="0"/>
            </w:tcBorders>
            <w:noWrap/>
            <w:vAlign w:val="center"/>
          </w:tcPr>
          <w:p>
            <w:pPr>
              <w:snapToGrid w:val="0"/>
              <w:spacing w:line="360" w:lineRule="atLeast"/>
              <w:ind w:firstLine="420"/>
              <w:rPr>
                <w:rFonts w:ascii="宋体" w:hAnsi="宋体"/>
                <w:color w:val="auto"/>
                <w:highlight w:val="none"/>
              </w:rPr>
            </w:pPr>
            <w:r>
              <w:rPr>
                <w:rFonts w:hint="eastAsia" w:ascii="宋体" w:hAnsi="宋体"/>
                <w:color w:val="auto"/>
                <w:highlight w:val="none"/>
              </w:rPr>
              <w:t>开户银行：</w:t>
            </w:r>
          </w:p>
        </w:tc>
        <w:tc>
          <w:tcPr>
            <w:tcW w:w="2500" w:type="pct"/>
            <w:tcBorders>
              <w:top w:val="single" w:color="auto" w:sz="4" w:space="0"/>
              <w:left w:val="single" w:color="auto" w:sz="4" w:space="0"/>
              <w:bottom w:val="single" w:color="auto" w:sz="4" w:space="0"/>
              <w:right w:val="single" w:color="auto" w:sz="4" w:space="0"/>
            </w:tcBorders>
            <w:noWrap/>
            <w:vAlign w:val="center"/>
          </w:tcPr>
          <w:p>
            <w:pPr>
              <w:snapToGrid w:val="0"/>
              <w:spacing w:line="360" w:lineRule="atLeast"/>
              <w:ind w:firstLine="420"/>
              <w:rPr>
                <w:rFonts w:ascii="宋体" w:hAnsi="宋体"/>
                <w:color w:val="auto"/>
                <w:highlight w:val="none"/>
              </w:rPr>
            </w:pPr>
            <w:r>
              <w:rPr>
                <w:rFonts w:hint="eastAsia" w:ascii="宋体" w:hAnsi="宋体"/>
                <w:color w:val="auto"/>
                <w:highlight w:val="none"/>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tcBorders>
              <w:top w:val="single" w:color="auto" w:sz="4" w:space="0"/>
              <w:left w:val="single" w:color="auto" w:sz="4" w:space="0"/>
              <w:bottom w:val="single" w:color="auto" w:sz="4" w:space="0"/>
              <w:right w:val="single" w:color="auto" w:sz="4" w:space="0"/>
            </w:tcBorders>
            <w:noWrap/>
            <w:vAlign w:val="center"/>
          </w:tcPr>
          <w:p>
            <w:pPr>
              <w:snapToGrid w:val="0"/>
              <w:spacing w:line="360" w:lineRule="atLeast"/>
              <w:ind w:firstLine="420"/>
              <w:rPr>
                <w:rFonts w:ascii="宋体" w:hAnsi="宋体"/>
                <w:color w:val="auto"/>
                <w:highlight w:val="none"/>
              </w:rPr>
            </w:pPr>
            <w:r>
              <w:rPr>
                <w:rFonts w:hint="eastAsia" w:ascii="宋体" w:hAnsi="宋体"/>
                <w:color w:val="auto"/>
                <w:highlight w:val="none"/>
              </w:rPr>
              <w:t>账号：</w:t>
            </w:r>
          </w:p>
        </w:tc>
        <w:tc>
          <w:tcPr>
            <w:tcW w:w="2500" w:type="pct"/>
            <w:tcBorders>
              <w:top w:val="single" w:color="auto" w:sz="4" w:space="0"/>
              <w:left w:val="single" w:color="auto" w:sz="4" w:space="0"/>
              <w:bottom w:val="single" w:color="auto" w:sz="4" w:space="0"/>
              <w:right w:val="single" w:color="auto" w:sz="4" w:space="0"/>
            </w:tcBorders>
            <w:noWrap/>
            <w:vAlign w:val="center"/>
          </w:tcPr>
          <w:p>
            <w:pPr>
              <w:snapToGrid w:val="0"/>
              <w:spacing w:line="360" w:lineRule="atLeast"/>
              <w:ind w:firstLine="420"/>
              <w:rPr>
                <w:rFonts w:ascii="宋体" w:hAnsi="宋体"/>
                <w:color w:val="auto"/>
                <w:highlight w:val="none"/>
              </w:rPr>
            </w:pPr>
            <w:r>
              <w:rPr>
                <w:rFonts w:hint="eastAsia" w:ascii="宋体" w:hAnsi="宋体"/>
                <w:color w:val="auto"/>
                <w:highlight w:val="none"/>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tcBorders>
              <w:top w:val="single" w:color="auto" w:sz="4" w:space="0"/>
              <w:left w:val="single" w:color="auto" w:sz="4" w:space="0"/>
              <w:bottom w:val="single" w:color="auto" w:sz="4" w:space="0"/>
              <w:right w:val="single" w:color="auto" w:sz="4" w:space="0"/>
            </w:tcBorders>
            <w:noWrap/>
            <w:vAlign w:val="center"/>
          </w:tcPr>
          <w:p>
            <w:pPr>
              <w:snapToGrid w:val="0"/>
              <w:spacing w:line="360" w:lineRule="atLeast"/>
              <w:ind w:firstLine="420"/>
              <w:rPr>
                <w:rFonts w:ascii="宋体" w:hAnsi="宋体"/>
                <w:color w:val="auto"/>
                <w:highlight w:val="none"/>
              </w:rPr>
            </w:pPr>
            <w:r>
              <w:rPr>
                <w:rFonts w:hint="eastAsia" w:ascii="宋体" w:hAnsi="宋体"/>
                <w:color w:val="auto"/>
                <w:highlight w:val="none"/>
              </w:rPr>
              <w:t>纳税人识别号或统一社会信用代码：</w:t>
            </w:r>
          </w:p>
        </w:tc>
        <w:tc>
          <w:tcPr>
            <w:tcW w:w="2500" w:type="pct"/>
            <w:tcBorders>
              <w:top w:val="single" w:color="auto" w:sz="4" w:space="0"/>
              <w:left w:val="single" w:color="auto" w:sz="4" w:space="0"/>
              <w:bottom w:val="single" w:color="auto" w:sz="4" w:space="0"/>
              <w:right w:val="single" w:color="auto" w:sz="4" w:space="0"/>
            </w:tcBorders>
            <w:noWrap/>
            <w:vAlign w:val="center"/>
          </w:tcPr>
          <w:p>
            <w:pPr>
              <w:snapToGrid w:val="0"/>
              <w:spacing w:line="360" w:lineRule="atLeast"/>
              <w:ind w:firstLine="420"/>
              <w:rPr>
                <w:rFonts w:ascii="宋体" w:hAnsi="宋体"/>
                <w:color w:val="auto"/>
                <w:highlight w:val="none"/>
              </w:rPr>
            </w:pPr>
            <w:r>
              <w:rPr>
                <w:rFonts w:hint="eastAsia" w:ascii="宋体" w:hAnsi="宋体"/>
                <w:color w:val="auto"/>
                <w:highlight w:val="none"/>
              </w:rPr>
              <w:t>纳税人识别号或统一社会信用代码：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tcBorders>
              <w:top w:val="single" w:color="auto" w:sz="4" w:space="0"/>
              <w:left w:val="single" w:color="auto" w:sz="4" w:space="0"/>
              <w:bottom w:val="single" w:color="auto" w:sz="4" w:space="0"/>
              <w:right w:val="single" w:color="auto" w:sz="4" w:space="0"/>
            </w:tcBorders>
            <w:noWrap/>
            <w:vAlign w:val="center"/>
          </w:tcPr>
          <w:p>
            <w:pPr>
              <w:snapToGrid w:val="0"/>
              <w:spacing w:line="360" w:lineRule="atLeast"/>
              <w:ind w:firstLine="420"/>
              <w:rPr>
                <w:rFonts w:ascii="宋体" w:hAnsi="宋体"/>
                <w:color w:val="auto"/>
                <w:highlight w:val="none"/>
              </w:rPr>
            </w:pPr>
            <w:r>
              <w:rPr>
                <w:rFonts w:hint="eastAsia" w:ascii="宋体" w:hAnsi="宋体"/>
                <w:color w:val="auto"/>
                <w:highlight w:val="none"/>
              </w:rPr>
              <w:t>邮政编码：</w:t>
            </w:r>
          </w:p>
        </w:tc>
        <w:tc>
          <w:tcPr>
            <w:tcW w:w="2500" w:type="pct"/>
            <w:tcBorders>
              <w:top w:val="single" w:color="auto" w:sz="4" w:space="0"/>
              <w:left w:val="single" w:color="auto" w:sz="4" w:space="0"/>
              <w:bottom w:val="single" w:color="auto" w:sz="4" w:space="0"/>
              <w:right w:val="single" w:color="auto" w:sz="4" w:space="0"/>
            </w:tcBorders>
            <w:noWrap/>
            <w:vAlign w:val="center"/>
          </w:tcPr>
          <w:p>
            <w:pPr>
              <w:snapToGrid w:val="0"/>
              <w:spacing w:line="360" w:lineRule="atLeast"/>
              <w:ind w:firstLine="420"/>
              <w:rPr>
                <w:rFonts w:ascii="宋体" w:hAnsi="宋体"/>
                <w:color w:val="auto"/>
                <w:highlight w:val="none"/>
              </w:rPr>
            </w:pPr>
            <w:r>
              <w:rPr>
                <w:rFonts w:hint="eastAsia" w:ascii="宋体" w:hAnsi="宋体"/>
                <w:color w:val="auto"/>
                <w:highlight w:val="none"/>
              </w:rPr>
              <w:t>邮政编码：</w:t>
            </w:r>
          </w:p>
        </w:tc>
      </w:tr>
    </w:tbl>
    <w:p>
      <w:pPr>
        <w:spacing w:before="4"/>
        <w:ind w:firstLine="120"/>
        <w:rPr>
          <w:rFonts w:ascii="宋体" w:hAnsi="宋体" w:cs="宋体"/>
          <w:color w:val="auto"/>
          <w:sz w:val="6"/>
          <w:szCs w:val="6"/>
          <w:highlight w:val="none"/>
        </w:rPr>
      </w:pPr>
    </w:p>
    <w:p>
      <w:pPr>
        <w:ind w:firstLine="420"/>
        <w:rPr>
          <w:color w:val="auto"/>
          <w:highlight w:val="none"/>
        </w:rPr>
      </w:pPr>
    </w:p>
    <w:p>
      <w:pPr>
        <w:pStyle w:val="5"/>
        <w:rPr>
          <w:rFonts w:hint="eastAsia" w:ascii="方正小标宋_GBK" w:hAnsi="方正小标宋_GBK" w:eastAsia="方正小标宋_GBK"/>
          <w:color w:val="auto"/>
          <w:highlight w:val="none"/>
        </w:rPr>
      </w:pPr>
      <w:r>
        <w:rPr>
          <w:rFonts w:hAnsi="宋体"/>
          <w:bCs/>
          <w:color w:val="auto"/>
          <w:highlight w:val="none"/>
        </w:rPr>
        <w:br w:type="page"/>
      </w:r>
    </w:p>
    <w:p>
      <w:pPr>
        <w:pStyle w:val="5"/>
        <w:rPr>
          <w:rFonts w:hint="eastAsia" w:ascii="方正小标宋_GBK" w:hAnsi="方正小标宋_GBK" w:eastAsia="方正小标宋_GBK"/>
          <w:color w:val="auto"/>
          <w:highlight w:val="none"/>
        </w:rPr>
      </w:pPr>
    </w:p>
    <w:p>
      <w:pPr>
        <w:rPr>
          <w:rFonts w:hint="eastAsia" w:ascii="方正小标宋_GBK" w:hAnsi="方正小标宋_GBK" w:eastAsia="方正小标宋_GBK"/>
          <w:color w:val="auto"/>
          <w:highlight w:val="none"/>
        </w:rPr>
      </w:pPr>
    </w:p>
    <w:p>
      <w:pPr>
        <w:pStyle w:val="5"/>
        <w:rPr>
          <w:rFonts w:hint="eastAsia" w:ascii="方正小标宋_GBK" w:hAnsi="方正小标宋_GBK" w:eastAsia="方正小标宋_GBK"/>
          <w:color w:val="auto"/>
          <w:highlight w:val="none"/>
        </w:rPr>
      </w:pPr>
    </w:p>
    <w:p>
      <w:pPr>
        <w:rPr>
          <w:rFonts w:hint="eastAsia" w:ascii="方正小标宋_GBK" w:hAnsi="方正小标宋_GBK" w:eastAsia="方正小标宋_GBK"/>
          <w:color w:val="auto"/>
          <w:highlight w:val="none"/>
        </w:rPr>
      </w:pPr>
    </w:p>
    <w:p>
      <w:pPr>
        <w:pStyle w:val="5"/>
        <w:rPr>
          <w:rFonts w:hint="eastAsia" w:ascii="方正小标宋_GBK" w:hAnsi="方正小标宋_GBK" w:eastAsia="方正小标宋_GBK"/>
          <w:color w:val="auto"/>
          <w:highlight w:val="none"/>
        </w:rPr>
      </w:pPr>
    </w:p>
    <w:p>
      <w:pPr>
        <w:rPr>
          <w:rFonts w:hint="eastAsia" w:ascii="方正小标宋_GBK" w:hAnsi="方正小标宋_GBK" w:eastAsia="方正小标宋_GBK"/>
          <w:color w:val="auto"/>
          <w:highlight w:val="none"/>
        </w:rPr>
      </w:pPr>
    </w:p>
    <w:p>
      <w:pPr>
        <w:pStyle w:val="5"/>
        <w:rPr>
          <w:rFonts w:hint="eastAsia"/>
          <w:color w:val="auto"/>
          <w:highlight w:val="none"/>
        </w:rPr>
      </w:pPr>
    </w:p>
    <w:p>
      <w:pPr>
        <w:pStyle w:val="3"/>
        <w:spacing w:line="400" w:lineRule="exact"/>
        <w:rPr>
          <w:rFonts w:hint="eastAsia" w:ascii="方正小标宋_GBK" w:hAnsi="方正小标宋_GBK" w:eastAsia="方正小标宋_GBK"/>
          <w:color w:val="auto"/>
          <w:highlight w:val="none"/>
        </w:rPr>
      </w:pPr>
    </w:p>
    <w:p>
      <w:pPr>
        <w:pStyle w:val="3"/>
        <w:spacing w:line="400" w:lineRule="exact"/>
        <w:rPr>
          <w:rFonts w:hAnsi="宋体"/>
          <w:color w:val="auto"/>
          <w:sz w:val="36"/>
          <w:szCs w:val="36"/>
          <w:highlight w:val="none"/>
        </w:rPr>
      </w:pPr>
      <w:r>
        <w:rPr>
          <w:rFonts w:hint="eastAsia" w:ascii="方正小标宋_GBK" w:hAnsi="方正小标宋_GBK" w:eastAsia="方正小标宋_GBK"/>
          <w:color w:val="auto"/>
          <w:highlight w:val="none"/>
        </w:rPr>
        <w:t>第六章  响应文件格式</w:t>
      </w:r>
      <w:bookmarkEnd w:id="126"/>
      <w:bookmarkEnd w:id="127"/>
      <w:r>
        <w:rPr>
          <w:color w:val="auto"/>
          <w:sz w:val="30"/>
          <w:szCs w:val="30"/>
          <w:highlight w:val="none"/>
        </w:rPr>
        <w:br w:type="page"/>
      </w:r>
      <w:r>
        <w:rPr>
          <w:rFonts w:hint="eastAsia" w:ascii="仿宋_GB2312"/>
          <w:color w:val="auto"/>
          <w:sz w:val="36"/>
          <w:szCs w:val="36"/>
          <w:highlight w:val="none"/>
        </w:rPr>
        <w:t>一、供应商资格文件</w:t>
      </w:r>
    </w:p>
    <w:p>
      <w:pPr>
        <w:tabs>
          <w:tab w:val="left" w:pos="3402"/>
        </w:tabs>
        <w:rPr>
          <w:rFonts w:ascii="仿宋_GB2312" w:hAnsi="仿宋" w:eastAsia="仿宋_GB2312"/>
          <w:b/>
          <w:color w:val="auto"/>
          <w:spacing w:val="10"/>
          <w:szCs w:val="21"/>
          <w:highlight w:val="none"/>
        </w:rPr>
      </w:pPr>
      <w:bookmarkStart w:id="128" w:name="_Hlk108530892"/>
    </w:p>
    <w:p>
      <w:pPr>
        <w:tabs>
          <w:tab w:val="left" w:pos="3402"/>
        </w:tabs>
        <w:ind w:firstLine="602"/>
        <w:jc w:val="center"/>
        <w:rPr>
          <w:rFonts w:ascii="仿宋_GB2312" w:hAnsi="Adobe 仿宋 Std R" w:eastAsia="仿宋_GB2312"/>
          <w:b/>
          <w:color w:val="auto"/>
          <w:spacing w:val="10"/>
          <w:sz w:val="32"/>
          <w:szCs w:val="32"/>
          <w:highlight w:val="none"/>
        </w:rPr>
      </w:pPr>
      <w:bookmarkStart w:id="129" w:name="_Hlk147761258"/>
      <w:r>
        <w:rPr>
          <w:rFonts w:hint="eastAsia" w:ascii="仿宋_GB2312" w:hAnsi="Adobe 仿宋 Std R" w:eastAsia="仿宋_GB2312"/>
          <w:b/>
          <w:color w:val="auto"/>
          <w:spacing w:val="10"/>
          <w:sz w:val="32"/>
          <w:szCs w:val="32"/>
          <w:highlight w:val="none"/>
        </w:rPr>
        <w:t>供应商具备参加政府采购活动条件的承诺书</w:t>
      </w:r>
      <w:bookmarkEnd w:id="129"/>
      <w:r>
        <w:rPr>
          <w:rFonts w:hint="eastAsia" w:ascii="仿宋_GB2312" w:hAnsi="Adobe 仿宋 Std R" w:eastAsia="仿宋_GB2312" w:cs="黑体"/>
          <w:bCs/>
          <w:color w:val="auto"/>
          <w:sz w:val="24"/>
          <w:highlight w:val="none"/>
        </w:rPr>
        <w:t>(格式)</w:t>
      </w:r>
    </w:p>
    <w:p>
      <w:pPr>
        <w:tabs>
          <w:tab w:val="left" w:pos="3402"/>
        </w:tabs>
        <w:jc w:val="left"/>
        <w:rPr>
          <w:rFonts w:ascii="仿宋_GB2312" w:hAnsi="仿宋" w:eastAsia="仿宋_GB2312"/>
          <w:b/>
          <w:color w:val="auto"/>
          <w:spacing w:val="10"/>
          <w:szCs w:val="21"/>
          <w:highlight w:val="none"/>
        </w:rPr>
      </w:pPr>
    </w:p>
    <w:p>
      <w:pPr>
        <w:spacing w:line="520" w:lineRule="exact"/>
        <w:rPr>
          <w:rFonts w:ascii="宋体" w:hAnsi="宋体"/>
          <w:bCs/>
          <w:color w:val="auto"/>
          <w:szCs w:val="22"/>
          <w:highlight w:val="none"/>
        </w:rPr>
      </w:pPr>
      <w:r>
        <w:rPr>
          <w:rFonts w:hint="eastAsia" w:ascii="宋体" w:hAnsi="宋体"/>
          <w:bCs/>
          <w:color w:val="auto"/>
          <w:szCs w:val="22"/>
          <w:highlight w:val="none"/>
        </w:rPr>
        <w:t>钦州市政府采购中心：</w:t>
      </w:r>
    </w:p>
    <w:p>
      <w:pPr>
        <w:spacing w:line="520" w:lineRule="exact"/>
        <w:ind w:firstLine="420"/>
        <w:rPr>
          <w:rFonts w:ascii="宋体" w:hAnsi="宋体"/>
          <w:bCs/>
          <w:color w:val="auto"/>
          <w:szCs w:val="22"/>
          <w:highlight w:val="none"/>
        </w:rPr>
      </w:pPr>
      <w:r>
        <w:rPr>
          <w:rFonts w:hint="eastAsia" w:ascii="宋体" w:hAnsi="宋体"/>
          <w:bCs/>
          <w:color w:val="auto"/>
          <w:szCs w:val="22"/>
          <w:highlight w:val="none"/>
        </w:rPr>
        <w:t>根据《中华人民共和国政府采购法》实施条例第十七条的规定，现郑重承诺：</w:t>
      </w:r>
    </w:p>
    <w:p>
      <w:pPr>
        <w:spacing w:line="520" w:lineRule="exact"/>
        <w:ind w:firstLine="420"/>
        <w:rPr>
          <w:rFonts w:ascii="宋体" w:hAnsi="宋体"/>
          <w:bCs/>
          <w:color w:val="auto"/>
          <w:szCs w:val="22"/>
          <w:highlight w:val="none"/>
        </w:rPr>
      </w:pPr>
      <w:r>
        <w:rPr>
          <w:rFonts w:ascii="宋体" w:hAnsi="宋体"/>
          <w:bCs/>
          <w:color w:val="auto"/>
          <w:szCs w:val="22"/>
          <w:highlight w:val="none"/>
          <w:u w:val="single"/>
        </w:rPr>
        <w:t>(</w:t>
      </w:r>
      <w:r>
        <w:rPr>
          <w:rFonts w:hint="eastAsia" w:ascii="宋体" w:hAnsi="宋体"/>
          <w:bCs/>
          <w:color w:val="auto"/>
          <w:szCs w:val="22"/>
          <w:highlight w:val="none"/>
          <w:u w:val="single"/>
        </w:rPr>
        <w:t>供应商名称)</w:t>
      </w:r>
      <w:r>
        <w:rPr>
          <w:rFonts w:hint="eastAsia" w:ascii="宋体" w:hAnsi="宋体"/>
          <w:bCs/>
          <w:color w:val="auto"/>
          <w:szCs w:val="22"/>
          <w:highlight w:val="none"/>
        </w:rPr>
        <w:t>具有良好的商业信誉和健全的财务会计制度，具有履行合同所必需的设备和专业技术能力，有依法缴纳税收和社会保障资金的良好记录。</w:t>
      </w:r>
    </w:p>
    <w:p>
      <w:pPr>
        <w:spacing w:line="520" w:lineRule="exact"/>
        <w:ind w:firstLine="420"/>
        <w:rPr>
          <w:rFonts w:ascii="宋体" w:hAnsi="宋体"/>
          <w:bCs/>
          <w:color w:val="auto"/>
          <w:szCs w:val="22"/>
          <w:highlight w:val="none"/>
        </w:rPr>
      </w:pPr>
      <w:r>
        <w:rPr>
          <w:rFonts w:hint="eastAsia" w:ascii="宋体" w:hAnsi="宋体"/>
          <w:bCs/>
          <w:color w:val="auto"/>
          <w:szCs w:val="22"/>
          <w:highlight w:val="none"/>
        </w:rPr>
        <w:t>本单位对上述承诺内容事项真实性负责，如有虚假，由我单位承担相关法律责任。</w:t>
      </w:r>
    </w:p>
    <w:p>
      <w:pPr>
        <w:spacing w:line="520" w:lineRule="exact"/>
        <w:ind w:firstLine="420"/>
        <w:rPr>
          <w:rFonts w:ascii="宋体" w:hAnsi="宋体"/>
          <w:bCs/>
          <w:color w:val="auto"/>
          <w:szCs w:val="22"/>
          <w:highlight w:val="none"/>
        </w:rPr>
      </w:pPr>
      <w:r>
        <w:rPr>
          <w:rFonts w:hint="eastAsia" w:ascii="宋体" w:hAnsi="宋体"/>
          <w:bCs/>
          <w:color w:val="auto"/>
          <w:szCs w:val="22"/>
          <w:highlight w:val="none"/>
        </w:rPr>
        <w:t>特此承诺。</w:t>
      </w:r>
    </w:p>
    <w:p>
      <w:pPr>
        <w:rPr>
          <w:color w:val="auto"/>
          <w:highlight w:val="none"/>
        </w:rPr>
      </w:pPr>
    </w:p>
    <w:p>
      <w:pPr>
        <w:rPr>
          <w:color w:val="auto"/>
          <w:highlight w:val="none"/>
        </w:rPr>
      </w:pPr>
    </w:p>
    <w:p>
      <w:pPr>
        <w:rPr>
          <w:color w:val="auto"/>
          <w:highlight w:val="none"/>
        </w:rPr>
      </w:pPr>
    </w:p>
    <w:p>
      <w:pPr>
        <w:spacing w:line="400" w:lineRule="exact"/>
        <w:ind w:right="1050" w:rightChars="500" w:firstLine="5103" w:firstLineChars="2430"/>
        <w:jc w:val="left"/>
        <w:rPr>
          <w:rFonts w:ascii="宋体" w:hAnsi="宋体"/>
          <w:bCs/>
          <w:color w:val="auto"/>
          <w:highlight w:val="none"/>
        </w:rPr>
      </w:pPr>
      <w:r>
        <w:rPr>
          <w:rFonts w:hint="eastAsia" w:ascii="宋体" w:hAnsi="宋体"/>
          <w:bCs/>
          <w:color w:val="auto"/>
          <w:highlight w:val="none"/>
        </w:rPr>
        <w:t>供应商（盖章）：</w:t>
      </w:r>
    </w:p>
    <w:p>
      <w:pPr>
        <w:spacing w:line="400" w:lineRule="exact"/>
        <w:ind w:right="1050" w:rightChars="500"/>
        <w:jc w:val="right"/>
        <w:rPr>
          <w:rFonts w:ascii="宋体" w:hAnsi="宋体"/>
          <w:bCs/>
          <w:color w:val="auto"/>
          <w:highlight w:val="none"/>
        </w:rPr>
      </w:pPr>
      <w:r>
        <w:rPr>
          <w:rFonts w:hint="eastAsia" w:ascii="宋体" w:hAnsi="宋体"/>
          <w:bCs/>
          <w:color w:val="auto"/>
          <w:highlight w:val="none"/>
        </w:rPr>
        <w:t>日期：年月日</w:t>
      </w:r>
    </w:p>
    <w:p>
      <w:pPr>
        <w:rPr>
          <w:color w:val="auto"/>
          <w:highlight w:val="none"/>
        </w:rPr>
      </w:pPr>
    </w:p>
    <w:p>
      <w:pPr>
        <w:pStyle w:val="5"/>
        <w:rPr>
          <w:color w:val="auto"/>
          <w:highlight w:val="none"/>
        </w:rPr>
      </w:pPr>
    </w:p>
    <w:p>
      <w:pPr>
        <w:tabs>
          <w:tab w:val="left" w:pos="3402"/>
        </w:tabs>
        <w:spacing w:line="460" w:lineRule="exact"/>
        <w:jc w:val="center"/>
        <w:rPr>
          <w:rFonts w:ascii="仿宋_GB2312" w:hAnsi="仿宋" w:eastAsia="仿宋_GB2312"/>
          <w:b/>
          <w:color w:val="auto"/>
          <w:spacing w:val="10"/>
          <w:sz w:val="32"/>
          <w:szCs w:val="32"/>
          <w:highlight w:val="none"/>
        </w:rPr>
      </w:pPr>
      <w:r>
        <w:rPr>
          <w:rFonts w:hint="eastAsia" w:ascii="仿宋_GB2312" w:hAnsi="仿宋" w:eastAsia="仿宋_GB2312"/>
          <w:b/>
          <w:color w:val="auto"/>
          <w:spacing w:val="10"/>
          <w:sz w:val="32"/>
          <w:szCs w:val="32"/>
          <w:highlight w:val="none"/>
        </w:rPr>
        <w:t>无重大违法记录的书面声明</w:t>
      </w:r>
      <w:bookmarkStart w:id="130" w:name="_Hlk108528701"/>
      <w:r>
        <w:rPr>
          <w:rFonts w:hint="eastAsia" w:ascii="仿宋" w:hAnsi="仿宋" w:eastAsia="仿宋" w:cs="黑体"/>
          <w:bCs/>
          <w:color w:val="auto"/>
          <w:sz w:val="24"/>
          <w:highlight w:val="none"/>
        </w:rPr>
        <w:t>(格式</w:t>
      </w:r>
      <w:r>
        <w:rPr>
          <w:rFonts w:ascii="仿宋" w:hAnsi="仿宋" w:eastAsia="仿宋" w:cs="黑体"/>
          <w:bCs/>
          <w:color w:val="auto"/>
          <w:sz w:val="24"/>
          <w:highlight w:val="none"/>
        </w:rPr>
        <w:t>)</w:t>
      </w:r>
      <w:bookmarkEnd w:id="130"/>
    </w:p>
    <w:p>
      <w:pPr>
        <w:spacing w:line="400" w:lineRule="exact"/>
        <w:rPr>
          <w:rFonts w:ascii="宋体" w:hAnsi="宋体"/>
          <w:b/>
          <w:color w:val="auto"/>
          <w:highlight w:val="none"/>
        </w:rPr>
      </w:pPr>
    </w:p>
    <w:p>
      <w:pPr>
        <w:spacing w:line="520" w:lineRule="exact"/>
        <w:rPr>
          <w:rFonts w:ascii="宋体" w:hAnsi="宋体"/>
          <w:bCs/>
          <w:color w:val="auto"/>
          <w:highlight w:val="none"/>
        </w:rPr>
      </w:pPr>
      <w:r>
        <w:rPr>
          <w:rFonts w:hint="eastAsia" w:ascii="宋体" w:hAnsi="宋体"/>
          <w:bCs/>
          <w:color w:val="auto"/>
          <w:highlight w:val="none"/>
        </w:rPr>
        <w:t>钦州市政府采购中心：</w:t>
      </w:r>
    </w:p>
    <w:p>
      <w:pPr>
        <w:spacing w:line="520" w:lineRule="exact"/>
        <w:ind w:firstLine="420"/>
        <w:rPr>
          <w:rFonts w:ascii="宋体" w:hAnsi="宋体"/>
          <w:bCs/>
          <w:color w:val="auto"/>
          <w:highlight w:val="none"/>
        </w:rPr>
      </w:pPr>
      <w:r>
        <w:rPr>
          <w:rFonts w:hint="eastAsia" w:ascii="宋体" w:hAnsi="宋体"/>
          <w:bCs/>
          <w:color w:val="auto"/>
          <w:highlight w:val="none"/>
        </w:rPr>
        <w:t>根据《中华人民共和国政府采购法实施条例》第十七条第一款第(四)项的规定，现郑重声明：</w:t>
      </w:r>
    </w:p>
    <w:p>
      <w:pPr>
        <w:spacing w:line="520" w:lineRule="exact"/>
        <w:ind w:firstLine="420"/>
        <w:rPr>
          <w:rFonts w:ascii="宋体" w:hAnsi="宋体"/>
          <w:bCs/>
          <w:color w:val="auto"/>
          <w:highlight w:val="none"/>
        </w:rPr>
      </w:pPr>
      <w:r>
        <w:rPr>
          <w:rFonts w:ascii="宋体" w:hAnsi="宋体"/>
          <w:bCs/>
          <w:color w:val="auto"/>
          <w:highlight w:val="none"/>
          <w:u w:val="single"/>
        </w:rPr>
        <w:t>(</w:t>
      </w:r>
      <w:r>
        <w:rPr>
          <w:rFonts w:hint="eastAsia" w:ascii="宋体" w:hAnsi="宋体"/>
          <w:bCs/>
          <w:color w:val="auto"/>
          <w:highlight w:val="none"/>
          <w:u w:val="single"/>
        </w:rPr>
        <w:t>供应商名称)</w:t>
      </w:r>
      <w:r>
        <w:rPr>
          <w:rFonts w:hint="eastAsia" w:ascii="宋体" w:hAnsi="宋体"/>
          <w:bCs/>
          <w:color w:val="auto"/>
          <w:highlight w:val="none"/>
        </w:rPr>
        <w:t>在参加本次政府采购活动前3年内在经营活动中没有重大违法记录（</w:t>
      </w:r>
      <w:r>
        <w:rPr>
          <w:rFonts w:hint="eastAsia" w:ascii="宋体" w:hAnsi="宋体"/>
          <w:bCs/>
          <w:color w:val="auto"/>
          <w:highlight w:val="none"/>
          <w:u w:val="single"/>
        </w:rPr>
        <w:t>即因违法经营受到刑事处罚或者责令停产停业、吊销许可证或者执照、较大数额罚款等行政处罚的行为</w:t>
      </w:r>
      <w:r>
        <w:rPr>
          <w:rFonts w:hint="eastAsia" w:ascii="宋体" w:hAnsi="宋体"/>
          <w:bCs/>
          <w:color w:val="auto"/>
          <w:highlight w:val="none"/>
        </w:rPr>
        <w:t>）。</w:t>
      </w:r>
    </w:p>
    <w:p>
      <w:pPr>
        <w:spacing w:line="520" w:lineRule="exact"/>
        <w:ind w:firstLine="420"/>
        <w:rPr>
          <w:rFonts w:ascii="宋体" w:hAnsi="宋体"/>
          <w:bCs/>
          <w:color w:val="auto"/>
          <w:highlight w:val="none"/>
        </w:rPr>
      </w:pPr>
      <w:r>
        <w:rPr>
          <w:rFonts w:hint="eastAsia" w:ascii="宋体" w:hAnsi="宋体"/>
          <w:bCs/>
          <w:color w:val="auto"/>
          <w:highlight w:val="none"/>
        </w:rPr>
        <w:t>本单位对上述声明内容事项真实性负责，如有虚假，由我单位承担相关法律责任。</w:t>
      </w:r>
    </w:p>
    <w:p>
      <w:pPr>
        <w:spacing w:line="520" w:lineRule="exact"/>
        <w:ind w:firstLine="420"/>
        <w:rPr>
          <w:rFonts w:ascii="宋体" w:hAnsi="宋体"/>
          <w:bCs/>
          <w:color w:val="auto"/>
          <w:highlight w:val="none"/>
        </w:rPr>
      </w:pPr>
      <w:r>
        <w:rPr>
          <w:rFonts w:hint="eastAsia" w:ascii="宋体" w:hAnsi="宋体"/>
          <w:bCs/>
          <w:color w:val="auto"/>
          <w:highlight w:val="none"/>
        </w:rPr>
        <w:t>特此声明。</w:t>
      </w:r>
    </w:p>
    <w:p>
      <w:pPr>
        <w:rPr>
          <w:color w:val="auto"/>
          <w:highlight w:val="none"/>
        </w:rPr>
      </w:pPr>
    </w:p>
    <w:p>
      <w:pPr>
        <w:rPr>
          <w:color w:val="auto"/>
          <w:highlight w:val="none"/>
        </w:rPr>
      </w:pPr>
    </w:p>
    <w:p>
      <w:pPr>
        <w:rPr>
          <w:color w:val="auto"/>
          <w:highlight w:val="none"/>
        </w:rPr>
      </w:pPr>
    </w:p>
    <w:p>
      <w:pPr>
        <w:spacing w:line="400" w:lineRule="exact"/>
        <w:ind w:right="1050" w:rightChars="500" w:firstLine="5810" w:firstLineChars="2767"/>
        <w:jc w:val="left"/>
        <w:rPr>
          <w:rFonts w:ascii="宋体" w:hAnsi="宋体"/>
          <w:bCs/>
          <w:color w:val="auto"/>
          <w:highlight w:val="none"/>
        </w:rPr>
      </w:pPr>
      <w:bookmarkStart w:id="131" w:name="_Hlk112311442"/>
      <w:r>
        <w:rPr>
          <w:rFonts w:hint="eastAsia" w:ascii="宋体" w:hAnsi="宋体"/>
          <w:bCs/>
          <w:color w:val="auto"/>
          <w:highlight w:val="none"/>
        </w:rPr>
        <w:t>供应商（盖章）：</w:t>
      </w:r>
    </w:p>
    <w:p>
      <w:pPr>
        <w:spacing w:line="400" w:lineRule="exact"/>
        <w:ind w:right="735" w:rightChars="350" w:firstLine="5810" w:firstLineChars="2767"/>
        <w:jc w:val="left"/>
        <w:rPr>
          <w:rFonts w:ascii="宋体" w:hAnsi="宋体"/>
          <w:bCs/>
          <w:color w:val="auto"/>
          <w:highlight w:val="none"/>
        </w:rPr>
      </w:pPr>
      <w:r>
        <w:rPr>
          <w:rFonts w:hint="eastAsia" w:ascii="宋体" w:hAnsi="宋体"/>
          <w:bCs/>
          <w:color w:val="auto"/>
          <w:highlight w:val="none"/>
        </w:rPr>
        <w:t>日期：年月日</w:t>
      </w:r>
      <w:bookmarkEnd w:id="131"/>
      <w:r>
        <w:rPr>
          <w:color w:val="auto"/>
          <w:highlight w:val="none"/>
        </w:rPr>
        <w:br w:type="page"/>
      </w:r>
    </w:p>
    <w:p>
      <w:pPr>
        <w:rPr>
          <w:color w:val="auto"/>
          <w:highlight w:val="none"/>
        </w:rPr>
      </w:pPr>
    </w:p>
    <w:p>
      <w:pPr>
        <w:spacing w:line="440" w:lineRule="exact"/>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中小企业声明函</w:t>
      </w:r>
    </w:p>
    <w:p>
      <w:pPr>
        <w:spacing w:line="440" w:lineRule="exact"/>
        <w:jc w:val="left"/>
        <w:rPr>
          <w:rFonts w:hAnsi="宋体"/>
          <w:bCs/>
          <w:color w:val="auto"/>
          <w:szCs w:val="21"/>
          <w:highlight w:val="none"/>
        </w:rPr>
      </w:pPr>
    </w:p>
    <w:p>
      <w:pPr>
        <w:spacing w:line="600" w:lineRule="exact"/>
        <w:ind w:firstLine="294" w:firstLineChars="140"/>
        <w:jc w:val="left"/>
        <w:rPr>
          <w:rFonts w:ascii="宋体" w:hAnsi="宋体"/>
          <w:bCs/>
          <w:color w:val="auto"/>
          <w:szCs w:val="21"/>
          <w:highlight w:val="none"/>
        </w:rPr>
      </w:pPr>
      <w:r>
        <w:rPr>
          <w:rFonts w:hint="eastAsia" w:ascii="宋体" w:hAnsi="宋体"/>
          <w:bCs/>
          <w:color w:val="auto"/>
          <w:szCs w:val="21"/>
          <w:highlight w:val="none"/>
        </w:rPr>
        <w:t>本公司郑重声明，根据《政府采购促进中小企业发展管理办法》</w:t>
      </w:r>
      <w:bookmarkStart w:id="132" w:name="_Hlk60836554"/>
      <w:r>
        <w:rPr>
          <w:rFonts w:hint="eastAsia" w:ascii="宋体" w:hAnsi="宋体"/>
          <w:bCs/>
          <w:color w:val="auto"/>
          <w:szCs w:val="21"/>
          <w:highlight w:val="none"/>
        </w:rPr>
        <w:t>（财库﹝2020﹞46号）</w:t>
      </w:r>
      <w:bookmarkEnd w:id="132"/>
      <w:r>
        <w:rPr>
          <w:rFonts w:hint="eastAsia" w:ascii="宋体" w:hAnsi="宋体"/>
          <w:bCs/>
          <w:color w:val="auto"/>
          <w:szCs w:val="21"/>
          <w:highlight w:val="none"/>
        </w:rPr>
        <w:t>的规定，本公司参加（</w:t>
      </w:r>
      <w:r>
        <w:rPr>
          <w:rFonts w:hint="eastAsia" w:ascii="宋体" w:hAnsi="宋体"/>
          <w:bCs/>
          <w:color w:val="auto"/>
          <w:szCs w:val="21"/>
          <w:highlight w:val="none"/>
          <w:u w:val="single"/>
        </w:rPr>
        <w:t>单位名称</w:t>
      </w:r>
      <w:r>
        <w:rPr>
          <w:rFonts w:hint="eastAsia" w:ascii="宋体" w:hAnsi="宋体"/>
          <w:bCs/>
          <w:color w:val="auto"/>
          <w:szCs w:val="21"/>
          <w:highlight w:val="none"/>
        </w:rPr>
        <w:t>）的（</w:t>
      </w:r>
      <w:r>
        <w:rPr>
          <w:rFonts w:hint="eastAsia" w:ascii="宋体" w:hAnsi="宋体"/>
          <w:bCs/>
          <w:color w:val="auto"/>
          <w:szCs w:val="21"/>
          <w:highlight w:val="none"/>
          <w:u w:val="single"/>
        </w:rPr>
        <w:t>项目名称</w:t>
      </w:r>
      <w:r>
        <w:rPr>
          <w:rFonts w:hint="eastAsia" w:ascii="宋体" w:hAnsi="宋体"/>
          <w:bCs/>
          <w:color w:val="auto"/>
          <w:szCs w:val="21"/>
          <w:highlight w:val="none"/>
        </w:rPr>
        <w:t>）采购活动，</w:t>
      </w:r>
      <w:bookmarkStart w:id="133" w:name="_Hlk108682836"/>
      <w:r>
        <w:rPr>
          <w:rFonts w:hint="eastAsia" w:ascii="宋体" w:hAnsi="宋体"/>
          <w:bCs/>
          <w:color w:val="auto"/>
          <w:szCs w:val="21"/>
          <w:highlight w:val="none"/>
        </w:rPr>
        <w:t>服务全部由符合政策要求的中小企业承接</w:t>
      </w:r>
      <w:bookmarkEnd w:id="133"/>
      <w:r>
        <w:rPr>
          <w:rFonts w:hint="eastAsia" w:ascii="宋体" w:hAnsi="宋体"/>
          <w:bCs/>
          <w:color w:val="auto"/>
          <w:szCs w:val="21"/>
          <w:highlight w:val="none"/>
        </w:rPr>
        <w:t>。相关企业的具体情况如下：</w:t>
      </w:r>
    </w:p>
    <w:p>
      <w:pPr>
        <w:spacing w:line="600" w:lineRule="exact"/>
        <w:ind w:firstLine="294" w:firstLineChars="140"/>
        <w:jc w:val="left"/>
        <w:rPr>
          <w:rFonts w:ascii="宋体" w:hAnsi="宋体"/>
          <w:bCs/>
          <w:color w:val="auto"/>
          <w:szCs w:val="21"/>
          <w:highlight w:val="none"/>
        </w:rPr>
      </w:pPr>
      <w:r>
        <w:rPr>
          <w:rFonts w:hint="eastAsia" w:ascii="宋体" w:hAnsi="宋体"/>
          <w:bCs/>
          <w:color w:val="auto"/>
          <w:szCs w:val="21"/>
          <w:highlight w:val="none"/>
        </w:rPr>
        <w:t>1.</w:t>
      </w:r>
      <w:bookmarkStart w:id="134" w:name="_Hlk60836996"/>
      <w:r>
        <w:rPr>
          <w:rFonts w:hint="eastAsia" w:ascii="宋体" w:hAnsi="宋体"/>
          <w:bCs/>
          <w:color w:val="auto"/>
          <w:szCs w:val="21"/>
          <w:highlight w:val="none"/>
        </w:rPr>
        <w:t>（</w:t>
      </w:r>
      <w:r>
        <w:rPr>
          <w:rFonts w:hint="eastAsia" w:ascii="宋体" w:hAnsi="宋体"/>
          <w:bCs/>
          <w:color w:val="auto"/>
          <w:szCs w:val="21"/>
          <w:highlight w:val="none"/>
          <w:u w:val="single"/>
        </w:rPr>
        <w:t>标的名称</w:t>
      </w:r>
      <w:r>
        <w:rPr>
          <w:rFonts w:hint="eastAsia" w:ascii="宋体" w:hAnsi="宋体"/>
          <w:bCs/>
          <w:color w:val="auto"/>
          <w:szCs w:val="21"/>
          <w:highlight w:val="none"/>
        </w:rPr>
        <w:t>），属于（</w:t>
      </w:r>
      <w:r>
        <w:rPr>
          <w:rFonts w:hint="eastAsia" w:ascii="宋体" w:hAnsi="宋体"/>
          <w:bCs/>
          <w:color w:val="auto"/>
          <w:szCs w:val="21"/>
          <w:highlight w:val="none"/>
          <w:u w:val="single"/>
        </w:rPr>
        <w:t>采购文件中明确的所属行业</w:t>
      </w:r>
      <w:r>
        <w:rPr>
          <w:rFonts w:hint="eastAsia" w:ascii="宋体" w:hAnsi="宋体"/>
          <w:bCs/>
          <w:color w:val="auto"/>
          <w:szCs w:val="21"/>
          <w:highlight w:val="none"/>
        </w:rPr>
        <w:t>）行业；承接企业为（</w:t>
      </w:r>
      <w:r>
        <w:rPr>
          <w:rFonts w:hint="eastAsia" w:ascii="宋体" w:hAnsi="宋体"/>
          <w:bCs/>
          <w:color w:val="auto"/>
          <w:szCs w:val="21"/>
          <w:highlight w:val="none"/>
          <w:u w:val="single"/>
        </w:rPr>
        <w:t>企业名称</w:t>
      </w:r>
      <w:r>
        <w:rPr>
          <w:rFonts w:hint="eastAsia" w:ascii="宋体" w:hAnsi="宋体"/>
          <w:bCs/>
          <w:color w:val="auto"/>
          <w:szCs w:val="21"/>
          <w:highlight w:val="none"/>
        </w:rPr>
        <w:t>），从业人员人，营业收入为万元，资产总额为万元，属于（</w:t>
      </w:r>
      <w:r>
        <w:rPr>
          <w:rFonts w:hint="eastAsia" w:ascii="宋体" w:hAnsi="宋体"/>
          <w:bCs/>
          <w:color w:val="auto"/>
          <w:szCs w:val="21"/>
          <w:highlight w:val="none"/>
          <w:u w:val="single"/>
        </w:rPr>
        <w:t>中型企业、小型企业、微型企业</w:t>
      </w:r>
      <w:r>
        <w:rPr>
          <w:rFonts w:hint="eastAsia" w:ascii="宋体" w:hAnsi="宋体"/>
          <w:bCs/>
          <w:color w:val="auto"/>
          <w:szCs w:val="21"/>
          <w:highlight w:val="none"/>
        </w:rPr>
        <w:t>）；</w:t>
      </w:r>
      <w:bookmarkEnd w:id="134"/>
    </w:p>
    <w:p>
      <w:pPr>
        <w:spacing w:line="600" w:lineRule="exact"/>
        <w:ind w:firstLine="294" w:firstLineChars="140"/>
        <w:jc w:val="left"/>
        <w:rPr>
          <w:rFonts w:ascii="宋体" w:hAnsi="宋体"/>
          <w:bCs/>
          <w:color w:val="auto"/>
          <w:szCs w:val="21"/>
          <w:highlight w:val="none"/>
        </w:rPr>
      </w:pPr>
      <w:r>
        <w:rPr>
          <w:rFonts w:hint="eastAsia" w:ascii="宋体" w:hAnsi="宋体"/>
          <w:bCs/>
          <w:color w:val="auto"/>
          <w:szCs w:val="21"/>
          <w:highlight w:val="none"/>
        </w:rPr>
        <w:t>2.（</w:t>
      </w:r>
      <w:r>
        <w:rPr>
          <w:rFonts w:hint="eastAsia" w:ascii="宋体" w:hAnsi="宋体"/>
          <w:bCs/>
          <w:color w:val="auto"/>
          <w:szCs w:val="21"/>
          <w:highlight w:val="none"/>
          <w:u w:val="single"/>
        </w:rPr>
        <w:t>标的名称</w:t>
      </w:r>
      <w:r>
        <w:rPr>
          <w:rFonts w:hint="eastAsia" w:ascii="宋体" w:hAnsi="宋体"/>
          <w:bCs/>
          <w:color w:val="auto"/>
          <w:szCs w:val="21"/>
          <w:highlight w:val="none"/>
        </w:rPr>
        <w:t>），属于（</w:t>
      </w:r>
      <w:r>
        <w:rPr>
          <w:rFonts w:hint="eastAsia" w:ascii="宋体" w:hAnsi="宋体"/>
          <w:bCs/>
          <w:color w:val="auto"/>
          <w:szCs w:val="21"/>
          <w:highlight w:val="none"/>
          <w:u w:val="single"/>
        </w:rPr>
        <w:t>采购文件中明确的所属行业</w:t>
      </w:r>
      <w:r>
        <w:rPr>
          <w:rFonts w:hint="eastAsia" w:ascii="宋体" w:hAnsi="宋体"/>
          <w:bCs/>
          <w:color w:val="auto"/>
          <w:szCs w:val="21"/>
          <w:highlight w:val="none"/>
        </w:rPr>
        <w:t>）行业；承接企业为（</w:t>
      </w:r>
      <w:r>
        <w:rPr>
          <w:rFonts w:hint="eastAsia" w:ascii="宋体" w:hAnsi="宋体"/>
          <w:bCs/>
          <w:color w:val="auto"/>
          <w:szCs w:val="21"/>
          <w:highlight w:val="none"/>
          <w:u w:val="single"/>
        </w:rPr>
        <w:t>企业名称</w:t>
      </w:r>
      <w:r>
        <w:rPr>
          <w:rFonts w:hint="eastAsia" w:ascii="宋体" w:hAnsi="宋体"/>
          <w:bCs/>
          <w:color w:val="auto"/>
          <w:szCs w:val="21"/>
          <w:highlight w:val="none"/>
        </w:rPr>
        <w:t>），从业人员人，营业收入为万元，资产总额为万元，属于（</w:t>
      </w:r>
      <w:r>
        <w:rPr>
          <w:rFonts w:hint="eastAsia" w:ascii="宋体" w:hAnsi="宋体"/>
          <w:bCs/>
          <w:color w:val="auto"/>
          <w:szCs w:val="21"/>
          <w:highlight w:val="none"/>
          <w:u w:val="single"/>
        </w:rPr>
        <w:t>中型企业、小型企业、微型企业</w:t>
      </w:r>
      <w:r>
        <w:rPr>
          <w:rFonts w:hint="eastAsia" w:ascii="宋体" w:hAnsi="宋体"/>
          <w:bCs/>
          <w:color w:val="auto"/>
          <w:szCs w:val="21"/>
          <w:highlight w:val="none"/>
        </w:rPr>
        <w:t>）；</w:t>
      </w:r>
    </w:p>
    <w:p>
      <w:pPr>
        <w:spacing w:line="600" w:lineRule="exact"/>
        <w:ind w:firstLine="294" w:firstLineChars="140"/>
        <w:jc w:val="left"/>
        <w:rPr>
          <w:rFonts w:ascii="宋体" w:hAnsi="宋体"/>
          <w:bCs/>
          <w:color w:val="auto"/>
          <w:szCs w:val="21"/>
          <w:highlight w:val="none"/>
        </w:rPr>
      </w:pPr>
      <w:r>
        <w:rPr>
          <w:rFonts w:hint="eastAsia" w:ascii="宋体" w:hAnsi="宋体"/>
          <w:bCs/>
          <w:color w:val="auto"/>
          <w:szCs w:val="21"/>
          <w:highlight w:val="none"/>
        </w:rPr>
        <w:t>……</w:t>
      </w:r>
    </w:p>
    <w:p>
      <w:pPr>
        <w:spacing w:line="600" w:lineRule="exact"/>
        <w:ind w:firstLine="294" w:firstLineChars="140"/>
        <w:jc w:val="left"/>
        <w:rPr>
          <w:rFonts w:ascii="宋体" w:hAnsi="宋体"/>
          <w:bCs/>
          <w:color w:val="auto"/>
          <w:szCs w:val="21"/>
          <w:highlight w:val="none"/>
        </w:rPr>
      </w:pPr>
      <w:r>
        <w:rPr>
          <w:rFonts w:hint="eastAsia" w:ascii="宋体" w:hAnsi="宋体"/>
          <w:bCs/>
          <w:color w:val="auto"/>
          <w:szCs w:val="21"/>
          <w:highlight w:val="none"/>
        </w:rPr>
        <w:t>以上企业，不属于大企业的分支机构，不存在控股股东为大企业的情形，也不存在与大企业的负责人为同一人的情形。</w:t>
      </w:r>
    </w:p>
    <w:p>
      <w:pPr>
        <w:spacing w:line="600" w:lineRule="exact"/>
        <w:ind w:firstLine="294" w:firstLineChars="140"/>
        <w:jc w:val="left"/>
        <w:rPr>
          <w:rFonts w:ascii="宋体" w:hAnsi="宋体"/>
          <w:bCs/>
          <w:color w:val="auto"/>
          <w:szCs w:val="21"/>
          <w:highlight w:val="none"/>
        </w:rPr>
      </w:pPr>
      <w:r>
        <w:rPr>
          <w:rFonts w:hint="eastAsia" w:ascii="宋体" w:hAnsi="宋体"/>
          <w:bCs/>
          <w:color w:val="auto"/>
          <w:szCs w:val="21"/>
          <w:highlight w:val="none"/>
        </w:rPr>
        <w:t>本企业对上述声明内容的真实性负责。如有虚假，将依法承担相应责任。</w:t>
      </w:r>
    </w:p>
    <w:p>
      <w:pPr>
        <w:spacing w:line="400" w:lineRule="exact"/>
        <w:rPr>
          <w:color w:val="auto"/>
          <w:szCs w:val="21"/>
          <w:highlight w:val="none"/>
        </w:rPr>
      </w:pPr>
    </w:p>
    <w:p>
      <w:pPr>
        <w:spacing w:line="400" w:lineRule="exact"/>
        <w:rPr>
          <w:color w:val="auto"/>
          <w:szCs w:val="21"/>
          <w:highlight w:val="none"/>
        </w:rPr>
      </w:pPr>
    </w:p>
    <w:p>
      <w:pPr>
        <w:spacing w:line="400" w:lineRule="exact"/>
        <w:rPr>
          <w:color w:val="auto"/>
          <w:szCs w:val="21"/>
          <w:highlight w:val="none"/>
        </w:rPr>
      </w:pPr>
    </w:p>
    <w:p>
      <w:pPr>
        <w:spacing w:line="500" w:lineRule="exact"/>
        <w:ind w:right="451" w:rightChars="215" w:firstLine="3570" w:firstLineChars="1700"/>
        <w:jc w:val="center"/>
        <w:rPr>
          <w:rFonts w:ascii="宋体" w:hAnsi="宋体"/>
          <w:bCs/>
          <w:color w:val="auto"/>
          <w:szCs w:val="21"/>
          <w:highlight w:val="none"/>
        </w:rPr>
      </w:pPr>
      <w:r>
        <w:rPr>
          <w:rFonts w:hint="eastAsia" w:ascii="宋体" w:hAnsi="宋体"/>
          <w:bCs/>
          <w:color w:val="auto"/>
          <w:szCs w:val="21"/>
          <w:highlight w:val="none"/>
        </w:rPr>
        <w:t>企业名称（盖章）：</w:t>
      </w:r>
    </w:p>
    <w:p>
      <w:pPr>
        <w:spacing w:line="500" w:lineRule="exact"/>
        <w:ind w:right="309" w:rightChars="147" w:firstLine="5460" w:firstLineChars="2600"/>
        <w:rPr>
          <w:rFonts w:ascii="宋体" w:hAnsi="宋体"/>
          <w:bCs/>
          <w:color w:val="auto"/>
          <w:szCs w:val="21"/>
          <w:highlight w:val="none"/>
        </w:rPr>
      </w:pPr>
      <w:r>
        <w:rPr>
          <w:rFonts w:hint="eastAsia" w:ascii="宋体" w:hAnsi="宋体"/>
          <w:bCs/>
          <w:color w:val="auto"/>
          <w:szCs w:val="21"/>
          <w:highlight w:val="none"/>
        </w:rPr>
        <w:t>日 期：</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spacing w:line="320" w:lineRule="exact"/>
        <w:jc w:val="left"/>
        <w:rPr>
          <w:rFonts w:hAnsi="宋体"/>
          <w:bCs/>
          <w:color w:val="auto"/>
          <w:sz w:val="18"/>
          <w:szCs w:val="18"/>
          <w:highlight w:val="none"/>
        </w:rPr>
      </w:pPr>
      <w:bookmarkStart w:id="135" w:name="_Hlk82091879"/>
      <w:r>
        <w:rPr>
          <w:rFonts w:hAnsi="宋体"/>
          <w:bCs/>
          <w:color w:val="auto"/>
          <w:sz w:val="18"/>
          <w:szCs w:val="18"/>
          <w:highlight w:val="none"/>
        </w:rPr>
        <w:fldChar w:fldCharType="begin"/>
      </w:r>
      <w:r>
        <w:rPr>
          <w:rFonts w:hAnsi="宋体"/>
          <w:bCs/>
          <w:color w:val="auto"/>
          <w:sz w:val="18"/>
          <w:szCs w:val="18"/>
          <w:highlight w:val="none"/>
        </w:rPr>
        <w:instrText xml:space="preserve">EQ \* jc2 \* hps9 \o\ad(\s\up 8(</w:instrText>
      </w:r>
      <w:r>
        <w:rPr>
          <w:rFonts w:ascii="宋体" w:hAnsi="宋体"/>
          <w:bCs/>
          <w:color w:val="auto"/>
          <w:sz w:val="18"/>
          <w:szCs w:val="18"/>
          <w:highlight w:val="none"/>
        </w:rPr>
        <w:instrText xml:space="preserve">——</w:instrText>
      </w:r>
      <w:r>
        <w:rPr>
          <w:rFonts w:hAnsi="宋体"/>
          <w:bCs/>
          <w:color w:val="auto"/>
          <w:sz w:val="18"/>
          <w:szCs w:val="18"/>
          <w:highlight w:val="none"/>
        </w:rPr>
        <w:instrText xml:space="preserve">),从)</w:instrText>
      </w:r>
      <w:r>
        <w:rPr>
          <w:rFonts w:hAnsi="宋体"/>
          <w:bCs/>
          <w:color w:val="auto"/>
          <w:sz w:val="18"/>
          <w:szCs w:val="18"/>
          <w:highlight w:val="none"/>
        </w:rPr>
        <w:fldChar w:fldCharType="end"/>
      </w:r>
      <w:r>
        <w:rPr>
          <w:rFonts w:hAnsi="宋体"/>
          <w:bCs/>
          <w:color w:val="auto"/>
          <w:sz w:val="18"/>
          <w:szCs w:val="18"/>
          <w:highlight w:val="none"/>
        </w:rPr>
        <w:fldChar w:fldCharType="begin"/>
      </w:r>
      <w:r>
        <w:rPr>
          <w:rFonts w:hAnsi="宋体"/>
          <w:bCs/>
          <w:color w:val="auto"/>
          <w:sz w:val="18"/>
          <w:szCs w:val="18"/>
          <w:highlight w:val="none"/>
        </w:rPr>
        <w:instrText xml:space="preserve">EQ \* jc2 \* hps9 \o\ad(\s\up 8(</w:instrText>
      </w:r>
      <w:r>
        <w:rPr>
          <w:rFonts w:ascii="宋体" w:hAnsi="宋体"/>
          <w:bCs/>
          <w:color w:val="auto"/>
          <w:sz w:val="18"/>
          <w:szCs w:val="18"/>
          <w:highlight w:val="none"/>
        </w:rPr>
        <w:instrText xml:space="preserve">——</w:instrText>
      </w:r>
      <w:r>
        <w:rPr>
          <w:rFonts w:hAnsi="宋体"/>
          <w:bCs/>
          <w:color w:val="auto"/>
          <w:sz w:val="18"/>
          <w:szCs w:val="18"/>
          <w:highlight w:val="none"/>
        </w:rPr>
        <w:instrText xml:space="preserve">),业)</w:instrText>
      </w:r>
      <w:r>
        <w:rPr>
          <w:rFonts w:hAnsi="宋体"/>
          <w:bCs/>
          <w:color w:val="auto"/>
          <w:sz w:val="18"/>
          <w:szCs w:val="18"/>
          <w:highlight w:val="none"/>
        </w:rPr>
        <w:fldChar w:fldCharType="end"/>
      </w:r>
      <w:r>
        <w:rPr>
          <w:rFonts w:hAnsi="宋体"/>
          <w:bCs/>
          <w:color w:val="auto"/>
          <w:sz w:val="18"/>
          <w:szCs w:val="18"/>
          <w:highlight w:val="none"/>
        </w:rPr>
        <w:fldChar w:fldCharType="begin"/>
      </w:r>
      <w:r>
        <w:rPr>
          <w:rFonts w:hAnsi="宋体"/>
          <w:bCs/>
          <w:color w:val="auto"/>
          <w:sz w:val="18"/>
          <w:szCs w:val="18"/>
          <w:highlight w:val="none"/>
        </w:rPr>
        <w:instrText xml:space="preserve">EQ \* jc2 \* hps9 \o\ad(\s\up 8(</w:instrText>
      </w:r>
      <w:r>
        <w:rPr>
          <w:rFonts w:ascii="宋体" w:hAnsi="宋体"/>
          <w:bCs/>
          <w:color w:val="auto"/>
          <w:sz w:val="18"/>
          <w:szCs w:val="18"/>
          <w:highlight w:val="none"/>
        </w:rPr>
        <w:instrText xml:space="preserve">——</w:instrText>
      </w:r>
      <w:r>
        <w:rPr>
          <w:rFonts w:hAnsi="宋体"/>
          <w:bCs/>
          <w:color w:val="auto"/>
          <w:sz w:val="18"/>
          <w:szCs w:val="18"/>
          <w:highlight w:val="none"/>
        </w:rPr>
        <w:instrText xml:space="preserve">),人)</w:instrText>
      </w:r>
      <w:r>
        <w:rPr>
          <w:rFonts w:hAnsi="宋体"/>
          <w:bCs/>
          <w:color w:val="auto"/>
          <w:sz w:val="18"/>
          <w:szCs w:val="18"/>
          <w:highlight w:val="none"/>
        </w:rPr>
        <w:fldChar w:fldCharType="end"/>
      </w:r>
      <w:r>
        <w:rPr>
          <w:rFonts w:hAnsi="宋体"/>
          <w:bCs/>
          <w:color w:val="auto"/>
          <w:sz w:val="18"/>
          <w:szCs w:val="18"/>
          <w:highlight w:val="none"/>
        </w:rPr>
        <w:fldChar w:fldCharType="begin"/>
      </w:r>
      <w:r>
        <w:rPr>
          <w:rFonts w:hAnsi="宋体"/>
          <w:bCs/>
          <w:color w:val="auto"/>
          <w:sz w:val="18"/>
          <w:szCs w:val="18"/>
          <w:highlight w:val="none"/>
        </w:rPr>
        <w:instrText xml:space="preserve">EQ \* jc2 \* hps9 \o\ad(\s\up 8(</w:instrText>
      </w:r>
      <w:r>
        <w:rPr>
          <w:rFonts w:ascii="宋体" w:hAnsi="宋体"/>
          <w:bCs/>
          <w:color w:val="auto"/>
          <w:sz w:val="18"/>
          <w:szCs w:val="18"/>
          <w:highlight w:val="none"/>
        </w:rPr>
        <w:instrText xml:space="preserve">——</w:instrText>
      </w:r>
      <w:r>
        <w:rPr>
          <w:rFonts w:hAnsi="宋体"/>
          <w:bCs/>
          <w:color w:val="auto"/>
          <w:sz w:val="18"/>
          <w:szCs w:val="18"/>
          <w:highlight w:val="none"/>
        </w:rPr>
        <w:instrText xml:space="preserve">),员)</w:instrText>
      </w:r>
      <w:r>
        <w:rPr>
          <w:rFonts w:hAnsi="宋体"/>
          <w:bCs/>
          <w:color w:val="auto"/>
          <w:sz w:val="18"/>
          <w:szCs w:val="18"/>
          <w:highlight w:val="none"/>
        </w:rPr>
        <w:fldChar w:fldCharType="end"/>
      </w:r>
      <w:r>
        <w:rPr>
          <w:rFonts w:hAnsi="宋体"/>
          <w:bCs/>
          <w:color w:val="auto"/>
          <w:sz w:val="18"/>
          <w:szCs w:val="18"/>
          <w:highlight w:val="none"/>
        </w:rPr>
        <w:fldChar w:fldCharType="begin"/>
      </w:r>
      <w:r>
        <w:rPr>
          <w:rFonts w:hAnsi="宋体"/>
          <w:bCs/>
          <w:color w:val="auto"/>
          <w:sz w:val="18"/>
          <w:szCs w:val="18"/>
          <w:highlight w:val="none"/>
        </w:rPr>
        <w:instrText xml:space="preserve">EQ \* jc2 \* hps9 \o\ad(\s\up 8(</w:instrText>
      </w:r>
      <w:r>
        <w:rPr>
          <w:rFonts w:ascii="宋体" w:hAnsi="宋体"/>
          <w:bCs/>
          <w:color w:val="auto"/>
          <w:sz w:val="18"/>
          <w:szCs w:val="18"/>
          <w:highlight w:val="none"/>
        </w:rPr>
        <w:instrText xml:space="preserve">——</w:instrText>
      </w:r>
      <w:r>
        <w:rPr>
          <w:rFonts w:hAnsi="宋体"/>
          <w:bCs/>
          <w:color w:val="auto"/>
          <w:sz w:val="18"/>
          <w:szCs w:val="18"/>
          <w:highlight w:val="none"/>
        </w:rPr>
        <w:instrText xml:space="preserve">),、)</w:instrText>
      </w:r>
      <w:r>
        <w:rPr>
          <w:rFonts w:hAnsi="宋体"/>
          <w:bCs/>
          <w:color w:val="auto"/>
          <w:sz w:val="18"/>
          <w:szCs w:val="18"/>
          <w:highlight w:val="none"/>
        </w:rPr>
        <w:fldChar w:fldCharType="end"/>
      </w:r>
      <w:r>
        <w:rPr>
          <w:rFonts w:hAnsi="宋体"/>
          <w:bCs/>
          <w:color w:val="auto"/>
          <w:sz w:val="18"/>
          <w:szCs w:val="18"/>
          <w:highlight w:val="none"/>
        </w:rPr>
        <w:fldChar w:fldCharType="begin"/>
      </w:r>
      <w:r>
        <w:rPr>
          <w:rFonts w:hAnsi="宋体"/>
          <w:bCs/>
          <w:color w:val="auto"/>
          <w:sz w:val="18"/>
          <w:szCs w:val="18"/>
          <w:highlight w:val="none"/>
        </w:rPr>
        <w:instrText xml:space="preserve">EQ \* jc2 \* hps9 \o\ad(\s\up 8(</w:instrText>
      </w:r>
      <w:r>
        <w:rPr>
          <w:rFonts w:ascii="宋体" w:hAnsi="宋体"/>
          <w:bCs/>
          <w:color w:val="auto"/>
          <w:sz w:val="18"/>
          <w:szCs w:val="18"/>
          <w:highlight w:val="none"/>
        </w:rPr>
        <w:instrText xml:space="preserve">——</w:instrText>
      </w:r>
      <w:r>
        <w:rPr>
          <w:rFonts w:hAnsi="宋体"/>
          <w:bCs/>
          <w:color w:val="auto"/>
          <w:sz w:val="18"/>
          <w:szCs w:val="18"/>
          <w:highlight w:val="none"/>
        </w:rPr>
        <w:instrText xml:space="preserve">),营)</w:instrText>
      </w:r>
      <w:r>
        <w:rPr>
          <w:rFonts w:hAnsi="宋体"/>
          <w:bCs/>
          <w:color w:val="auto"/>
          <w:sz w:val="18"/>
          <w:szCs w:val="18"/>
          <w:highlight w:val="none"/>
        </w:rPr>
        <w:fldChar w:fldCharType="end"/>
      </w:r>
      <w:r>
        <w:rPr>
          <w:rFonts w:hAnsi="宋体"/>
          <w:bCs/>
          <w:color w:val="auto"/>
          <w:sz w:val="18"/>
          <w:szCs w:val="18"/>
          <w:highlight w:val="none"/>
        </w:rPr>
        <w:fldChar w:fldCharType="begin"/>
      </w:r>
      <w:r>
        <w:rPr>
          <w:rFonts w:hAnsi="宋体"/>
          <w:bCs/>
          <w:color w:val="auto"/>
          <w:sz w:val="18"/>
          <w:szCs w:val="18"/>
          <w:highlight w:val="none"/>
        </w:rPr>
        <w:instrText xml:space="preserve">EQ \* jc2 \* hps9 \o\ad(\s\up 8(</w:instrText>
      </w:r>
      <w:r>
        <w:rPr>
          <w:rFonts w:ascii="宋体" w:hAnsi="宋体"/>
          <w:bCs/>
          <w:color w:val="auto"/>
          <w:sz w:val="18"/>
          <w:szCs w:val="18"/>
          <w:highlight w:val="none"/>
        </w:rPr>
        <w:instrText xml:space="preserve">——</w:instrText>
      </w:r>
      <w:r>
        <w:rPr>
          <w:rFonts w:hAnsi="宋体"/>
          <w:bCs/>
          <w:color w:val="auto"/>
          <w:sz w:val="18"/>
          <w:szCs w:val="18"/>
          <w:highlight w:val="none"/>
        </w:rPr>
        <w:instrText xml:space="preserve">),业)</w:instrText>
      </w:r>
      <w:r>
        <w:rPr>
          <w:rFonts w:hAnsi="宋体"/>
          <w:bCs/>
          <w:color w:val="auto"/>
          <w:sz w:val="18"/>
          <w:szCs w:val="18"/>
          <w:highlight w:val="none"/>
        </w:rPr>
        <w:fldChar w:fldCharType="end"/>
      </w:r>
      <w:r>
        <w:rPr>
          <w:rFonts w:hAnsi="宋体"/>
          <w:bCs/>
          <w:color w:val="auto"/>
          <w:sz w:val="18"/>
          <w:szCs w:val="18"/>
          <w:highlight w:val="none"/>
        </w:rPr>
        <w:fldChar w:fldCharType="begin"/>
      </w:r>
      <w:r>
        <w:rPr>
          <w:rFonts w:hAnsi="宋体"/>
          <w:bCs/>
          <w:color w:val="auto"/>
          <w:sz w:val="18"/>
          <w:szCs w:val="18"/>
          <w:highlight w:val="none"/>
        </w:rPr>
        <w:instrText xml:space="preserve">EQ \* jc2 \* hps9 \o\ad(\s\up 8(</w:instrText>
      </w:r>
      <w:r>
        <w:rPr>
          <w:rFonts w:ascii="宋体" w:hAnsi="宋体"/>
          <w:bCs/>
          <w:color w:val="auto"/>
          <w:sz w:val="18"/>
          <w:szCs w:val="18"/>
          <w:highlight w:val="none"/>
        </w:rPr>
        <w:instrText xml:space="preserve">——</w:instrText>
      </w:r>
      <w:r>
        <w:rPr>
          <w:rFonts w:hAnsi="宋体"/>
          <w:bCs/>
          <w:color w:val="auto"/>
          <w:sz w:val="18"/>
          <w:szCs w:val="18"/>
          <w:highlight w:val="none"/>
        </w:rPr>
        <w:instrText xml:space="preserve">),收)</w:instrText>
      </w:r>
      <w:r>
        <w:rPr>
          <w:rFonts w:hAnsi="宋体"/>
          <w:bCs/>
          <w:color w:val="auto"/>
          <w:sz w:val="18"/>
          <w:szCs w:val="18"/>
          <w:highlight w:val="none"/>
        </w:rPr>
        <w:fldChar w:fldCharType="end"/>
      </w:r>
      <w:r>
        <w:rPr>
          <w:rFonts w:hAnsi="宋体"/>
          <w:bCs/>
          <w:color w:val="auto"/>
          <w:sz w:val="18"/>
          <w:szCs w:val="18"/>
          <w:highlight w:val="none"/>
        </w:rPr>
        <w:fldChar w:fldCharType="begin"/>
      </w:r>
      <w:r>
        <w:rPr>
          <w:rFonts w:hAnsi="宋体"/>
          <w:bCs/>
          <w:color w:val="auto"/>
          <w:sz w:val="18"/>
          <w:szCs w:val="18"/>
          <w:highlight w:val="none"/>
        </w:rPr>
        <w:instrText xml:space="preserve">EQ \* jc2 \* hps9 \o\ad(\s\up 8(</w:instrText>
      </w:r>
      <w:r>
        <w:rPr>
          <w:rFonts w:ascii="宋体" w:hAnsi="宋体"/>
          <w:bCs/>
          <w:color w:val="auto"/>
          <w:sz w:val="18"/>
          <w:szCs w:val="18"/>
          <w:highlight w:val="none"/>
        </w:rPr>
        <w:instrText xml:space="preserve">——</w:instrText>
      </w:r>
      <w:r>
        <w:rPr>
          <w:rFonts w:hAnsi="宋体"/>
          <w:bCs/>
          <w:color w:val="auto"/>
          <w:sz w:val="18"/>
          <w:szCs w:val="18"/>
          <w:highlight w:val="none"/>
        </w:rPr>
        <w:instrText xml:space="preserve">),入)</w:instrText>
      </w:r>
      <w:r>
        <w:rPr>
          <w:rFonts w:hAnsi="宋体"/>
          <w:bCs/>
          <w:color w:val="auto"/>
          <w:sz w:val="18"/>
          <w:szCs w:val="18"/>
          <w:highlight w:val="none"/>
        </w:rPr>
        <w:fldChar w:fldCharType="end"/>
      </w:r>
      <w:r>
        <w:rPr>
          <w:rFonts w:hAnsi="宋体"/>
          <w:bCs/>
          <w:color w:val="auto"/>
          <w:sz w:val="18"/>
          <w:szCs w:val="18"/>
          <w:highlight w:val="none"/>
        </w:rPr>
        <w:fldChar w:fldCharType="begin"/>
      </w:r>
      <w:r>
        <w:rPr>
          <w:rFonts w:hAnsi="宋体"/>
          <w:bCs/>
          <w:color w:val="auto"/>
          <w:sz w:val="18"/>
          <w:szCs w:val="18"/>
          <w:highlight w:val="none"/>
        </w:rPr>
        <w:instrText xml:space="preserve">EQ \* jc2 \* hps9 \o\ad(\s\up 8(</w:instrText>
      </w:r>
      <w:r>
        <w:rPr>
          <w:rFonts w:ascii="宋体" w:hAnsi="宋体"/>
          <w:bCs/>
          <w:color w:val="auto"/>
          <w:sz w:val="18"/>
          <w:szCs w:val="18"/>
          <w:highlight w:val="none"/>
        </w:rPr>
        <w:instrText xml:space="preserve">——</w:instrText>
      </w:r>
      <w:r>
        <w:rPr>
          <w:rFonts w:hAnsi="宋体"/>
          <w:bCs/>
          <w:color w:val="auto"/>
          <w:sz w:val="18"/>
          <w:szCs w:val="18"/>
          <w:highlight w:val="none"/>
        </w:rPr>
        <w:instrText xml:space="preserve">),、)</w:instrText>
      </w:r>
      <w:r>
        <w:rPr>
          <w:rFonts w:hAnsi="宋体"/>
          <w:bCs/>
          <w:color w:val="auto"/>
          <w:sz w:val="18"/>
          <w:szCs w:val="18"/>
          <w:highlight w:val="none"/>
        </w:rPr>
        <w:fldChar w:fldCharType="end"/>
      </w:r>
      <w:r>
        <w:rPr>
          <w:rFonts w:hAnsi="宋体"/>
          <w:bCs/>
          <w:color w:val="auto"/>
          <w:sz w:val="18"/>
          <w:szCs w:val="18"/>
          <w:highlight w:val="none"/>
        </w:rPr>
        <w:fldChar w:fldCharType="begin"/>
      </w:r>
      <w:r>
        <w:rPr>
          <w:rFonts w:hAnsi="宋体"/>
          <w:bCs/>
          <w:color w:val="auto"/>
          <w:sz w:val="18"/>
          <w:szCs w:val="18"/>
          <w:highlight w:val="none"/>
        </w:rPr>
        <w:instrText xml:space="preserve">EQ \* jc2 \* hps9 \o\ad(\s\up 8(</w:instrText>
      </w:r>
      <w:r>
        <w:rPr>
          <w:rFonts w:ascii="宋体" w:hAnsi="宋体"/>
          <w:bCs/>
          <w:color w:val="auto"/>
          <w:sz w:val="18"/>
          <w:szCs w:val="18"/>
          <w:highlight w:val="none"/>
        </w:rPr>
        <w:instrText xml:space="preserve">——</w:instrText>
      </w:r>
      <w:r>
        <w:rPr>
          <w:rFonts w:hAnsi="宋体"/>
          <w:bCs/>
          <w:color w:val="auto"/>
          <w:sz w:val="18"/>
          <w:szCs w:val="18"/>
          <w:highlight w:val="none"/>
        </w:rPr>
        <w:instrText xml:space="preserve">),资)</w:instrText>
      </w:r>
      <w:r>
        <w:rPr>
          <w:rFonts w:hAnsi="宋体"/>
          <w:bCs/>
          <w:color w:val="auto"/>
          <w:sz w:val="18"/>
          <w:szCs w:val="18"/>
          <w:highlight w:val="none"/>
        </w:rPr>
        <w:fldChar w:fldCharType="end"/>
      </w:r>
      <w:r>
        <w:rPr>
          <w:rFonts w:hAnsi="宋体"/>
          <w:bCs/>
          <w:color w:val="auto"/>
          <w:sz w:val="18"/>
          <w:szCs w:val="18"/>
          <w:highlight w:val="none"/>
        </w:rPr>
        <w:fldChar w:fldCharType="begin"/>
      </w:r>
      <w:r>
        <w:rPr>
          <w:rFonts w:hAnsi="宋体"/>
          <w:bCs/>
          <w:color w:val="auto"/>
          <w:sz w:val="18"/>
          <w:szCs w:val="18"/>
          <w:highlight w:val="none"/>
        </w:rPr>
        <w:instrText xml:space="preserve">EQ \* jc2 \* hps9 \o\ad(\s\up 8(</w:instrText>
      </w:r>
      <w:r>
        <w:rPr>
          <w:rFonts w:ascii="宋体" w:hAnsi="宋体"/>
          <w:bCs/>
          <w:color w:val="auto"/>
          <w:sz w:val="18"/>
          <w:szCs w:val="18"/>
          <w:highlight w:val="none"/>
        </w:rPr>
        <w:instrText xml:space="preserve">——</w:instrText>
      </w:r>
      <w:r>
        <w:rPr>
          <w:rFonts w:hAnsi="宋体"/>
          <w:bCs/>
          <w:color w:val="auto"/>
          <w:sz w:val="18"/>
          <w:szCs w:val="18"/>
          <w:highlight w:val="none"/>
        </w:rPr>
        <w:instrText xml:space="preserve">),产)</w:instrText>
      </w:r>
      <w:r>
        <w:rPr>
          <w:rFonts w:hAnsi="宋体"/>
          <w:bCs/>
          <w:color w:val="auto"/>
          <w:sz w:val="18"/>
          <w:szCs w:val="18"/>
          <w:highlight w:val="none"/>
        </w:rPr>
        <w:fldChar w:fldCharType="end"/>
      </w:r>
      <w:r>
        <w:rPr>
          <w:rFonts w:hAnsi="宋体"/>
          <w:bCs/>
          <w:color w:val="auto"/>
          <w:sz w:val="18"/>
          <w:szCs w:val="18"/>
          <w:highlight w:val="none"/>
        </w:rPr>
        <w:fldChar w:fldCharType="begin"/>
      </w:r>
      <w:r>
        <w:rPr>
          <w:rFonts w:hAnsi="宋体"/>
          <w:bCs/>
          <w:color w:val="auto"/>
          <w:sz w:val="18"/>
          <w:szCs w:val="18"/>
          <w:highlight w:val="none"/>
        </w:rPr>
        <w:instrText xml:space="preserve">EQ \* jc2 \* hps9 \o\ad(\s\up 8(</w:instrText>
      </w:r>
      <w:r>
        <w:rPr>
          <w:rFonts w:ascii="宋体" w:hAnsi="宋体"/>
          <w:bCs/>
          <w:color w:val="auto"/>
          <w:sz w:val="18"/>
          <w:szCs w:val="18"/>
          <w:highlight w:val="none"/>
        </w:rPr>
        <w:instrText xml:space="preserve">——</w:instrText>
      </w:r>
      <w:r>
        <w:rPr>
          <w:rFonts w:hAnsi="宋体"/>
          <w:bCs/>
          <w:color w:val="auto"/>
          <w:sz w:val="18"/>
          <w:szCs w:val="18"/>
          <w:highlight w:val="none"/>
        </w:rPr>
        <w:instrText xml:space="preserve">),总)</w:instrText>
      </w:r>
      <w:r>
        <w:rPr>
          <w:rFonts w:hAnsi="宋体"/>
          <w:bCs/>
          <w:color w:val="auto"/>
          <w:sz w:val="18"/>
          <w:szCs w:val="18"/>
          <w:highlight w:val="none"/>
        </w:rPr>
        <w:fldChar w:fldCharType="end"/>
      </w:r>
      <w:r>
        <w:rPr>
          <w:rFonts w:hAnsi="宋体"/>
          <w:bCs/>
          <w:color w:val="auto"/>
          <w:sz w:val="18"/>
          <w:szCs w:val="18"/>
          <w:highlight w:val="none"/>
        </w:rPr>
        <w:fldChar w:fldCharType="begin"/>
      </w:r>
      <w:r>
        <w:rPr>
          <w:rFonts w:hAnsi="宋体"/>
          <w:bCs/>
          <w:color w:val="auto"/>
          <w:sz w:val="18"/>
          <w:szCs w:val="18"/>
          <w:highlight w:val="none"/>
        </w:rPr>
        <w:instrText xml:space="preserve">EQ \* jc2 \* hps9 \o\ad(\s\up 8(</w:instrText>
      </w:r>
      <w:r>
        <w:rPr>
          <w:rFonts w:ascii="宋体" w:hAnsi="宋体"/>
          <w:bCs/>
          <w:color w:val="auto"/>
          <w:sz w:val="18"/>
          <w:szCs w:val="18"/>
          <w:highlight w:val="none"/>
        </w:rPr>
        <w:instrText xml:space="preserve">——</w:instrText>
      </w:r>
      <w:r>
        <w:rPr>
          <w:rFonts w:hAnsi="宋体"/>
          <w:bCs/>
          <w:color w:val="auto"/>
          <w:sz w:val="18"/>
          <w:szCs w:val="18"/>
          <w:highlight w:val="none"/>
        </w:rPr>
        <w:instrText xml:space="preserve">),额)</w:instrText>
      </w:r>
      <w:r>
        <w:rPr>
          <w:rFonts w:hAnsi="宋体"/>
          <w:bCs/>
          <w:color w:val="auto"/>
          <w:sz w:val="18"/>
          <w:szCs w:val="18"/>
          <w:highlight w:val="none"/>
        </w:rPr>
        <w:fldChar w:fldCharType="end"/>
      </w:r>
      <w:r>
        <w:rPr>
          <w:rFonts w:hAnsi="宋体"/>
          <w:bCs/>
          <w:color w:val="auto"/>
          <w:sz w:val="18"/>
          <w:szCs w:val="18"/>
          <w:highlight w:val="none"/>
        </w:rPr>
        <w:fldChar w:fldCharType="begin"/>
      </w:r>
      <w:r>
        <w:rPr>
          <w:rFonts w:hAnsi="宋体"/>
          <w:bCs/>
          <w:color w:val="auto"/>
          <w:sz w:val="18"/>
          <w:szCs w:val="18"/>
          <w:highlight w:val="none"/>
        </w:rPr>
        <w:instrText xml:space="preserve">EQ \* jc2 \* hps9 \o\ad(\s\up 8(</w:instrText>
      </w:r>
      <w:r>
        <w:rPr>
          <w:rFonts w:ascii="宋体" w:hAnsi="宋体"/>
          <w:bCs/>
          <w:color w:val="auto"/>
          <w:sz w:val="18"/>
          <w:szCs w:val="18"/>
          <w:highlight w:val="none"/>
        </w:rPr>
        <w:instrText xml:space="preserve">——</w:instrText>
      </w:r>
      <w:r>
        <w:rPr>
          <w:rFonts w:hAnsi="宋体"/>
          <w:bCs/>
          <w:color w:val="auto"/>
          <w:sz w:val="18"/>
          <w:szCs w:val="18"/>
          <w:highlight w:val="none"/>
        </w:rPr>
        <w:instrText xml:space="preserve">),填)</w:instrText>
      </w:r>
      <w:r>
        <w:rPr>
          <w:rFonts w:hAnsi="宋体"/>
          <w:bCs/>
          <w:color w:val="auto"/>
          <w:sz w:val="18"/>
          <w:szCs w:val="18"/>
          <w:highlight w:val="none"/>
        </w:rPr>
        <w:fldChar w:fldCharType="end"/>
      </w:r>
      <w:r>
        <w:rPr>
          <w:rFonts w:hAnsi="宋体"/>
          <w:bCs/>
          <w:color w:val="auto"/>
          <w:sz w:val="18"/>
          <w:szCs w:val="18"/>
          <w:highlight w:val="none"/>
        </w:rPr>
        <w:fldChar w:fldCharType="begin"/>
      </w:r>
      <w:r>
        <w:rPr>
          <w:rFonts w:hAnsi="宋体"/>
          <w:bCs/>
          <w:color w:val="auto"/>
          <w:sz w:val="18"/>
          <w:szCs w:val="18"/>
          <w:highlight w:val="none"/>
        </w:rPr>
        <w:instrText xml:space="preserve">EQ \* jc2 \* hps9 \o\ad(\s\up 8(</w:instrText>
      </w:r>
      <w:r>
        <w:rPr>
          <w:rFonts w:ascii="宋体" w:hAnsi="宋体"/>
          <w:bCs/>
          <w:color w:val="auto"/>
          <w:sz w:val="18"/>
          <w:szCs w:val="18"/>
          <w:highlight w:val="none"/>
        </w:rPr>
        <w:instrText xml:space="preserve">——</w:instrText>
      </w:r>
      <w:r>
        <w:rPr>
          <w:rFonts w:hAnsi="宋体"/>
          <w:bCs/>
          <w:color w:val="auto"/>
          <w:sz w:val="18"/>
          <w:szCs w:val="18"/>
          <w:highlight w:val="none"/>
        </w:rPr>
        <w:instrText xml:space="preserve">),报)</w:instrText>
      </w:r>
      <w:r>
        <w:rPr>
          <w:rFonts w:hAnsi="宋体"/>
          <w:bCs/>
          <w:color w:val="auto"/>
          <w:sz w:val="18"/>
          <w:szCs w:val="18"/>
          <w:highlight w:val="none"/>
        </w:rPr>
        <w:fldChar w:fldCharType="end"/>
      </w:r>
      <w:bookmarkEnd w:id="135"/>
      <w:r>
        <w:rPr>
          <w:rFonts w:hint="eastAsia" w:hAnsi="宋体"/>
          <w:bCs/>
          <w:color w:val="auto"/>
          <w:sz w:val="18"/>
          <w:szCs w:val="18"/>
          <w:highlight w:val="none"/>
        </w:rPr>
        <w:t>上一年度数据，无上一年度数据的新成立企业可不填报。</w:t>
      </w:r>
      <w:bookmarkEnd w:id="128"/>
    </w:p>
    <w:p>
      <w:pPr>
        <w:pStyle w:val="5"/>
        <w:rPr>
          <w:color w:val="auto"/>
          <w:highlight w:val="none"/>
        </w:rPr>
      </w:pPr>
      <w:r>
        <w:rPr>
          <w:color w:val="auto"/>
          <w:highlight w:val="none"/>
        </w:rPr>
        <w:br w:type="page"/>
      </w:r>
    </w:p>
    <w:tbl>
      <w:tblPr>
        <w:tblStyle w:val="42"/>
        <w:tblW w:w="9952" w:type="dxa"/>
        <w:tblInd w:w="150" w:type="dxa"/>
        <w:shd w:val="clear" w:color="auto" w:fill="FFFFFF"/>
        <w:tblLayout w:type="fixed"/>
        <w:tblCellMar>
          <w:top w:w="15" w:type="dxa"/>
          <w:left w:w="15" w:type="dxa"/>
          <w:bottom w:w="15" w:type="dxa"/>
          <w:right w:w="15" w:type="dxa"/>
        </w:tblCellMar>
      </w:tblPr>
      <w:tblGrid>
        <w:gridCol w:w="2127"/>
        <w:gridCol w:w="1413"/>
        <w:gridCol w:w="714"/>
        <w:gridCol w:w="1275"/>
        <w:gridCol w:w="1843"/>
        <w:gridCol w:w="1559"/>
        <w:gridCol w:w="1021"/>
      </w:tblGrid>
      <w:tr>
        <w:tblPrEx>
          <w:shd w:val="clear" w:color="auto" w:fill="FFFFFF"/>
          <w:tblCellMar>
            <w:top w:w="15" w:type="dxa"/>
            <w:left w:w="15" w:type="dxa"/>
            <w:bottom w:w="15" w:type="dxa"/>
            <w:right w:w="15" w:type="dxa"/>
          </w:tblCellMar>
        </w:tblPrEx>
        <w:trPr>
          <w:trHeight w:val="330" w:hRule="atLeast"/>
        </w:trPr>
        <w:tc>
          <w:tcPr>
            <w:tcW w:w="9952" w:type="dxa"/>
            <w:gridSpan w:val="7"/>
            <w:tcBorders>
              <w:top w:val="nil"/>
              <w:left w:val="nil"/>
              <w:bottom w:val="single" w:color="auto" w:sz="6" w:space="0"/>
              <w:right w:val="nil"/>
            </w:tcBorders>
            <w:shd w:val="clear" w:color="auto" w:fill="FFFFFF"/>
            <w:tcMar>
              <w:top w:w="30" w:type="dxa"/>
              <w:left w:w="150" w:type="dxa"/>
              <w:bottom w:w="30" w:type="dxa"/>
              <w:right w:w="150" w:type="dxa"/>
            </w:tcMar>
            <w:vAlign w:val="center"/>
          </w:tcPr>
          <w:p>
            <w:pPr>
              <w:widowControl/>
              <w:spacing w:line="440" w:lineRule="exact"/>
              <w:jc w:val="center"/>
              <w:rPr>
                <w:rFonts w:ascii="Helvetica" w:hAnsi="Helvetica" w:cs="Helvetica"/>
                <w:b/>
                <w:bCs/>
                <w:color w:val="auto"/>
                <w:kern w:val="0"/>
                <w:szCs w:val="21"/>
                <w:highlight w:val="none"/>
              </w:rPr>
            </w:pPr>
            <w:bookmarkStart w:id="136" w:name="_Hlk147826091"/>
            <w:r>
              <w:rPr>
                <w:rFonts w:ascii="Helvetica" w:hAnsi="Helvetica" w:cs="Helvetica"/>
                <w:b/>
                <w:bCs/>
                <w:color w:val="auto"/>
                <w:kern w:val="0"/>
                <w:szCs w:val="21"/>
                <w:highlight w:val="none"/>
              </w:rPr>
              <w:t>大中小微型企业划分标准</w:t>
            </w:r>
          </w:p>
        </w:tc>
      </w:tr>
      <w:tr>
        <w:tblPrEx>
          <w:shd w:val="clear" w:color="auto" w:fill="FFFFFF"/>
          <w:tblCellMar>
            <w:top w:w="15" w:type="dxa"/>
            <w:left w:w="15" w:type="dxa"/>
            <w:bottom w:w="15" w:type="dxa"/>
            <w:right w:w="15" w:type="dxa"/>
          </w:tblCellMar>
        </w:tblPrEx>
        <w:trPr>
          <w:trHeight w:val="330" w:hRule="atLeast"/>
        </w:trPr>
        <w:tc>
          <w:tcPr>
            <w:tcW w:w="2127"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bookmarkStart w:id="137" w:name="_Hlk143699200"/>
            <w:r>
              <w:rPr>
                <w:rFonts w:ascii="Helvetica" w:hAnsi="Helvetica" w:cs="Helvetica"/>
                <w:b/>
                <w:bCs/>
                <w:color w:val="auto"/>
                <w:kern w:val="0"/>
                <w:sz w:val="18"/>
                <w:szCs w:val="18"/>
                <w:highlight w:val="none"/>
              </w:rPr>
              <w:t>行业名称</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b/>
                <w:bCs/>
                <w:color w:val="auto"/>
                <w:kern w:val="0"/>
                <w:sz w:val="18"/>
                <w:szCs w:val="18"/>
                <w:highlight w:val="none"/>
              </w:rPr>
              <w:t>指标名称</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b/>
                <w:bCs/>
                <w:color w:val="auto"/>
                <w:kern w:val="0"/>
                <w:sz w:val="18"/>
                <w:szCs w:val="18"/>
                <w:highlight w:val="none"/>
              </w:rPr>
              <w:t>计量</w:t>
            </w:r>
          </w:p>
          <w:p>
            <w:pPr>
              <w:widowControl/>
              <w:spacing w:line="340" w:lineRule="exact"/>
              <w:jc w:val="center"/>
              <w:rPr>
                <w:rFonts w:ascii="Helvetica" w:hAnsi="Helvetica" w:cs="Helvetica"/>
                <w:color w:val="auto"/>
                <w:kern w:val="0"/>
                <w:sz w:val="18"/>
                <w:szCs w:val="18"/>
                <w:highlight w:val="none"/>
              </w:rPr>
            </w:pPr>
            <w:r>
              <w:rPr>
                <w:rFonts w:ascii="Helvetica" w:hAnsi="Helvetica" w:cs="Helvetica"/>
                <w:b/>
                <w:bCs/>
                <w:color w:val="auto"/>
                <w:kern w:val="0"/>
                <w:sz w:val="18"/>
                <w:szCs w:val="18"/>
                <w:highlight w:val="none"/>
              </w:rPr>
              <w:t>单位</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b/>
                <w:bCs/>
                <w:color w:val="auto"/>
                <w:kern w:val="0"/>
                <w:sz w:val="18"/>
                <w:szCs w:val="18"/>
                <w:highlight w:val="none"/>
              </w:rPr>
              <w:t>大型</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b/>
                <w:bCs/>
                <w:color w:val="auto"/>
                <w:kern w:val="0"/>
                <w:sz w:val="18"/>
                <w:szCs w:val="18"/>
                <w:highlight w:val="none"/>
              </w:rPr>
              <w:t>中型</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b/>
                <w:bCs/>
                <w:color w:val="auto"/>
                <w:kern w:val="0"/>
                <w:sz w:val="18"/>
                <w:szCs w:val="18"/>
                <w:highlight w:val="none"/>
              </w:rPr>
              <w:t>小型</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b/>
                <w:bCs/>
                <w:color w:val="auto"/>
                <w:kern w:val="0"/>
                <w:sz w:val="18"/>
                <w:szCs w:val="18"/>
                <w:highlight w:val="none"/>
              </w:rPr>
              <w:t>微型</w:t>
            </w:r>
          </w:p>
        </w:tc>
      </w:tr>
      <w:tr>
        <w:tblPrEx>
          <w:shd w:val="clear" w:color="auto" w:fill="FFFFFF"/>
          <w:tblCellMar>
            <w:top w:w="15" w:type="dxa"/>
            <w:left w:w="15" w:type="dxa"/>
            <w:bottom w:w="15" w:type="dxa"/>
            <w:right w:w="15" w:type="dxa"/>
          </w:tblCellMar>
        </w:tblPrEx>
        <w:trPr>
          <w:trHeight w:val="330" w:hRule="atLeast"/>
        </w:trPr>
        <w:tc>
          <w:tcPr>
            <w:tcW w:w="2127"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农、林、牧、渔业</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Y≥20000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500≤Y＜20000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50≤Y＜500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Y＜50</w:t>
            </w:r>
          </w:p>
        </w:tc>
      </w:tr>
      <w:tr>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工业 *</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X≥1000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300≤X＜1000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20≤X＜300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X＜20</w:t>
            </w:r>
          </w:p>
        </w:tc>
      </w:tr>
      <w:tr>
        <w:tblPrEx>
          <w:shd w:val="clear" w:color="auto" w:fill="FFFFFF"/>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Y≥40000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2000≤Y＜40000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300≤Y＜2000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Y＜300</w:t>
            </w:r>
          </w:p>
        </w:tc>
      </w:tr>
      <w:tr>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建筑业</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Y≥80000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6000≤Y＜80000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300≤Y＜6000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Y＜300</w:t>
            </w:r>
          </w:p>
        </w:tc>
      </w:tr>
      <w:tr>
        <w:tblPrEx>
          <w:shd w:val="clear" w:color="auto" w:fill="FFFFFF"/>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资产总额(Z)</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Z≥80000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5000≤Z＜80000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300≤Z＜5000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Z＜300</w:t>
            </w:r>
          </w:p>
        </w:tc>
      </w:tr>
      <w:tr>
        <w:tblPrEx>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批发业</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X≥200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20≤X＜200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5≤X＜20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X＜5</w:t>
            </w:r>
          </w:p>
        </w:tc>
      </w:tr>
      <w:tr>
        <w:tblPrEx>
          <w:shd w:val="clear" w:color="auto" w:fill="FFFFFF"/>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Y≥40000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5000≤Y＜40000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1000≤Y＜5000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Y＜1000</w:t>
            </w:r>
          </w:p>
        </w:tc>
      </w:tr>
      <w:tr>
        <w:tblPrEx>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零售业</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X≥300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50≤X＜300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10≤X＜50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X＜10</w:t>
            </w:r>
          </w:p>
        </w:tc>
      </w:tr>
      <w:tr>
        <w:tblPrEx>
          <w:shd w:val="clear" w:color="auto" w:fill="FFFFFF"/>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Y≥20000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500≤Y＜20000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100≤Y＜500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Y＜100</w:t>
            </w:r>
          </w:p>
        </w:tc>
      </w:tr>
      <w:tr>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交通运输业 *</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X≥1000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300≤X＜1000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20≤X＜300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X＜20</w:t>
            </w:r>
          </w:p>
        </w:tc>
      </w:tr>
      <w:tr>
        <w:tblPrEx>
          <w:shd w:val="clear" w:color="auto" w:fill="FFFFFF"/>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Y≥30000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3000≤Y＜30000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200≤Y＜3000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Y＜200</w:t>
            </w:r>
          </w:p>
        </w:tc>
      </w:tr>
      <w:tr>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仓储业*</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X≥200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100≤X＜200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20≤X＜100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X＜20</w:t>
            </w:r>
          </w:p>
        </w:tc>
      </w:tr>
      <w:tr>
        <w:tblPrEx>
          <w:shd w:val="clear" w:color="auto" w:fill="FFFFFF"/>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Y≥30000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1000≤Y＜30000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100≤Y＜1000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Y＜100</w:t>
            </w:r>
          </w:p>
        </w:tc>
      </w:tr>
      <w:tr>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邮政业</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X≥1000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300≤X＜1000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20≤X＜300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X＜20</w:t>
            </w:r>
          </w:p>
        </w:tc>
      </w:tr>
      <w:tr>
        <w:tblPrEx>
          <w:shd w:val="clear" w:color="auto" w:fill="FFFFFF"/>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Y≥30000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2000≤Y＜30000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100≤Y＜2000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Y＜100</w:t>
            </w:r>
          </w:p>
        </w:tc>
      </w:tr>
      <w:tr>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住宿业</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X≥300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100≤X＜300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10≤X＜100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X＜10</w:t>
            </w:r>
          </w:p>
        </w:tc>
      </w:tr>
      <w:tr>
        <w:tblPrEx>
          <w:shd w:val="clear" w:color="auto" w:fill="FFFFFF"/>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Y≥10000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2000≤Y＜10000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100≤Y＜2000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Y＜100</w:t>
            </w:r>
          </w:p>
        </w:tc>
      </w:tr>
      <w:tr>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餐饮业</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X≥300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100≤X＜300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10≤X＜100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X＜10</w:t>
            </w:r>
          </w:p>
        </w:tc>
      </w:tr>
      <w:tr>
        <w:tblPrEx>
          <w:shd w:val="clear" w:color="auto" w:fill="FFFFFF"/>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Y≥10000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2000≤Y＜10000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100≤Y＜2000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Y＜100</w:t>
            </w:r>
          </w:p>
        </w:tc>
      </w:tr>
      <w:tr>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信息传输业 *</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X≥2000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100≤X＜2000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10≤X＜100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X＜10</w:t>
            </w:r>
          </w:p>
        </w:tc>
      </w:tr>
      <w:tr>
        <w:tblPrEx>
          <w:shd w:val="clear" w:color="auto" w:fill="FFFFFF"/>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Y≥100000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1000≤Y＜100000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100≤Y＜1000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Y＜100</w:t>
            </w:r>
          </w:p>
        </w:tc>
      </w:tr>
      <w:tr>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软件和信息技术服务业</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X≥300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100≤X＜300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10≤X＜100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X＜10</w:t>
            </w:r>
          </w:p>
        </w:tc>
      </w:tr>
      <w:tr>
        <w:tblPrEx>
          <w:shd w:val="clear" w:color="auto" w:fill="FFFFFF"/>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Y≥10000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1000≤Y＜10000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50≤Y＜1000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Y＜50</w:t>
            </w:r>
          </w:p>
        </w:tc>
      </w:tr>
      <w:tr>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房地产开发经营</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Y≥200000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1000≤Y＜200000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100≤Y＜1000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Y＜100</w:t>
            </w:r>
          </w:p>
        </w:tc>
      </w:tr>
      <w:tr>
        <w:tblPrEx>
          <w:shd w:val="clear" w:color="auto" w:fill="FFFFFF"/>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资产总额(Z)</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Z≥10000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5000≤Z＜10000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2000≤Z＜5000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Z＜2000</w:t>
            </w:r>
          </w:p>
        </w:tc>
      </w:tr>
      <w:tr>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物业管理</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X≥1000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300≤X＜1000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100≤X＜300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X＜100</w:t>
            </w:r>
          </w:p>
        </w:tc>
      </w:tr>
      <w:tr>
        <w:tblPrEx>
          <w:shd w:val="clear" w:color="auto" w:fill="FFFFFF"/>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Y≥5000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1000≤Y＜5000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500≤Y＜1000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Y＜500</w:t>
            </w:r>
          </w:p>
        </w:tc>
      </w:tr>
      <w:tr>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租赁和商务服务业</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X≥300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100≤X＜300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10≤X＜100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X＜10</w:t>
            </w:r>
          </w:p>
        </w:tc>
      </w:tr>
      <w:tr>
        <w:tblPrEx>
          <w:shd w:val="clear" w:color="auto" w:fill="FFFFFF"/>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资产总额(Z)</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Z≥120000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8000≤Z＜120000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100≤Z＜8000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Z＜100</w:t>
            </w:r>
          </w:p>
        </w:tc>
      </w:tr>
      <w:tr>
        <w:tblPrEx>
          <w:shd w:val="clear" w:color="auto" w:fill="FFFFFF"/>
          <w:tblCellMar>
            <w:top w:w="15" w:type="dxa"/>
            <w:left w:w="15" w:type="dxa"/>
            <w:bottom w:w="15" w:type="dxa"/>
            <w:right w:w="15" w:type="dxa"/>
          </w:tblCellMar>
        </w:tblPrEx>
        <w:trPr>
          <w:trHeight w:val="330" w:hRule="atLeast"/>
        </w:trPr>
        <w:tc>
          <w:tcPr>
            <w:tcW w:w="2127"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其他未列明行业 *</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X≥300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100≤X＜300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10≤X＜100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X＜10</w:t>
            </w:r>
          </w:p>
        </w:tc>
      </w:tr>
    </w:tbl>
    <w:p>
      <w:pPr>
        <w:widowControl/>
        <w:shd w:val="clear" w:color="auto" w:fill="FFFFFF"/>
        <w:spacing w:line="360" w:lineRule="atLeast"/>
        <w:jc w:val="left"/>
        <w:rPr>
          <w:rFonts w:ascii="Helvetica" w:hAnsi="Helvetica" w:cs="Helvetica"/>
          <w:color w:val="auto"/>
          <w:kern w:val="0"/>
          <w:szCs w:val="21"/>
          <w:highlight w:val="none"/>
        </w:rPr>
      </w:pPr>
    </w:p>
    <w:bookmarkEnd w:id="137"/>
    <w:p>
      <w:pPr>
        <w:widowControl/>
        <w:shd w:val="clear" w:color="auto" w:fill="FFFFFF"/>
        <w:spacing w:line="360" w:lineRule="atLeast"/>
        <w:jc w:val="left"/>
        <w:rPr>
          <w:rFonts w:ascii="Helvetica" w:hAnsi="Helvetica" w:cs="Helvetica"/>
          <w:color w:val="auto"/>
          <w:kern w:val="0"/>
          <w:sz w:val="18"/>
          <w:szCs w:val="18"/>
          <w:highlight w:val="none"/>
        </w:rPr>
      </w:pPr>
      <w:r>
        <w:rPr>
          <w:color w:val="auto"/>
          <w:highlight w:val="none"/>
        </w:rPr>
        <w:br w:type="page"/>
      </w:r>
      <w:r>
        <w:rPr>
          <w:rFonts w:ascii="Helvetica" w:hAnsi="Helvetica" w:cs="Helvetica"/>
          <w:color w:val="auto"/>
          <w:kern w:val="0"/>
          <w:sz w:val="18"/>
          <w:szCs w:val="18"/>
          <w:highlight w:val="none"/>
        </w:rPr>
        <w:t>说明：</w:t>
      </w:r>
    </w:p>
    <w:p>
      <w:pPr>
        <w:widowControl/>
        <w:shd w:val="clear" w:color="auto" w:fill="FFFFFF"/>
        <w:spacing w:line="360" w:lineRule="atLeast"/>
        <w:ind w:firstLine="480"/>
        <w:jc w:val="left"/>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1.大型、中型和小型企业须同时满足所列指标的下限，否则下划一档；微型企业只须满足所列指标中的一项即可。</w:t>
      </w:r>
    </w:p>
    <w:p>
      <w:pPr>
        <w:widowControl/>
        <w:shd w:val="clear" w:color="auto" w:fill="FFFFFF"/>
        <w:spacing w:line="360" w:lineRule="atLeast"/>
        <w:ind w:firstLine="480"/>
        <w:jc w:val="left"/>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w:t>
      </w:r>
      <w:r>
        <w:rPr>
          <w:color w:val="auto"/>
          <w:highlight w:val="none"/>
        </w:rPr>
        <w:fldChar w:fldCharType="begin"/>
      </w:r>
      <w:r>
        <w:rPr>
          <w:color w:val="auto"/>
          <w:highlight w:val="none"/>
        </w:rPr>
        <w:instrText xml:space="preserve"> HYPERLINK "https://baike.baidu.com/item/%E5%A4%9A%E5%BC%8F%E8%81%94%E8%BF%90/3342240?fromModule=lemma_inlink" \t "_blank" </w:instrText>
      </w:r>
      <w:r>
        <w:rPr>
          <w:color w:val="auto"/>
          <w:highlight w:val="none"/>
        </w:rPr>
        <w:fldChar w:fldCharType="separate"/>
      </w:r>
      <w:r>
        <w:rPr>
          <w:rFonts w:ascii="Helvetica" w:hAnsi="Helvetica" w:cs="Helvetica"/>
          <w:color w:val="auto"/>
          <w:kern w:val="0"/>
          <w:sz w:val="18"/>
          <w:szCs w:val="18"/>
          <w:highlight w:val="none"/>
          <w:u w:val="single"/>
        </w:rPr>
        <w:t>多式联运</w:t>
      </w:r>
      <w:r>
        <w:rPr>
          <w:rFonts w:ascii="Helvetica" w:hAnsi="Helvetica" w:cs="Helvetica"/>
          <w:color w:val="auto"/>
          <w:kern w:val="0"/>
          <w:sz w:val="18"/>
          <w:szCs w:val="18"/>
          <w:highlight w:val="none"/>
          <w:u w:val="single"/>
        </w:rPr>
        <w:fldChar w:fldCharType="end"/>
      </w:r>
      <w:r>
        <w:rPr>
          <w:rFonts w:ascii="Helvetica" w:hAnsi="Helvetica" w:cs="Helvetica"/>
          <w:color w:val="auto"/>
          <w:kern w:val="0"/>
          <w:sz w:val="18"/>
          <w:szCs w:val="18"/>
          <w:highlight w:val="none"/>
        </w:rPr>
        <w:t>和运输代理业、</w:t>
      </w:r>
      <w:r>
        <w:rPr>
          <w:color w:val="auto"/>
          <w:highlight w:val="none"/>
        </w:rPr>
        <w:fldChar w:fldCharType="begin"/>
      </w:r>
      <w:r>
        <w:rPr>
          <w:color w:val="auto"/>
          <w:highlight w:val="none"/>
        </w:rPr>
        <w:instrText xml:space="preserve"> HYPERLINK "https://baike.baidu.com/item/%E8%A3%85%E5%8D%B8%E6%90%AC%E8%BF%90/6511400?fromModule=lemma_inlink" \t "_blank" </w:instrText>
      </w:r>
      <w:r>
        <w:rPr>
          <w:color w:val="auto"/>
          <w:highlight w:val="none"/>
        </w:rPr>
        <w:fldChar w:fldCharType="separate"/>
      </w:r>
      <w:r>
        <w:rPr>
          <w:rFonts w:ascii="Helvetica" w:hAnsi="Helvetica" w:cs="Helvetica"/>
          <w:color w:val="auto"/>
          <w:kern w:val="0"/>
          <w:sz w:val="18"/>
          <w:szCs w:val="18"/>
          <w:highlight w:val="none"/>
          <w:u w:val="single"/>
        </w:rPr>
        <w:t>装卸搬运</w:t>
      </w:r>
      <w:r>
        <w:rPr>
          <w:rFonts w:ascii="Helvetica" w:hAnsi="Helvetica" w:cs="Helvetica"/>
          <w:color w:val="auto"/>
          <w:kern w:val="0"/>
          <w:sz w:val="18"/>
          <w:szCs w:val="18"/>
          <w:highlight w:val="none"/>
          <w:u w:val="single"/>
        </w:rPr>
        <w:fldChar w:fldCharType="end"/>
      </w:r>
      <w:r>
        <w:rPr>
          <w:rFonts w:ascii="Helvetica" w:hAnsi="Helvetica" w:cs="Helvetica"/>
          <w:color w:val="auto"/>
          <w:kern w:val="0"/>
          <w:sz w:val="18"/>
          <w:szCs w:val="18"/>
          <w:highlight w:val="none"/>
        </w:rPr>
        <w:t>，不包括铁路运输业；</w:t>
      </w:r>
      <w:r>
        <w:rPr>
          <w:color w:val="auto"/>
          <w:highlight w:val="none"/>
        </w:rPr>
        <w:fldChar w:fldCharType="begin"/>
      </w:r>
      <w:r>
        <w:rPr>
          <w:color w:val="auto"/>
          <w:highlight w:val="none"/>
        </w:rPr>
        <w:instrText xml:space="preserve"> HYPERLINK "https://baike.baidu.com/item/%E4%BB%93%E5%82%A8%E4%B8%9A/3487863?fromModule=lemma_inlink" \t "_blank" </w:instrText>
      </w:r>
      <w:r>
        <w:rPr>
          <w:color w:val="auto"/>
          <w:highlight w:val="none"/>
        </w:rPr>
        <w:fldChar w:fldCharType="separate"/>
      </w:r>
      <w:r>
        <w:rPr>
          <w:rFonts w:ascii="Helvetica" w:hAnsi="Helvetica" w:cs="Helvetica"/>
          <w:color w:val="auto"/>
          <w:kern w:val="0"/>
          <w:sz w:val="18"/>
          <w:szCs w:val="18"/>
          <w:highlight w:val="none"/>
          <w:u w:val="single"/>
        </w:rPr>
        <w:t>仓储业</w:t>
      </w:r>
      <w:r>
        <w:rPr>
          <w:rFonts w:ascii="Helvetica" w:hAnsi="Helvetica" w:cs="Helvetica"/>
          <w:color w:val="auto"/>
          <w:kern w:val="0"/>
          <w:sz w:val="18"/>
          <w:szCs w:val="18"/>
          <w:highlight w:val="none"/>
          <w:u w:val="single"/>
        </w:rPr>
        <w:fldChar w:fldCharType="end"/>
      </w:r>
      <w:r>
        <w:rPr>
          <w:rFonts w:ascii="Helvetica" w:hAnsi="Helvetica" w:cs="Helvetica"/>
          <w:color w:val="auto"/>
          <w:kern w:val="0"/>
          <w:sz w:val="18"/>
          <w:szCs w:val="18"/>
          <w:highlight w:val="none"/>
        </w:rPr>
        <w:t>包括通用仓储，低温仓储，危险品仓储，谷物、棉花等农产品仓储，中药材仓储和其他仓储业;</w:t>
      </w:r>
      <w:r>
        <w:rPr>
          <w:color w:val="auto"/>
          <w:highlight w:val="none"/>
        </w:rPr>
        <w:fldChar w:fldCharType="begin"/>
      </w:r>
      <w:r>
        <w:rPr>
          <w:color w:val="auto"/>
          <w:highlight w:val="none"/>
        </w:rPr>
        <w:instrText xml:space="preserve"> HYPERLINK "https://baike.baidu.com/item/%E4%BF%A1%E6%81%AF%E4%BC%A0%E8%BE%93%E4%B8%9A/61331990?fromModule=lemma_inlink" \t "_blank" </w:instrText>
      </w:r>
      <w:r>
        <w:rPr>
          <w:color w:val="auto"/>
          <w:highlight w:val="none"/>
        </w:rPr>
        <w:fldChar w:fldCharType="separate"/>
      </w:r>
      <w:r>
        <w:rPr>
          <w:rFonts w:ascii="Helvetica" w:hAnsi="Helvetica" w:cs="Helvetica"/>
          <w:color w:val="auto"/>
          <w:kern w:val="0"/>
          <w:sz w:val="18"/>
          <w:szCs w:val="18"/>
          <w:highlight w:val="none"/>
          <w:u w:val="single"/>
        </w:rPr>
        <w:t>信息传输业</w:t>
      </w:r>
      <w:r>
        <w:rPr>
          <w:rFonts w:ascii="Helvetica" w:hAnsi="Helvetica" w:cs="Helvetica"/>
          <w:color w:val="auto"/>
          <w:kern w:val="0"/>
          <w:sz w:val="18"/>
          <w:szCs w:val="18"/>
          <w:highlight w:val="none"/>
          <w:u w:val="single"/>
        </w:rPr>
        <w:fldChar w:fldCharType="end"/>
      </w:r>
      <w:r>
        <w:rPr>
          <w:rFonts w:ascii="Helvetica" w:hAnsi="Helvetica" w:cs="Helvetica"/>
          <w:color w:val="auto"/>
          <w:kern w:val="0"/>
          <w:sz w:val="18"/>
          <w:szCs w:val="18"/>
          <w:highlight w:val="none"/>
        </w:rPr>
        <w:t>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pPr>
        <w:widowControl/>
        <w:shd w:val="clear" w:color="auto" w:fill="FFFFFF"/>
        <w:spacing w:line="360" w:lineRule="atLeast"/>
        <w:ind w:firstLine="480"/>
        <w:jc w:val="left"/>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3.企业划分指标以现行</w:t>
      </w:r>
      <w:r>
        <w:rPr>
          <w:color w:val="auto"/>
          <w:highlight w:val="none"/>
        </w:rPr>
        <w:fldChar w:fldCharType="begin"/>
      </w:r>
      <w:r>
        <w:rPr>
          <w:color w:val="auto"/>
          <w:highlight w:val="none"/>
        </w:rPr>
        <w:instrText xml:space="preserve"> HYPERLINK "https://baike.baidu.com/item/%E7%BB%9F%E8%AE%A1%E5%88%B6%E5%BA%A6/917165?fromModule=lemma_inlink" \t "_blank" </w:instrText>
      </w:r>
      <w:r>
        <w:rPr>
          <w:color w:val="auto"/>
          <w:highlight w:val="none"/>
        </w:rPr>
        <w:fldChar w:fldCharType="separate"/>
      </w:r>
      <w:r>
        <w:rPr>
          <w:rFonts w:ascii="Helvetica" w:hAnsi="Helvetica" w:cs="Helvetica"/>
          <w:color w:val="auto"/>
          <w:kern w:val="0"/>
          <w:sz w:val="18"/>
          <w:szCs w:val="18"/>
          <w:highlight w:val="none"/>
          <w:u w:val="single"/>
        </w:rPr>
        <w:t>统计制度</w:t>
      </w:r>
      <w:r>
        <w:rPr>
          <w:rFonts w:ascii="Helvetica" w:hAnsi="Helvetica" w:cs="Helvetica"/>
          <w:color w:val="auto"/>
          <w:kern w:val="0"/>
          <w:sz w:val="18"/>
          <w:szCs w:val="18"/>
          <w:highlight w:val="none"/>
          <w:u w:val="single"/>
        </w:rPr>
        <w:fldChar w:fldCharType="end"/>
      </w:r>
      <w:r>
        <w:rPr>
          <w:rFonts w:ascii="Helvetica" w:hAnsi="Helvetica" w:cs="Helvetica"/>
          <w:color w:val="auto"/>
          <w:kern w:val="0"/>
          <w:sz w:val="18"/>
          <w:szCs w:val="18"/>
          <w:highlight w:val="none"/>
        </w:rPr>
        <w:t>为准。（1）从业人员，是指期末从业人员数，没有期末从业人员数的，采用全年平均人员数代替。（2）</w:t>
      </w:r>
      <w:r>
        <w:rPr>
          <w:color w:val="auto"/>
          <w:highlight w:val="none"/>
        </w:rPr>
        <w:fldChar w:fldCharType="begin"/>
      </w:r>
      <w:r>
        <w:rPr>
          <w:color w:val="auto"/>
          <w:highlight w:val="none"/>
        </w:rPr>
        <w:instrText xml:space="preserve"> HYPERLINK "https://baike.baidu.com/item/%E8%90%A5%E4%B8%9A%E6%94%B6%E5%85%A5/5099832?fromModule=lemma_inlink" \t "_blank" </w:instrText>
      </w:r>
      <w:r>
        <w:rPr>
          <w:color w:val="auto"/>
          <w:highlight w:val="none"/>
        </w:rPr>
        <w:fldChar w:fldCharType="separate"/>
      </w:r>
      <w:r>
        <w:rPr>
          <w:rFonts w:ascii="Helvetica" w:hAnsi="Helvetica" w:cs="Helvetica"/>
          <w:color w:val="auto"/>
          <w:kern w:val="0"/>
          <w:sz w:val="18"/>
          <w:szCs w:val="18"/>
          <w:highlight w:val="none"/>
          <w:u w:val="single"/>
        </w:rPr>
        <w:t>营业收入</w:t>
      </w:r>
      <w:r>
        <w:rPr>
          <w:rFonts w:ascii="Helvetica" w:hAnsi="Helvetica" w:cs="Helvetica"/>
          <w:color w:val="auto"/>
          <w:kern w:val="0"/>
          <w:sz w:val="18"/>
          <w:szCs w:val="18"/>
          <w:highlight w:val="none"/>
          <w:u w:val="single"/>
        </w:rPr>
        <w:fldChar w:fldCharType="end"/>
      </w:r>
      <w:r>
        <w:rPr>
          <w:rFonts w:ascii="Helvetica" w:hAnsi="Helvetica" w:cs="Helvetica"/>
          <w:color w:val="auto"/>
          <w:kern w:val="0"/>
          <w:sz w:val="18"/>
          <w:szCs w:val="18"/>
          <w:highlight w:val="none"/>
        </w:rPr>
        <w:t>，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w:t>
      </w:r>
      <w:r>
        <w:rPr>
          <w:color w:val="auto"/>
          <w:highlight w:val="none"/>
        </w:rPr>
        <w:fldChar w:fldCharType="begin"/>
      </w:r>
      <w:r>
        <w:rPr>
          <w:color w:val="auto"/>
          <w:highlight w:val="none"/>
        </w:rPr>
        <w:instrText xml:space="preserve"> HYPERLINK "https://baike.baidu.com/item/%E8%B5%84%E4%BA%A7%E6%80%BB%E9%A2%9D/716517?fromModule=lemma_inlink" \t "_blank" </w:instrText>
      </w:r>
      <w:r>
        <w:rPr>
          <w:color w:val="auto"/>
          <w:highlight w:val="none"/>
        </w:rPr>
        <w:fldChar w:fldCharType="separate"/>
      </w:r>
      <w:r>
        <w:rPr>
          <w:rFonts w:ascii="Helvetica" w:hAnsi="Helvetica" w:cs="Helvetica"/>
          <w:color w:val="auto"/>
          <w:kern w:val="0"/>
          <w:sz w:val="18"/>
          <w:szCs w:val="18"/>
          <w:highlight w:val="none"/>
          <w:u w:val="single"/>
        </w:rPr>
        <w:t>资产总额</w:t>
      </w:r>
      <w:r>
        <w:rPr>
          <w:rFonts w:ascii="Helvetica" w:hAnsi="Helvetica" w:cs="Helvetica"/>
          <w:color w:val="auto"/>
          <w:kern w:val="0"/>
          <w:sz w:val="18"/>
          <w:szCs w:val="18"/>
          <w:highlight w:val="none"/>
          <w:u w:val="single"/>
        </w:rPr>
        <w:fldChar w:fldCharType="end"/>
      </w:r>
      <w:r>
        <w:rPr>
          <w:rFonts w:ascii="Helvetica" w:hAnsi="Helvetica" w:cs="Helvetica"/>
          <w:color w:val="auto"/>
          <w:kern w:val="0"/>
          <w:sz w:val="18"/>
          <w:szCs w:val="18"/>
          <w:highlight w:val="none"/>
        </w:rPr>
        <w:t>，采用资产总计代替。</w:t>
      </w:r>
    </w:p>
    <w:bookmarkEnd w:id="136"/>
    <w:p>
      <w:pPr>
        <w:widowControl/>
        <w:jc w:val="left"/>
        <w:rPr>
          <w:b/>
          <w:bCs/>
          <w:color w:val="auto"/>
          <w:sz w:val="32"/>
          <w:szCs w:val="32"/>
          <w:highlight w:val="none"/>
        </w:rPr>
      </w:pPr>
      <w:r>
        <w:rPr>
          <w:color w:val="auto"/>
          <w:highlight w:val="none"/>
        </w:rPr>
        <w:br w:type="page"/>
      </w:r>
    </w:p>
    <w:p>
      <w:pPr>
        <w:spacing w:line="320" w:lineRule="exact"/>
        <w:jc w:val="left"/>
        <w:rPr>
          <w:rFonts w:hAnsi="宋体"/>
          <w:bCs/>
          <w:color w:val="auto"/>
          <w:sz w:val="18"/>
          <w:szCs w:val="18"/>
          <w:highlight w:val="none"/>
        </w:rPr>
      </w:pPr>
    </w:p>
    <w:p>
      <w:pPr>
        <w:pStyle w:val="24"/>
        <w:spacing w:line="440" w:lineRule="exact"/>
        <w:jc w:val="center"/>
        <w:rPr>
          <w:rFonts w:ascii="仿宋" w:hAnsi="仿宋" w:eastAsia="仿宋"/>
          <w:b/>
          <w:color w:val="auto"/>
          <w:kern w:val="0"/>
          <w:sz w:val="32"/>
          <w:szCs w:val="32"/>
          <w:highlight w:val="none"/>
        </w:rPr>
      </w:pPr>
      <w:r>
        <w:rPr>
          <w:rFonts w:hint="eastAsia" w:ascii="仿宋" w:hAnsi="仿宋" w:eastAsia="仿宋"/>
          <w:b/>
          <w:color w:val="auto"/>
          <w:kern w:val="0"/>
          <w:sz w:val="32"/>
          <w:szCs w:val="32"/>
          <w:highlight w:val="none"/>
        </w:rPr>
        <w:t>残疾人福利性单位声明函</w:t>
      </w:r>
    </w:p>
    <w:p>
      <w:pPr>
        <w:rPr>
          <w:color w:val="auto"/>
          <w:highlight w:val="none"/>
        </w:rPr>
      </w:pPr>
    </w:p>
    <w:p>
      <w:pPr>
        <w:spacing w:line="660" w:lineRule="exact"/>
        <w:ind w:firstLine="420" w:firstLineChars="200"/>
        <w:rPr>
          <w:rFonts w:ascii="宋体" w:hAnsi="宋体" w:cs="Courier New"/>
          <w:color w:val="auto"/>
          <w:kern w:val="0"/>
          <w:szCs w:val="21"/>
          <w:highlight w:val="none"/>
        </w:rPr>
      </w:pPr>
      <w:r>
        <w:rPr>
          <w:rFonts w:hint="eastAsia" w:ascii="宋体" w:hAnsi="宋体" w:cs="Courier New"/>
          <w:color w:val="auto"/>
          <w:kern w:val="0"/>
          <w:szCs w:val="21"/>
          <w:highlight w:val="none"/>
        </w:rPr>
        <w:t>本单位郑重声明，根据</w:t>
      </w:r>
      <w:bookmarkStart w:id="138" w:name="_Hlk82091361"/>
      <w:r>
        <w:rPr>
          <w:rFonts w:hint="eastAsia" w:ascii="宋体" w:hAnsi="宋体" w:cs="Courier New"/>
          <w:color w:val="auto"/>
          <w:kern w:val="0"/>
          <w:szCs w:val="21"/>
          <w:highlight w:val="none"/>
        </w:rPr>
        <w:t>《</w:t>
      </w:r>
      <w:r>
        <w:rPr>
          <w:color w:val="auto"/>
          <w:highlight w:val="none"/>
        </w:rPr>
        <w:fldChar w:fldCharType="begin"/>
      </w:r>
      <w:r>
        <w:rPr>
          <w:color w:val="auto"/>
          <w:highlight w:val="none"/>
        </w:rPr>
        <w:instrText xml:space="preserve"> HYPERLINK "http://www.mof.gov.cn/gp/xxgkml/gks/201709/t20170901_2689542.htm" </w:instrText>
      </w:r>
      <w:r>
        <w:rPr>
          <w:color w:val="auto"/>
          <w:highlight w:val="none"/>
        </w:rPr>
        <w:fldChar w:fldCharType="separate"/>
      </w:r>
      <w:r>
        <w:rPr>
          <w:rFonts w:hint="eastAsia" w:ascii="宋体" w:hAnsi="Courier New" w:cs="Courier New"/>
          <w:color w:val="auto"/>
          <w:kern w:val="0"/>
          <w:szCs w:val="21"/>
          <w:highlight w:val="none"/>
        </w:rPr>
        <w:t>财政部 民政部 中国残疾人联合会关于促进残疾人就业政府采购政策的通知》（财库〔2017〕141号）</w:t>
      </w:r>
      <w:r>
        <w:rPr>
          <w:rFonts w:hint="eastAsia" w:ascii="宋体" w:hAnsi="Courier New" w:cs="Courier New"/>
          <w:color w:val="auto"/>
          <w:kern w:val="0"/>
          <w:szCs w:val="21"/>
          <w:highlight w:val="none"/>
        </w:rPr>
        <w:fldChar w:fldCharType="end"/>
      </w:r>
      <w:bookmarkEnd w:id="138"/>
      <w:r>
        <w:rPr>
          <w:rFonts w:hint="eastAsia" w:ascii="宋体" w:hAnsi="宋体" w:cs="Courier New"/>
          <w:color w:val="auto"/>
          <w:kern w:val="0"/>
          <w:szCs w:val="21"/>
          <w:highlight w:val="none"/>
        </w:rPr>
        <w:t>的规定，本单位为符合条件的残疾人福利性单位，且本单位参加（</w:t>
      </w:r>
      <w:r>
        <w:rPr>
          <w:rFonts w:hint="eastAsia" w:ascii="宋体" w:hAnsi="宋体" w:cs="Courier New"/>
          <w:color w:val="auto"/>
          <w:kern w:val="0"/>
          <w:szCs w:val="21"/>
          <w:highlight w:val="none"/>
          <w:u w:val="single"/>
        </w:rPr>
        <w:t>单位名称</w:t>
      </w:r>
      <w:r>
        <w:rPr>
          <w:rFonts w:hint="eastAsia" w:ascii="宋体" w:hAnsi="宋体" w:cs="Courier New"/>
          <w:color w:val="auto"/>
          <w:kern w:val="0"/>
          <w:szCs w:val="21"/>
          <w:highlight w:val="none"/>
        </w:rPr>
        <w:t>）的（</w:t>
      </w:r>
      <w:r>
        <w:rPr>
          <w:rFonts w:hint="eastAsia" w:ascii="宋体" w:hAnsi="宋体" w:cs="Courier New"/>
          <w:color w:val="auto"/>
          <w:kern w:val="0"/>
          <w:szCs w:val="21"/>
          <w:highlight w:val="none"/>
          <w:u w:val="single"/>
        </w:rPr>
        <w:t>项目名称</w:t>
      </w:r>
      <w:r>
        <w:rPr>
          <w:rFonts w:hint="eastAsia" w:ascii="宋体" w:hAnsi="宋体" w:cs="Courier New"/>
          <w:color w:val="auto"/>
          <w:kern w:val="0"/>
          <w:szCs w:val="21"/>
          <w:highlight w:val="none"/>
        </w:rPr>
        <w:t>）采购活动提供本单位制造的货物（由本单位提供服务），或者提供其他残疾人福利性单位（</w:t>
      </w:r>
      <w:r>
        <w:rPr>
          <w:rFonts w:hint="eastAsia" w:ascii="宋体" w:hAnsi="宋体" w:cs="Courier New"/>
          <w:color w:val="auto"/>
          <w:kern w:val="0"/>
          <w:szCs w:val="21"/>
          <w:highlight w:val="none"/>
          <w:u w:val="single"/>
        </w:rPr>
        <w:t>请填写具体单位名称</w:t>
      </w:r>
      <w:r>
        <w:rPr>
          <w:rFonts w:hint="eastAsia" w:ascii="宋体" w:hAnsi="宋体" w:cs="Courier New"/>
          <w:color w:val="auto"/>
          <w:kern w:val="0"/>
          <w:szCs w:val="21"/>
          <w:highlight w:val="none"/>
        </w:rPr>
        <w:t>）制造的货物（不包括使用非残疾人福利性单位注册商标的货物）。</w:t>
      </w:r>
    </w:p>
    <w:p>
      <w:pPr>
        <w:spacing w:line="660" w:lineRule="exact"/>
        <w:ind w:firstLine="420" w:firstLineChars="200"/>
        <w:rPr>
          <w:rFonts w:ascii="宋体" w:hAnsi="宋体" w:cs="Courier New"/>
          <w:color w:val="auto"/>
          <w:kern w:val="0"/>
          <w:szCs w:val="21"/>
          <w:highlight w:val="none"/>
        </w:rPr>
      </w:pPr>
      <w:r>
        <w:rPr>
          <w:rFonts w:hint="eastAsia" w:ascii="宋体" w:hAnsi="宋体" w:cs="Courier New"/>
          <w:color w:val="auto"/>
          <w:kern w:val="0"/>
          <w:szCs w:val="21"/>
          <w:highlight w:val="none"/>
        </w:rPr>
        <w:t>本单位对上述声明的真实性负责。如有虚假，将依法承担相应责任。</w:t>
      </w:r>
    </w:p>
    <w:p>
      <w:pPr>
        <w:rPr>
          <w:color w:val="auto"/>
          <w:highlight w:val="none"/>
        </w:rPr>
      </w:pPr>
    </w:p>
    <w:p>
      <w:pPr>
        <w:rPr>
          <w:color w:val="auto"/>
          <w:highlight w:val="none"/>
        </w:rPr>
      </w:pPr>
    </w:p>
    <w:p>
      <w:pPr>
        <w:rPr>
          <w:color w:val="auto"/>
          <w:highlight w:val="none"/>
        </w:rPr>
      </w:pPr>
    </w:p>
    <w:p>
      <w:pPr>
        <w:spacing w:line="500" w:lineRule="exact"/>
        <w:ind w:firstLine="5250" w:firstLineChars="2500"/>
        <w:rPr>
          <w:rFonts w:ascii="宋体" w:hAnsi="宋体" w:cs="Courier New"/>
          <w:color w:val="auto"/>
          <w:kern w:val="0"/>
          <w:szCs w:val="21"/>
          <w:highlight w:val="none"/>
        </w:rPr>
      </w:pPr>
      <w:r>
        <w:rPr>
          <w:rFonts w:hint="eastAsia" w:ascii="宋体" w:hAnsi="宋体" w:cs="Courier New"/>
          <w:color w:val="auto"/>
          <w:kern w:val="0"/>
          <w:szCs w:val="21"/>
          <w:highlight w:val="none"/>
        </w:rPr>
        <w:t>单位名称（盖章）：</w:t>
      </w:r>
    </w:p>
    <w:p>
      <w:pPr>
        <w:spacing w:line="500" w:lineRule="exact"/>
        <w:ind w:firstLine="5250" w:firstLineChars="2500"/>
        <w:rPr>
          <w:rFonts w:ascii="宋体" w:hAnsi="宋体" w:cs="Courier New"/>
          <w:color w:val="auto"/>
          <w:szCs w:val="21"/>
          <w:highlight w:val="none"/>
          <w:u w:val="single"/>
        </w:rPr>
      </w:pPr>
      <w:r>
        <w:rPr>
          <w:rFonts w:hint="eastAsia" w:ascii="宋体" w:hAnsi="宋体" w:cs="Courier New"/>
          <w:color w:val="auto"/>
          <w:kern w:val="0"/>
          <w:szCs w:val="21"/>
          <w:highlight w:val="none"/>
        </w:rPr>
        <w:t>日  期：</w:t>
      </w:r>
    </w:p>
    <w:p>
      <w:pPr>
        <w:widowControl/>
        <w:jc w:val="left"/>
        <w:rPr>
          <w:rFonts w:ascii="宋体" w:hAnsi="Courier New" w:cs="Courier New"/>
          <w:color w:val="auto"/>
          <w:sz w:val="18"/>
          <w:szCs w:val="18"/>
          <w:highlight w:val="none"/>
        </w:rPr>
      </w:pPr>
      <w:r>
        <w:rPr>
          <w:rFonts w:ascii="黑体" w:hAnsi="黑体" w:eastAsia="黑体" w:cs="黑体"/>
          <w:b/>
          <w:color w:val="auto"/>
          <w:sz w:val="32"/>
          <w:szCs w:val="32"/>
          <w:highlight w:val="none"/>
        </w:rPr>
        <w:br w:type="page"/>
      </w:r>
      <w:r>
        <w:rPr>
          <w:rFonts w:hint="eastAsia" w:ascii="仿宋" w:hAnsi="仿宋" w:eastAsia="仿宋"/>
          <w:b/>
          <w:color w:val="auto"/>
          <w:sz w:val="36"/>
          <w:szCs w:val="36"/>
          <w:highlight w:val="none"/>
        </w:rPr>
        <w:t>二、商务技术文件</w:t>
      </w:r>
    </w:p>
    <w:p>
      <w:pPr>
        <w:widowControl/>
        <w:jc w:val="center"/>
        <w:rPr>
          <w:rFonts w:ascii="仿宋" w:hAnsi="仿宋" w:eastAsia="仿宋" w:cs="黑体"/>
          <w:b/>
          <w:color w:val="auto"/>
          <w:sz w:val="32"/>
          <w:szCs w:val="32"/>
          <w:highlight w:val="none"/>
        </w:rPr>
      </w:pPr>
      <w:bookmarkStart w:id="139" w:name="_Hlk92702324"/>
      <w:r>
        <w:rPr>
          <w:rFonts w:hint="eastAsia" w:ascii="仿宋" w:hAnsi="仿宋" w:eastAsia="仿宋" w:cs="黑体"/>
          <w:b/>
          <w:color w:val="auto"/>
          <w:sz w:val="32"/>
          <w:szCs w:val="32"/>
          <w:highlight w:val="none"/>
        </w:rPr>
        <w:t>磋 商 函</w:t>
      </w:r>
      <w:bookmarkEnd w:id="139"/>
      <w:r>
        <w:rPr>
          <w:rFonts w:hint="eastAsia" w:ascii="仿宋" w:hAnsi="仿宋" w:eastAsia="仿宋" w:cs="黑体"/>
          <w:bCs/>
          <w:color w:val="auto"/>
          <w:sz w:val="24"/>
          <w:highlight w:val="none"/>
        </w:rPr>
        <w:t>(格式</w:t>
      </w:r>
      <w:r>
        <w:rPr>
          <w:rFonts w:ascii="仿宋" w:hAnsi="仿宋" w:eastAsia="仿宋" w:cs="黑体"/>
          <w:bCs/>
          <w:color w:val="auto"/>
          <w:sz w:val="24"/>
          <w:highlight w:val="none"/>
        </w:rPr>
        <w:t>)</w:t>
      </w:r>
    </w:p>
    <w:p>
      <w:pPr>
        <w:spacing w:line="360" w:lineRule="exact"/>
        <w:jc w:val="center"/>
        <w:rPr>
          <w:rFonts w:ascii="宋体" w:hAnsi="宋体"/>
          <w:b/>
          <w:color w:val="auto"/>
          <w:szCs w:val="21"/>
          <w:highlight w:val="none"/>
        </w:rPr>
      </w:pPr>
    </w:p>
    <w:p>
      <w:pPr>
        <w:spacing w:line="400" w:lineRule="exact"/>
        <w:rPr>
          <w:rFonts w:ascii="宋体" w:hAnsi="宋体"/>
          <w:color w:val="auto"/>
          <w:szCs w:val="21"/>
          <w:highlight w:val="none"/>
        </w:rPr>
      </w:pPr>
      <w:r>
        <w:rPr>
          <w:rFonts w:hint="eastAsia" w:ascii="宋体" w:hAnsi="宋体"/>
          <w:color w:val="auto"/>
          <w:szCs w:val="21"/>
          <w:highlight w:val="none"/>
        </w:rPr>
        <w:t>致：钦州市政府采购中心：</w:t>
      </w:r>
    </w:p>
    <w:p>
      <w:pPr>
        <w:pStyle w:val="24"/>
        <w:spacing w:line="480" w:lineRule="exact"/>
        <w:ind w:firstLine="420"/>
        <w:rPr>
          <w:rFonts w:hAnsi="宋体"/>
          <w:color w:val="auto"/>
          <w:highlight w:val="none"/>
        </w:rPr>
      </w:pPr>
      <w:r>
        <w:rPr>
          <w:rFonts w:hint="eastAsia" w:hAnsi="宋体"/>
          <w:color w:val="auto"/>
          <w:highlight w:val="none"/>
        </w:rPr>
        <w:t>依据贵方</w:t>
      </w:r>
      <w:r>
        <w:rPr>
          <w:rFonts w:hint="eastAsia" w:hAnsi="宋体"/>
          <w:color w:val="auto"/>
          <w:highlight w:val="none"/>
          <w:u w:val="single"/>
        </w:rPr>
        <w:t>（项目名称/文件编号）</w:t>
      </w:r>
      <w:r>
        <w:rPr>
          <w:rFonts w:hint="eastAsia" w:hAnsi="宋体"/>
          <w:color w:val="auto"/>
          <w:highlight w:val="none"/>
        </w:rPr>
        <w:t>项目竞争性磋商采购文件，我方</w:t>
      </w:r>
      <w:r>
        <w:rPr>
          <w:rFonts w:hint="eastAsia" w:hAnsi="宋体"/>
          <w:color w:val="auto"/>
          <w:highlight w:val="none"/>
          <w:u w:val="single"/>
        </w:rPr>
        <w:t xml:space="preserve"> （供应商名称） </w:t>
      </w:r>
      <w:r>
        <w:rPr>
          <w:rFonts w:hint="eastAsia" w:hAnsi="宋体"/>
          <w:color w:val="auto"/>
          <w:highlight w:val="none"/>
        </w:rPr>
        <w:t>经正式授权代表</w:t>
      </w:r>
      <w:r>
        <w:rPr>
          <w:rFonts w:hint="eastAsia" w:hAnsi="宋体"/>
          <w:color w:val="auto"/>
          <w:highlight w:val="none"/>
          <w:u w:val="single"/>
        </w:rPr>
        <w:t xml:space="preserve">   （被授权人）</w:t>
      </w:r>
      <w:r>
        <w:rPr>
          <w:rFonts w:hint="eastAsia" w:hAnsi="宋体"/>
          <w:color w:val="auto"/>
          <w:highlight w:val="none"/>
        </w:rPr>
        <w:t>提交响应文件。</w:t>
      </w:r>
    </w:p>
    <w:p>
      <w:pPr>
        <w:spacing w:line="400" w:lineRule="exact"/>
        <w:rPr>
          <w:rFonts w:ascii="宋体" w:hAnsi="宋体"/>
          <w:color w:val="auto"/>
          <w:szCs w:val="21"/>
          <w:highlight w:val="none"/>
        </w:rPr>
      </w:pPr>
      <w:r>
        <w:rPr>
          <w:rFonts w:ascii="宋体" w:hAnsi="宋体"/>
          <w:color w:val="auto"/>
          <w:szCs w:val="21"/>
          <w:highlight w:val="none"/>
        </w:rPr>
        <w:tab/>
      </w:r>
      <w:r>
        <w:rPr>
          <w:rFonts w:hint="eastAsia" w:ascii="宋体" w:hAnsi="宋体"/>
          <w:color w:val="auto"/>
          <w:szCs w:val="21"/>
          <w:highlight w:val="none"/>
        </w:rPr>
        <w:t>据此函，我公司承诺：</w:t>
      </w:r>
    </w:p>
    <w:p>
      <w:pPr>
        <w:snapToGrid w:val="0"/>
        <w:spacing w:line="360" w:lineRule="exact"/>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我方已详细审阅采购文件（包括澄清或者修改文件），已经了解我方对于采购文件、采购过程、采购结果有依法进行询问、质疑、投诉的权利及相关渠道和要求。</w:t>
      </w:r>
    </w:p>
    <w:p>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2.我方不是采购人的附属机构；在获知本项目采购信息后，与采购人聘请的为此项目提供咨询服务的公司及其附属机构没有任何联系。</w:t>
      </w:r>
    </w:p>
    <w:p>
      <w:pPr>
        <w:snapToGrid w:val="0"/>
        <w:spacing w:line="360" w:lineRule="exact"/>
        <w:ind w:firstLine="420" w:firstLineChars="200"/>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我方在磋商之前已经与贵方进行了充分的沟通，完全理解并接受采购文件的各项规定和要求，对采购文件的合理性、合法性不再有异议。</w:t>
      </w:r>
    </w:p>
    <w:p>
      <w:pPr>
        <w:spacing w:line="400" w:lineRule="exact"/>
        <w:rPr>
          <w:rFonts w:ascii="宋体" w:hAnsi="宋体"/>
          <w:color w:val="auto"/>
          <w:szCs w:val="21"/>
          <w:highlight w:val="none"/>
        </w:rPr>
      </w:pPr>
      <w:r>
        <w:rPr>
          <w:rFonts w:ascii="宋体" w:hAnsi="宋体"/>
          <w:color w:val="auto"/>
          <w:szCs w:val="21"/>
          <w:highlight w:val="none"/>
        </w:rPr>
        <w:tab/>
      </w:r>
      <w:r>
        <w:rPr>
          <w:rFonts w:ascii="宋体" w:hAnsi="宋体"/>
          <w:color w:val="auto"/>
          <w:szCs w:val="21"/>
          <w:highlight w:val="none"/>
        </w:rPr>
        <w:t>4</w:t>
      </w:r>
      <w:r>
        <w:rPr>
          <w:rFonts w:hint="eastAsia" w:ascii="宋体" w:hAnsi="宋体"/>
          <w:color w:val="auto"/>
          <w:szCs w:val="21"/>
          <w:highlight w:val="none"/>
        </w:rPr>
        <w:t>.我方根据采购文件的规定，承担完成合同的责任和义务。</w:t>
      </w:r>
    </w:p>
    <w:p>
      <w:pPr>
        <w:spacing w:line="400" w:lineRule="exact"/>
        <w:rPr>
          <w:rFonts w:ascii="宋体" w:hAnsi="宋体"/>
          <w:color w:val="auto"/>
          <w:szCs w:val="21"/>
          <w:highlight w:val="none"/>
        </w:rPr>
      </w:pPr>
      <w:r>
        <w:rPr>
          <w:rFonts w:ascii="宋体" w:hAnsi="宋体"/>
          <w:color w:val="auto"/>
          <w:szCs w:val="21"/>
          <w:highlight w:val="none"/>
        </w:rPr>
        <w:tab/>
      </w:r>
      <w:r>
        <w:rPr>
          <w:rFonts w:ascii="宋体" w:hAnsi="宋体"/>
          <w:color w:val="auto"/>
          <w:szCs w:val="21"/>
          <w:highlight w:val="none"/>
        </w:rPr>
        <w:t>5</w:t>
      </w:r>
      <w:r>
        <w:rPr>
          <w:rFonts w:hint="eastAsia" w:ascii="宋体" w:hAnsi="宋体"/>
          <w:color w:val="auto"/>
          <w:szCs w:val="21"/>
          <w:highlight w:val="none"/>
        </w:rPr>
        <w:t>.同意向贵方提供贵方可能要求的与本项目采购有关的人员、数据和资料。</w:t>
      </w:r>
    </w:p>
    <w:p>
      <w:pPr>
        <w:spacing w:line="400" w:lineRule="exact"/>
        <w:ind w:firstLine="424" w:firstLineChars="202"/>
        <w:rPr>
          <w:rFonts w:ascii="宋体" w:hAnsi="宋体"/>
          <w:color w:val="auto"/>
          <w:szCs w:val="21"/>
          <w:highlight w:val="none"/>
        </w:rPr>
      </w:pPr>
      <w:r>
        <w:rPr>
          <w:rFonts w:ascii="宋体" w:hAnsi="宋体"/>
          <w:color w:val="auto"/>
          <w:szCs w:val="21"/>
          <w:highlight w:val="none"/>
        </w:rPr>
        <w:t>6.</w:t>
      </w:r>
      <w:r>
        <w:rPr>
          <w:rFonts w:hint="eastAsia" w:ascii="宋体" w:hAnsi="宋体"/>
          <w:color w:val="auto"/>
          <w:szCs w:val="21"/>
          <w:highlight w:val="none"/>
        </w:rPr>
        <w:t>我方向贵方提交的所有响应文件、资料都是准确的和真实的。</w:t>
      </w:r>
    </w:p>
    <w:p>
      <w:pPr>
        <w:spacing w:line="400" w:lineRule="exact"/>
        <w:rPr>
          <w:rFonts w:ascii="宋体" w:hAnsi="宋体"/>
          <w:color w:val="auto"/>
          <w:szCs w:val="21"/>
          <w:highlight w:val="none"/>
        </w:rPr>
      </w:pPr>
    </w:p>
    <w:p>
      <w:pPr>
        <w:spacing w:line="400" w:lineRule="exact"/>
        <w:ind w:firstLine="426"/>
        <w:rPr>
          <w:rFonts w:ascii="宋体" w:hAnsi="宋体"/>
          <w:color w:val="auto"/>
          <w:szCs w:val="21"/>
          <w:highlight w:val="none"/>
        </w:rPr>
      </w:pPr>
      <w:r>
        <w:rPr>
          <w:rFonts w:hint="eastAsia" w:ascii="宋体" w:hAnsi="宋体"/>
          <w:color w:val="auto"/>
          <w:szCs w:val="21"/>
          <w:highlight w:val="none"/>
        </w:rPr>
        <w:t>与我公司有关的正式通讯方式：</w:t>
      </w:r>
    </w:p>
    <w:p>
      <w:pPr>
        <w:spacing w:line="400" w:lineRule="exact"/>
        <w:rPr>
          <w:rFonts w:ascii="宋体" w:hAnsi="宋体"/>
          <w:color w:val="auto"/>
          <w:szCs w:val="21"/>
          <w:highlight w:val="none"/>
        </w:rPr>
      </w:pPr>
      <w:r>
        <w:rPr>
          <w:rFonts w:ascii="宋体" w:hAnsi="宋体"/>
          <w:color w:val="auto"/>
          <w:szCs w:val="21"/>
          <w:highlight w:val="none"/>
        </w:rPr>
        <w:tab/>
      </w:r>
      <w:r>
        <w:rPr>
          <w:rFonts w:hint="eastAsia" w:ascii="宋体" w:hAnsi="宋体"/>
          <w:color w:val="auto"/>
          <w:szCs w:val="21"/>
          <w:highlight w:val="none"/>
        </w:rPr>
        <w:t>地址：</w:t>
      </w:r>
    </w:p>
    <w:p>
      <w:pPr>
        <w:spacing w:line="400" w:lineRule="exact"/>
        <w:rPr>
          <w:rFonts w:ascii="宋体" w:hAnsi="宋体"/>
          <w:color w:val="auto"/>
          <w:szCs w:val="21"/>
          <w:highlight w:val="none"/>
        </w:rPr>
      </w:pPr>
      <w:r>
        <w:rPr>
          <w:rFonts w:ascii="宋体" w:hAnsi="宋体"/>
          <w:color w:val="auto"/>
          <w:szCs w:val="21"/>
          <w:highlight w:val="none"/>
        </w:rPr>
        <w:tab/>
      </w:r>
      <w:r>
        <w:rPr>
          <w:rFonts w:hint="eastAsia" w:ascii="宋体" w:hAnsi="宋体"/>
          <w:color w:val="auto"/>
          <w:szCs w:val="21"/>
          <w:highlight w:val="none"/>
        </w:rPr>
        <w:t>邮政编码：</w:t>
      </w:r>
    </w:p>
    <w:p>
      <w:pPr>
        <w:spacing w:line="400" w:lineRule="exact"/>
        <w:rPr>
          <w:rFonts w:ascii="宋体" w:hAnsi="宋体"/>
          <w:color w:val="auto"/>
          <w:szCs w:val="21"/>
          <w:highlight w:val="none"/>
        </w:rPr>
      </w:pPr>
      <w:r>
        <w:rPr>
          <w:rFonts w:ascii="宋体" w:hAnsi="宋体"/>
          <w:color w:val="auto"/>
          <w:szCs w:val="21"/>
          <w:highlight w:val="none"/>
        </w:rPr>
        <w:tab/>
      </w:r>
      <w:r>
        <w:rPr>
          <w:rFonts w:hint="eastAsia" w:ascii="宋体" w:hAnsi="宋体"/>
          <w:color w:val="auto"/>
          <w:szCs w:val="21"/>
          <w:highlight w:val="none"/>
        </w:rPr>
        <w:t>电话、电报、传真或电传：</w:t>
      </w:r>
    </w:p>
    <w:p>
      <w:pPr>
        <w:spacing w:line="400" w:lineRule="exact"/>
        <w:rPr>
          <w:rFonts w:ascii="宋体" w:hAnsi="宋体"/>
          <w:color w:val="auto"/>
          <w:szCs w:val="21"/>
          <w:highlight w:val="none"/>
        </w:rPr>
      </w:pPr>
      <w:r>
        <w:rPr>
          <w:rFonts w:ascii="宋体" w:hAnsi="宋体"/>
          <w:color w:val="auto"/>
          <w:szCs w:val="21"/>
          <w:highlight w:val="none"/>
        </w:rPr>
        <w:tab/>
      </w:r>
      <w:r>
        <w:rPr>
          <w:rFonts w:hint="eastAsia" w:ascii="宋体" w:hAnsi="宋体"/>
          <w:color w:val="auto"/>
          <w:szCs w:val="21"/>
          <w:highlight w:val="none"/>
        </w:rPr>
        <w:t>开户名称：</w:t>
      </w:r>
    </w:p>
    <w:p>
      <w:pPr>
        <w:spacing w:line="400" w:lineRule="exact"/>
        <w:rPr>
          <w:rFonts w:ascii="宋体" w:hAnsi="宋体"/>
          <w:color w:val="auto"/>
          <w:szCs w:val="21"/>
          <w:highlight w:val="none"/>
        </w:rPr>
      </w:pPr>
      <w:r>
        <w:rPr>
          <w:rFonts w:ascii="宋体" w:hAnsi="宋体"/>
          <w:color w:val="auto"/>
          <w:szCs w:val="21"/>
          <w:highlight w:val="none"/>
        </w:rPr>
        <w:tab/>
      </w:r>
      <w:r>
        <w:rPr>
          <w:rFonts w:hint="eastAsia" w:ascii="宋体" w:hAnsi="宋体"/>
          <w:color w:val="auto"/>
          <w:szCs w:val="21"/>
          <w:highlight w:val="none"/>
        </w:rPr>
        <w:t>开户银行：</w:t>
      </w:r>
    </w:p>
    <w:p>
      <w:pPr>
        <w:spacing w:line="400" w:lineRule="exact"/>
        <w:rPr>
          <w:rFonts w:ascii="宋体" w:hAnsi="宋体"/>
          <w:color w:val="auto"/>
          <w:szCs w:val="21"/>
          <w:highlight w:val="none"/>
          <w:u w:val="single"/>
        </w:rPr>
      </w:pPr>
      <w:r>
        <w:rPr>
          <w:rFonts w:ascii="宋体" w:hAnsi="宋体"/>
          <w:color w:val="auto"/>
          <w:szCs w:val="21"/>
          <w:highlight w:val="none"/>
        </w:rPr>
        <w:tab/>
      </w:r>
      <w:r>
        <w:rPr>
          <w:rFonts w:hint="eastAsia" w:ascii="宋体" w:hAnsi="宋体"/>
          <w:color w:val="auto"/>
          <w:szCs w:val="21"/>
          <w:highlight w:val="none"/>
        </w:rPr>
        <w:t>账    号：</w:t>
      </w:r>
    </w:p>
    <w:p>
      <w:pPr>
        <w:rPr>
          <w:color w:val="auto"/>
          <w:highlight w:val="none"/>
        </w:rPr>
      </w:pPr>
    </w:p>
    <w:p>
      <w:pPr>
        <w:rPr>
          <w:color w:val="auto"/>
          <w:highlight w:val="none"/>
        </w:rPr>
      </w:pPr>
    </w:p>
    <w:p>
      <w:pPr>
        <w:rPr>
          <w:color w:val="auto"/>
          <w:highlight w:val="none"/>
        </w:rPr>
      </w:pPr>
    </w:p>
    <w:p>
      <w:pPr>
        <w:spacing w:line="400" w:lineRule="exact"/>
        <w:rPr>
          <w:rFonts w:ascii="宋体" w:hAnsi="宋体"/>
          <w:color w:val="auto"/>
          <w:szCs w:val="21"/>
          <w:highlight w:val="none"/>
        </w:rPr>
      </w:pPr>
      <w:r>
        <w:rPr>
          <w:rFonts w:ascii="宋体" w:hAnsi="宋体"/>
          <w:color w:val="auto"/>
          <w:szCs w:val="21"/>
          <w:highlight w:val="none"/>
        </w:rPr>
        <w:tab/>
      </w:r>
    </w:p>
    <w:p>
      <w:pPr>
        <w:spacing w:line="400" w:lineRule="exact"/>
        <w:rPr>
          <w:rFonts w:ascii="宋体" w:hAnsi="宋体"/>
          <w:color w:val="auto"/>
          <w:szCs w:val="21"/>
          <w:highlight w:val="none"/>
        </w:rPr>
      </w:pPr>
      <w:r>
        <w:rPr>
          <w:rFonts w:ascii="宋体" w:hAnsi="宋体"/>
          <w:color w:val="auto"/>
          <w:szCs w:val="21"/>
          <w:highlight w:val="none"/>
        </w:rPr>
        <w:tab/>
      </w:r>
      <w:r>
        <w:rPr>
          <w:rFonts w:hint="eastAsia" w:ascii="宋体" w:hAnsi="宋体"/>
          <w:color w:val="auto"/>
          <w:szCs w:val="21"/>
          <w:highlight w:val="none"/>
        </w:rPr>
        <w:t>供应商（盖章）：</w:t>
      </w:r>
    </w:p>
    <w:p>
      <w:pPr>
        <w:spacing w:line="400" w:lineRule="exact"/>
        <w:rPr>
          <w:rFonts w:ascii="宋体" w:hAnsi="宋体"/>
          <w:color w:val="auto"/>
          <w:szCs w:val="21"/>
          <w:highlight w:val="none"/>
        </w:rPr>
      </w:pPr>
      <w:r>
        <w:rPr>
          <w:rFonts w:ascii="宋体" w:hAnsi="宋体"/>
          <w:color w:val="auto"/>
          <w:szCs w:val="21"/>
          <w:highlight w:val="none"/>
        </w:rPr>
        <w:tab/>
      </w:r>
      <w:r>
        <w:rPr>
          <w:rFonts w:hint="eastAsia" w:ascii="宋体" w:hAnsi="宋体"/>
          <w:color w:val="auto"/>
          <w:szCs w:val="21"/>
          <w:highlight w:val="none"/>
        </w:rPr>
        <w:t>日期：</w:t>
      </w:r>
    </w:p>
    <w:p>
      <w:pPr>
        <w:widowControl/>
        <w:jc w:val="left"/>
        <w:rPr>
          <w:color w:val="auto"/>
          <w:highlight w:val="none"/>
        </w:rPr>
      </w:pPr>
      <w:r>
        <w:rPr>
          <w:color w:val="auto"/>
          <w:highlight w:val="none"/>
        </w:rPr>
        <w:br w:type="page"/>
      </w:r>
    </w:p>
    <w:p>
      <w:pPr>
        <w:rPr>
          <w:color w:val="auto"/>
          <w:highlight w:val="none"/>
        </w:rPr>
      </w:pPr>
    </w:p>
    <w:p>
      <w:pPr>
        <w:jc w:val="center"/>
        <w:rPr>
          <w:rFonts w:ascii="仿宋" w:hAnsi="仿宋" w:eastAsia="仿宋"/>
          <w:color w:val="auto"/>
          <w:sz w:val="32"/>
          <w:szCs w:val="32"/>
          <w:highlight w:val="none"/>
        </w:rPr>
      </w:pPr>
      <w:r>
        <w:rPr>
          <w:rFonts w:hint="eastAsia" w:ascii="仿宋" w:hAnsi="仿宋" w:eastAsia="仿宋"/>
          <w:b/>
          <w:color w:val="auto"/>
          <w:sz w:val="32"/>
          <w:szCs w:val="32"/>
          <w:highlight w:val="none"/>
        </w:rPr>
        <w:t>授权委托书</w:t>
      </w:r>
      <w:bookmarkStart w:id="140" w:name="_Hlk92703623"/>
      <w:r>
        <w:rPr>
          <w:rFonts w:hint="eastAsia" w:ascii="仿宋" w:hAnsi="仿宋" w:eastAsia="仿宋"/>
          <w:color w:val="auto"/>
          <w:sz w:val="24"/>
          <w:highlight w:val="none"/>
        </w:rPr>
        <w:t>(格式</w:t>
      </w:r>
      <w:r>
        <w:rPr>
          <w:rFonts w:ascii="仿宋" w:hAnsi="仿宋" w:eastAsia="仿宋"/>
          <w:color w:val="auto"/>
          <w:sz w:val="24"/>
          <w:highlight w:val="none"/>
        </w:rPr>
        <w:t>)</w:t>
      </w:r>
      <w:bookmarkEnd w:id="140"/>
    </w:p>
    <w:p>
      <w:pPr>
        <w:snapToGrid w:val="0"/>
        <w:spacing w:beforeLines="50" w:after="50" w:line="500" w:lineRule="exact"/>
        <w:rPr>
          <w:rFonts w:ascii="宋体" w:hAnsi="宋体"/>
          <w:b/>
          <w:bCs/>
          <w:color w:val="auto"/>
          <w:szCs w:val="21"/>
          <w:highlight w:val="none"/>
        </w:rPr>
      </w:pPr>
      <w:r>
        <w:rPr>
          <w:rFonts w:hint="eastAsia" w:ascii="宋体" w:hAnsi="宋体"/>
          <w:bCs/>
          <w:color w:val="auto"/>
          <w:szCs w:val="21"/>
          <w:highlight w:val="none"/>
        </w:rPr>
        <w:t>致：</w:t>
      </w:r>
      <w:r>
        <w:rPr>
          <w:rFonts w:hint="eastAsia"/>
          <w:color w:val="auto"/>
          <w:highlight w:val="none"/>
        </w:rPr>
        <w:t>钦州市政府采购中心</w:t>
      </w:r>
    </w:p>
    <w:p>
      <w:pPr>
        <w:snapToGrid w:val="0"/>
        <w:spacing w:beforeLines="50" w:after="50" w:line="500" w:lineRule="exact"/>
        <w:ind w:firstLine="420" w:firstLineChars="200"/>
        <w:rPr>
          <w:rFonts w:ascii="宋体" w:hAnsi="宋体"/>
          <w:color w:val="auto"/>
          <w:szCs w:val="21"/>
          <w:highlight w:val="none"/>
        </w:rPr>
      </w:pPr>
      <w:r>
        <w:rPr>
          <w:rFonts w:hint="eastAsia" w:ascii="宋体" w:hAnsi="宋体"/>
          <w:color w:val="auto"/>
          <w:szCs w:val="21"/>
          <w:highlight w:val="none"/>
        </w:rPr>
        <w:t>我</w:t>
      </w:r>
      <w:r>
        <w:rPr>
          <w:rFonts w:hint="eastAsia" w:ascii="宋体" w:hAnsi="宋体"/>
          <w:color w:val="auto"/>
          <w:szCs w:val="21"/>
          <w:highlight w:val="none"/>
          <w:u w:val="single"/>
        </w:rPr>
        <w:t>（姓名）</w:t>
      </w:r>
      <w:r>
        <w:rPr>
          <w:rFonts w:hint="eastAsia" w:ascii="宋体" w:hAnsi="宋体"/>
          <w:color w:val="auto"/>
          <w:szCs w:val="21"/>
          <w:highlight w:val="none"/>
        </w:rPr>
        <w:t>系</w:t>
      </w:r>
      <w:r>
        <w:rPr>
          <w:rFonts w:hint="eastAsia" w:ascii="宋体" w:hAnsi="宋体"/>
          <w:color w:val="auto"/>
          <w:szCs w:val="21"/>
          <w:highlight w:val="none"/>
          <w:u w:val="single"/>
        </w:rPr>
        <w:t>（供应商名称）</w:t>
      </w:r>
      <w:r>
        <w:rPr>
          <w:rFonts w:hint="eastAsia" w:ascii="宋体" w:hAnsi="宋体"/>
          <w:color w:val="auto"/>
          <w:szCs w:val="21"/>
          <w:highlight w:val="none"/>
        </w:rPr>
        <w:t>的法定代表人</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负责人</w:t>
      </w:r>
      <w:r>
        <w:rPr>
          <w:rFonts w:hint="eastAsia" w:ascii="宋体" w:hAnsi="宋体"/>
          <w:color w:val="auto"/>
          <w:szCs w:val="21"/>
          <w:highlight w:val="none"/>
          <w:lang w:eastAsia="zh-CN"/>
        </w:rPr>
        <w:t>）</w:t>
      </w:r>
      <w:r>
        <w:rPr>
          <w:rFonts w:hint="eastAsia" w:ascii="宋体" w:hAnsi="宋体"/>
          <w:color w:val="auto"/>
          <w:szCs w:val="21"/>
          <w:highlight w:val="none"/>
        </w:rPr>
        <w:t>，现授权委托本单位在职职工</w:t>
      </w:r>
      <w:r>
        <w:rPr>
          <w:rFonts w:hint="eastAsia" w:ascii="宋体" w:hAnsi="宋体"/>
          <w:color w:val="auto"/>
          <w:szCs w:val="21"/>
          <w:highlight w:val="none"/>
          <w:u w:val="single"/>
        </w:rPr>
        <w:t>（姓名）</w:t>
      </w:r>
      <w:r>
        <w:rPr>
          <w:rFonts w:hint="eastAsia" w:ascii="宋体" w:hAnsi="宋体"/>
          <w:color w:val="auto"/>
          <w:szCs w:val="21"/>
          <w:highlight w:val="none"/>
        </w:rPr>
        <w:t>以我方的名义参加</w:t>
      </w:r>
      <w:r>
        <w:rPr>
          <w:rFonts w:hint="eastAsia" w:ascii="宋体" w:hAnsi="宋体"/>
          <w:color w:val="auto"/>
          <w:szCs w:val="21"/>
          <w:highlight w:val="none"/>
          <w:u w:val="single"/>
        </w:rPr>
        <w:t>（项目名称/项目编号）</w:t>
      </w:r>
      <w:r>
        <w:rPr>
          <w:rFonts w:hint="eastAsia" w:ascii="宋体" w:hAnsi="宋体"/>
          <w:color w:val="auto"/>
          <w:szCs w:val="21"/>
          <w:highlight w:val="none"/>
        </w:rPr>
        <w:t>的磋商活动，并代表我方全权办理针对上述项目的磋商、签约等具体事务和签署相关文件。</w:t>
      </w:r>
    </w:p>
    <w:p>
      <w:pPr>
        <w:snapToGrid w:val="0"/>
        <w:spacing w:beforeLines="50" w:after="50" w:line="500" w:lineRule="exact"/>
        <w:ind w:firstLine="420" w:firstLineChars="200"/>
        <w:rPr>
          <w:rFonts w:ascii="宋体" w:hAnsi="宋体"/>
          <w:color w:val="auto"/>
          <w:szCs w:val="21"/>
          <w:highlight w:val="none"/>
        </w:rPr>
      </w:pPr>
      <w:r>
        <w:rPr>
          <w:rFonts w:hint="eastAsia" w:ascii="宋体" w:hAnsi="宋体"/>
          <w:color w:val="auto"/>
          <w:szCs w:val="21"/>
          <w:highlight w:val="none"/>
        </w:rPr>
        <w:t>我方对被授权人的签名事项负全部责任。</w:t>
      </w:r>
    </w:p>
    <w:p>
      <w:pPr>
        <w:snapToGrid w:val="0"/>
        <w:spacing w:beforeLines="50" w:after="50" w:line="500" w:lineRule="exact"/>
        <w:ind w:firstLine="420" w:firstLineChars="200"/>
        <w:rPr>
          <w:rFonts w:ascii="宋体" w:hAnsi="宋体"/>
          <w:color w:val="auto"/>
          <w:szCs w:val="21"/>
          <w:highlight w:val="none"/>
        </w:rPr>
      </w:pPr>
      <w:r>
        <w:rPr>
          <w:rFonts w:hint="eastAsia" w:ascii="宋体" w:hAnsi="宋体"/>
          <w:color w:val="auto"/>
          <w:szCs w:val="21"/>
          <w:highlight w:val="none"/>
          <w:u w:val="single"/>
        </w:rPr>
        <w:t>在撤销授权的书面通知以前，本授权书一直有效</w:t>
      </w:r>
      <w:r>
        <w:rPr>
          <w:rFonts w:hint="eastAsia" w:ascii="宋体" w:hAnsi="宋体"/>
          <w:color w:val="auto"/>
          <w:szCs w:val="21"/>
          <w:highlight w:val="none"/>
        </w:rPr>
        <w:t>。被授权人在授权书有效期内签署的所有文件不因授权的撤销而失效。</w:t>
      </w:r>
    </w:p>
    <w:p>
      <w:pPr>
        <w:snapToGrid w:val="0"/>
        <w:spacing w:beforeLines="50" w:after="50" w:line="500" w:lineRule="exact"/>
        <w:ind w:firstLine="420" w:firstLineChars="200"/>
        <w:rPr>
          <w:rFonts w:ascii="宋体" w:hAnsi="宋体"/>
          <w:color w:val="auto"/>
          <w:szCs w:val="21"/>
          <w:highlight w:val="none"/>
        </w:rPr>
      </w:pPr>
      <w:r>
        <w:rPr>
          <w:rFonts w:hint="eastAsia" w:ascii="宋体" w:hAnsi="宋体"/>
          <w:color w:val="auto"/>
          <w:szCs w:val="21"/>
          <w:highlight w:val="none"/>
        </w:rPr>
        <w:t>被授权人无转委托权，特此委托。</w:t>
      </w:r>
    </w:p>
    <w:p>
      <w:pPr>
        <w:snapToGrid w:val="0"/>
        <w:spacing w:beforeLines="50" w:after="50" w:line="300" w:lineRule="exact"/>
        <w:ind w:firstLine="525" w:firstLineChars="250"/>
        <w:rPr>
          <w:rFonts w:ascii="宋体" w:hAnsi="宋体"/>
          <w:color w:val="auto"/>
          <w:szCs w:val="21"/>
          <w:highlight w:val="none"/>
        </w:rPr>
      </w:pPr>
    </w:p>
    <w:p>
      <w:pPr>
        <w:snapToGrid w:val="0"/>
        <w:spacing w:beforeLines="50" w:after="50" w:line="300" w:lineRule="exact"/>
        <w:ind w:firstLine="420" w:firstLineChars="200"/>
        <w:rPr>
          <w:rFonts w:ascii="宋体" w:hAnsi="宋体"/>
          <w:color w:val="auto"/>
          <w:szCs w:val="21"/>
          <w:highlight w:val="none"/>
        </w:rPr>
      </w:pPr>
      <w:r>
        <w:rPr>
          <w:rFonts w:hint="eastAsia" w:ascii="宋体" w:hAnsi="宋体"/>
          <w:color w:val="auto"/>
          <w:szCs w:val="21"/>
          <w:highlight w:val="none"/>
        </w:rPr>
        <w:t>所在部门职务：</w:t>
      </w:r>
    </w:p>
    <w:p>
      <w:pPr>
        <w:snapToGrid w:val="0"/>
        <w:spacing w:beforeLines="50" w:after="50" w:line="300" w:lineRule="exact"/>
        <w:ind w:firstLine="420" w:firstLineChars="200"/>
        <w:rPr>
          <w:rFonts w:ascii="宋体" w:hAnsi="宋体"/>
          <w:color w:val="auto"/>
          <w:szCs w:val="21"/>
          <w:highlight w:val="none"/>
          <w:u w:val="single"/>
        </w:rPr>
      </w:pPr>
      <w:r>
        <w:rPr>
          <w:rFonts w:hint="eastAsia" w:ascii="宋体" w:hAnsi="宋体"/>
          <w:color w:val="auto"/>
          <w:szCs w:val="21"/>
          <w:highlight w:val="none"/>
        </w:rPr>
        <w:t>职务：</w:t>
      </w:r>
    </w:p>
    <w:p>
      <w:pPr>
        <w:snapToGrid w:val="0"/>
        <w:spacing w:beforeLines="50" w:after="50" w:line="300" w:lineRule="exact"/>
        <w:ind w:firstLine="420" w:firstLineChars="200"/>
        <w:rPr>
          <w:rFonts w:ascii="宋体" w:hAnsi="宋体"/>
          <w:color w:val="auto"/>
          <w:szCs w:val="21"/>
          <w:highlight w:val="none"/>
        </w:rPr>
      </w:pPr>
      <w:r>
        <w:rPr>
          <w:rFonts w:hint="eastAsia" w:ascii="宋体" w:hAnsi="宋体"/>
          <w:color w:val="auto"/>
          <w:szCs w:val="21"/>
          <w:highlight w:val="none"/>
        </w:rPr>
        <w:t>被授权人身份证号码：</w:t>
      </w:r>
    </w:p>
    <w:p>
      <w:pPr>
        <w:snapToGrid w:val="0"/>
        <w:spacing w:beforeLines="50" w:after="50" w:line="300" w:lineRule="exact"/>
        <w:ind w:firstLine="420" w:firstLineChars="200"/>
        <w:rPr>
          <w:rFonts w:hAnsi="宋体"/>
          <w:color w:val="auto"/>
          <w:highlight w:val="none"/>
        </w:rPr>
      </w:pPr>
      <w:r>
        <w:rPr>
          <w:rFonts w:hint="eastAsia" w:hAnsi="宋体"/>
          <w:color w:val="auto"/>
          <w:highlight w:val="none"/>
        </w:rPr>
        <w:t>附：委托代理人身份证(正反面</w:t>
      </w:r>
      <w:r>
        <w:rPr>
          <w:rFonts w:hAnsi="宋体"/>
          <w:color w:val="auto"/>
          <w:highlight w:val="none"/>
        </w:rPr>
        <w:t>)</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snapToGrid w:val="0"/>
        <w:spacing w:beforeLines="50" w:after="50" w:line="200" w:lineRule="exact"/>
        <w:ind w:firstLine="4620" w:firstLineChars="2200"/>
        <w:rPr>
          <w:rFonts w:ascii="宋体" w:hAnsi="宋体"/>
          <w:color w:val="auto"/>
          <w:szCs w:val="21"/>
          <w:highlight w:val="none"/>
          <w:u w:val="single"/>
        </w:rPr>
      </w:pPr>
      <w:r>
        <w:rPr>
          <w:rFonts w:hint="eastAsia" w:ascii="宋体" w:hAnsi="宋体"/>
          <w:color w:val="auto"/>
          <w:szCs w:val="21"/>
          <w:highlight w:val="none"/>
        </w:rPr>
        <w:t xml:space="preserve">       供应商（盖章）：</w:t>
      </w:r>
    </w:p>
    <w:p>
      <w:pPr>
        <w:snapToGrid w:val="0"/>
        <w:spacing w:beforeLines="50" w:after="50" w:line="200" w:lineRule="exact"/>
        <w:ind w:firstLine="5355" w:firstLineChars="2550"/>
        <w:rPr>
          <w:rFonts w:ascii="宋体" w:hAnsi="宋体"/>
          <w:color w:val="auto"/>
          <w:szCs w:val="21"/>
          <w:highlight w:val="none"/>
        </w:rPr>
      </w:pPr>
      <w:r>
        <w:rPr>
          <w:rFonts w:hint="eastAsia" w:ascii="宋体" w:hAnsi="宋体"/>
          <w:color w:val="auto"/>
          <w:szCs w:val="21"/>
          <w:highlight w:val="none"/>
        </w:rPr>
        <w:t>法定代表人</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负责人</w:t>
      </w:r>
      <w:r>
        <w:rPr>
          <w:rFonts w:hint="eastAsia" w:ascii="宋体" w:hAnsi="宋体"/>
          <w:color w:val="auto"/>
          <w:szCs w:val="21"/>
          <w:highlight w:val="none"/>
          <w:lang w:eastAsia="zh-CN"/>
        </w:rPr>
        <w:t>）</w:t>
      </w:r>
      <w:r>
        <w:rPr>
          <w:rFonts w:hint="eastAsia" w:ascii="宋体" w:hAnsi="宋体"/>
          <w:color w:val="auto"/>
          <w:szCs w:val="21"/>
          <w:highlight w:val="none"/>
        </w:rPr>
        <w:t>签名：</w:t>
      </w:r>
    </w:p>
    <w:p>
      <w:pPr>
        <w:snapToGrid w:val="0"/>
        <w:spacing w:beforeLines="50" w:after="50" w:line="200" w:lineRule="exact"/>
        <w:ind w:firstLine="5355" w:firstLineChars="2550"/>
        <w:rPr>
          <w:rFonts w:ascii="宋体" w:hAnsi="宋体"/>
          <w:color w:val="auto"/>
          <w:szCs w:val="21"/>
          <w:highlight w:val="none"/>
        </w:rPr>
      </w:pPr>
      <w:r>
        <w:rPr>
          <w:rFonts w:hint="eastAsia" w:ascii="宋体" w:hAnsi="宋体"/>
          <w:color w:val="auto"/>
          <w:szCs w:val="21"/>
          <w:highlight w:val="none"/>
        </w:rPr>
        <w:t>日期：年月日</w:t>
      </w:r>
    </w:p>
    <w:p>
      <w:pPr>
        <w:widowControl/>
        <w:jc w:val="left"/>
        <w:rPr>
          <w:color w:val="auto"/>
          <w:highlight w:val="none"/>
        </w:rPr>
      </w:pPr>
      <w:r>
        <w:rPr>
          <w:b/>
          <w:bCs/>
          <w:color w:val="auto"/>
          <w:highlight w:val="none"/>
        </w:rPr>
        <w:br w:type="page"/>
      </w:r>
    </w:p>
    <w:p>
      <w:pPr>
        <w:snapToGrid w:val="0"/>
        <w:spacing w:beforeLines="50" w:after="50" w:line="360" w:lineRule="exact"/>
        <w:jc w:val="center"/>
        <w:rPr>
          <w:rFonts w:ascii="仿宋" w:hAnsi="仿宋" w:eastAsia="仿宋"/>
          <w:color w:val="auto"/>
          <w:sz w:val="24"/>
          <w:highlight w:val="none"/>
        </w:rPr>
      </w:pPr>
      <w:bookmarkStart w:id="141" w:name="_Hlk92702799"/>
      <w:r>
        <w:rPr>
          <w:rFonts w:hint="eastAsia" w:ascii="仿宋_GB2312" w:hAnsi="宋体" w:eastAsia="仿宋_GB2312"/>
          <w:b/>
          <w:color w:val="auto"/>
          <w:sz w:val="28"/>
          <w:szCs w:val="28"/>
          <w:highlight w:val="none"/>
        </w:rPr>
        <w:t>商务响应</w:t>
      </w:r>
      <w:r>
        <w:rPr>
          <w:rFonts w:hint="eastAsia" w:ascii="仿宋_GB2312" w:eastAsia="仿宋_GB2312"/>
          <w:b/>
          <w:color w:val="auto"/>
          <w:sz w:val="28"/>
          <w:szCs w:val="28"/>
          <w:highlight w:val="none"/>
        </w:rPr>
        <w:t>表</w:t>
      </w:r>
      <w:r>
        <w:rPr>
          <w:rFonts w:hint="eastAsia" w:ascii="仿宋" w:hAnsi="仿宋" w:eastAsia="仿宋"/>
          <w:color w:val="auto"/>
          <w:sz w:val="24"/>
          <w:highlight w:val="none"/>
        </w:rPr>
        <w:t>(格式</w:t>
      </w:r>
      <w:r>
        <w:rPr>
          <w:rFonts w:ascii="仿宋" w:hAnsi="仿宋" w:eastAsia="仿宋"/>
          <w:color w:val="auto"/>
          <w:sz w:val="24"/>
          <w:highlight w:val="none"/>
        </w:rPr>
        <w:t>)</w:t>
      </w:r>
    </w:p>
    <w:p>
      <w:pPr>
        <w:rPr>
          <w:color w:val="auto"/>
          <w:highlight w:val="none"/>
        </w:rPr>
      </w:pPr>
    </w:p>
    <w:tbl>
      <w:tblPr>
        <w:tblStyle w:val="42"/>
        <w:tblW w:w="946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08"/>
        <w:gridCol w:w="3240"/>
        <w:gridCol w:w="2748"/>
        <w:gridCol w:w="157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8" w:type="dxa"/>
            <w:tcBorders>
              <w:top w:val="single" w:color="auto" w:sz="4" w:space="0"/>
              <w:left w:val="single" w:color="auto" w:sz="4" w:space="0"/>
              <w:bottom w:val="single" w:color="auto" w:sz="4" w:space="0"/>
              <w:right w:val="single" w:color="auto" w:sz="4" w:space="0"/>
            </w:tcBorders>
            <w:vAlign w:val="center"/>
          </w:tcPr>
          <w:p>
            <w:pPr>
              <w:snapToGrid w:val="0"/>
              <w:spacing w:beforeLines="50" w:line="360" w:lineRule="exact"/>
              <w:jc w:val="center"/>
              <w:rPr>
                <w:rFonts w:ascii="宋体" w:hAnsi="宋体"/>
                <w:b/>
                <w:color w:val="auto"/>
                <w:szCs w:val="21"/>
                <w:highlight w:val="none"/>
              </w:rPr>
            </w:pPr>
            <w:r>
              <w:rPr>
                <w:rFonts w:hint="eastAsia" w:ascii="宋体" w:hAnsi="宋体"/>
                <w:b/>
                <w:color w:val="auto"/>
                <w:szCs w:val="21"/>
                <w:highlight w:val="none"/>
              </w:rPr>
              <w:t>项目</w:t>
            </w:r>
          </w:p>
        </w:tc>
        <w:tc>
          <w:tcPr>
            <w:tcW w:w="3240" w:type="dxa"/>
            <w:tcBorders>
              <w:top w:val="single" w:color="auto" w:sz="4" w:space="0"/>
              <w:left w:val="single" w:color="auto" w:sz="4" w:space="0"/>
              <w:bottom w:val="single" w:color="auto" w:sz="4" w:space="0"/>
              <w:right w:val="single" w:color="auto" w:sz="4" w:space="0"/>
            </w:tcBorders>
            <w:vAlign w:val="center"/>
          </w:tcPr>
          <w:p>
            <w:pPr>
              <w:snapToGrid w:val="0"/>
              <w:spacing w:beforeLines="50" w:line="360" w:lineRule="exact"/>
              <w:jc w:val="center"/>
              <w:rPr>
                <w:rFonts w:ascii="宋体" w:hAnsi="宋体"/>
                <w:b/>
                <w:color w:val="auto"/>
                <w:szCs w:val="21"/>
                <w:highlight w:val="none"/>
              </w:rPr>
            </w:pPr>
            <w:r>
              <w:rPr>
                <w:rFonts w:hint="eastAsia" w:ascii="宋体" w:hAnsi="宋体"/>
                <w:b/>
                <w:color w:val="auto"/>
                <w:szCs w:val="21"/>
                <w:highlight w:val="none"/>
              </w:rPr>
              <w:t>采购文件商务要求</w:t>
            </w:r>
          </w:p>
        </w:tc>
        <w:tc>
          <w:tcPr>
            <w:tcW w:w="2748" w:type="dxa"/>
            <w:tcBorders>
              <w:top w:val="single" w:color="auto" w:sz="4" w:space="0"/>
              <w:left w:val="single" w:color="auto" w:sz="4" w:space="0"/>
              <w:bottom w:val="single" w:color="auto" w:sz="4" w:space="0"/>
              <w:right w:val="single" w:color="auto" w:sz="4" w:space="0"/>
            </w:tcBorders>
            <w:vAlign w:val="center"/>
          </w:tcPr>
          <w:p>
            <w:pPr>
              <w:snapToGrid w:val="0"/>
              <w:spacing w:beforeLines="50" w:line="360" w:lineRule="exact"/>
              <w:jc w:val="center"/>
              <w:rPr>
                <w:rFonts w:ascii="宋体" w:hAnsi="宋体"/>
                <w:b/>
                <w:color w:val="auto"/>
                <w:szCs w:val="21"/>
                <w:highlight w:val="none"/>
              </w:rPr>
            </w:pPr>
            <w:r>
              <w:rPr>
                <w:rFonts w:hint="eastAsia" w:ascii="宋体" w:hAnsi="宋体"/>
                <w:b/>
                <w:color w:val="auto"/>
                <w:szCs w:val="21"/>
                <w:highlight w:val="none"/>
              </w:rPr>
              <w:t>供应商的响应</w:t>
            </w:r>
          </w:p>
        </w:tc>
        <w:tc>
          <w:tcPr>
            <w:tcW w:w="1572" w:type="dxa"/>
            <w:tcBorders>
              <w:top w:val="single" w:color="auto" w:sz="4" w:space="0"/>
              <w:left w:val="single" w:color="auto" w:sz="4" w:space="0"/>
              <w:bottom w:val="single" w:color="auto" w:sz="4" w:space="0"/>
              <w:right w:val="single" w:color="auto" w:sz="4" w:space="0"/>
            </w:tcBorders>
            <w:vAlign w:val="center"/>
          </w:tcPr>
          <w:p>
            <w:pPr>
              <w:snapToGrid w:val="0"/>
              <w:spacing w:beforeLines="50" w:line="360" w:lineRule="exact"/>
              <w:jc w:val="center"/>
              <w:rPr>
                <w:rFonts w:ascii="宋体" w:hAnsi="宋体"/>
                <w:b/>
                <w:color w:val="auto"/>
                <w:szCs w:val="21"/>
                <w:highlight w:val="none"/>
              </w:rPr>
            </w:pPr>
            <w:r>
              <w:rPr>
                <w:rFonts w:hint="eastAsia" w:ascii="宋体" w:hAnsi="宋体"/>
                <w:b/>
                <w:color w:val="auto"/>
                <w:szCs w:val="21"/>
                <w:highlight w:val="none"/>
              </w:rPr>
              <w:t>偏离说明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8" w:type="dxa"/>
            <w:tcBorders>
              <w:top w:val="single" w:color="auto" w:sz="4" w:space="0"/>
              <w:left w:val="single" w:color="auto" w:sz="4" w:space="0"/>
              <w:bottom w:val="single" w:color="auto" w:sz="4" w:space="0"/>
              <w:right w:val="single" w:color="auto" w:sz="4" w:space="0"/>
            </w:tcBorders>
            <w:vAlign w:val="center"/>
          </w:tcPr>
          <w:p>
            <w:pPr>
              <w:snapToGrid w:val="0"/>
              <w:spacing w:beforeLines="50" w:line="360" w:lineRule="exact"/>
              <w:jc w:val="center"/>
              <w:rPr>
                <w:rFonts w:ascii="宋体" w:hAnsi="宋体"/>
                <w:color w:val="auto"/>
                <w:szCs w:val="21"/>
                <w:highlight w:val="none"/>
              </w:rPr>
            </w:pPr>
            <w:r>
              <w:rPr>
                <w:rFonts w:hint="eastAsia" w:ascii="宋体" w:hAnsi="宋体"/>
                <w:color w:val="auto"/>
                <w:szCs w:val="21"/>
                <w:highlight w:val="none"/>
              </w:rPr>
              <w:t>服务期</w:t>
            </w:r>
          </w:p>
        </w:tc>
        <w:tc>
          <w:tcPr>
            <w:tcW w:w="3240" w:type="dxa"/>
            <w:tcBorders>
              <w:top w:val="single" w:color="auto" w:sz="4" w:space="0"/>
              <w:left w:val="single" w:color="auto" w:sz="4" w:space="0"/>
              <w:bottom w:val="single" w:color="auto" w:sz="4" w:space="0"/>
              <w:right w:val="single" w:color="auto" w:sz="4" w:space="0"/>
            </w:tcBorders>
            <w:vAlign w:val="center"/>
          </w:tcPr>
          <w:p>
            <w:pPr>
              <w:snapToGrid w:val="0"/>
              <w:spacing w:beforeLines="50" w:line="360" w:lineRule="exact"/>
              <w:jc w:val="center"/>
              <w:rPr>
                <w:rFonts w:ascii="宋体" w:hAnsi="宋体"/>
                <w:color w:val="auto"/>
                <w:szCs w:val="21"/>
                <w:highlight w:val="none"/>
              </w:rPr>
            </w:pPr>
          </w:p>
        </w:tc>
        <w:tc>
          <w:tcPr>
            <w:tcW w:w="2748" w:type="dxa"/>
            <w:tcBorders>
              <w:top w:val="single" w:color="auto" w:sz="4" w:space="0"/>
              <w:left w:val="single" w:color="auto" w:sz="4" w:space="0"/>
              <w:bottom w:val="single" w:color="auto" w:sz="4" w:space="0"/>
              <w:right w:val="single" w:color="auto" w:sz="4" w:space="0"/>
            </w:tcBorders>
            <w:vAlign w:val="center"/>
          </w:tcPr>
          <w:p>
            <w:pPr>
              <w:snapToGrid w:val="0"/>
              <w:spacing w:beforeLines="50" w:line="360" w:lineRule="exact"/>
              <w:jc w:val="center"/>
              <w:rPr>
                <w:rFonts w:ascii="宋体" w:hAnsi="宋体"/>
                <w:color w:val="auto"/>
                <w:szCs w:val="21"/>
                <w:highlight w:val="none"/>
              </w:rPr>
            </w:pPr>
          </w:p>
        </w:tc>
        <w:tc>
          <w:tcPr>
            <w:tcW w:w="1572" w:type="dxa"/>
            <w:tcBorders>
              <w:top w:val="single" w:color="auto" w:sz="4" w:space="0"/>
              <w:left w:val="single" w:color="auto" w:sz="4" w:space="0"/>
              <w:bottom w:val="single" w:color="auto" w:sz="4" w:space="0"/>
              <w:right w:val="single" w:color="auto" w:sz="4" w:space="0"/>
            </w:tcBorders>
            <w:vAlign w:val="center"/>
          </w:tcPr>
          <w:p>
            <w:pPr>
              <w:snapToGrid w:val="0"/>
              <w:spacing w:beforeLines="50" w:line="36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8" w:type="dxa"/>
            <w:tcBorders>
              <w:top w:val="single" w:color="auto" w:sz="4" w:space="0"/>
              <w:left w:val="single" w:color="auto" w:sz="4" w:space="0"/>
              <w:bottom w:val="single" w:color="auto" w:sz="4" w:space="0"/>
              <w:right w:val="single" w:color="auto" w:sz="4" w:space="0"/>
            </w:tcBorders>
            <w:vAlign w:val="center"/>
          </w:tcPr>
          <w:p>
            <w:pPr>
              <w:snapToGrid w:val="0"/>
              <w:spacing w:beforeLines="50" w:line="360" w:lineRule="exact"/>
              <w:jc w:val="center"/>
              <w:rPr>
                <w:rFonts w:ascii="宋体" w:hAnsi="宋体"/>
                <w:color w:val="auto"/>
                <w:szCs w:val="21"/>
                <w:highlight w:val="none"/>
              </w:rPr>
            </w:pPr>
            <w:r>
              <w:rPr>
                <w:rFonts w:hint="eastAsia" w:ascii="宋体" w:hAnsi="宋体"/>
                <w:color w:val="auto"/>
                <w:szCs w:val="21"/>
                <w:highlight w:val="none"/>
              </w:rPr>
              <w:t>服务地点</w:t>
            </w:r>
          </w:p>
        </w:tc>
        <w:tc>
          <w:tcPr>
            <w:tcW w:w="3240" w:type="dxa"/>
            <w:tcBorders>
              <w:top w:val="single" w:color="auto" w:sz="4" w:space="0"/>
              <w:left w:val="single" w:color="auto" w:sz="4" w:space="0"/>
              <w:bottom w:val="single" w:color="auto" w:sz="4" w:space="0"/>
              <w:right w:val="single" w:color="auto" w:sz="4" w:space="0"/>
            </w:tcBorders>
            <w:vAlign w:val="center"/>
          </w:tcPr>
          <w:p>
            <w:pPr>
              <w:snapToGrid w:val="0"/>
              <w:spacing w:beforeLines="50" w:line="360" w:lineRule="exact"/>
              <w:jc w:val="center"/>
              <w:rPr>
                <w:rFonts w:ascii="宋体" w:hAnsi="宋体"/>
                <w:color w:val="auto"/>
                <w:szCs w:val="21"/>
                <w:highlight w:val="none"/>
              </w:rPr>
            </w:pPr>
          </w:p>
        </w:tc>
        <w:tc>
          <w:tcPr>
            <w:tcW w:w="2748" w:type="dxa"/>
            <w:tcBorders>
              <w:top w:val="single" w:color="auto" w:sz="4" w:space="0"/>
              <w:left w:val="single" w:color="auto" w:sz="4" w:space="0"/>
              <w:bottom w:val="single" w:color="auto" w:sz="4" w:space="0"/>
              <w:right w:val="single" w:color="auto" w:sz="4" w:space="0"/>
            </w:tcBorders>
            <w:vAlign w:val="center"/>
          </w:tcPr>
          <w:p>
            <w:pPr>
              <w:snapToGrid w:val="0"/>
              <w:spacing w:beforeLines="50" w:line="360" w:lineRule="exact"/>
              <w:ind w:left="43"/>
              <w:jc w:val="center"/>
              <w:rPr>
                <w:rFonts w:ascii="宋体" w:hAnsi="宋体"/>
                <w:color w:val="auto"/>
                <w:szCs w:val="21"/>
                <w:highlight w:val="none"/>
              </w:rPr>
            </w:pPr>
          </w:p>
        </w:tc>
        <w:tc>
          <w:tcPr>
            <w:tcW w:w="1572" w:type="dxa"/>
            <w:tcBorders>
              <w:top w:val="single" w:color="auto" w:sz="4" w:space="0"/>
              <w:left w:val="single" w:color="auto" w:sz="4" w:space="0"/>
              <w:bottom w:val="single" w:color="auto" w:sz="4" w:space="0"/>
              <w:right w:val="single" w:color="auto" w:sz="4" w:space="0"/>
            </w:tcBorders>
            <w:vAlign w:val="center"/>
          </w:tcPr>
          <w:p>
            <w:pPr>
              <w:snapToGrid w:val="0"/>
              <w:spacing w:beforeLines="50" w:line="360" w:lineRule="exact"/>
              <w:ind w:left="43"/>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8" w:type="dxa"/>
            <w:tcBorders>
              <w:top w:val="single" w:color="auto" w:sz="4" w:space="0"/>
              <w:left w:val="single" w:color="auto" w:sz="4" w:space="0"/>
              <w:bottom w:val="single" w:color="auto" w:sz="4" w:space="0"/>
              <w:right w:val="single" w:color="auto" w:sz="4" w:space="0"/>
            </w:tcBorders>
            <w:vAlign w:val="center"/>
          </w:tcPr>
          <w:p>
            <w:pPr>
              <w:snapToGrid w:val="0"/>
              <w:spacing w:beforeLines="50" w:line="360" w:lineRule="exact"/>
              <w:jc w:val="center"/>
              <w:rPr>
                <w:rFonts w:ascii="宋体" w:hAnsi="宋体"/>
                <w:color w:val="auto"/>
                <w:szCs w:val="21"/>
                <w:highlight w:val="none"/>
              </w:rPr>
            </w:pPr>
            <w:r>
              <w:rPr>
                <w:rFonts w:hint="eastAsia" w:ascii="宋体" w:hAnsi="宋体"/>
                <w:color w:val="auto"/>
                <w:szCs w:val="21"/>
                <w:highlight w:val="none"/>
              </w:rPr>
              <w:t>付款条件</w:t>
            </w:r>
          </w:p>
        </w:tc>
        <w:tc>
          <w:tcPr>
            <w:tcW w:w="3240" w:type="dxa"/>
            <w:tcBorders>
              <w:top w:val="single" w:color="auto" w:sz="4" w:space="0"/>
              <w:left w:val="single" w:color="auto" w:sz="4" w:space="0"/>
              <w:bottom w:val="single" w:color="auto" w:sz="4" w:space="0"/>
              <w:right w:val="single" w:color="auto" w:sz="4" w:space="0"/>
            </w:tcBorders>
            <w:vAlign w:val="center"/>
          </w:tcPr>
          <w:p>
            <w:pPr>
              <w:snapToGrid w:val="0"/>
              <w:spacing w:beforeLines="50" w:line="360" w:lineRule="exact"/>
              <w:ind w:left="105"/>
              <w:jc w:val="center"/>
              <w:rPr>
                <w:rFonts w:ascii="宋体" w:hAnsi="宋体"/>
                <w:color w:val="auto"/>
                <w:szCs w:val="21"/>
                <w:highlight w:val="none"/>
              </w:rPr>
            </w:pPr>
          </w:p>
        </w:tc>
        <w:tc>
          <w:tcPr>
            <w:tcW w:w="2748" w:type="dxa"/>
            <w:tcBorders>
              <w:top w:val="single" w:color="auto" w:sz="4" w:space="0"/>
              <w:left w:val="single" w:color="auto" w:sz="4" w:space="0"/>
              <w:bottom w:val="single" w:color="auto" w:sz="4" w:space="0"/>
              <w:right w:val="single" w:color="auto" w:sz="4" w:space="0"/>
            </w:tcBorders>
            <w:vAlign w:val="center"/>
          </w:tcPr>
          <w:p>
            <w:pPr>
              <w:snapToGrid w:val="0"/>
              <w:spacing w:beforeLines="50" w:line="360" w:lineRule="exact"/>
              <w:jc w:val="center"/>
              <w:rPr>
                <w:rFonts w:ascii="宋体" w:hAnsi="宋体"/>
                <w:color w:val="auto"/>
                <w:szCs w:val="21"/>
                <w:highlight w:val="none"/>
              </w:rPr>
            </w:pPr>
          </w:p>
        </w:tc>
        <w:tc>
          <w:tcPr>
            <w:tcW w:w="1572" w:type="dxa"/>
            <w:tcBorders>
              <w:top w:val="single" w:color="auto" w:sz="4" w:space="0"/>
              <w:left w:val="single" w:color="auto" w:sz="4" w:space="0"/>
              <w:bottom w:val="single" w:color="auto" w:sz="4" w:space="0"/>
              <w:right w:val="single" w:color="auto" w:sz="4" w:space="0"/>
            </w:tcBorders>
            <w:vAlign w:val="center"/>
          </w:tcPr>
          <w:p>
            <w:pPr>
              <w:snapToGrid w:val="0"/>
              <w:spacing w:beforeLines="50" w:line="36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8" w:type="dxa"/>
            <w:tcBorders>
              <w:top w:val="single" w:color="auto" w:sz="4" w:space="0"/>
              <w:left w:val="single" w:color="auto" w:sz="4" w:space="0"/>
              <w:bottom w:val="single" w:color="auto" w:sz="4" w:space="0"/>
              <w:right w:val="single" w:color="auto" w:sz="4" w:space="0"/>
            </w:tcBorders>
            <w:vAlign w:val="center"/>
          </w:tcPr>
          <w:p>
            <w:pPr>
              <w:snapToGrid w:val="0"/>
              <w:spacing w:beforeLines="50" w:line="360" w:lineRule="exact"/>
              <w:jc w:val="center"/>
              <w:rPr>
                <w:rFonts w:ascii="宋体" w:hAnsi="宋体"/>
                <w:color w:val="auto"/>
                <w:szCs w:val="21"/>
                <w:highlight w:val="none"/>
              </w:rPr>
            </w:pPr>
            <w:r>
              <w:rPr>
                <w:rFonts w:hint="eastAsia" w:ascii="宋体" w:hAnsi="宋体"/>
                <w:color w:val="auto"/>
                <w:szCs w:val="21"/>
                <w:highlight w:val="none"/>
              </w:rPr>
              <w:t>…</w:t>
            </w:r>
          </w:p>
        </w:tc>
        <w:tc>
          <w:tcPr>
            <w:tcW w:w="3240" w:type="dxa"/>
            <w:tcBorders>
              <w:top w:val="single" w:color="auto" w:sz="4" w:space="0"/>
              <w:left w:val="single" w:color="auto" w:sz="4" w:space="0"/>
              <w:bottom w:val="single" w:color="auto" w:sz="4" w:space="0"/>
              <w:right w:val="single" w:color="auto" w:sz="4" w:space="0"/>
            </w:tcBorders>
            <w:vAlign w:val="center"/>
          </w:tcPr>
          <w:p>
            <w:pPr>
              <w:snapToGrid w:val="0"/>
              <w:spacing w:beforeLines="50" w:line="360" w:lineRule="exact"/>
              <w:jc w:val="center"/>
              <w:rPr>
                <w:rFonts w:ascii="宋体" w:hAnsi="宋体"/>
                <w:color w:val="auto"/>
                <w:szCs w:val="21"/>
                <w:highlight w:val="none"/>
              </w:rPr>
            </w:pPr>
          </w:p>
        </w:tc>
        <w:tc>
          <w:tcPr>
            <w:tcW w:w="2748" w:type="dxa"/>
            <w:tcBorders>
              <w:top w:val="single" w:color="auto" w:sz="4" w:space="0"/>
              <w:left w:val="single" w:color="auto" w:sz="4" w:space="0"/>
              <w:bottom w:val="single" w:color="auto" w:sz="4" w:space="0"/>
              <w:right w:val="single" w:color="auto" w:sz="4" w:space="0"/>
            </w:tcBorders>
            <w:vAlign w:val="center"/>
          </w:tcPr>
          <w:p>
            <w:pPr>
              <w:snapToGrid w:val="0"/>
              <w:spacing w:beforeLines="50" w:line="360" w:lineRule="exact"/>
              <w:jc w:val="center"/>
              <w:rPr>
                <w:rFonts w:ascii="宋体" w:hAnsi="宋体"/>
                <w:color w:val="auto"/>
                <w:szCs w:val="21"/>
                <w:highlight w:val="none"/>
              </w:rPr>
            </w:pPr>
          </w:p>
        </w:tc>
        <w:tc>
          <w:tcPr>
            <w:tcW w:w="1572" w:type="dxa"/>
            <w:tcBorders>
              <w:top w:val="single" w:color="auto" w:sz="4" w:space="0"/>
              <w:left w:val="single" w:color="auto" w:sz="4" w:space="0"/>
              <w:bottom w:val="single" w:color="auto" w:sz="4" w:space="0"/>
              <w:right w:val="single" w:color="auto" w:sz="4" w:space="0"/>
            </w:tcBorders>
            <w:vAlign w:val="center"/>
          </w:tcPr>
          <w:p>
            <w:pPr>
              <w:snapToGrid w:val="0"/>
              <w:spacing w:beforeLines="50" w:line="360" w:lineRule="exact"/>
              <w:jc w:val="center"/>
              <w:rPr>
                <w:rFonts w:ascii="宋体" w:hAnsi="宋体"/>
                <w:color w:val="auto"/>
                <w:szCs w:val="21"/>
                <w:highlight w:val="none"/>
              </w:rPr>
            </w:pPr>
          </w:p>
        </w:tc>
      </w:tr>
    </w:tbl>
    <w:p>
      <w:pPr>
        <w:tabs>
          <w:tab w:val="left" w:pos="3870"/>
          <w:tab w:val="left" w:pos="4085"/>
        </w:tabs>
        <w:snapToGrid w:val="0"/>
        <w:spacing w:line="360" w:lineRule="exact"/>
        <w:rPr>
          <w:rFonts w:ascii="宋体" w:hAnsi="宋体"/>
          <w:b/>
          <w:color w:val="auto"/>
          <w:szCs w:val="21"/>
          <w:highlight w:val="none"/>
        </w:rPr>
      </w:pPr>
    </w:p>
    <w:p>
      <w:pPr>
        <w:rPr>
          <w:color w:val="auto"/>
          <w:highlight w:val="none"/>
        </w:rPr>
      </w:pPr>
      <w:r>
        <w:rPr>
          <w:rFonts w:hint="eastAsia"/>
          <w:color w:val="auto"/>
          <w:highlight w:val="none"/>
        </w:rPr>
        <w:t>注：</w:t>
      </w:r>
    </w:p>
    <w:p>
      <w:pPr>
        <w:rPr>
          <w:color w:val="auto"/>
          <w:szCs w:val="21"/>
          <w:highlight w:val="none"/>
        </w:rPr>
      </w:pPr>
      <w:r>
        <w:rPr>
          <w:rFonts w:hint="eastAsia"/>
          <w:color w:val="auto"/>
          <w:szCs w:val="21"/>
          <w:highlight w:val="none"/>
        </w:rPr>
        <w:t>1.应按采购文件“第二章 项目需求”中的商务要求具体条款修改并逐条作明确的竞标响应。</w:t>
      </w:r>
    </w:p>
    <w:p>
      <w:pPr>
        <w:rPr>
          <w:color w:val="auto"/>
          <w:szCs w:val="21"/>
          <w:highlight w:val="none"/>
        </w:rPr>
      </w:pPr>
      <w:r>
        <w:rPr>
          <w:rFonts w:hint="eastAsia"/>
          <w:color w:val="auto"/>
          <w:szCs w:val="21"/>
          <w:highlight w:val="none"/>
        </w:rPr>
        <w:t>2.供应商应根据自身的承诺，对照磋商文件要求，在“偏离说明”中注明“正偏离”、“负偏离”或者“无偏离”。既不属于“正偏离”也不属于“负偏离”即为“无偏离”。</w:t>
      </w:r>
    </w:p>
    <w:p>
      <w:pPr>
        <w:tabs>
          <w:tab w:val="left" w:pos="3870"/>
          <w:tab w:val="left" w:pos="4085"/>
        </w:tabs>
        <w:snapToGrid w:val="0"/>
        <w:spacing w:line="360" w:lineRule="exact"/>
        <w:rPr>
          <w:rFonts w:ascii="宋体" w:hAnsi="宋体"/>
          <w:b/>
          <w:color w:val="auto"/>
          <w:szCs w:val="21"/>
          <w:highlight w:val="none"/>
        </w:rPr>
      </w:pPr>
    </w:p>
    <w:bookmarkEnd w:id="141"/>
    <w:p>
      <w:pPr>
        <w:spacing w:line="400" w:lineRule="exact"/>
        <w:ind w:left="6092" w:leftChars="2766" w:right="592" w:rightChars="282" w:hanging="283" w:hangingChars="135"/>
        <w:jc w:val="left"/>
        <w:rPr>
          <w:rFonts w:ascii="宋体" w:hAnsi="宋体"/>
          <w:bCs/>
          <w:color w:val="auto"/>
          <w:highlight w:val="none"/>
        </w:rPr>
      </w:pPr>
      <w:bookmarkStart w:id="142" w:name="_Hlk112311546"/>
      <w:r>
        <w:rPr>
          <w:rFonts w:hint="eastAsia" w:ascii="宋体" w:hAnsi="宋体"/>
          <w:bCs/>
          <w:color w:val="auto"/>
          <w:highlight w:val="none"/>
        </w:rPr>
        <w:t>供应商（盖章）：</w:t>
      </w:r>
    </w:p>
    <w:p>
      <w:pPr>
        <w:snapToGrid w:val="0"/>
        <w:spacing w:before="50" w:after="50" w:line="350" w:lineRule="exact"/>
        <w:ind w:right="-817" w:rightChars="-389" w:firstLine="6090" w:firstLineChars="2900"/>
        <w:jc w:val="left"/>
        <w:rPr>
          <w:color w:val="auto"/>
          <w:highlight w:val="none"/>
        </w:rPr>
      </w:pPr>
      <w:r>
        <w:rPr>
          <w:rFonts w:hint="eastAsia" w:ascii="宋体" w:hAnsi="宋体"/>
          <w:bCs/>
          <w:color w:val="auto"/>
          <w:highlight w:val="none"/>
        </w:rPr>
        <w:t>日期：年月日</w:t>
      </w:r>
    </w:p>
    <w:bookmarkEnd w:id="142"/>
    <w:p>
      <w:pPr>
        <w:rPr>
          <w:color w:val="auto"/>
          <w:highlight w:val="none"/>
        </w:rPr>
      </w:pPr>
    </w:p>
    <w:p>
      <w:pPr>
        <w:adjustRightInd w:val="0"/>
        <w:snapToGrid w:val="0"/>
        <w:spacing w:line="300" w:lineRule="auto"/>
        <w:jc w:val="center"/>
        <w:rPr>
          <w:rFonts w:ascii="仿宋_GB2312" w:hAnsi="宋体" w:eastAsia="仿宋_GB2312"/>
          <w:b/>
          <w:color w:val="auto"/>
          <w:sz w:val="28"/>
          <w:szCs w:val="28"/>
          <w:highlight w:val="none"/>
        </w:rPr>
      </w:pPr>
    </w:p>
    <w:p>
      <w:pPr>
        <w:adjustRightInd w:val="0"/>
        <w:snapToGrid w:val="0"/>
        <w:spacing w:line="300" w:lineRule="auto"/>
        <w:jc w:val="center"/>
        <w:rPr>
          <w:rFonts w:ascii="仿宋_GB2312" w:hAnsi="宋体" w:eastAsia="仿宋_GB2312"/>
          <w:b/>
          <w:color w:val="auto"/>
          <w:sz w:val="28"/>
          <w:szCs w:val="28"/>
          <w:highlight w:val="none"/>
        </w:rPr>
      </w:pPr>
    </w:p>
    <w:p>
      <w:pPr>
        <w:adjustRightInd w:val="0"/>
        <w:snapToGrid w:val="0"/>
        <w:spacing w:line="300" w:lineRule="auto"/>
        <w:jc w:val="center"/>
        <w:rPr>
          <w:rFonts w:ascii="Arial Unicode MS" w:hAnsi="Arial Unicode MS" w:eastAsia="Arial Unicode MS" w:cs="Arial Unicode MS"/>
          <w:bCs/>
          <w:color w:val="auto"/>
          <w:sz w:val="44"/>
          <w:szCs w:val="44"/>
          <w:highlight w:val="none"/>
        </w:rPr>
      </w:pPr>
      <w:r>
        <w:rPr>
          <w:rFonts w:hint="eastAsia" w:ascii="仿宋_GB2312" w:hAnsi="宋体" w:eastAsia="仿宋_GB2312"/>
          <w:b/>
          <w:color w:val="auto"/>
          <w:sz w:val="28"/>
          <w:szCs w:val="28"/>
          <w:highlight w:val="none"/>
        </w:rPr>
        <w:t>技术响应</w:t>
      </w:r>
      <w:r>
        <w:rPr>
          <w:rFonts w:hint="eastAsia" w:ascii="仿宋_GB2312" w:eastAsia="仿宋_GB2312"/>
          <w:b/>
          <w:color w:val="auto"/>
          <w:sz w:val="28"/>
          <w:szCs w:val="28"/>
          <w:highlight w:val="none"/>
        </w:rPr>
        <w:t>表</w:t>
      </w:r>
      <w:r>
        <w:rPr>
          <w:rFonts w:hint="eastAsia" w:ascii="仿宋" w:hAnsi="仿宋" w:eastAsia="仿宋"/>
          <w:color w:val="auto"/>
          <w:sz w:val="24"/>
          <w:highlight w:val="none"/>
        </w:rPr>
        <w:t>(格式</w:t>
      </w:r>
      <w:r>
        <w:rPr>
          <w:rFonts w:ascii="仿宋" w:hAnsi="仿宋" w:eastAsia="仿宋"/>
          <w:color w:val="auto"/>
          <w:sz w:val="24"/>
          <w:highlight w:val="none"/>
        </w:rPr>
        <w:t>)</w:t>
      </w:r>
    </w:p>
    <w:tbl>
      <w:tblPr>
        <w:tblStyle w:val="42"/>
        <w:tblW w:w="852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57"/>
        <w:gridCol w:w="858"/>
        <w:gridCol w:w="2847"/>
        <w:gridCol w:w="2562"/>
        <w:gridCol w:w="139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857" w:type="dxa"/>
            <w:vAlign w:val="center"/>
          </w:tcPr>
          <w:p>
            <w:pPr>
              <w:snapToGrid w:val="0"/>
              <w:spacing w:beforeLines="50" w:line="360" w:lineRule="exact"/>
              <w:jc w:val="center"/>
              <w:rPr>
                <w:rFonts w:ascii="宋体" w:hAnsi="宋体"/>
                <w:b/>
                <w:color w:val="auto"/>
                <w:szCs w:val="21"/>
                <w:highlight w:val="none"/>
              </w:rPr>
            </w:pPr>
            <w:bookmarkStart w:id="143" w:name="_Toc254970729"/>
            <w:bookmarkStart w:id="144" w:name="_Toc295404981"/>
            <w:bookmarkStart w:id="145" w:name="_Toc297193185"/>
            <w:bookmarkStart w:id="146" w:name="_Toc301781611"/>
            <w:bookmarkStart w:id="147" w:name="_Toc173066401"/>
            <w:bookmarkStart w:id="148" w:name="_Toc173211900"/>
            <w:bookmarkStart w:id="149" w:name="_Toc254970588"/>
            <w:bookmarkStart w:id="150" w:name="_Toc373333689"/>
            <w:bookmarkStart w:id="151" w:name="_Toc383699906"/>
            <w:r>
              <w:rPr>
                <w:rFonts w:hint="eastAsia" w:ascii="宋体" w:hAnsi="宋体"/>
                <w:b/>
                <w:color w:val="auto"/>
                <w:szCs w:val="21"/>
                <w:highlight w:val="none"/>
              </w:rPr>
              <w:t>序号</w:t>
            </w:r>
            <w:bookmarkEnd w:id="143"/>
            <w:bookmarkEnd w:id="144"/>
            <w:bookmarkEnd w:id="145"/>
            <w:bookmarkEnd w:id="146"/>
            <w:bookmarkEnd w:id="147"/>
            <w:bookmarkEnd w:id="148"/>
            <w:bookmarkEnd w:id="149"/>
            <w:bookmarkEnd w:id="150"/>
            <w:bookmarkEnd w:id="151"/>
          </w:p>
        </w:tc>
        <w:tc>
          <w:tcPr>
            <w:tcW w:w="858" w:type="dxa"/>
            <w:tcBorders>
              <w:right w:val="single" w:color="auto" w:sz="4" w:space="0"/>
            </w:tcBorders>
            <w:vAlign w:val="center"/>
          </w:tcPr>
          <w:p>
            <w:pPr>
              <w:snapToGrid w:val="0"/>
              <w:spacing w:beforeLines="50" w:line="360" w:lineRule="exact"/>
              <w:jc w:val="center"/>
              <w:rPr>
                <w:rFonts w:ascii="宋体" w:hAnsi="宋体"/>
                <w:b/>
                <w:color w:val="auto"/>
                <w:szCs w:val="21"/>
                <w:highlight w:val="none"/>
              </w:rPr>
            </w:pPr>
            <w:r>
              <w:rPr>
                <w:rFonts w:hint="eastAsia" w:ascii="宋体" w:hAnsi="宋体"/>
                <w:b/>
                <w:color w:val="auto"/>
                <w:szCs w:val="21"/>
                <w:highlight w:val="none"/>
              </w:rPr>
              <w:t>名称</w:t>
            </w:r>
          </w:p>
        </w:tc>
        <w:tc>
          <w:tcPr>
            <w:tcW w:w="2847" w:type="dxa"/>
            <w:tcBorders>
              <w:left w:val="single" w:color="auto" w:sz="4" w:space="0"/>
            </w:tcBorders>
            <w:vAlign w:val="center"/>
          </w:tcPr>
          <w:p>
            <w:pPr>
              <w:snapToGrid w:val="0"/>
              <w:spacing w:beforeLines="50" w:line="360" w:lineRule="exact"/>
              <w:jc w:val="center"/>
              <w:rPr>
                <w:rFonts w:ascii="宋体" w:hAnsi="宋体"/>
                <w:b/>
                <w:color w:val="auto"/>
                <w:szCs w:val="21"/>
                <w:highlight w:val="none"/>
              </w:rPr>
            </w:pPr>
            <w:r>
              <w:rPr>
                <w:rFonts w:hint="eastAsia" w:ascii="宋体" w:hAnsi="宋体"/>
                <w:b/>
                <w:color w:val="auto"/>
                <w:szCs w:val="21"/>
                <w:highlight w:val="none"/>
              </w:rPr>
              <w:t>采购文件服务要求</w:t>
            </w:r>
          </w:p>
        </w:tc>
        <w:tc>
          <w:tcPr>
            <w:tcW w:w="2562" w:type="dxa"/>
            <w:vAlign w:val="center"/>
          </w:tcPr>
          <w:p>
            <w:pPr>
              <w:snapToGrid w:val="0"/>
              <w:spacing w:beforeLines="50" w:line="360" w:lineRule="exact"/>
              <w:jc w:val="center"/>
              <w:rPr>
                <w:rFonts w:ascii="宋体" w:hAnsi="宋体"/>
                <w:b/>
                <w:color w:val="auto"/>
                <w:szCs w:val="21"/>
                <w:highlight w:val="none"/>
              </w:rPr>
            </w:pPr>
            <w:r>
              <w:rPr>
                <w:rFonts w:hint="eastAsia" w:ascii="宋体" w:hAnsi="宋体"/>
                <w:b/>
                <w:color w:val="auto"/>
                <w:szCs w:val="21"/>
                <w:highlight w:val="none"/>
              </w:rPr>
              <w:t>供应商的响应</w:t>
            </w:r>
          </w:p>
        </w:tc>
        <w:tc>
          <w:tcPr>
            <w:tcW w:w="1398" w:type="dxa"/>
            <w:vAlign w:val="center"/>
          </w:tcPr>
          <w:p>
            <w:pPr>
              <w:snapToGrid w:val="0"/>
              <w:spacing w:beforeLines="50" w:line="360" w:lineRule="exact"/>
              <w:jc w:val="center"/>
              <w:rPr>
                <w:rFonts w:ascii="宋体" w:hAnsi="宋体"/>
                <w:b/>
                <w:color w:val="auto"/>
                <w:szCs w:val="21"/>
                <w:highlight w:val="none"/>
              </w:rPr>
            </w:pPr>
            <w:bookmarkStart w:id="152" w:name="_Toc173066404"/>
            <w:bookmarkStart w:id="153" w:name="_Toc301781614"/>
            <w:bookmarkStart w:id="154" w:name="_Toc295404984"/>
            <w:bookmarkStart w:id="155" w:name="_Toc254970732"/>
            <w:bookmarkStart w:id="156" w:name="_Toc173211903"/>
            <w:bookmarkStart w:id="157" w:name="_Toc254970591"/>
            <w:bookmarkStart w:id="158" w:name="_Toc383699909"/>
            <w:bookmarkStart w:id="159" w:name="_Toc373333692"/>
            <w:bookmarkStart w:id="160" w:name="_Toc297193188"/>
            <w:r>
              <w:rPr>
                <w:rFonts w:hint="eastAsia" w:ascii="宋体" w:hAnsi="宋体"/>
                <w:b/>
                <w:color w:val="auto"/>
                <w:szCs w:val="21"/>
                <w:highlight w:val="none"/>
              </w:rPr>
              <w:t>偏离</w:t>
            </w:r>
            <w:bookmarkEnd w:id="152"/>
            <w:bookmarkEnd w:id="153"/>
            <w:bookmarkEnd w:id="154"/>
            <w:bookmarkEnd w:id="155"/>
            <w:bookmarkEnd w:id="156"/>
            <w:bookmarkEnd w:id="157"/>
            <w:bookmarkEnd w:id="158"/>
            <w:bookmarkEnd w:id="159"/>
            <w:bookmarkEnd w:id="160"/>
            <w:bookmarkStart w:id="161" w:name="_Toc254970733"/>
            <w:bookmarkStart w:id="162" w:name="_Toc373333693"/>
            <w:bookmarkStart w:id="163" w:name="_Toc383699910"/>
            <w:bookmarkStart w:id="164" w:name="_Toc301781615"/>
            <w:bookmarkStart w:id="165" w:name="_Toc297193189"/>
            <w:bookmarkStart w:id="166" w:name="_Toc295404985"/>
            <w:bookmarkStart w:id="167" w:name="_Toc254970592"/>
            <w:bookmarkStart w:id="168" w:name="_Toc173211904"/>
            <w:bookmarkStart w:id="169" w:name="_Toc173066405"/>
            <w:r>
              <w:rPr>
                <w:rFonts w:hint="eastAsia" w:ascii="宋体" w:hAnsi="宋体"/>
                <w:b/>
                <w:color w:val="auto"/>
                <w:szCs w:val="21"/>
                <w:highlight w:val="none"/>
              </w:rPr>
              <w:t>说明</w:t>
            </w:r>
            <w:bookmarkEnd w:id="161"/>
            <w:bookmarkEnd w:id="162"/>
            <w:bookmarkEnd w:id="163"/>
            <w:bookmarkEnd w:id="164"/>
            <w:bookmarkEnd w:id="165"/>
            <w:bookmarkEnd w:id="166"/>
            <w:bookmarkEnd w:id="167"/>
            <w:bookmarkEnd w:id="168"/>
            <w:bookmarkEnd w:id="169"/>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857" w:type="dxa"/>
            <w:vAlign w:val="center"/>
          </w:tcPr>
          <w:p>
            <w:pPr>
              <w:pStyle w:val="21"/>
              <w:spacing w:line="360" w:lineRule="auto"/>
              <w:ind w:firstLine="0" w:firstLineChars="0"/>
              <w:contextualSpacing/>
              <w:jc w:val="center"/>
              <w:rPr>
                <w:rFonts w:ascii="宋体" w:hAnsi="宋体" w:eastAsia="宋体" w:cs="仿宋_GB2312"/>
                <w:color w:val="auto"/>
                <w:sz w:val="21"/>
                <w:szCs w:val="21"/>
                <w:highlight w:val="none"/>
              </w:rPr>
            </w:pPr>
            <w:bookmarkStart w:id="170" w:name="_Toc297193190"/>
            <w:bookmarkStart w:id="171" w:name="_Toc301781616"/>
            <w:bookmarkStart w:id="172" w:name="_Toc173066406"/>
            <w:bookmarkStart w:id="173" w:name="_Toc373333694"/>
            <w:bookmarkStart w:id="174" w:name="_Toc383699911"/>
            <w:bookmarkStart w:id="175" w:name="_Toc295404986"/>
            <w:bookmarkStart w:id="176" w:name="_Toc254970593"/>
            <w:bookmarkStart w:id="177" w:name="_Toc254970734"/>
            <w:bookmarkStart w:id="178" w:name="_Toc173211905"/>
            <w:r>
              <w:rPr>
                <w:rFonts w:hint="eastAsia" w:ascii="宋体" w:hAnsi="宋体" w:eastAsia="宋体" w:cs="仿宋_GB2312"/>
                <w:color w:val="auto"/>
                <w:sz w:val="21"/>
                <w:szCs w:val="21"/>
                <w:highlight w:val="none"/>
              </w:rPr>
              <w:t>1</w:t>
            </w:r>
            <w:bookmarkEnd w:id="170"/>
            <w:bookmarkEnd w:id="171"/>
            <w:bookmarkEnd w:id="172"/>
            <w:bookmarkEnd w:id="173"/>
            <w:bookmarkEnd w:id="174"/>
            <w:bookmarkEnd w:id="175"/>
            <w:bookmarkEnd w:id="176"/>
            <w:bookmarkEnd w:id="177"/>
            <w:bookmarkEnd w:id="178"/>
          </w:p>
        </w:tc>
        <w:tc>
          <w:tcPr>
            <w:tcW w:w="858" w:type="dxa"/>
            <w:tcBorders>
              <w:right w:val="single" w:color="auto" w:sz="4" w:space="0"/>
            </w:tcBorders>
            <w:vAlign w:val="center"/>
          </w:tcPr>
          <w:p>
            <w:pPr>
              <w:pStyle w:val="21"/>
              <w:spacing w:line="360" w:lineRule="auto"/>
              <w:ind w:firstLine="0" w:firstLineChars="0"/>
              <w:contextualSpacing/>
              <w:jc w:val="center"/>
              <w:rPr>
                <w:rFonts w:ascii="宋体" w:hAnsi="宋体" w:eastAsia="宋体" w:cs="仿宋_GB2312"/>
                <w:color w:val="auto"/>
                <w:sz w:val="21"/>
                <w:szCs w:val="21"/>
                <w:highlight w:val="none"/>
              </w:rPr>
            </w:pPr>
          </w:p>
        </w:tc>
        <w:tc>
          <w:tcPr>
            <w:tcW w:w="2847" w:type="dxa"/>
            <w:tcBorders>
              <w:left w:val="single" w:color="auto" w:sz="4" w:space="0"/>
            </w:tcBorders>
            <w:vAlign w:val="center"/>
          </w:tcPr>
          <w:p>
            <w:pPr>
              <w:pStyle w:val="21"/>
              <w:spacing w:line="360" w:lineRule="auto"/>
              <w:ind w:firstLine="0" w:firstLineChars="0"/>
              <w:contextualSpacing/>
              <w:jc w:val="center"/>
              <w:rPr>
                <w:rFonts w:ascii="宋体" w:hAnsi="宋体" w:eastAsia="宋体" w:cs="仿宋_GB2312"/>
                <w:color w:val="auto"/>
                <w:sz w:val="21"/>
                <w:szCs w:val="21"/>
                <w:highlight w:val="none"/>
              </w:rPr>
            </w:pPr>
          </w:p>
        </w:tc>
        <w:tc>
          <w:tcPr>
            <w:tcW w:w="2562" w:type="dxa"/>
            <w:vAlign w:val="center"/>
          </w:tcPr>
          <w:p>
            <w:pPr>
              <w:pStyle w:val="21"/>
              <w:spacing w:line="360" w:lineRule="auto"/>
              <w:ind w:firstLine="0" w:firstLineChars="0"/>
              <w:contextualSpacing/>
              <w:jc w:val="center"/>
              <w:rPr>
                <w:rFonts w:ascii="宋体" w:hAnsi="宋体" w:eastAsia="宋体" w:cs="仿宋_GB2312"/>
                <w:color w:val="auto"/>
                <w:sz w:val="21"/>
                <w:szCs w:val="21"/>
                <w:highlight w:val="none"/>
              </w:rPr>
            </w:pPr>
          </w:p>
        </w:tc>
        <w:tc>
          <w:tcPr>
            <w:tcW w:w="1398" w:type="dxa"/>
            <w:vAlign w:val="center"/>
          </w:tcPr>
          <w:p>
            <w:pPr>
              <w:pStyle w:val="21"/>
              <w:spacing w:line="360" w:lineRule="auto"/>
              <w:ind w:firstLine="0" w:firstLineChars="0"/>
              <w:contextualSpacing/>
              <w:jc w:val="center"/>
              <w:rPr>
                <w:rFonts w:ascii="宋体" w:hAnsi="宋体" w:eastAsia="宋体" w:cs="仿宋_GB2312"/>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857" w:type="dxa"/>
            <w:vAlign w:val="center"/>
          </w:tcPr>
          <w:p>
            <w:pPr>
              <w:pStyle w:val="21"/>
              <w:spacing w:line="360" w:lineRule="auto"/>
              <w:ind w:firstLine="0" w:firstLineChars="0"/>
              <w:contextualSpacing/>
              <w:jc w:val="center"/>
              <w:rPr>
                <w:rFonts w:ascii="宋体" w:hAnsi="宋体" w:eastAsia="宋体" w:cs="仿宋_GB2312"/>
                <w:color w:val="auto"/>
                <w:sz w:val="21"/>
                <w:szCs w:val="21"/>
                <w:highlight w:val="none"/>
              </w:rPr>
            </w:pPr>
            <w:bookmarkStart w:id="179" w:name="_Toc295404987"/>
            <w:bookmarkStart w:id="180" w:name="_Toc254970594"/>
            <w:bookmarkStart w:id="181" w:name="_Toc173066407"/>
            <w:bookmarkStart w:id="182" w:name="_Toc383699912"/>
            <w:bookmarkStart w:id="183" w:name="_Toc297193191"/>
            <w:bookmarkStart w:id="184" w:name="_Toc301781617"/>
            <w:bookmarkStart w:id="185" w:name="_Toc254970735"/>
            <w:bookmarkStart w:id="186" w:name="_Toc173211906"/>
            <w:bookmarkStart w:id="187" w:name="_Toc373333695"/>
            <w:r>
              <w:rPr>
                <w:rFonts w:hint="eastAsia" w:ascii="宋体" w:hAnsi="宋体" w:eastAsia="宋体" w:cs="仿宋_GB2312"/>
                <w:color w:val="auto"/>
                <w:sz w:val="21"/>
                <w:szCs w:val="21"/>
                <w:highlight w:val="none"/>
              </w:rPr>
              <w:t>2</w:t>
            </w:r>
            <w:bookmarkEnd w:id="179"/>
            <w:bookmarkEnd w:id="180"/>
            <w:bookmarkEnd w:id="181"/>
            <w:bookmarkEnd w:id="182"/>
            <w:bookmarkEnd w:id="183"/>
            <w:bookmarkEnd w:id="184"/>
            <w:bookmarkEnd w:id="185"/>
            <w:bookmarkEnd w:id="186"/>
            <w:bookmarkEnd w:id="187"/>
          </w:p>
        </w:tc>
        <w:tc>
          <w:tcPr>
            <w:tcW w:w="858" w:type="dxa"/>
            <w:tcBorders>
              <w:right w:val="single" w:color="auto" w:sz="4" w:space="0"/>
            </w:tcBorders>
            <w:vAlign w:val="center"/>
          </w:tcPr>
          <w:p>
            <w:pPr>
              <w:pStyle w:val="21"/>
              <w:spacing w:line="360" w:lineRule="auto"/>
              <w:ind w:firstLine="0" w:firstLineChars="0"/>
              <w:contextualSpacing/>
              <w:jc w:val="center"/>
              <w:rPr>
                <w:rFonts w:ascii="宋体" w:hAnsi="宋体" w:eastAsia="宋体" w:cs="仿宋_GB2312"/>
                <w:color w:val="auto"/>
                <w:sz w:val="21"/>
                <w:szCs w:val="21"/>
                <w:highlight w:val="none"/>
              </w:rPr>
            </w:pPr>
          </w:p>
        </w:tc>
        <w:tc>
          <w:tcPr>
            <w:tcW w:w="2847" w:type="dxa"/>
            <w:tcBorders>
              <w:left w:val="single" w:color="auto" w:sz="4" w:space="0"/>
            </w:tcBorders>
            <w:vAlign w:val="center"/>
          </w:tcPr>
          <w:p>
            <w:pPr>
              <w:pStyle w:val="21"/>
              <w:spacing w:line="360" w:lineRule="auto"/>
              <w:ind w:firstLine="0" w:firstLineChars="0"/>
              <w:contextualSpacing/>
              <w:jc w:val="center"/>
              <w:rPr>
                <w:rFonts w:ascii="宋体" w:hAnsi="宋体" w:eastAsia="宋体" w:cs="仿宋_GB2312"/>
                <w:color w:val="auto"/>
                <w:sz w:val="21"/>
                <w:szCs w:val="21"/>
                <w:highlight w:val="none"/>
              </w:rPr>
            </w:pPr>
          </w:p>
        </w:tc>
        <w:tc>
          <w:tcPr>
            <w:tcW w:w="2562" w:type="dxa"/>
            <w:vAlign w:val="center"/>
          </w:tcPr>
          <w:p>
            <w:pPr>
              <w:pStyle w:val="21"/>
              <w:spacing w:line="360" w:lineRule="auto"/>
              <w:ind w:firstLine="0" w:firstLineChars="0"/>
              <w:contextualSpacing/>
              <w:jc w:val="center"/>
              <w:rPr>
                <w:rFonts w:ascii="宋体" w:hAnsi="宋体" w:eastAsia="宋体" w:cs="仿宋_GB2312"/>
                <w:color w:val="auto"/>
                <w:sz w:val="21"/>
                <w:szCs w:val="21"/>
                <w:highlight w:val="none"/>
              </w:rPr>
            </w:pPr>
          </w:p>
        </w:tc>
        <w:tc>
          <w:tcPr>
            <w:tcW w:w="1398" w:type="dxa"/>
            <w:vAlign w:val="center"/>
          </w:tcPr>
          <w:p>
            <w:pPr>
              <w:pStyle w:val="21"/>
              <w:spacing w:line="360" w:lineRule="auto"/>
              <w:ind w:firstLine="0" w:firstLineChars="0"/>
              <w:contextualSpacing/>
              <w:jc w:val="center"/>
              <w:rPr>
                <w:rFonts w:ascii="宋体" w:hAnsi="宋体" w:eastAsia="宋体" w:cs="仿宋_GB2312"/>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857" w:type="dxa"/>
            <w:vAlign w:val="center"/>
          </w:tcPr>
          <w:p>
            <w:pPr>
              <w:pStyle w:val="21"/>
              <w:spacing w:line="360" w:lineRule="auto"/>
              <w:ind w:firstLine="0" w:firstLineChars="0"/>
              <w:contextualSpacing/>
              <w:jc w:val="center"/>
              <w:rPr>
                <w:rFonts w:ascii="宋体" w:hAnsi="宋体" w:eastAsia="宋体" w:cs="仿宋_GB2312"/>
                <w:color w:val="auto"/>
                <w:sz w:val="21"/>
                <w:szCs w:val="21"/>
                <w:highlight w:val="none"/>
              </w:rPr>
            </w:pPr>
            <w:bookmarkStart w:id="188" w:name="_Toc173211907"/>
            <w:bookmarkStart w:id="189" w:name="_Toc295404988"/>
            <w:bookmarkStart w:id="190" w:name="_Toc373333696"/>
            <w:bookmarkStart w:id="191" w:name="_Toc254970595"/>
            <w:bookmarkStart w:id="192" w:name="_Toc254970736"/>
            <w:bookmarkStart w:id="193" w:name="_Toc301781618"/>
            <w:bookmarkStart w:id="194" w:name="_Toc297193192"/>
            <w:bookmarkStart w:id="195" w:name="_Toc173066408"/>
            <w:bookmarkStart w:id="196" w:name="_Toc383699913"/>
            <w:r>
              <w:rPr>
                <w:rFonts w:hint="eastAsia" w:ascii="宋体" w:hAnsi="宋体" w:eastAsia="宋体" w:cs="仿宋_GB2312"/>
                <w:color w:val="auto"/>
                <w:sz w:val="21"/>
                <w:szCs w:val="21"/>
                <w:highlight w:val="none"/>
              </w:rPr>
              <w:t>3</w:t>
            </w:r>
            <w:bookmarkEnd w:id="188"/>
            <w:bookmarkEnd w:id="189"/>
            <w:bookmarkEnd w:id="190"/>
            <w:bookmarkEnd w:id="191"/>
            <w:bookmarkEnd w:id="192"/>
            <w:bookmarkEnd w:id="193"/>
            <w:bookmarkEnd w:id="194"/>
            <w:bookmarkEnd w:id="195"/>
            <w:bookmarkEnd w:id="196"/>
          </w:p>
        </w:tc>
        <w:tc>
          <w:tcPr>
            <w:tcW w:w="858" w:type="dxa"/>
            <w:tcBorders>
              <w:right w:val="single" w:color="auto" w:sz="4" w:space="0"/>
            </w:tcBorders>
            <w:vAlign w:val="center"/>
          </w:tcPr>
          <w:p>
            <w:pPr>
              <w:pStyle w:val="21"/>
              <w:spacing w:line="360" w:lineRule="auto"/>
              <w:ind w:firstLine="0" w:firstLineChars="0"/>
              <w:contextualSpacing/>
              <w:jc w:val="center"/>
              <w:rPr>
                <w:rFonts w:ascii="宋体" w:hAnsi="宋体" w:eastAsia="宋体" w:cs="仿宋_GB2312"/>
                <w:color w:val="auto"/>
                <w:sz w:val="21"/>
                <w:szCs w:val="21"/>
                <w:highlight w:val="none"/>
              </w:rPr>
            </w:pPr>
          </w:p>
        </w:tc>
        <w:tc>
          <w:tcPr>
            <w:tcW w:w="2847" w:type="dxa"/>
            <w:tcBorders>
              <w:left w:val="single" w:color="auto" w:sz="4" w:space="0"/>
            </w:tcBorders>
            <w:vAlign w:val="center"/>
          </w:tcPr>
          <w:p>
            <w:pPr>
              <w:pStyle w:val="21"/>
              <w:spacing w:line="360" w:lineRule="auto"/>
              <w:ind w:firstLine="0" w:firstLineChars="0"/>
              <w:contextualSpacing/>
              <w:jc w:val="center"/>
              <w:rPr>
                <w:rFonts w:ascii="宋体" w:hAnsi="宋体" w:eastAsia="宋体" w:cs="仿宋_GB2312"/>
                <w:color w:val="auto"/>
                <w:sz w:val="21"/>
                <w:szCs w:val="21"/>
                <w:highlight w:val="none"/>
              </w:rPr>
            </w:pPr>
          </w:p>
        </w:tc>
        <w:tc>
          <w:tcPr>
            <w:tcW w:w="2562" w:type="dxa"/>
            <w:vAlign w:val="center"/>
          </w:tcPr>
          <w:p>
            <w:pPr>
              <w:pStyle w:val="21"/>
              <w:spacing w:line="360" w:lineRule="auto"/>
              <w:ind w:firstLine="0" w:firstLineChars="0"/>
              <w:contextualSpacing/>
              <w:jc w:val="center"/>
              <w:rPr>
                <w:rFonts w:ascii="宋体" w:hAnsi="宋体" w:eastAsia="宋体" w:cs="仿宋_GB2312"/>
                <w:color w:val="auto"/>
                <w:sz w:val="21"/>
                <w:szCs w:val="21"/>
                <w:highlight w:val="none"/>
              </w:rPr>
            </w:pPr>
          </w:p>
        </w:tc>
        <w:tc>
          <w:tcPr>
            <w:tcW w:w="1398" w:type="dxa"/>
            <w:vAlign w:val="center"/>
          </w:tcPr>
          <w:p>
            <w:pPr>
              <w:pStyle w:val="21"/>
              <w:spacing w:line="360" w:lineRule="auto"/>
              <w:ind w:firstLine="0" w:firstLineChars="0"/>
              <w:contextualSpacing/>
              <w:jc w:val="center"/>
              <w:rPr>
                <w:rFonts w:ascii="宋体" w:hAnsi="宋体" w:eastAsia="宋体" w:cs="仿宋_GB2312"/>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857" w:type="dxa"/>
            <w:vAlign w:val="center"/>
          </w:tcPr>
          <w:p>
            <w:pPr>
              <w:pStyle w:val="21"/>
              <w:spacing w:line="360" w:lineRule="auto"/>
              <w:ind w:firstLine="0" w:firstLineChars="0"/>
              <w:contextualSpacing/>
              <w:jc w:val="center"/>
              <w:rPr>
                <w:rFonts w:ascii="宋体" w:hAnsi="宋体" w:eastAsia="宋体" w:cs="仿宋_GB2312"/>
                <w:color w:val="auto"/>
                <w:sz w:val="21"/>
                <w:szCs w:val="21"/>
                <w:highlight w:val="none"/>
              </w:rPr>
            </w:pPr>
            <w:bookmarkStart w:id="197" w:name="_Toc254970602"/>
            <w:bookmarkStart w:id="198" w:name="_Toc173211914"/>
            <w:bookmarkStart w:id="199" w:name="_Toc373333699"/>
            <w:bookmarkStart w:id="200" w:name="_Toc254970743"/>
            <w:bookmarkStart w:id="201" w:name="_Toc301781621"/>
            <w:bookmarkStart w:id="202" w:name="_Toc173066415"/>
            <w:bookmarkStart w:id="203" w:name="_Toc297193195"/>
            <w:bookmarkStart w:id="204" w:name="_Toc383699916"/>
            <w:bookmarkStart w:id="205" w:name="_Toc295404991"/>
            <w:r>
              <w:rPr>
                <w:rFonts w:hint="eastAsia" w:ascii="宋体" w:hAnsi="宋体" w:eastAsia="宋体" w:cs="仿宋_GB2312"/>
                <w:color w:val="auto"/>
                <w:sz w:val="21"/>
                <w:szCs w:val="21"/>
                <w:highlight w:val="none"/>
              </w:rPr>
              <w:t>…</w:t>
            </w:r>
            <w:bookmarkEnd w:id="197"/>
            <w:bookmarkEnd w:id="198"/>
            <w:bookmarkEnd w:id="199"/>
            <w:bookmarkEnd w:id="200"/>
            <w:bookmarkEnd w:id="201"/>
            <w:bookmarkEnd w:id="202"/>
            <w:bookmarkEnd w:id="203"/>
            <w:bookmarkEnd w:id="204"/>
            <w:bookmarkEnd w:id="205"/>
          </w:p>
        </w:tc>
        <w:tc>
          <w:tcPr>
            <w:tcW w:w="858" w:type="dxa"/>
            <w:tcBorders>
              <w:right w:val="single" w:color="auto" w:sz="4" w:space="0"/>
            </w:tcBorders>
            <w:vAlign w:val="center"/>
          </w:tcPr>
          <w:p>
            <w:pPr>
              <w:pStyle w:val="21"/>
              <w:spacing w:line="360" w:lineRule="auto"/>
              <w:ind w:firstLine="0" w:firstLineChars="0"/>
              <w:contextualSpacing/>
              <w:jc w:val="center"/>
              <w:rPr>
                <w:rFonts w:ascii="宋体" w:hAnsi="宋体" w:eastAsia="宋体" w:cs="仿宋_GB2312"/>
                <w:color w:val="auto"/>
                <w:sz w:val="21"/>
                <w:szCs w:val="21"/>
                <w:highlight w:val="none"/>
              </w:rPr>
            </w:pPr>
          </w:p>
        </w:tc>
        <w:tc>
          <w:tcPr>
            <w:tcW w:w="2847" w:type="dxa"/>
            <w:tcBorders>
              <w:left w:val="single" w:color="auto" w:sz="4" w:space="0"/>
            </w:tcBorders>
            <w:vAlign w:val="center"/>
          </w:tcPr>
          <w:p>
            <w:pPr>
              <w:pStyle w:val="21"/>
              <w:spacing w:line="360" w:lineRule="auto"/>
              <w:ind w:firstLine="0" w:firstLineChars="0"/>
              <w:contextualSpacing/>
              <w:jc w:val="center"/>
              <w:rPr>
                <w:rFonts w:ascii="宋体" w:hAnsi="宋体" w:eastAsia="宋体" w:cs="仿宋_GB2312"/>
                <w:color w:val="auto"/>
                <w:sz w:val="21"/>
                <w:szCs w:val="21"/>
                <w:highlight w:val="none"/>
              </w:rPr>
            </w:pPr>
          </w:p>
        </w:tc>
        <w:tc>
          <w:tcPr>
            <w:tcW w:w="2562" w:type="dxa"/>
            <w:vAlign w:val="center"/>
          </w:tcPr>
          <w:p>
            <w:pPr>
              <w:pStyle w:val="21"/>
              <w:spacing w:line="360" w:lineRule="auto"/>
              <w:ind w:firstLine="0" w:firstLineChars="0"/>
              <w:contextualSpacing/>
              <w:jc w:val="center"/>
              <w:rPr>
                <w:rFonts w:ascii="宋体" w:hAnsi="宋体" w:eastAsia="宋体" w:cs="仿宋_GB2312"/>
                <w:color w:val="auto"/>
                <w:sz w:val="21"/>
                <w:szCs w:val="21"/>
                <w:highlight w:val="none"/>
              </w:rPr>
            </w:pPr>
          </w:p>
        </w:tc>
        <w:tc>
          <w:tcPr>
            <w:tcW w:w="1398" w:type="dxa"/>
            <w:tcBorders>
              <w:right w:val="single" w:color="auto" w:sz="4" w:space="0"/>
            </w:tcBorders>
            <w:vAlign w:val="center"/>
          </w:tcPr>
          <w:p>
            <w:pPr>
              <w:pStyle w:val="21"/>
              <w:spacing w:line="360" w:lineRule="auto"/>
              <w:ind w:firstLine="0" w:firstLineChars="0"/>
              <w:contextualSpacing/>
              <w:jc w:val="center"/>
              <w:rPr>
                <w:rFonts w:ascii="宋体" w:hAnsi="宋体" w:eastAsia="宋体" w:cs="仿宋_GB2312"/>
                <w:color w:val="auto"/>
                <w:sz w:val="21"/>
                <w:szCs w:val="21"/>
                <w:highlight w:val="none"/>
              </w:rPr>
            </w:pPr>
          </w:p>
        </w:tc>
      </w:tr>
    </w:tbl>
    <w:p>
      <w:pPr>
        <w:rPr>
          <w:color w:val="auto"/>
          <w:szCs w:val="21"/>
          <w:highlight w:val="none"/>
        </w:rPr>
      </w:pPr>
    </w:p>
    <w:p>
      <w:pPr>
        <w:rPr>
          <w:color w:val="auto"/>
          <w:szCs w:val="21"/>
          <w:highlight w:val="none"/>
        </w:rPr>
      </w:pPr>
      <w:r>
        <w:rPr>
          <w:rFonts w:hint="eastAsia"/>
          <w:color w:val="auto"/>
          <w:szCs w:val="21"/>
          <w:highlight w:val="none"/>
        </w:rPr>
        <w:t>注：</w:t>
      </w:r>
    </w:p>
    <w:p>
      <w:pPr>
        <w:rPr>
          <w:color w:val="auto"/>
          <w:szCs w:val="21"/>
          <w:highlight w:val="none"/>
        </w:rPr>
      </w:pPr>
      <w:r>
        <w:rPr>
          <w:rFonts w:hint="eastAsia"/>
          <w:color w:val="auto"/>
          <w:szCs w:val="21"/>
          <w:highlight w:val="none"/>
        </w:rPr>
        <w:t>1.应对照采购文件“第二章 项目需求”中的服务要求逐条作出明确响应，并作出偏离说明。</w:t>
      </w:r>
    </w:p>
    <w:p>
      <w:pPr>
        <w:rPr>
          <w:color w:val="auto"/>
          <w:szCs w:val="21"/>
          <w:highlight w:val="none"/>
        </w:rPr>
      </w:pPr>
      <w:r>
        <w:rPr>
          <w:rFonts w:hint="eastAsia"/>
          <w:color w:val="auto"/>
          <w:szCs w:val="21"/>
          <w:highlight w:val="none"/>
        </w:rPr>
        <w:t>2.供应商应根据自身的承诺，对照磋商文件要求，在“偏离说明”中注明“正偏离”、“负偏离”或者“无偏离”。既不属于“正偏离”也不属于“负偏离”即为“无偏离”。</w:t>
      </w:r>
    </w:p>
    <w:p>
      <w:pPr>
        <w:pStyle w:val="41"/>
        <w:ind w:firstLine="281"/>
        <w:rPr>
          <w:rFonts w:hAnsi="宋体"/>
          <w:b/>
          <w:color w:val="auto"/>
          <w:sz w:val="28"/>
          <w:szCs w:val="28"/>
          <w:highlight w:val="none"/>
        </w:rPr>
      </w:pPr>
    </w:p>
    <w:p>
      <w:pPr>
        <w:spacing w:line="400" w:lineRule="exact"/>
        <w:ind w:left="6092" w:leftChars="2766" w:right="592" w:rightChars="282" w:hanging="283" w:hangingChars="135"/>
        <w:jc w:val="left"/>
        <w:rPr>
          <w:rFonts w:ascii="宋体" w:hAnsi="宋体"/>
          <w:bCs/>
          <w:color w:val="auto"/>
          <w:highlight w:val="none"/>
        </w:rPr>
      </w:pPr>
      <w:r>
        <w:rPr>
          <w:rFonts w:hint="eastAsia" w:ascii="宋体" w:hAnsi="宋体"/>
          <w:bCs/>
          <w:color w:val="auto"/>
          <w:highlight w:val="none"/>
        </w:rPr>
        <w:t>供应商（盖章）：</w:t>
      </w:r>
    </w:p>
    <w:p>
      <w:pPr>
        <w:snapToGrid w:val="0"/>
        <w:spacing w:before="50" w:after="50" w:line="350" w:lineRule="exact"/>
        <w:ind w:right="-817" w:rightChars="-389" w:firstLine="6090" w:firstLineChars="2900"/>
        <w:jc w:val="left"/>
        <w:rPr>
          <w:color w:val="auto"/>
          <w:highlight w:val="none"/>
        </w:rPr>
      </w:pPr>
      <w:r>
        <w:rPr>
          <w:rFonts w:hint="eastAsia" w:ascii="宋体" w:hAnsi="宋体"/>
          <w:bCs/>
          <w:color w:val="auto"/>
          <w:highlight w:val="none"/>
        </w:rPr>
        <w:t>日期：年月日</w:t>
      </w:r>
    </w:p>
    <w:p>
      <w:pPr>
        <w:rPr>
          <w:color w:val="auto"/>
          <w:highlight w:val="none"/>
        </w:rPr>
      </w:pPr>
    </w:p>
    <w:p>
      <w:pPr>
        <w:snapToGrid w:val="0"/>
        <w:spacing w:line="700" w:lineRule="exact"/>
        <w:jc w:val="center"/>
        <w:rPr>
          <w:color w:val="auto"/>
          <w:highlight w:val="none"/>
        </w:rPr>
      </w:pPr>
      <w:r>
        <w:rPr>
          <w:rFonts w:hint="eastAsia" w:ascii="仿宋_GB2312" w:hAnsi="宋体" w:eastAsia="仿宋_GB2312"/>
          <w:b/>
          <w:color w:val="auto"/>
          <w:sz w:val="32"/>
          <w:szCs w:val="32"/>
          <w:highlight w:val="none"/>
        </w:rPr>
        <w:t>项目实施人员一览表</w:t>
      </w:r>
      <w:r>
        <w:rPr>
          <w:rFonts w:hint="eastAsia" w:ascii="仿宋_GB2312" w:eastAsia="仿宋_GB2312"/>
          <w:bCs/>
          <w:color w:val="auto"/>
          <w:sz w:val="24"/>
          <w:highlight w:val="none"/>
        </w:rPr>
        <w:t>（格式）</w:t>
      </w:r>
    </w:p>
    <w:tbl>
      <w:tblPr>
        <w:tblStyle w:val="42"/>
        <w:tblW w:w="98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1650"/>
        <w:gridCol w:w="960"/>
        <w:gridCol w:w="990"/>
        <w:gridCol w:w="1650"/>
        <w:gridCol w:w="3049"/>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95" w:type="dxa"/>
            <w:vAlign w:val="center"/>
          </w:tcPr>
          <w:p>
            <w:pPr>
              <w:snapToGrid w:val="0"/>
              <w:spacing w:before="50" w:afterLines="50"/>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50" w:type="dxa"/>
            <w:vAlign w:val="center"/>
          </w:tcPr>
          <w:p>
            <w:pPr>
              <w:snapToGrid w:val="0"/>
              <w:spacing w:before="50" w:afterLines="50"/>
              <w:jc w:val="center"/>
              <w:rPr>
                <w:rFonts w:ascii="宋体" w:hAnsi="宋体" w:cs="宋体"/>
                <w:color w:val="auto"/>
                <w:szCs w:val="21"/>
                <w:highlight w:val="none"/>
              </w:rPr>
            </w:pPr>
            <w:r>
              <w:rPr>
                <w:rFonts w:hint="eastAsia" w:ascii="宋体" w:hAnsi="宋体" w:cs="宋体"/>
                <w:color w:val="auto"/>
                <w:szCs w:val="21"/>
                <w:highlight w:val="none"/>
              </w:rPr>
              <w:t>姓名</w:t>
            </w:r>
          </w:p>
        </w:tc>
        <w:tc>
          <w:tcPr>
            <w:tcW w:w="960" w:type="dxa"/>
            <w:vAlign w:val="center"/>
          </w:tcPr>
          <w:p>
            <w:pPr>
              <w:snapToGrid w:val="0"/>
              <w:spacing w:before="50" w:afterLines="50"/>
              <w:jc w:val="center"/>
              <w:rPr>
                <w:rFonts w:ascii="宋体" w:hAnsi="宋体" w:cs="宋体"/>
                <w:color w:val="auto"/>
                <w:szCs w:val="21"/>
                <w:highlight w:val="none"/>
              </w:rPr>
            </w:pPr>
            <w:r>
              <w:rPr>
                <w:rFonts w:hint="eastAsia" w:ascii="宋体" w:hAnsi="宋体" w:cs="宋体"/>
                <w:color w:val="auto"/>
                <w:szCs w:val="21"/>
                <w:highlight w:val="none"/>
              </w:rPr>
              <w:t>年龄</w:t>
            </w:r>
          </w:p>
        </w:tc>
        <w:tc>
          <w:tcPr>
            <w:tcW w:w="990" w:type="dxa"/>
            <w:vAlign w:val="center"/>
          </w:tcPr>
          <w:p>
            <w:pPr>
              <w:snapToGrid w:val="0"/>
              <w:spacing w:before="50" w:afterLines="50"/>
              <w:jc w:val="center"/>
              <w:rPr>
                <w:rFonts w:ascii="宋体" w:hAnsi="宋体" w:cs="宋体"/>
                <w:color w:val="auto"/>
                <w:szCs w:val="21"/>
                <w:highlight w:val="none"/>
              </w:rPr>
            </w:pPr>
            <w:r>
              <w:rPr>
                <w:rFonts w:hint="eastAsia" w:ascii="宋体" w:hAnsi="宋体" w:cs="宋体"/>
                <w:color w:val="auto"/>
                <w:szCs w:val="21"/>
                <w:highlight w:val="none"/>
              </w:rPr>
              <w:t>性别</w:t>
            </w:r>
          </w:p>
        </w:tc>
        <w:tc>
          <w:tcPr>
            <w:tcW w:w="1650" w:type="dxa"/>
            <w:vAlign w:val="center"/>
          </w:tcPr>
          <w:p>
            <w:pPr>
              <w:snapToGrid w:val="0"/>
              <w:spacing w:before="50" w:afterLines="50"/>
              <w:jc w:val="center"/>
              <w:rPr>
                <w:rFonts w:ascii="宋体" w:hAnsi="宋体" w:cs="宋体"/>
                <w:color w:val="auto"/>
                <w:szCs w:val="21"/>
                <w:highlight w:val="none"/>
              </w:rPr>
            </w:pPr>
            <w:r>
              <w:rPr>
                <w:rFonts w:hint="eastAsia" w:ascii="宋体" w:hAnsi="宋体" w:cs="宋体"/>
                <w:color w:val="auto"/>
                <w:szCs w:val="21"/>
                <w:highlight w:val="none"/>
              </w:rPr>
              <w:t>职务</w:t>
            </w:r>
          </w:p>
        </w:tc>
        <w:tc>
          <w:tcPr>
            <w:tcW w:w="3049" w:type="dxa"/>
            <w:vAlign w:val="center"/>
          </w:tcPr>
          <w:p>
            <w:pPr>
              <w:snapToGrid w:val="0"/>
              <w:spacing w:before="50" w:afterLines="50"/>
              <w:jc w:val="center"/>
              <w:rPr>
                <w:rFonts w:ascii="宋体" w:hAnsi="宋体" w:cs="宋体"/>
                <w:color w:val="auto"/>
                <w:szCs w:val="21"/>
                <w:highlight w:val="none"/>
              </w:rPr>
            </w:pPr>
            <w:r>
              <w:rPr>
                <w:rFonts w:hint="eastAsia" w:ascii="宋体" w:hAnsi="宋体" w:cs="宋体"/>
                <w:color w:val="auto"/>
                <w:szCs w:val="21"/>
                <w:highlight w:val="none"/>
              </w:rPr>
              <w:t>专业技术资格或职称</w:t>
            </w:r>
          </w:p>
        </w:tc>
        <w:tc>
          <w:tcPr>
            <w:tcW w:w="811" w:type="dxa"/>
            <w:vAlign w:val="center"/>
          </w:tcPr>
          <w:p>
            <w:pPr>
              <w:snapToGrid w:val="0"/>
              <w:spacing w:before="50" w:afterLines="50"/>
              <w:jc w:val="center"/>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695" w:type="dxa"/>
            <w:vAlign w:val="center"/>
          </w:tcPr>
          <w:p>
            <w:pPr>
              <w:widowControl/>
              <w:jc w:val="center"/>
              <w:textAlignment w:val="center"/>
              <w:rPr>
                <w:rFonts w:ascii="宋体" w:hAnsi="宋体" w:cs="宋体"/>
                <w:color w:val="auto"/>
                <w:kern w:val="0"/>
                <w:szCs w:val="21"/>
                <w:highlight w:val="none"/>
              </w:rPr>
            </w:pPr>
          </w:p>
        </w:tc>
        <w:tc>
          <w:tcPr>
            <w:tcW w:w="1650" w:type="dxa"/>
            <w:vAlign w:val="center"/>
          </w:tcPr>
          <w:p>
            <w:pPr>
              <w:widowControl/>
              <w:jc w:val="center"/>
              <w:textAlignment w:val="center"/>
              <w:rPr>
                <w:rFonts w:ascii="宋体" w:hAnsi="宋体" w:cs="宋体"/>
                <w:color w:val="auto"/>
                <w:szCs w:val="21"/>
                <w:highlight w:val="none"/>
              </w:rPr>
            </w:pPr>
          </w:p>
        </w:tc>
        <w:tc>
          <w:tcPr>
            <w:tcW w:w="960" w:type="dxa"/>
            <w:vAlign w:val="center"/>
          </w:tcPr>
          <w:p>
            <w:pPr>
              <w:jc w:val="center"/>
              <w:rPr>
                <w:rFonts w:ascii="宋体" w:hAnsi="宋体" w:cs="宋体"/>
                <w:color w:val="auto"/>
                <w:kern w:val="1"/>
                <w:szCs w:val="21"/>
                <w:highlight w:val="none"/>
              </w:rPr>
            </w:pPr>
          </w:p>
        </w:tc>
        <w:tc>
          <w:tcPr>
            <w:tcW w:w="990" w:type="dxa"/>
            <w:vAlign w:val="center"/>
          </w:tcPr>
          <w:p>
            <w:pPr>
              <w:jc w:val="center"/>
              <w:rPr>
                <w:rFonts w:ascii="宋体" w:hAnsi="宋体" w:cs="宋体"/>
                <w:color w:val="auto"/>
                <w:kern w:val="1"/>
                <w:szCs w:val="21"/>
                <w:highlight w:val="none"/>
              </w:rPr>
            </w:pPr>
          </w:p>
        </w:tc>
        <w:tc>
          <w:tcPr>
            <w:tcW w:w="1650" w:type="dxa"/>
            <w:vAlign w:val="center"/>
          </w:tcPr>
          <w:p>
            <w:pPr>
              <w:widowControl/>
              <w:jc w:val="center"/>
              <w:textAlignment w:val="center"/>
              <w:rPr>
                <w:rFonts w:ascii="宋体" w:hAnsi="宋体" w:cs="宋体"/>
                <w:color w:val="auto"/>
                <w:kern w:val="0"/>
                <w:szCs w:val="21"/>
                <w:highlight w:val="none"/>
              </w:rPr>
            </w:pPr>
          </w:p>
        </w:tc>
        <w:tc>
          <w:tcPr>
            <w:tcW w:w="3049" w:type="dxa"/>
            <w:vAlign w:val="center"/>
          </w:tcPr>
          <w:p>
            <w:pPr>
              <w:widowControl/>
              <w:jc w:val="center"/>
              <w:textAlignment w:val="center"/>
              <w:rPr>
                <w:rFonts w:ascii="宋体" w:hAnsi="宋体" w:cs="宋体"/>
                <w:color w:val="auto"/>
                <w:kern w:val="0"/>
                <w:szCs w:val="21"/>
                <w:highlight w:val="none"/>
              </w:rPr>
            </w:pPr>
          </w:p>
        </w:tc>
        <w:tc>
          <w:tcPr>
            <w:tcW w:w="811" w:type="dxa"/>
            <w:vAlign w:val="center"/>
          </w:tcPr>
          <w:p>
            <w:pPr>
              <w:snapToGrid w:val="0"/>
              <w:spacing w:before="50" w:afterLines="5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695" w:type="dxa"/>
            <w:vAlign w:val="center"/>
          </w:tcPr>
          <w:p>
            <w:pPr>
              <w:widowControl/>
              <w:jc w:val="center"/>
              <w:textAlignment w:val="center"/>
              <w:rPr>
                <w:rFonts w:ascii="宋体" w:hAnsi="宋体" w:cs="宋体"/>
                <w:color w:val="auto"/>
                <w:kern w:val="0"/>
                <w:szCs w:val="21"/>
                <w:highlight w:val="none"/>
              </w:rPr>
            </w:pPr>
          </w:p>
        </w:tc>
        <w:tc>
          <w:tcPr>
            <w:tcW w:w="1650" w:type="dxa"/>
            <w:vAlign w:val="center"/>
          </w:tcPr>
          <w:p>
            <w:pPr>
              <w:widowControl/>
              <w:jc w:val="center"/>
              <w:textAlignment w:val="center"/>
              <w:rPr>
                <w:rFonts w:ascii="宋体" w:hAnsi="宋体" w:cs="宋体"/>
                <w:color w:val="auto"/>
                <w:szCs w:val="21"/>
                <w:highlight w:val="none"/>
              </w:rPr>
            </w:pPr>
          </w:p>
        </w:tc>
        <w:tc>
          <w:tcPr>
            <w:tcW w:w="960" w:type="dxa"/>
            <w:vAlign w:val="center"/>
          </w:tcPr>
          <w:p>
            <w:pPr>
              <w:jc w:val="center"/>
              <w:rPr>
                <w:rFonts w:ascii="宋体" w:hAnsi="宋体" w:cs="宋体"/>
                <w:color w:val="auto"/>
                <w:kern w:val="1"/>
                <w:szCs w:val="21"/>
                <w:highlight w:val="none"/>
              </w:rPr>
            </w:pPr>
          </w:p>
        </w:tc>
        <w:tc>
          <w:tcPr>
            <w:tcW w:w="990" w:type="dxa"/>
            <w:vAlign w:val="center"/>
          </w:tcPr>
          <w:p>
            <w:pPr>
              <w:jc w:val="center"/>
              <w:rPr>
                <w:rFonts w:ascii="宋体" w:hAnsi="宋体" w:cs="宋体"/>
                <w:color w:val="auto"/>
                <w:kern w:val="1"/>
                <w:szCs w:val="21"/>
                <w:highlight w:val="none"/>
              </w:rPr>
            </w:pPr>
          </w:p>
        </w:tc>
        <w:tc>
          <w:tcPr>
            <w:tcW w:w="1650" w:type="dxa"/>
            <w:vAlign w:val="center"/>
          </w:tcPr>
          <w:p>
            <w:pPr>
              <w:widowControl/>
              <w:jc w:val="center"/>
              <w:textAlignment w:val="center"/>
              <w:rPr>
                <w:rFonts w:ascii="宋体" w:hAnsi="宋体" w:cs="宋体"/>
                <w:color w:val="auto"/>
                <w:kern w:val="0"/>
                <w:szCs w:val="21"/>
                <w:highlight w:val="none"/>
              </w:rPr>
            </w:pPr>
          </w:p>
        </w:tc>
        <w:tc>
          <w:tcPr>
            <w:tcW w:w="3049" w:type="dxa"/>
            <w:vAlign w:val="center"/>
          </w:tcPr>
          <w:p>
            <w:pPr>
              <w:widowControl/>
              <w:jc w:val="center"/>
              <w:textAlignment w:val="center"/>
              <w:rPr>
                <w:rFonts w:ascii="宋体" w:hAnsi="宋体" w:cs="宋体"/>
                <w:color w:val="auto"/>
                <w:kern w:val="0"/>
                <w:szCs w:val="21"/>
                <w:highlight w:val="none"/>
              </w:rPr>
            </w:pPr>
          </w:p>
        </w:tc>
        <w:tc>
          <w:tcPr>
            <w:tcW w:w="811" w:type="dxa"/>
            <w:vAlign w:val="center"/>
          </w:tcPr>
          <w:p>
            <w:pPr>
              <w:snapToGrid w:val="0"/>
              <w:spacing w:before="50" w:afterLines="5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695" w:type="dxa"/>
            <w:vAlign w:val="center"/>
          </w:tcPr>
          <w:p>
            <w:pPr>
              <w:widowControl/>
              <w:jc w:val="center"/>
              <w:textAlignment w:val="center"/>
              <w:rPr>
                <w:rFonts w:ascii="宋体" w:hAnsi="宋体" w:cs="宋体"/>
                <w:color w:val="auto"/>
                <w:kern w:val="0"/>
                <w:szCs w:val="21"/>
                <w:highlight w:val="none"/>
              </w:rPr>
            </w:pPr>
          </w:p>
        </w:tc>
        <w:tc>
          <w:tcPr>
            <w:tcW w:w="1650" w:type="dxa"/>
            <w:vAlign w:val="center"/>
          </w:tcPr>
          <w:p>
            <w:pPr>
              <w:widowControl/>
              <w:jc w:val="center"/>
              <w:textAlignment w:val="center"/>
              <w:rPr>
                <w:rFonts w:ascii="宋体" w:hAnsi="宋体" w:cs="宋体"/>
                <w:color w:val="auto"/>
                <w:szCs w:val="21"/>
                <w:highlight w:val="none"/>
              </w:rPr>
            </w:pPr>
          </w:p>
        </w:tc>
        <w:tc>
          <w:tcPr>
            <w:tcW w:w="960" w:type="dxa"/>
            <w:vAlign w:val="center"/>
          </w:tcPr>
          <w:p>
            <w:pPr>
              <w:jc w:val="center"/>
              <w:rPr>
                <w:rFonts w:ascii="宋体" w:hAnsi="宋体" w:cs="宋体"/>
                <w:color w:val="auto"/>
                <w:kern w:val="1"/>
                <w:szCs w:val="21"/>
                <w:highlight w:val="none"/>
              </w:rPr>
            </w:pPr>
          </w:p>
        </w:tc>
        <w:tc>
          <w:tcPr>
            <w:tcW w:w="990" w:type="dxa"/>
            <w:vAlign w:val="center"/>
          </w:tcPr>
          <w:p>
            <w:pPr>
              <w:jc w:val="center"/>
              <w:rPr>
                <w:rFonts w:ascii="宋体" w:hAnsi="宋体" w:cs="宋体"/>
                <w:color w:val="auto"/>
                <w:kern w:val="1"/>
                <w:szCs w:val="21"/>
                <w:highlight w:val="none"/>
              </w:rPr>
            </w:pPr>
          </w:p>
        </w:tc>
        <w:tc>
          <w:tcPr>
            <w:tcW w:w="1650" w:type="dxa"/>
            <w:vAlign w:val="center"/>
          </w:tcPr>
          <w:p>
            <w:pPr>
              <w:widowControl/>
              <w:jc w:val="center"/>
              <w:textAlignment w:val="center"/>
              <w:rPr>
                <w:rFonts w:ascii="宋体" w:hAnsi="宋体" w:cs="宋体"/>
                <w:color w:val="auto"/>
                <w:kern w:val="0"/>
                <w:szCs w:val="21"/>
                <w:highlight w:val="none"/>
              </w:rPr>
            </w:pPr>
          </w:p>
        </w:tc>
        <w:tc>
          <w:tcPr>
            <w:tcW w:w="3049" w:type="dxa"/>
            <w:vAlign w:val="center"/>
          </w:tcPr>
          <w:p>
            <w:pPr>
              <w:widowControl/>
              <w:jc w:val="center"/>
              <w:textAlignment w:val="center"/>
              <w:rPr>
                <w:rFonts w:ascii="宋体" w:hAnsi="宋体" w:cs="宋体"/>
                <w:color w:val="auto"/>
                <w:kern w:val="0"/>
                <w:szCs w:val="21"/>
                <w:highlight w:val="none"/>
              </w:rPr>
            </w:pPr>
          </w:p>
        </w:tc>
        <w:tc>
          <w:tcPr>
            <w:tcW w:w="811" w:type="dxa"/>
            <w:vAlign w:val="center"/>
          </w:tcPr>
          <w:p>
            <w:pPr>
              <w:snapToGrid w:val="0"/>
              <w:spacing w:before="50" w:afterLines="50"/>
              <w:jc w:val="center"/>
              <w:rPr>
                <w:rFonts w:ascii="宋体" w:hAnsi="宋体" w:cs="宋体"/>
                <w:color w:val="auto"/>
                <w:szCs w:val="21"/>
                <w:highlight w:val="none"/>
              </w:rPr>
            </w:pPr>
          </w:p>
        </w:tc>
      </w:tr>
    </w:tbl>
    <w:p>
      <w:pPr>
        <w:pStyle w:val="18"/>
        <w:spacing w:line="380" w:lineRule="exact"/>
        <w:rPr>
          <w:b w:val="0"/>
          <w:bCs w:val="0"/>
          <w:color w:val="auto"/>
          <w:sz w:val="21"/>
          <w:szCs w:val="21"/>
          <w:highlight w:val="none"/>
        </w:rPr>
      </w:pPr>
      <w:r>
        <w:rPr>
          <w:rFonts w:hint="eastAsia"/>
          <w:b w:val="0"/>
          <w:bCs w:val="0"/>
          <w:color w:val="auto"/>
          <w:sz w:val="21"/>
          <w:szCs w:val="21"/>
          <w:highlight w:val="none"/>
        </w:rPr>
        <w:t>注：</w:t>
      </w:r>
    </w:p>
    <w:p>
      <w:pPr>
        <w:pStyle w:val="18"/>
        <w:spacing w:line="380" w:lineRule="exact"/>
        <w:rPr>
          <w:b w:val="0"/>
          <w:bCs w:val="0"/>
          <w:color w:val="auto"/>
          <w:sz w:val="21"/>
          <w:szCs w:val="21"/>
          <w:highlight w:val="none"/>
        </w:rPr>
      </w:pPr>
      <w:r>
        <w:rPr>
          <w:rFonts w:hint="eastAsia"/>
          <w:b w:val="0"/>
          <w:bCs w:val="0"/>
          <w:color w:val="auto"/>
          <w:sz w:val="21"/>
          <w:szCs w:val="21"/>
          <w:highlight w:val="none"/>
        </w:rPr>
        <w:t>1.在填写时，如本表格不适合供应商的实际情况，可根据本表格式自行制表填写。</w:t>
      </w:r>
    </w:p>
    <w:p>
      <w:pPr>
        <w:pStyle w:val="18"/>
        <w:spacing w:line="380" w:lineRule="exact"/>
        <w:rPr>
          <w:b w:val="0"/>
          <w:bCs w:val="0"/>
          <w:color w:val="auto"/>
          <w:sz w:val="21"/>
          <w:szCs w:val="21"/>
          <w:highlight w:val="none"/>
        </w:rPr>
      </w:pPr>
      <w:r>
        <w:rPr>
          <w:rFonts w:hint="eastAsia"/>
          <w:b w:val="0"/>
          <w:bCs w:val="0"/>
          <w:color w:val="auto"/>
          <w:sz w:val="21"/>
          <w:szCs w:val="21"/>
          <w:highlight w:val="none"/>
        </w:rPr>
        <w:t>2.竞标人应当附本表所列证书的复印件并加盖供应商公章。</w:t>
      </w:r>
    </w:p>
    <w:p>
      <w:pPr>
        <w:snapToGrid w:val="0"/>
        <w:spacing w:before="50" w:after="50" w:line="400" w:lineRule="exact"/>
        <w:ind w:right="-817" w:rightChars="-389"/>
        <w:rPr>
          <w:rFonts w:ascii="宋体" w:hAnsi="宋体"/>
          <w:bCs/>
          <w:color w:val="auto"/>
          <w:highlight w:val="none"/>
        </w:rPr>
      </w:pPr>
    </w:p>
    <w:p>
      <w:pPr>
        <w:snapToGrid w:val="0"/>
        <w:spacing w:before="50" w:after="50" w:line="320" w:lineRule="exact"/>
        <w:ind w:right="-817" w:rightChars="-389"/>
        <w:rPr>
          <w:rFonts w:ascii="宋体" w:hAnsi="宋体"/>
          <w:color w:val="auto"/>
          <w:szCs w:val="21"/>
          <w:highlight w:val="none"/>
        </w:rPr>
      </w:pPr>
    </w:p>
    <w:p>
      <w:pPr>
        <w:rPr>
          <w:color w:val="auto"/>
          <w:highlight w:val="none"/>
        </w:rPr>
      </w:pPr>
    </w:p>
    <w:p>
      <w:pPr>
        <w:spacing w:line="400" w:lineRule="exact"/>
        <w:ind w:left="6090" w:leftChars="2900" w:right="592" w:rightChars="282" w:firstLine="2" w:firstLineChars="1"/>
        <w:jc w:val="left"/>
        <w:rPr>
          <w:rFonts w:ascii="宋体" w:hAnsi="宋体"/>
          <w:bCs/>
          <w:color w:val="auto"/>
          <w:highlight w:val="none"/>
        </w:rPr>
      </w:pPr>
      <w:r>
        <w:rPr>
          <w:rFonts w:hint="eastAsia" w:ascii="宋体" w:hAnsi="宋体"/>
          <w:bCs/>
          <w:color w:val="auto"/>
          <w:highlight w:val="none"/>
        </w:rPr>
        <w:t>供应商（盖章）：</w:t>
      </w:r>
    </w:p>
    <w:p>
      <w:pPr>
        <w:snapToGrid w:val="0"/>
        <w:spacing w:before="50" w:after="50" w:line="350" w:lineRule="exact"/>
        <w:ind w:right="-817" w:rightChars="-389" w:firstLine="6090" w:firstLineChars="2900"/>
        <w:jc w:val="left"/>
        <w:rPr>
          <w:color w:val="auto"/>
          <w:highlight w:val="none"/>
        </w:rPr>
      </w:pPr>
      <w:r>
        <w:rPr>
          <w:rFonts w:hint="eastAsia" w:ascii="宋体" w:hAnsi="宋体"/>
          <w:bCs/>
          <w:color w:val="auto"/>
          <w:highlight w:val="none"/>
        </w:rPr>
        <w:t>日期：年月日</w:t>
      </w:r>
    </w:p>
    <w:p>
      <w:pPr>
        <w:pStyle w:val="106"/>
        <w:rPr>
          <w:rFonts w:ascii="宋体" w:hAnsi="宋体" w:cs="宋体"/>
          <w:color w:val="auto"/>
          <w:sz w:val="21"/>
          <w:szCs w:val="21"/>
          <w:highlight w:val="none"/>
        </w:rPr>
      </w:pPr>
    </w:p>
    <w:p>
      <w:pPr>
        <w:pStyle w:val="106"/>
        <w:rPr>
          <w:rFonts w:ascii="宋体" w:hAnsi="宋体" w:cs="宋体"/>
          <w:color w:val="auto"/>
          <w:sz w:val="21"/>
          <w:szCs w:val="21"/>
          <w:highlight w:val="none"/>
        </w:rPr>
      </w:pPr>
    </w:p>
    <w:bookmarkEnd w:id="46"/>
    <w:bookmarkEnd w:id="47"/>
    <w:bookmarkEnd w:id="48"/>
    <w:bookmarkEnd w:id="49"/>
    <w:p>
      <w:pPr>
        <w:spacing w:line="320" w:lineRule="exact"/>
        <w:jc w:val="left"/>
        <w:rPr>
          <w:color w:val="auto"/>
          <w:highlight w:val="none"/>
        </w:rPr>
      </w:pPr>
    </w:p>
    <w:p>
      <w:pPr>
        <w:jc w:val="left"/>
        <w:rPr>
          <w:rFonts w:ascii="宋体" w:hAnsi="宋体"/>
          <w:b/>
          <w:bCs/>
          <w:color w:val="auto"/>
          <w:sz w:val="36"/>
          <w:szCs w:val="36"/>
          <w:highlight w:val="none"/>
        </w:rPr>
      </w:pPr>
    </w:p>
    <w:p>
      <w:pPr>
        <w:jc w:val="left"/>
        <w:rPr>
          <w:rFonts w:ascii="宋体" w:hAnsi="宋体"/>
          <w:b/>
          <w:bCs/>
          <w:color w:val="auto"/>
          <w:sz w:val="36"/>
          <w:szCs w:val="36"/>
          <w:highlight w:val="none"/>
        </w:rPr>
      </w:pPr>
    </w:p>
    <w:p>
      <w:pPr>
        <w:jc w:val="left"/>
        <w:rPr>
          <w:rFonts w:ascii="宋体" w:hAnsi="宋体"/>
          <w:b/>
          <w:bCs/>
          <w:color w:val="auto"/>
          <w:sz w:val="36"/>
          <w:szCs w:val="36"/>
          <w:highlight w:val="none"/>
        </w:rPr>
      </w:pPr>
    </w:p>
    <w:p>
      <w:pPr>
        <w:jc w:val="left"/>
        <w:rPr>
          <w:rFonts w:ascii="宋体" w:hAnsi="宋体"/>
          <w:b/>
          <w:bCs/>
          <w:color w:val="auto"/>
          <w:sz w:val="36"/>
          <w:szCs w:val="36"/>
          <w:highlight w:val="none"/>
        </w:rPr>
      </w:pPr>
    </w:p>
    <w:p>
      <w:pPr>
        <w:jc w:val="left"/>
        <w:rPr>
          <w:rFonts w:ascii="宋体" w:hAnsi="宋体"/>
          <w:b/>
          <w:bCs/>
          <w:color w:val="auto"/>
          <w:sz w:val="36"/>
          <w:szCs w:val="36"/>
          <w:highlight w:val="none"/>
        </w:rPr>
      </w:pPr>
    </w:p>
    <w:p>
      <w:pPr>
        <w:jc w:val="left"/>
        <w:rPr>
          <w:rFonts w:ascii="宋体" w:hAnsi="宋体"/>
          <w:b/>
          <w:bCs/>
          <w:color w:val="auto"/>
          <w:sz w:val="36"/>
          <w:szCs w:val="36"/>
          <w:highlight w:val="none"/>
        </w:rPr>
      </w:pPr>
    </w:p>
    <w:p>
      <w:pPr>
        <w:jc w:val="left"/>
        <w:rPr>
          <w:rFonts w:ascii="宋体" w:hAnsi="宋体"/>
          <w:b/>
          <w:bCs/>
          <w:color w:val="auto"/>
          <w:sz w:val="36"/>
          <w:szCs w:val="36"/>
          <w:highlight w:val="none"/>
        </w:rPr>
      </w:pPr>
    </w:p>
    <w:p>
      <w:pPr>
        <w:jc w:val="left"/>
        <w:rPr>
          <w:rFonts w:ascii="宋体" w:hAnsi="宋体"/>
          <w:b/>
          <w:bCs/>
          <w:color w:val="auto"/>
          <w:sz w:val="36"/>
          <w:szCs w:val="36"/>
          <w:highlight w:val="none"/>
        </w:rPr>
      </w:pPr>
    </w:p>
    <w:p>
      <w:pPr>
        <w:jc w:val="left"/>
        <w:rPr>
          <w:rFonts w:ascii="宋体" w:hAnsi="宋体"/>
          <w:b/>
          <w:bCs/>
          <w:color w:val="auto"/>
          <w:sz w:val="36"/>
          <w:szCs w:val="36"/>
          <w:highlight w:val="none"/>
        </w:rPr>
      </w:pPr>
    </w:p>
    <w:p>
      <w:pPr>
        <w:ind w:firstLine="361" w:firstLineChars="100"/>
        <w:jc w:val="left"/>
        <w:rPr>
          <w:rFonts w:ascii="宋体" w:hAnsi="宋体"/>
          <w:b/>
          <w:bCs/>
          <w:color w:val="auto"/>
          <w:sz w:val="36"/>
          <w:szCs w:val="36"/>
          <w:highlight w:val="none"/>
        </w:rPr>
      </w:pPr>
      <w:r>
        <w:rPr>
          <w:rFonts w:hint="eastAsia" w:ascii="宋体" w:hAnsi="宋体"/>
          <w:b/>
          <w:bCs/>
          <w:color w:val="auto"/>
          <w:sz w:val="36"/>
          <w:szCs w:val="36"/>
          <w:highlight w:val="none"/>
        </w:rPr>
        <w:t>三、报价文件</w:t>
      </w:r>
    </w:p>
    <w:p>
      <w:pPr>
        <w:rPr>
          <w:color w:val="auto"/>
          <w:highlight w:val="none"/>
        </w:rPr>
      </w:pPr>
    </w:p>
    <w:p>
      <w:pPr>
        <w:ind w:firstLine="0" w:firstLineChars="0"/>
        <w:jc w:val="center"/>
        <w:rPr>
          <w:rFonts w:hint="eastAsia" w:ascii="仿宋_GB2312" w:eastAsia="仿宋_GB2312"/>
          <w:b/>
          <w:bCs/>
          <w:strike w:val="0"/>
          <w:color w:val="auto"/>
          <w:sz w:val="28"/>
          <w:szCs w:val="28"/>
        </w:rPr>
      </w:pPr>
      <w:r>
        <w:rPr>
          <w:rFonts w:hint="eastAsia" w:ascii="仿宋_GB2312" w:eastAsia="仿宋_GB2312"/>
          <w:b/>
          <w:bCs/>
          <w:strike w:val="0"/>
          <w:color w:val="auto"/>
          <w:sz w:val="32"/>
          <w:szCs w:val="32"/>
        </w:rPr>
        <w:t>报价明细表</w:t>
      </w:r>
      <w:r>
        <w:rPr>
          <w:rFonts w:hint="eastAsia" w:ascii="仿宋_GB2312" w:eastAsia="仿宋_GB2312"/>
          <w:bCs/>
          <w:strike w:val="0"/>
          <w:color w:val="auto"/>
          <w:sz w:val="24"/>
        </w:rPr>
        <w:t>（格式）</w:t>
      </w:r>
    </w:p>
    <w:p>
      <w:pPr>
        <w:ind w:firstLine="0" w:firstLineChars="0"/>
        <w:rPr>
          <w:rFonts w:ascii="宋体" w:hAnsi="宋体"/>
          <w:strike w:val="0"/>
          <w:color w:val="auto"/>
          <w:szCs w:val="21"/>
          <w:u w:val="single"/>
        </w:rPr>
      </w:pPr>
      <w:r>
        <w:rPr>
          <w:rFonts w:hint="eastAsia" w:ascii="宋体" w:hAnsi="宋体"/>
          <w:strike w:val="0"/>
          <w:color w:val="auto"/>
          <w:szCs w:val="21"/>
        </w:rPr>
        <w:t xml:space="preserve"> </w:t>
      </w:r>
      <w:r>
        <w:rPr>
          <w:rFonts w:ascii="宋体" w:hAnsi="宋体"/>
          <w:strike w:val="0"/>
          <w:color w:val="auto"/>
          <w:szCs w:val="21"/>
        </w:rPr>
        <w:t xml:space="preserve">  </w:t>
      </w:r>
      <w:bookmarkStart w:id="206" w:name="_Hlk94191840"/>
      <w:r>
        <w:rPr>
          <w:rFonts w:ascii="宋体" w:hAnsi="宋体"/>
          <w:strike w:val="0"/>
          <w:color w:val="auto"/>
          <w:szCs w:val="21"/>
        </w:rPr>
        <w:t xml:space="preserve"> </w:t>
      </w:r>
      <w:r>
        <w:rPr>
          <w:rFonts w:hint="eastAsia" w:ascii="宋体" w:hAnsi="宋体"/>
          <w:strike w:val="0"/>
          <w:color w:val="auto"/>
          <w:szCs w:val="21"/>
        </w:rPr>
        <w:t>项目编号：</w:t>
      </w:r>
      <w:r>
        <w:rPr>
          <w:rFonts w:hint="eastAsia" w:ascii="宋体" w:hAnsi="宋体"/>
          <w:strike w:val="0"/>
          <w:color w:val="auto"/>
          <w:szCs w:val="21"/>
          <w:u w:val="single"/>
        </w:rPr>
        <w:t xml:space="preserve">            </w:t>
      </w:r>
      <w:r>
        <w:rPr>
          <w:rFonts w:ascii="宋体" w:hAnsi="宋体"/>
          <w:strike w:val="0"/>
          <w:color w:val="auto"/>
          <w:szCs w:val="21"/>
          <w:u w:val="single"/>
        </w:rPr>
        <w:t xml:space="preserve">          </w:t>
      </w:r>
      <w:r>
        <w:rPr>
          <w:rFonts w:hint="eastAsia" w:ascii="宋体" w:hAnsi="宋体"/>
          <w:strike w:val="0"/>
          <w:color w:val="auto"/>
          <w:szCs w:val="21"/>
          <w:u w:val="single"/>
        </w:rPr>
        <w:t xml:space="preserve">     </w:t>
      </w:r>
    </w:p>
    <w:p>
      <w:pPr>
        <w:ind w:firstLine="420" w:firstLineChars="0"/>
        <w:rPr>
          <w:rFonts w:hint="eastAsia" w:ascii="宋体" w:hAnsi="宋体"/>
          <w:strike w:val="0"/>
          <w:color w:val="auto"/>
          <w:szCs w:val="21"/>
        </w:rPr>
      </w:pPr>
      <w:r>
        <w:rPr>
          <w:rFonts w:hint="eastAsia" w:ascii="宋体" w:hAnsi="宋体"/>
          <w:strike w:val="0"/>
          <w:color w:val="auto"/>
          <w:szCs w:val="21"/>
        </w:rPr>
        <w:t>项目名称：</w:t>
      </w:r>
      <w:r>
        <w:rPr>
          <w:rFonts w:hint="eastAsia" w:ascii="宋体" w:hAnsi="宋体"/>
          <w:strike w:val="0"/>
          <w:color w:val="auto"/>
          <w:szCs w:val="21"/>
          <w:u w:val="single"/>
        </w:rPr>
        <w:t xml:space="preserve">              </w:t>
      </w:r>
      <w:r>
        <w:rPr>
          <w:rFonts w:ascii="宋体" w:hAnsi="宋体"/>
          <w:strike w:val="0"/>
          <w:color w:val="auto"/>
          <w:szCs w:val="21"/>
          <w:u w:val="single"/>
        </w:rPr>
        <w:t xml:space="preserve">           </w:t>
      </w:r>
      <w:r>
        <w:rPr>
          <w:rFonts w:hint="eastAsia" w:ascii="宋体" w:hAnsi="宋体"/>
          <w:strike w:val="0"/>
          <w:color w:val="auto"/>
          <w:szCs w:val="21"/>
          <w:u w:val="single"/>
        </w:rPr>
        <w:t xml:space="preserve">  </w:t>
      </w:r>
      <w:r>
        <w:rPr>
          <w:rFonts w:ascii="宋体" w:hAnsi="宋体"/>
          <w:strike w:val="0"/>
          <w:color w:val="auto"/>
          <w:szCs w:val="21"/>
        </w:rPr>
        <w:t xml:space="preserve">                                          </w:t>
      </w:r>
      <w:r>
        <w:rPr>
          <w:rFonts w:hint="eastAsia" w:ascii="宋体" w:hAnsi="宋体"/>
          <w:strike w:val="0"/>
          <w:color w:val="auto"/>
          <w:szCs w:val="21"/>
        </w:rPr>
        <w:t>单位：元</w:t>
      </w:r>
    </w:p>
    <w:p>
      <w:pPr>
        <w:ind w:firstLine="420" w:firstLineChars="0"/>
        <w:rPr>
          <w:rFonts w:hint="default" w:ascii="宋体" w:hAnsi="宋体" w:eastAsia="宋体"/>
          <w:strike w:val="0"/>
          <w:color w:val="auto"/>
          <w:szCs w:val="21"/>
          <w:u w:val="single"/>
          <w:lang w:val="en-US" w:eastAsia="zh-CN"/>
        </w:rPr>
      </w:pPr>
    </w:p>
    <w:bookmarkEnd w:id="206"/>
    <w:tbl>
      <w:tblPr>
        <w:tblStyle w:val="42"/>
        <w:tblW w:w="95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145"/>
        <w:gridCol w:w="699"/>
        <w:gridCol w:w="710"/>
        <w:gridCol w:w="709"/>
        <w:gridCol w:w="1702"/>
        <w:gridCol w:w="1702"/>
        <w:gridCol w:w="852"/>
        <w:gridCol w:w="1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7" w:hRule="atLeast"/>
          <w:jc w:val="center"/>
        </w:trPr>
        <w:tc>
          <w:tcPr>
            <w:tcW w:w="704" w:type="dxa"/>
            <w:tcBorders>
              <w:bottom w:val="single" w:color="auto" w:sz="4" w:space="0"/>
            </w:tcBorders>
            <w:noWrap w:val="0"/>
            <w:vAlign w:val="center"/>
          </w:tcPr>
          <w:p>
            <w:pPr>
              <w:spacing w:line="300" w:lineRule="exact"/>
              <w:ind w:firstLine="0" w:firstLineChars="0"/>
              <w:jc w:val="center"/>
              <w:rPr>
                <w:rFonts w:ascii="宋体" w:hAnsi="宋体" w:cs="Courier New"/>
                <w:color w:val="auto"/>
                <w:szCs w:val="21"/>
              </w:rPr>
            </w:pPr>
            <w:r>
              <w:rPr>
                <w:rFonts w:hint="eastAsia" w:ascii="宋体" w:hAnsi="宋体" w:cs="Courier New"/>
                <w:color w:val="auto"/>
                <w:szCs w:val="21"/>
              </w:rPr>
              <w:t>序号</w:t>
            </w:r>
          </w:p>
        </w:tc>
        <w:tc>
          <w:tcPr>
            <w:tcW w:w="1145" w:type="dxa"/>
            <w:tcBorders>
              <w:bottom w:val="single" w:color="auto" w:sz="4" w:space="0"/>
            </w:tcBorders>
            <w:noWrap w:val="0"/>
            <w:vAlign w:val="center"/>
          </w:tcPr>
          <w:p>
            <w:pPr>
              <w:tabs>
                <w:tab w:val="left" w:pos="180"/>
                <w:tab w:val="left" w:pos="1620"/>
              </w:tabs>
              <w:spacing w:line="300" w:lineRule="exact"/>
              <w:ind w:firstLine="0" w:firstLineChars="0"/>
              <w:jc w:val="center"/>
              <w:rPr>
                <w:rFonts w:ascii="宋体" w:hAnsi="宋体"/>
                <w:color w:val="auto"/>
                <w:szCs w:val="21"/>
              </w:rPr>
            </w:pPr>
            <w:r>
              <w:rPr>
                <w:rFonts w:hint="eastAsia" w:ascii="宋体" w:hAnsi="宋体"/>
                <w:color w:val="auto"/>
                <w:szCs w:val="21"/>
              </w:rPr>
              <w:t>货物名称</w:t>
            </w:r>
          </w:p>
        </w:tc>
        <w:tc>
          <w:tcPr>
            <w:tcW w:w="698" w:type="dxa"/>
            <w:tcBorders>
              <w:bottom w:val="single" w:color="auto" w:sz="4" w:space="0"/>
            </w:tcBorders>
            <w:noWrap w:val="0"/>
            <w:vAlign w:val="center"/>
          </w:tcPr>
          <w:p>
            <w:pPr>
              <w:tabs>
                <w:tab w:val="left" w:pos="180"/>
                <w:tab w:val="left" w:pos="1620"/>
              </w:tabs>
              <w:spacing w:line="300" w:lineRule="exact"/>
              <w:ind w:firstLine="0" w:firstLineChars="0"/>
              <w:jc w:val="center"/>
              <w:rPr>
                <w:rFonts w:ascii="宋体" w:hAnsi="宋体"/>
                <w:color w:val="auto"/>
                <w:szCs w:val="21"/>
              </w:rPr>
            </w:pPr>
            <w:r>
              <w:rPr>
                <w:rFonts w:hint="eastAsia" w:ascii="宋体" w:hAnsi="宋体"/>
                <w:color w:val="auto"/>
                <w:szCs w:val="21"/>
              </w:rPr>
              <w:t>品牌</w:t>
            </w:r>
          </w:p>
        </w:tc>
        <w:tc>
          <w:tcPr>
            <w:tcW w:w="709" w:type="dxa"/>
            <w:tcBorders>
              <w:bottom w:val="single" w:color="auto" w:sz="4" w:space="0"/>
            </w:tcBorders>
            <w:noWrap w:val="0"/>
            <w:vAlign w:val="center"/>
          </w:tcPr>
          <w:p>
            <w:pPr>
              <w:tabs>
                <w:tab w:val="left" w:pos="180"/>
                <w:tab w:val="left" w:pos="1620"/>
              </w:tabs>
              <w:spacing w:line="300" w:lineRule="exact"/>
              <w:ind w:firstLine="0" w:firstLineChars="0"/>
              <w:jc w:val="center"/>
              <w:rPr>
                <w:rFonts w:ascii="宋体" w:hAnsi="宋体"/>
                <w:color w:val="auto"/>
                <w:szCs w:val="21"/>
              </w:rPr>
            </w:pPr>
            <w:r>
              <w:rPr>
                <w:rFonts w:hint="eastAsia" w:ascii="宋体" w:hAnsi="宋体"/>
                <w:color w:val="auto"/>
                <w:szCs w:val="21"/>
              </w:rPr>
              <w:t>型号</w:t>
            </w:r>
          </w:p>
        </w:tc>
        <w:tc>
          <w:tcPr>
            <w:tcW w:w="708" w:type="dxa"/>
            <w:tcBorders>
              <w:bottom w:val="single" w:color="auto" w:sz="4" w:space="0"/>
            </w:tcBorders>
            <w:noWrap w:val="0"/>
            <w:vAlign w:val="center"/>
          </w:tcPr>
          <w:p>
            <w:pPr>
              <w:tabs>
                <w:tab w:val="left" w:pos="180"/>
                <w:tab w:val="left" w:pos="1620"/>
              </w:tabs>
              <w:spacing w:line="300" w:lineRule="exact"/>
              <w:ind w:firstLine="0" w:firstLineChars="0"/>
              <w:jc w:val="center"/>
              <w:rPr>
                <w:rFonts w:ascii="宋体" w:hAnsi="宋体"/>
                <w:color w:val="auto"/>
                <w:szCs w:val="21"/>
              </w:rPr>
            </w:pPr>
            <w:r>
              <w:rPr>
                <w:rFonts w:hint="eastAsia" w:ascii="宋体" w:hAnsi="宋体"/>
                <w:color w:val="auto"/>
                <w:szCs w:val="21"/>
              </w:rPr>
              <w:t>产地</w:t>
            </w:r>
          </w:p>
        </w:tc>
        <w:tc>
          <w:tcPr>
            <w:tcW w:w="1701" w:type="dxa"/>
            <w:tcBorders>
              <w:bottom w:val="single" w:color="auto" w:sz="4" w:space="0"/>
            </w:tcBorders>
            <w:noWrap w:val="0"/>
            <w:vAlign w:val="center"/>
          </w:tcPr>
          <w:p>
            <w:pPr>
              <w:tabs>
                <w:tab w:val="left" w:pos="180"/>
                <w:tab w:val="left" w:pos="1620"/>
              </w:tabs>
              <w:spacing w:line="300" w:lineRule="exact"/>
              <w:ind w:firstLine="0" w:firstLineChars="0"/>
              <w:jc w:val="center"/>
              <w:rPr>
                <w:rFonts w:ascii="宋体" w:hAnsi="宋体"/>
                <w:color w:val="auto"/>
                <w:szCs w:val="21"/>
              </w:rPr>
            </w:pPr>
            <w:r>
              <w:rPr>
                <w:rFonts w:hint="eastAsia" w:ascii="宋体" w:hAnsi="宋体"/>
                <w:color w:val="auto"/>
                <w:szCs w:val="21"/>
              </w:rPr>
              <w:t>技术参数及性能（规格）</w:t>
            </w:r>
          </w:p>
        </w:tc>
        <w:tc>
          <w:tcPr>
            <w:tcW w:w="1701" w:type="dxa"/>
            <w:tcBorders>
              <w:bottom w:val="single" w:color="auto" w:sz="4" w:space="0"/>
            </w:tcBorders>
            <w:noWrap w:val="0"/>
            <w:vAlign w:val="center"/>
          </w:tcPr>
          <w:p>
            <w:pPr>
              <w:tabs>
                <w:tab w:val="left" w:pos="180"/>
                <w:tab w:val="left" w:pos="1620"/>
              </w:tabs>
              <w:spacing w:line="300" w:lineRule="exact"/>
              <w:ind w:firstLine="0" w:firstLineChars="0"/>
              <w:jc w:val="center"/>
              <w:rPr>
                <w:rFonts w:ascii="宋体" w:hAnsi="宋体"/>
                <w:color w:val="auto"/>
                <w:szCs w:val="21"/>
              </w:rPr>
            </w:pPr>
            <w:r>
              <w:rPr>
                <w:rFonts w:hint="eastAsia" w:ascii="宋体" w:hAnsi="宋体"/>
                <w:color w:val="auto"/>
                <w:szCs w:val="21"/>
              </w:rPr>
              <w:t>数量、单位</w:t>
            </w:r>
            <w:r>
              <w:rPr>
                <w:rFonts w:hint="eastAsia" w:hAnsi="宋体"/>
                <w:color w:val="auto"/>
              </w:rPr>
              <w:t>①</w:t>
            </w:r>
          </w:p>
        </w:tc>
        <w:tc>
          <w:tcPr>
            <w:tcW w:w="851" w:type="dxa"/>
            <w:tcBorders>
              <w:bottom w:val="single" w:color="auto" w:sz="4" w:space="0"/>
            </w:tcBorders>
            <w:noWrap w:val="0"/>
            <w:vAlign w:val="center"/>
          </w:tcPr>
          <w:p>
            <w:pPr>
              <w:tabs>
                <w:tab w:val="left" w:pos="180"/>
                <w:tab w:val="left" w:pos="1620"/>
              </w:tabs>
              <w:spacing w:line="300" w:lineRule="exact"/>
              <w:ind w:firstLine="0" w:firstLineChars="0"/>
              <w:jc w:val="center"/>
              <w:rPr>
                <w:rFonts w:ascii="宋体" w:hAnsi="宋体"/>
                <w:color w:val="auto"/>
                <w:szCs w:val="21"/>
              </w:rPr>
            </w:pPr>
            <w:r>
              <w:rPr>
                <w:rFonts w:hint="eastAsia" w:ascii="宋体" w:hAnsi="宋体"/>
                <w:color w:val="auto"/>
                <w:szCs w:val="21"/>
              </w:rPr>
              <w:t>单价</w:t>
            </w:r>
            <w:r>
              <w:rPr>
                <w:rFonts w:hint="eastAsia" w:hAnsi="宋体"/>
                <w:color w:val="auto"/>
              </w:rPr>
              <w:t>②</w:t>
            </w:r>
          </w:p>
        </w:tc>
        <w:tc>
          <w:tcPr>
            <w:tcW w:w="1340" w:type="dxa"/>
            <w:tcBorders>
              <w:bottom w:val="single" w:color="auto" w:sz="4" w:space="0"/>
            </w:tcBorders>
            <w:noWrap w:val="0"/>
            <w:vAlign w:val="center"/>
          </w:tcPr>
          <w:p>
            <w:pPr>
              <w:spacing w:line="300" w:lineRule="exact"/>
              <w:ind w:firstLine="0" w:firstLineChars="0"/>
              <w:jc w:val="center"/>
              <w:rPr>
                <w:rFonts w:ascii="宋体" w:hAnsi="宋体" w:cs="Courier New"/>
                <w:color w:val="auto"/>
                <w:szCs w:val="21"/>
              </w:rPr>
            </w:pPr>
            <w:r>
              <w:rPr>
                <w:rFonts w:hint="eastAsia" w:ascii="宋体" w:hAnsi="宋体" w:cs="Courier New"/>
                <w:color w:val="auto"/>
                <w:szCs w:val="21"/>
              </w:rPr>
              <w:t>单项合价</w:t>
            </w:r>
          </w:p>
          <w:p>
            <w:pPr>
              <w:spacing w:line="300" w:lineRule="exact"/>
              <w:ind w:firstLine="0" w:firstLineChars="0"/>
              <w:jc w:val="center"/>
              <w:rPr>
                <w:rFonts w:ascii="宋体" w:hAnsi="宋体" w:cs="Courier New"/>
                <w:color w:val="auto"/>
                <w:szCs w:val="21"/>
              </w:rPr>
            </w:pPr>
            <w:r>
              <w:rPr>
                <w:rFonts w:hint="eastAsia" w:ascii="宋体" w:hAnsi="宋体" w:cs="Courier New"/>
                <w:color w:val="auto"/>
                <w:szCs w:val="21"/>
              </w:rPr>
              <w:t>③</w:t>
            </w:r>
            <w:r>
              <w:rPr>
                <w:rFonts w:ascii="宋体" w:hAnsi="宋体" w:cs="Courier New"/>
                <w:color w:val="auto"/>
                <w:szCs w:val="21"/>
              </w:rPr>
              <w:t>=</w:t>
            </w:r>
            <w:r>
              <w:rPr>
                <w:rFonts w:hint="eastAsia" w:ascii="宋体" w:hAnsi="宋体" w:cs="Courier New"/>
                <w:color w:val="auto"/>
                <w:szCs w:val="21"/>
              </w:rPr>
              <w:t>①×②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704" w:type="dxa"/>
            <w:noWrap w:val="0"/>
            <w:vAlign w:val="center"/>
          </w:tcPr>
          <w:p>
            <w:pPr>
              <w:spacing w:line="440" w:lineRule="exact"/>
              <w:ind w:right="-34" w:rightChars="-16" w:firstLine="0" w:firstLineChars="0"/>
              <w:jc w:val="center"/>
              <w:rPr>
                <w:rFonts w:ascii="宋体" w:hAnsi="宋体"/>
                <w:color w:val="auto"/>
                <w:sz w:val="24"/>
              </w:rPr>
            </w:pPr>
            <w:r>
              <w:rPr>
                <w:rFonts w:hint="eastAsia" w:ascii="宋体" w:hAnsi="宋体"/>
                <w:color w:val="auto"/>
                <w:sz w:val="24"/>
              </w:rPr>
              <w:t>1</w:t>
            </w:r>
          </w:p>
        </w:tc>
        <w:tc>
          <w:tcPr>
            <w:tcW w:w="1145" w:type="dxa"/>
            <w:noWrap w:val="0"/>
            <w:vAlign w:val="center"/>
          </w:tcPr>
          <w:p>
            <w:pPr>
              <w:spacing w:line="440" w:lineRule="exact"/>
              <w:ind w:firstLine="0" w:firstLineChars="0"/>
              <w:jc w:val="center"/>
              <w:rPr>
                <w:rFonts w:ascii="宋体" w:hAnsi="宋体"/>
                <w:color w:val="auto"/>
              </w:rPr>
            </w:pPr>
          </w:p>
        </w:tc>
        <w:tc>
          <w:tcPr>
            <w:tcW w:w="698" w:type="dxa"/>
            <w:noWrap w:val="0"/>
            <w:vAlign w:val="center"/>
          </w:tcPr>
          <w:p>
            <w:pPr>
              <w:spacing w:line="440" w:lineRule="exact"/>
              <w:ind w:firstLine="0" w:firstLineChars="0"/>
              <w:jc w:val="center"/>
              <w:rPr>
                <w:rFonts w:ascii="宋体" w:hAnsi="宋体"/>
                <w:color w:val="auto"/>
              </w:rPr>
            </w:pPr>
          </w:p>
        </w:tc>
        <w:tc>
          <w:tcPr>
            <w:tcW w:w="709" w:type="dxa"/>
            <w:noWrap w:val="0"/>
            <w:vAlign w:val="center"/>
          </w:tcPr>
          <w:p>
            <w:pPr>
              <w:spacing w:line="440" w:lineRule="exact"/>
              <w:ind w:firstLine="0" w:firstLineChars="0"/>
              <w:jc w:val="center"/>
              <w:rPr>
                <w:rFonts w:ascii="宋体" w:hAnsi="宋体"/>
                <w:color w:val="auto"/>
              </w:rPr>
            </w:pPr>
          </w:p>
        </w:tc>
        <w:tc>
          <w:tcPr>
            <w:tcW w:w="708" w:type="dxa"/>
            <w:noWrap w:val="0"/>
            <w:vAlign w:val="center"/>
          </w:tcPr>
          <w:p>
            <w:pPr>
              <w:spacing w:line="440" w:lineRule="exact"/>
              <w:ind w:firstLine="0" w:firstLineChars="0"/>
              <w:jc w:val="center"/>
              <w:rPr>
                <w:rFonts w:ascii="宋体" w:hAnsi="宋体"/>
                <w:color w:val="auto"/>
              </w:rPr>
            </w:pPr>
          </w:p>
        </w:tc>
        <w:tc>
          <w:tcPr>
            <w:tcW w:w="1701" w:type="dxa"/>
            <w:noWrap w:val="0"/>
            <w:vAlign w:val="center"/>
          </w:tcPr>
          <w:p>
            <w:pPr>
              <w:spacing w:line="440" w:lineRule="exact"/>
              <w:ind w:firstLine="0" w:firstLineChars="0"/>
              <w:jc w:val="center"/>
              <w:rPr>
                <w:rFonts w:ascii="宋体" w:hAnsi="宋体"/>
                <w:color w:val="auto"/>
              </w:rPr>
            </w:pPr>
          </w:p>
        </w:tc>
        <w:tc>
          <w:tcPr>
            <w:tcW w:w="1701" w:type="dxa"/>
            <w:noWrap w:val="0"/>
            <w:vAlign w:val="center"/>
          </w:tcPr>
          <w:p>
            <w:pPr>
              <w:spacing w:line="440" w:lineRule="exact"/>
              <w:ind w:firstLine="0" w:firstLineChars="0"/>
              <w:jc w:val="center"/>
              <w:rPr>
                <w:rFonts w:ascii="宋体" w:hAnsi="宋体"/>
                <w:color w:val="auto"/>
              </w:rPr>
            </w:pPr>
          </w:p>
        </w:tc>
        <w:tc>
          <w:tcPr>
            <w:tcW w:w="851" w:type="dxa"/>
            <w:noWrap w:val="0"/>
            <w:vAlign w:val="center"/>
          </w:tcPr>
          <w:p>
            <w:pPr>
              <w:spacing w:line="440" w:lineRule="exact"/>
              <w:ind w:firstLine="0" w:firstLineChars="0"/>
              <w:jc w:val="center"/>
              <w:rPr>
                <w:rFonts w:ascii="宋体" w:hAnsi="宋体"/>
                <w:color w:val="auto"/>
              </w:rPr>
            </w:pPr>
          </w:p>
        </w:tc>
        <w:tc>
          <w:tcPr>
            <w:tcW w:w="1340" w:type="dxa"/>
            <w:noWrap w:val="0"/>
            <w:vAlign w:val="center"/>
          </w:tcPr>
          <w:p>
            <w:pPr>
              <w:spacing w:line="440" w:lineRule="exact"/>
              <w:ind w:firstLine="0" w:firstLineChars="0"/>
              <w:jc w:val="center"/>
              <w:rPr>
                <w:rFonts w:ascii="宋体" w:hAnsi="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704" w:type="dxa"/>
            <w:noWrap w:val="0"/>
            <w:vAlign w:val="center"/>
          </w:tcPr>
          <w:p>
            <w:pPr>
              <w:spacing w:line="440" w:lineRule="exact"/>
              <w:ind w:firstLine="0" w:firstLineChars="0"/>
              <w:jc w:val="center"/>
              <w:rPr>
                <w:rFonts w:ascii="宋体" w:hAnsi="宋体"/>
                <w:color w:val="auto"/>
                <w:sz w:val="24"/>
              </w:rPr>
            </w:pPr>
            <w:r>
              <w:rPr>
                <w:rFonts w:hint="eastAsia" w:ascii="宋体" w:hAnsi="宋体"/>
                <w:color w:val="auto"/>
                <w:sz w:val="24"/>
              </w:rPr>
              <w:t>2</w:t>
            </w:r>
          </w:p>
        </w:tc>
        <w:tc>
          <w:tcPr>
            <w:tcW w:w="1145" w:type="dxa"/>
            <w:noWrap w:val="0"/>
            <w:vAlign w:val="center"/>
          </w:tcPr>
          <w:p>
            <w:pPr>
              <w:spacing w:line="440" w:lineRule="exact"/>
              <w:ind w:firstLine="0" w:firstLineChars="0"/>
              <w:jc w:val="center"/>
              <w:rPr>
                <w:rFonts w:ascii="宋体" w:hAnsi="宋体"/>
                <w:color w:val="auto"/>
              </w:rPr>
            </w:pPr>
          </w:p>
        </w:tc>
        <w:tc>
          <w:tcPr>
            <w:tcW w:w="698" w:type="dxa"/>
            <w:noWrap w:val="0"/>
            <w:vAlign w:val="center"/>
          </w:tcPr>
          <w:p>
            <w:pPr>
              <w:spacing w:line="440" w:lineRule="exact"/>
              <w:ind w:firstLine="0" w:firstLineChars="0"/>
              <w:jc w:val="center"/>
              <w:rPr>
                <w:rFonts w:ascii="宋体" w:hAnsi="宋体"/>
                <w:color w:val="auto"/>
              </w:rPr>
            </w:pPr>
          </w:p>
        </w:tc>
        <w:tc>
          <w:tcPr>
            <w:tcW w:w="709" w:type="dxa"/>
            <w:noWrap w:val="0"/>
            <w:vAlign w:val="center"/>
          </w:tcPr>
          <w:p>
            <w:pPr>
              <w:spacing w:line="440" w:lineRule="exact"/>
              <w:ind w:firstLine="0" w:firstLineChars="0"/>
              <w:jc w:val="center"/>
              <w:rPr>
                <w:rFonts w:ascii="宋体" w:hAnsi="宋体"/>
                <w:color w:val="auto"/>
              </w:rPr>
            </w:pPr>
          </w:p>
        </w:tc>
        <w:tc>
          <w:tcPr>
            <w:tcW w:w="708" w:type="dxa"/>
            <w:noWrap w:val="0"/>
            <w:vAlign w:val="center"/>
          </w:tcPr>
          <w:p>
            <w:pPr>
              <w:spacing w:line="440" w:lineRule="exact"/>
              <w:ind w:firstLine="0" w:firstLineChars="0"/>
              <w:jc w:val="center"/>
              <w:rPr>
                <w:rFonts w:ascii="宋体" w:hAnsi="宋体"/>
                <w:color w:val="auto"/>
              </w:rPr>
            </w:pPr>
          </w:p>
        </w:tc>
        <w:tc>
          <w:tcPr>
            <w:tcW w:w="1701" w:type="dxa"/>
            <w:noWrap w:val="0"/>
            <w:vAlign w:val="center"/>
          </w:tcPr>
          <w:p>
            <w:pPr>
              <w:spacing w:line="440" w:lineRule="exact"/>
              <w:ind w:firstLine="0" w:firstLineChars="0"/>
              <w:jc w:val="center"/>
              <w:rPr>
                <w:rFonts w:ascii="宋体" w:hAnsi="宋体"/>
                <w:color w:val="auto"/>
              </w:rPr>
            </w:pPr>
          </w:p>
        </w:tc>
        <w:tc>
          <w:tcPr>
            <w:tcW w:w="1701" w:type="dxa"/>
            <w:noWrap w:val="0"/>
            <w:vAlign w:val="center"/>
          </w:tcPr>
          <w:p>
            <w:pPr>
              <w:spacing w:line="440" w:lineRule="exact"/>
              <w:ind w:firstLine="0" w:firstLineChars="0"/>
              <w:jc w:val="center"/>
              <w:rPr>
                <w:rFonts w:ascii="宋体" w:hAnsi="宋体"/>
                <w:color w:val="auto"/>
              </w:rPr>
            </w:pPr>
          </w:p>
        </w:tc>
        <w:tc>
          <w:tcPr>
            <w:tcW w:w="851" w:type="dxa"/>
            <w:noWrap w:val="0"/>
            <w:vAlign w:val="center"/>
          </w:tcPr>
          <w:p>
            <w:pPr>
              <w:spacing w:line="440" w:lineRule="exact"/>
              <w:ind w:firstLine="0" w:firstLineChars="0"/>
              <w:jc w:val="center"/>
              <w:rPr>
                <w:rFonts w:ascii="宋体" w:hAnsi="宋体"/>
                <w:color w:val="auto"/>
              </w:rPr>
            </w:pPr>
          </w:p>
        </w:tc>
        <w:tc>
          <w:tcPr>
            <w:tcW w:w="1340" w:type="dxa"/>
            <w:noWrap w:val="0"/>
            <w:vAlign w:val="center"/>
          </w:tcPr>
          <w:p>
            <w:pPr>
              <w:spacing w:line="440" w:lineRule="exact"/>
              <w:ind w:firstLine="0" w:firstLineChars="0"/>
              <w:jc w:val="center"/>
              <w:rPr>
                <w:rFonts w:ascii="宋体" w:hAnsi="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704" w:type="dxa"/>
            <w:noWrap w:val="0"/>
            <w:vAlign w:val="center"/>
          </w:tcPr>
          <w:p>
            <w:pPr>
              <w:spacing w:line="440" w:lineRule="exact"/>
              <w:ind w:firstLine="0" w:firstLineChars="0"/>
              <w:jc w:val="center"/>
              <w:rPr>
                <w:rFonts w:ascii="宋体" w:hAnsi="宋体"/>
                <w:color w:val="auto"/>
                <w:sz w:val="24"/>
              </w:rPr>
            </w:pPr>
            <w:r>
              <w:rPr>
                <w:rFonts w:hint="eastAsia" w:ascii="宋体" w:hAnsi="宋体"/>
                <w:color w:val="auto"/>
                <w:sz w:val="24"/>
              </w:rPr>
              <w:t>3</w:t>
            </w:r>
          </w:p>
        </w:tc>
        <w:tc>
          <w:tcPr>
            <w:tcW w:w="1145" w:type="dxa"/>
            <w:noWrap w:val="0"/>
            <w:vAlign w:val="center"/>
          </w:tcPr>
          <w:p>
            <w:pPr>
              <w:spacing w:line="440" w:lineRule="exact"/>
              <w:ind w:firstLine="0" w:firstLineChars="0"/>
              <w:jc w:val="center"/>
              <w:rPr>
                <w:rFonts w:ascii="宋体" w:hAnsi="宋体"/>
                <w:color w:val="auto"/>
              </w:rPr>
            </w:pPr>
          </w:p>
        </w:tc>
        <w:tc>
          <w:tcPr>
            <w:tcW w:w="698" w:type="dxa"/>
            <w:noWrap w:val="0"/>
            <w:vAlign w:val="center"/>
          </w:tcPr>
          <w:p>
            <w:pPr>
              <w:spacing w:line="440" w:lineRule="exact"/>
              <w:ind w:firstLine="0" w:firstLineChars="0"/>
              <w:jc w:val="center"/>
              <w:rPr>
                <w:rFonts w:ascii="宋体" w:hAnsi="宋体"/>
                <w:color w:val="auto"/>
              </w:rPr>
            </w:pPr>
          </w:p>
        </w:tc>
        <w:tc>
          <w:tcPr>
            <w:tcW w:w="709" w:type="dxa"/>
            <w:noWrap w:val="0"/>
            <w:vAlign w:val="center"/>
          </w:tcPr>
          <w:p>
            <w:pPr>
              <w:spacing w:line="440" w:lineRule="exact"/>
              <w:ind w:firstLine="0" w:firstLineChars="0"/>
              <w:jc w:val="center"/>
              <w:rPr>
                <w:rFonts w:ascii="宋体" w:hAnsi="宋体"/>
                <w:color w:val="auto"/>
              </w:rPr>
            </w:pPr>
          </w:p>
        </w:tc>
        <w:tc>
          <w:tcPr>
            <w:tcW w:w="708" w:type="dxa"/>
            <w:noWrap w:val="0"/>
            <w:vAlign w:val="center"/>
          </w:tcPr>
          <w:p>
            <w:pPr>
              <w:spacing w:line="440" w:lineRule="exact"/>
              <w:ind w:firstLine="0" w:firstLineChars="0"/>
              <w:jc w:val="center"/>
              <w:rPr>
                <w:rFonts w:ascii="宋体" w:hAnsi="宋体"/>
                <w:color w:val="auto"/>
              </w:rPr>
            </w:pPr>
          </w:p>
        </w:tc>
        <w:tc>
          <w:tcPr>
            <w:tcW w:w="1701" w:type="dxa"/>
            <w:noWrap w:val="0"/>
            <w:vAlign w:val="center"/>
          </w:tcPr>
          <w:p>
            <w:pPr>
              <w:spacing w:line="440" w:lineRule="exact"/>
              <w:ind w:firstLine="0" w:firstLineChars="0"/>
              <w:jc w:val="center"/>
              <w:rPr>
                <w:rFonts w:ascii="宋体" w:hAnsi="宋体"/>
                <w:color w:val="auto"/>
              </w:rPr>
            </w:pPr>
          </w:p>
        </w:tc>
        <w:tc>
          <w:tcPr>
            <w:tcW w:w="1701" w:type="dxa"/>
            <w:noWrap w:val="0"/>
            <w:vAlign w:val="center"/>
          </w:tcPr>
          <w:p>
            <w:pPr>
              <w:spacing w:line="440" w:lineRule="exact"/>
              <w:ind w:firstLine="0" w:firstLineChars="0"/>
              <w:jc w:val="center"/>
              <w:rPr>
                <w:rFonts w:ascii="宋体" w:hAnsi="宋体"/>
                <w:color w:val="auto"/>
              </w:rPr>
            </w:pPr>
          </w:p>
        </w:tc>
        <w:tc>
          <w:tcPr>
            <w:tcW w:w="851" w:type="dxa"/>
            <w:noWrap w:val="0"/>
            <w:vAlign w:val="center"/>
          </w:tcPr>
          <w:p>
            <w:pPr>
              <w:spacing w:line="440" w:lineRule="exact"/>
              <w:ind w:firstLine="0" w:firstLineChars="0"/>
              <w:jc w:val="center"/>
              <w:rPr>
                <w:rFonts w:ascii="宋体" w:hAnsi="宋体"/>
                <w:color w:val="auto"/>
              </w:rPr>
            </w:pPr>
          </w:p>
        </w:tc>
        <w:tc>
          <w:tcPr>
            <w:tcW w:w="1340" w:type="dxa"/>
            <w:noWrap w:val="0"/>
            <w:vAlign w:val="center"/>
          </w:tcPr>
          <w:p>
            <w:pPr>
              <w:spacing w:line="440" w:lineRule="exact"/>
              <w:ind w:firstLine="0" w:firstLineChars="0"/>
              <w:jc w:val="center"/>
              <w:rPr>
                <w:rFonts w:ascii="宋体" w:hAnsi="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704" w:type="dxa"/>
            <w:noWrap w:val="0"/>
            <w:vAlign w:val="center"/>
          </w:tcPr>
          <w:p>
            <w:pPr>
              <w:spacing w:line="440" w:lineRule="exact"/>
              <w:ind w:firstLine="0" w:firstLineChars="0"/>
              <w:jc w:val="center"/>
              <w:rPr>
                <w:rFonts w:ascii="宋体" w:hAnsi="宋体"/>
                <w:color w:val="auto"/>
                <w:sz w:val="24"/>
              </w:rPr>
            </w:pPr>
            <w:r>
              <w:rPr>
                <w:rFonts w:ascii="宋体" w:hAnsi="宋体"/>
                <w:color w:val="auto"/>
                <w:sz w:val="24"/>
              </w:rPr>
              <w:t>…</w:t>
            </w:r>
          </w:p>
        </w:tc>
        <w:tc>
          <w:tcPr>
            <w:tcW w:w="1145" w:type="dxa"/>
            <w:noWrap w:val="0"/>
            <w:vAlign w:val="center"/>
          </w:tcPr>
          <w:p>
            <w:pPr>
              <w:spacing w:line="440" w:lineRule="exact"/>
              <w:ind w:firstLine="0" w:firstLineChars="0"/>
              <w:jc w:val="center"/>
              <w:rPr>
                <w:rFonts w:ascii="宋体" w:hAnsi="宋体"/>
                <w:color w:val="auto"/>
              </w:rPr>
            </w:pPr>
          </w:p>
        </w:tc>
        <w:tc>
          <w:tcPr>
            <w:tcW w:w="698" w:type="dxa"/>
            <w:noWrap w:val="0"/>
            <w:vAlign w:val="center"/>
          </w:tcPr>
          <w:p>
            <w:pPr>
              <w:spacing w:line="440" w:lineRule="exact"/>
              <w:ind w:firstLine="0" w:firstLineChars="0"/>
              <w:jc w:val="center"/>
              <w:rPr>
                <w:rFonts w:ascii="宋体" w:hAnsi="宋体"/>
                <w:color w:val="auto"/>
              </w:rPr>
            </w:pPr>
          </w:p>
        </w:tc>
        <w:tc>
          <w:tcPr>
            <w:tcW w:w="709" w:type="dxa"/>
            <w:noWrap w:val="0"/>
            <w:vAlign w:val="center"/>
          </w:tcPr>
          <w:p>
            <w:pPr>
              <w:spacing w:line="440" w:lineRule="exact"/>
              <w:ind w:firstLine="0" w:firstLineChars="0"/>
              <w:jc w:val="center"/>
              <w:rPr>
                <w:rFonts w:ascii="宋体" w:hAnsi="宋体"/>
                <w:color w:val="auto"/>
              </w:rPr>
            </w:pPr>
          </w:p>
        </w:tc>
        <w:tc>
          <w:tcPr>
            <w:tcW w:w="708" w:type="dxa"/>
            <w:noWrap w:val="0"/>
            <w:vAlign w:val="center"/>
          </w:tcPr>
          <w:p>
            <w:pPr>
              <w:spacing w:line="440" w:lineRule="exact"/>
              <w:ind w:firstLine="0" w:firstLineChars="0"/>
              <w:jc w:val="center"/>
              <w:rPr>
                <w:rFonts w:ascii="宋体" w:hAnsi="宋体"/>
                <w:color w:val="auto"/>
              </w:rPr>
            </w:pPr>
          </w:p>
        </w:tc>
        <w:tc>
          <w:tcPr>
            <w:tcW w:w="1701" w:type="dxa"/>
            <w:noWrap w:val="0"/>
            <w:vAlign w:val="center"/>
          </w:tcPr>
          <w:p>
            <w:pPr>
              <w:spacing w:line="440" w:lineRule="exact"/>
              <w:ind w:firstLine="0" w:firstLineChars="0"/>
              <w:jc w:val="center"/>
              <w:rPr>
                <w:rFonts w:ascii="宋体" w:hAnsi="宋体"/>
                <w:color w:val="auto"/>
              </w:rPr>
            </w:pPr>
          </w:p>
        </w:tc>
        <w:tc>
          <w:tcPr>
            <w:tcW w:w="1701" w:type="dxa"/>
            <w:noWrap w:val="0"/>
            <w:vAlign w:val="center"/>
          </w:tcPr>
          <w:p>
            <w:pPr>
              <w:spacing w:line="440" w:lineRule="exact"/>
              <w:ind w:firstLine="0" w:firstLineChars="0"/>
              <w:jc w:val="center"/>
              <w:rPr>
                <w:rFonts w:ascii="宋体" w:hAnsi="宋体"/>
                <w:color w:val="auto"/>
              </w:rPr>
            </w:pPr>
          </w:p>
        </w:tc>
        <w:tc>
          <w:tcPr>
            <w:tcW w:w="851" w:type="dxa"/>
            <w:noWrap w:val="0"/>
            <w:vAlign w:val="center"/>
          </w:tcPr>
          <w:p>
            <w:pPr>
              <w:spacing w:line="440" w:lineRule="exact"/>
              <w:ind w:firstLine="0" w:firstLineChars="0"/>
              <w:jc w:val="center"/>
              <w:rPr>
                <w:rFonts w:ascii="宋体" w:hAnsi="宋体"/>
                <w:color w:val="auto"/>
              </w:rPr>
            </w:pPr>
          </w:p>
        </w:tc>
        <w:tc>
          <w:tcPr>
            <w:tcW w:w="1340" w:type="dxa"/>
            <w:noWrap w:val="0"/>
            <w:vAlign w:val="center"/>
          </w:tcPr>
          <w:p>
            <w:pPr>
              <w:spacing w:line="440" w:lineRule="exact"/>
              <w:ind w:firstLine="0" w:firstLineChars="0"/>
              <w:jc w:val="center"/>
              <w:rPr>
                <w:rFonts w:ascii="宋体" w:hAnsi="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9564" w:type="dxa"/>
            <w:gridSpan w:val="9"/>
            <w:noWrap w:val="0"/>
            <w:vAlign w:val="center"/>
          </w:tcPr>
          <w:p>
            <w:pPr>
              <w:spacing w:line="440" w:lineRule="exact"/>
              <w:ind w:firstLine="27" w:firstLineChars="14"/>
              <w:rPr>
                <w:rFonts w:ascii="宋体" w:hAnsi="宋体" w:cs="Courier New"/>
                <w:color w:val="auto"/>
                <w:spacing w:val="-6"/>
                <w:szCs w:val="21"/>
              </w:rPr>
            </w:pPr>
            <w:r>
              <w:rPr>
                <w:rFonts w:hint="eastAsia" w:ascii="宋体" w:hAnsi="宋体" w:cs="Courier New"/>
                <w:color w:val="auto"/>
                <w:spacing w:val="-6"/>
                <w:szCs w:val="21"/>
              </w:rPr>
              <w:t>总报价（人民币大写）：</w:t>
            </w:r>
            <w:r>
              <w:rPr>
                <w:rFonts w:hint="eastAsia" w:ascii="宋体" w:hAnsi="宋体" w:cs="Courier New"/>
                <w:color w:val="auto"/>
                <w:spacing w:val="-6"/>
                <w:szCs w:val="21"/>
                <w:u w:val="single"/>
              </w:rPr>
              <w:t xml:space="preserve">                                       </w:t>
            </w:r>
            <w:r>
              <w:rPr>
                <w:rFonts w:hint="eastAsia" w:ascii="宋体" w:hAnsi="宋体" w:cs="Courier New"/>
                <w:color w:val="auto"/>
                <w:spacing w:val="-6"/>
                <w:szCs w:val="21"/>
              </w:rPr>
              <w:t>（￥</w:t>
            </w:r>
            <w:r>
              <w:rPr>
                <w:rFonts w:hint="eastAsia" w:ascii="宋体" w:hAnsi="宋体" w:cs="Courier New"/>
                <w:color w:val="auto"/>
                <w:spacing w:val="-6"/>
                <w:szCs w:val="21"/>
                <w:u w:val="single"/>
              </w:rPr>
              <w:t xml:space="preserve">                       元</w:t>
            </w:r>
            <w:r>
              <w:rPr>
                <w:rFonts w:hint="eastAsia" w:ascii="宋体" w:hAnsi="宋体" w:cs="Courier New"/>
                <w:color w:val="auto"/>
                <w:spacing w:val="-6"/>
                <w:szCs w:val="21"/>
              </w:rPr>
              <w:t>）</w:t>
            </w:r>
          </w:p>
        </w:tc>
      </w:tr>
    </w:tbl>
    <w:p>
      <w:pPr>
        <w:spacing w:line="440" w:lineRule="exact"/>
        <w:ind w:firstLine="210" w:firstLineChars="100"/>
        <w:rPr>
          <w:rFonts w:ascii="宋体" w:hAnsi="宋体"/>
          <w:color w:val="auto"/>
          <w:szCs w:val="21"/>
        </w:rPr>
      </w:pPr>
      <w:r>
        <w:rPr>
          <w:rFonts w:hint="eastAsia" w:ascii="宋体" w:hAnsi="宋体"/>
          <w:color w:val="auto"/>
          <w:szCs w:val="21"/>
        </w:rPr>
        <w:t>注：1.所有价格均用人民币表示，单位为元，精确到个数位。</w:t>
      </w:r>
    </w:p>
    <w:p>
      <w:pPr>
        <w:spacing w:line="440" w:lineRule="exact"/>
        <w:ind w:firstLine="210" w:firstLineChars="100"/>
        <w:rPr>
          <w:rFonts w:ascii="宋体" w:hAnsi="宋体"/>
          <w:color w:val="auto"/>
          <w:szCs w:val="21"/>
        </w:rPr>
      </w:pPr>
      <w:r>
        <w:rPr>
          <w:rFonts w:ascii="宋体" w:hAnsi="宋体"/>
          <w:color w:val="auto"/>
          <w:szCs w:val="21"/>
        </w:rPr>
        <w:t>2</w:t>
      </w:r>
      <w:r>
        <w:rPr>
          <w:rFonts w:hint="eastAsia" w:ascii="宋体" w:hAnsi="宋体"/>
          <w:color w:val="auto"/>
          <w:szCs w:val="21"/>
        </w:rPr>
        <w:t>.报价一经涂改，应在涂改处加盖公章或者由法定代表人或授权委托人签名或盖章，否则视为无效投标文件。</w:t>
      </w:r>
    </w:p>
    <w:p>
      <w:pPr>
        <w:ind w:firstLine="210" w:firstLineChars="100"/>
        <w:rPr>
          <w:rFonts w:hint="default" w:eastAsia="宋体"/>
          <w:strike w:val="0"/>
          <w:color w:val="auto"/>
          <w:lang w:val="en-US" w:eastAsia="zh-CN"/>
        </w:rPr>
      </w:pPr>
    </w:p>
    <w:p>
      <w:pPr>
        <w:ind w:firstLine="0" w:firstLineChars="0"/>
        <w:rPr>
          <w:strike w:val="0"/>
          <w:color w:val="auto"/>
        </w:rPr>
      </w:pPr>
    </w:p>
    <w:p>
      <w:pPr>
        <w:ind w:firstLine="0" w:firstLineChars="0"/>
        <w:rPr>
          <w:rFonts w:hint="eastAsia"/>
          <w:strike w:val="0"/>
          <w:color w:val="auto"/>
        </w:rPr>
      </w:pPr>
    </w:p>
    <w:p>
      <w:pPr>
        <w:snapToGrid w:val="0"/>
        <w:spacing w:before="50" w:after="50" w:line="350" w:lineRule="exact"/>
        <w:ind w:right="-817" w:rightChars="-389" w:firstLine="3465" w:firstLineChars="1650"/>
        <w:rPr>
          <w:rFonts w:ascii="宋体" w:hAnsi="宋体"/>
          <w:strike w:val="0"/>
          <w:color w:val="auto"/>
          <w:szCs w:val="21"/>
        </w:rPr>
      </w:pPr>
      <w:r>
        <w:rPr>
          <w:rFonts w:hint="eastAsia" w:ascii="宋体" w:hAnsi="宋体"/>
          <w:strike w:val="0"/>
          <w:color w:val="auto"/>
          <w:szCs w:val="21"/>
        </w:rPr>
        <w:t xml:space="preserve"> </w:t>
      </w:r>
      <w:r>
        <w:rPr>
          <w:rFonts w:ascii="宋体" w:hAnsi="宋体"/>
          <w:strike w:val="0"/>
          <w:color w:val="auto"/>
          <w:szCs w:val="21"/>
        </w:rPr>
        <w:t xml:space="preserve">        </w:t>
      </w:r>
      <w:r>
        <w:rPr>
          <w:rFonts w:hint="eastAsia" w:ascii="宋体" w:hAnsi="宋体"/>
          <w:strike w:val="0"/>
          <w:color w:val="auto"/>
          <w:szCs w:val="21"/>
        </w:rPr>
        <w:t>投标人（盖章）：</w:t>
      </w:r>
      <w:r>
        <w:rPr>
          <w:rFonts w:hint="eastAsia" w:ascii="宋体" w:hAnsi="宋体"/>
          <w:strike w:val="0"/>
          <w:color w:val="auto"/>
          <w:szCs w:val="21"/>
          <w:u w:val="single"/>
        </w:rPr>
        <w:t xml:space="preserve">                        </w:t>
      </w:r>
    </w:p>
    <w:p>
      <w:pPr>
        <w:snapToGrid w:val="0"/>
        <w:spacing w:before="50" w:after="50" w:line="350" w:lineRule="exact"/>
        <w:ind w:right="-817" w:rightChars="-389" w:firstLine="3465" w:firstLineChars="1650"/>
        <w:rPr>
          <w:rFonts w:hint="eastAsia" w:ascii="宋体" w:hAnsi="宋体"/>
          <w:strike w:val="0"/>
          <w:color w:val="FF0000"/>
          <w:szCs w:val="21"/>
        </w:rPr>
      </w:pPr>
      <w:r>
        <w:rPr>
          <w:rFonts w:hint="eastAsia" w:ascii="宋体" w:hAnsi="宋体"/>
          <w:strike w:val="0"/>
          <w:color w:val="auto"/>
          <w:szCs w:val="21"/>
        </w:rPr>
        <w:t xml:space="preserve"> </w:t>
      </w:r>
      <w:r>
        <w:rPr>
          <w:rFonts w:ascii="宋体" w:hAnsi="宋体"/>
          <w:strike w:val="0"/>
          <w:color w:val="auto"/>
          <w:szCs w:val="21"/>
        </w:rPr>
        <w:t xml:space="preserve">                    </w:t>
      </w:r>
      <w:r>
        <w:rPr>
          <w:rFonts w:hint="eastAsia" w:ascii="宋体" w:hAnsi="宋体"/>
          <w:strike w:val="0"/>
          <w:color w:val="auto"/>
          <w:szCs w:val="21"/>
        </w:rPr>
        <w:t>日期：</w:t>
      </w:r>
      <w:r>
        <w:rPr>
          <w:rFonts w:hint="eastAsia" w:ascii="宋体" w:hAnsi="宋体"/>
          <w:strike w:val="0"/>
          <w:color w:val="auto"/>
          <w:szCs w:val="21"/>
          <w:u w:val="single"/>
        </w:rPr>
        <w:t xml:space="preserve">       </w:t>
      </w:r>
      <w:r>
        <w:rPr>
          <w:rFonts w:hint="eastAsia" w:ascii="宋体" w:hAnsi="宋体"/>
          <w:strike w:val="0"/>
          <w:color w:val="auto"/>
          <w:szCs w:val="21"/>
        </w:rPr>
        <w:t>年</w:t>
      </w:r>
      <w:r>
        <w:rPr>
          <w:rFonts w:hint="eastAsia" w:ascii="宋体" w:hAnsi="宋体"/>
          <w:strike w:val="0"/>
          <w:color w:val="auto"/>
          <w:szCs w:val="21"/>
          <w:u w:val="single"/>
        </w:rPr>
        <w:t xml:space="preserve">    </w:t>
      </w:r>
      <w:r>
        <w:rPr>
          <w:rFonts w:hint="eastAsia" w:ascii="宋体" w:hAnsi="宋体"/>
          <w:strike w:val="0"/>
          <w:color w:val="auto"/>
          <w:szCs w:val="21"/>
        </w:rPr>
        <w:t>月</w:t>
      </w:r>
      <w:r>
        <w:rPr>
          <w:rFonts w:hint="eastAsia" w:ascii="宋体" w:hAnsi="宋体"/>
          <w:strike w:val="0"/>
          <w:color w:val="auto"/>
          <w:szCs w:val="21"/>
          <w:u w:val="single"/>
        </w:rPr>
        <w:t xml:space="preserve">    </w:t>
      </w:r>
      <w:r>
        <w:rPr>
          <w:rFonts w:hint="eastAsia" w:ascii="宋体" w:hAnsi="宋体"/>
          <w:strike w:val="0"/>
          <w:color w:val="auto"/>
          <w:szCs w:val="21"/>
        </w:rPr>
        <w:t>日</w:t>
      </w:r>
    </w:p>
    <w:p>
      <w:pPr>
        <w:snapToGrid w:val="0"/>
        <w:spacing w:before="50" w:after="50" w:line="350" w:lineRule="exact"/>
        <w:ind w:right="-817" w:rightChars="-389" w:firstLine="3465" w:firstLineChars="1650"/>
        <w:rPr>
          <w:rFonts w:hint="eastAsia" w:ascii="宋体" w:hAnsi="宋体"/>
          <w:strike w:val="0"/>
          <w:color w:val="FF0000"/>
          <w:szCs w:val="21"/>
        </w:rPr>
      </w:pPr>
    </w:p>
    <w:p>
      <w:pPr>
        <w:snapToGrid w:val="0"/>
        <w:spacing w:before="50" w:after="50" w:line="350" w:lineRule="exact"/>
        <w:ind w:right="-817" w:rightChars="-389" w:firstLine="3465" w:firstLineChars="1650"/>
        <w:rPr>
          <w:rFonts w:hint="eastAsia" w:ascii="宋体" w:hAnsi="宋体"/>
          <w:strike w:val="0"/>
          <w:color w:val="FF0000"/>
          <w:szCs w:val="21"/>
        </w:rPr>
      </w:pPr>
    </w:p>
    <w:p>
      <w:pPr>
        <w:snapToGrid w:val="0"/>
        <w:spacing w:before="50" w:after="50" w:line="350" w:lineRule="exact"/>
        <w:ind w:right="-817" w:rightChars="-389" w:firstLine="3465" w:firstLineChars="1650"/>
        <w:rPr>
          <w:rFonts w:hint="eastAsia" w:ascii="宋体" w:hAnsi="宋体"/>
          <w:strike w:val="0"/>
          <w:color w:val="FF0000"/>
          <w:szCs w:val="21"/>
        </w:rPr>
      </w:pPr>
    </w:p>
    <w:p>
      <w:pPr>
        <w:snapToGrid w:val="0"/>
        <w:spacing w:before="50" w:after="50" w:line="350" w:lineRule="exact"/>
        <w:ind w:right="-817" w:rightChars="-389" w:firstLine="3465" w:firstLineChars="1650"/>
        <w:rPr>
          <w:rFonts w:hint="eastAsia" w:ascii="宋体" w:hAnsi="宋体"/>
          <w:strike w:val="0"/>
          <w:color w:val="FF0000"/>
          <w:szCs w:val="21"/>
        </w:rPr>
      </w:pPr>
    </w:p>
    <w:p>
      <w:pPr>
        <w:snapToGrid w:val="0"/>
        <w:spacing w:before="50" w:after="50" w:line="350" w:lineRule="exact"/>
        <w:ind w:right="-817" w:rightChars="-389" w:firstLine="3465" w:firstLineChars="1650"/>
        <w:rPr>
          <w:rFonts w:hint="eastAsia" w:ascii="宋体" w:hAnsi="宋体"/>
          <w:strike w:val="0"/>
          <w:color w:val="auto"/>
          <w:szCs w:val="21"/>
        </w:rPr>
      </w:pPr>
    </w:p>
    <w:p>
      <w:pPr>
        <w:snapToGrid w:val="0"/>
        <w:spacing w:before="50" w:after="50" w:line="350" w:lineRule="exact"/>
        <w:ind w:right="-817" w:rightChars="-389" w:firstLine="3465" w:firstLineChars="1650"/>
        <w:rPr>
          <w:rFonts w:hint="eastAsia" w:ascii="宋体" w:hAnsi="宋体"/>
          <w:strike w:val="0"/>
          <w:color w:val="auto"/>
          <w:szCs w:val="21"/>
        </w:rPr>
      </w:pPr>
    </w:p>
    <w:p>
      <w:pPr>
        <w:snapToGrid w:val="0"/>
        <w:spacing w:before="50" w:after="50" w:line="350" w:lineRule="exact"/>
        <w:ind w:left="0" w:leftChars="0" w:right="-817" w:rightChars="-389" w:firstLine="0" w:firstLineChars="0"/>
        <w:rPr>
          <w:rFonts w:hint="eastAsia" w:ascii="宋体" w:hAnsi="宋体"/>
          <w:color w:val="auto"/>
          <w:szCs w:val="21"/>
        </w:rPr>
      </w:pPr>
    </w:p>
    <w:p>
      <w:pPr>
        <w:pStyle w:val="6"/>
        <w:rPr>
          <w:color w:val="auto"/>
          <w:highlight w:val="none"/>
        </w:rPr>
      </w:pPr>
    </w:p>
    <w:sectPr>
      <w:pgSz w:w="11906" w:h="16838"/>
      <w:pgMar w:top="936" w:right="991" w:bottom="1135" w:left="993"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E3825F4-B9D2-4B98-A2C0-1ED8E9749706}"/>
  </w:font>
  <w:font w:name="黑体">
    <w:panose1 w:val="02010609060101010101"/>
    <w:charset w:val="86"/>
    <w:family w:val="auto"/>
    <w:pitch w:val="default"/>
    <w:sig w:usb0="800002BF" w:usb1="38CF7CFA" w:usb2="00000016" w:usb3="00000000" w:csb0="00040001" w:csb1="00000000"/>
    <w:embedRegular r:id="rId2" w:fontKey="{6134867D-EE4B-4FED-BFA7-6ACD891E20D4}"/>
  </w:font>
  <w:font w:name="Courier New">
    <w:panose1 w:val="02070309020205020404"/>
    <w:charset w:val="01"/>
    <w:family w:val="modern"/>
    <w:pitch w:val="default"/>
    <w:sig w:usb0="E0002EFF" w:usb1="C0007843" w:usb2="00000009" w:usb3="00000000" w:csb0="400001FF" w:csb1="FFFF0000"/>
    <w:embedRegular r:id="rId3" w:fontKey="{E22329EE-0D2A-4BAC-A6E5-09CC3B4C92E5}"/>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4" w:fontKey="{7F0DAA5B-BE5D-4614-B13B-66401211B3C8}"/>
  </w:font>
  <w:font w:name="等线 Light">
    <w:panose1 w:val="02010600030101010101"/>
    <w:charset w:val="86"/>
    <w:family w:val="auto"/>
    <w:pitch w:val="default"/>
    <w:sig w:usb0="A00002BF" w:usb1="38CF7CFA" w:usb2="00000016" w:usb3="00000000" w:csb0="0004000F" w:csb1="00000000"/>
  </w:font>
  <w:font w:name="Arial Unicode MS">
    <w:panose1 w:val="020B0604020202020204"/>
    <w:charset w:val="86"/>
    <w:family w:val="swiss"/>
    <w:pitch w:val="default"/>
    <w:sig w:usb0="FFFFFFFF" w:usb1="E9FFFFFF" w:usb2="0000003F" w:usb3="00000000" w:csb0="603F01FF" w:csb1="FFFF0000"/>
    <w:embedRegular r:id="rId5" w:fontKey="{2BA1F5E5-A36E-48BC-8050-E4D7761391AA}"/>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2000009F" w:csb1="DFD70000"/>
  </w:font>
  <w:font w:name="仿宋">
    <w:panose1 w:val="02010609060101010101"/>
    <w:charset w:val="86"/>
    <w:family w:val="modern"/>
    <w:pitch w:val="default"/>
    <w:sig w:usb0="800002BF" w:usb1="38CF7CFA" w:usb2="00000016" w:usb3="00000000" w:csb0="00040001" w:csb1="00000000"/>
    <w:embedRegular r:id="rId6" w:fontKey="{2DB11BA9-C756-4054-A93C-CB4C00201BEE}"/>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embedRegular r:id="rId7" w:fontKey="{52538E79-641C-44DD-B6F5-8E3530C2B583}"/>
  </w:font>
  <w:font w:name="方正仿宋_GBK">
    <w:panose1 w:val="02000000000000000000"/>
    <w:charset w:val="86"/>
    <w:family w:val="auto"/>
    <w:pitch w:val="default"/>
    <w:sig w:usb0="A00002BF" w:usb1="38CF7CFA" w:usb2="00082016" w:usb3="00000000" w:csb0="00040001" w:csb1="00000000"/>
    <w:embedRegular r:id="rId8" w:fontKey="{999DA33D-614B-4A37-A73D-0C3F2F3A1A7E}"/>
  </w:font>
  <w:font w:name="方正小标宋_GBK">
    <w:panose1 w:val="02000000000000000000"/>
    <w:charset w:val="86"/>
    <w:family w:val="script"/>
    <w:pitch w:val="default"/>
    <w:sig w:usb0="A00002BF" w:usb1="38CF7CFA" w:usb2="00082016" w:usb3="00000000" w:csb0="00040001" w:csb1="00000000"/>
    <w:embedRegular r:id="rId9" w:fontKey="{B4D4F6C1-E94D-4241-A57D-779601178C22}"/>
  </w:font>
  <w:font w:name="微软雅黑">
    <w:panose1 w:val="020B0503020204020204"/>
    <w:charset w:val="86"/>
    <w:family w:val="swiss"/>
    <w:pitch w:val="default"/>
    <w:sig w:usb0="80000287" w:usb1="2ACF3C50" w:usb2="00000016" w:usb3="00000000" w:csb0="0004001F" w:csb1="00000000"/>
    <w:embedRegular r:id="rId10" w:fontKey="{2A0874F7-397A-4A67-9764-F02A3A73064B}"/>
  </w:font>
  <w:font w:name="方正黑体_GBK">
    <w:panose1 w:val="02000000000000000000"/>
    <w:charset w:val="86"/>
    <w:family w:val="auto"/>
    <w:pitch w:val="default"/>
    <w:sig w:usb0="A00002BF" w:usb1="38CF7CFA" w:usb2="00082016" w:usb3="00000000" w:csb0="00040001" w:csb1="00000000"/>
    <w:embedRegular r:id="rId11" w:fontKey="{56740078-E7DA-42B0-9C24-80A3860478B2}"/>
  </w:font>
  <w:font w:name="方正楷体_GBK">
    <w:panose1 w:val="02000000000000000000"/>
    <w:charset w:val="86"/>
    <w:family w:val="auto"/>
    <w:pitch w:val="default"/>
    <w:sig w:usb0="A00002BF" w:usb1="38CF7CFA" w:usb2="00082016" w:usb3="00000000" w:csb0="00040001" w:csb1="00000000"/>
    <w:embedRegular r:id="rId12" w:fontKey="{BB44A4EF-5735-4AD6-9D7D-D42DC704CDCC}"/>
  </w:font>
  <w:font w:name="Helvetica">
    <w:altName w:val="Arial"/>
    <w:panose1 w:val="020B0504020202030204"/>
    <w:charset w:val="00"/>
    <w:family w:val="swiss"/>
    <w:pitch w:val="default"/>
    <w:sig w:usb0="00000000" w:usb1="00000000" w:usb2="00000000" w:usb3="00000000" w:csb0="00000093" w:csb1="00000000"/>
    <w:embedRegular r:id="rId13" w:fontKey="{637D2D0F-1FB9-40C6-8971-E988FFA3E79B}"/>
  </w:font>
  <w:font w:name="华文中宋">
    <w:panose1 w:val="02010600040101010101"/>
    <w:charset w:val="86"/>
    <w:family w:val="auto"/>
    <w:pitch w:val="default"/>
    <w:sig w:usb0="00000287" w:usb1="080F0000" w:usb2="00000000" w:usb3="00000000" w:csb0="0004009F" w:csb1="DFD70000"/>
    <w:embedRegular r:id="rId14" w:fontKey="{F1C608A1-3435-49B6-93EB-9DBE17CABA4F}"/>
  </w:font>
  <w:font w:name="Adobe 仿宋 Std R">
    <w:altName w:val="仿宋"/>
    <w:panose1 w:val="00000000000000000000"/>
    <w:charset w:val="86"/>
    <w:family w:val="roman"/>
    <w:pitch w:val="default"/>
    <w:sig w:usb0="00000000" w:usb1="00000000" w:usb2="00000016" w:usb3="00000000" w:csb0="00060007" w:csb1="00000000"/>
    <w:embedRegular r:id="rId15" w:fontKey="{5AF025FF-A8D6-4C35-961A-D2697917E2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p>
  <w:p>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rPr>
        <w:lang w:val="en-US"/>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32</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esf6AgCAAASBAAADgAAAGRycy9lMm9Eb2MueG1srVPNjtMwEL4j8Q6W&#10;7zRpJVAVNV0tWxUhLT/SwgM4jtNYxB5r7DYpDwBvwIkLd56rz8HYabrLctkDF2s8P9/M93m8uhpM&#10;xw4KvQZb8vks50xZCbW2u5J//rR9seTMB2Fr0YFVJT8qz6/Wz5+teleoBbTQ1QoZgVhf9K7kbQiu&#10;yDIvW2WEn4FTloINoBGBrrjLahQ9oZsuW+T5q6wHrB2CVN6TdzMG+RkRnwIITaOl2oDcG2XDiIqq&#10;E4Eo+VY7z9dp2qZRMnxoGq8C60pOTEM6qQnZVTyz9UoUOxSu1fI8gnjKCI84GaEtNb1AbUQQbI/6&#10;HyijJYKHJswkmGwkkhQhFvP8kTZ3rXAqcSGpvbuI7v8frHx/+IhM1yV/yZkVhh789OP76efv069v&#10;bBHl6Z0vKOvOUV4YXsNAS5OoencL8otnFm5aYXfqGhH6VomaxpvHyuxB6YjjI0jVv4Oa+oh9gAQ0&#10;NGiidqQGI3R6muPladQQmIwtl4vlMqeQpNh0iT1EMZU79OGNAsOiUXKkt0/w4nDrw5g6pcRuFra6&#10;68gvis7+5SDM0aPSAp2rI5k4/8gkDNVAtdFZQX0kWgjjctHXIqMF/MpZT4tVckv/iLPurSVh4g5O&#10;Bk5GNRnCSioseeBsNG/CuKt7h3rXEu4k/TWJt9WJ1v0MZ8lpVZIw57WOu/jwnrLuv/L6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6pebnPAAAABQEAAA8AAAAAAAAAAQAgAAAAIgAAAGRycy9kb3du&#10;cmV2LnhtbFBLAQIUABQAAAAIAIdO4kBZ6x/oCAIAABIEAAAOAAAAAAAAAAEAIAAAAB4BAABkcnMv&#10;ZTJvRG9jLnhtbFBLBQYAAAAABgAGAFkBAACYBQ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32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p>
  <w:p>
    <w:pPr>
      <w:pStyle w:val="2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r>
      <w:rPr>
        <w:lang w:val="en-US"/>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sdt>
                          <w:sdtPr>
                            <w:id w:val="-1102564419"/>
                          </w:sdtPr>
                          <w:sdtContent>
                            <w:p>
                              <w:pPr>
                                <w:pStyle w:val="28"/>
                                <w:jc w:val="center"/>
                              </w:pPr>
                              <w:r>
                                <w:fldChar w:fldCharType="begin"/>
                              </w:r>
                              <w:r>
                                <w:instrText xml:space="preserve">PAGE   \* MERGEFORMAT</w:instrText>
                              </w:r>
                              <w:r>
                                <w:fldChar w:fldCharType="separate"/>
                              </w:r>
                              <w:r>
                                <w:t>45</w:t>
                              </w:r>
                              <w:r>
                                <w:fldChar w:fldCharType="end"/>
                              </w:r>
                            </w:p>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ghS4xAgAAYw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NrSjRTaPj5x/fz&#10;z9/nX9/IVZSnsX6OqAeLuNC+My2GZrj3uIys29Kp+As+BH6Ie7qIK9pAeHw0m85mY7g4fMMB+NnT&#10;c+t8eC+MItHIqUP3kqjsuPWhCx1CYjZtNrWUqYNSkwYU3l6N04OLB+BSx1iRZqGHiZS60qMV2l3b&#10;89yZ4gSaznRz4i3f1Chly3y4Zw6DgfKxOuEOn1IapDS9RUll3Nd/3cd49AteShoMWk419ooS+UGj&#10;jwAMg+EGYzcY+qBuDSZ3gpW0PJl44IIczNIZ9QX7tIo54GKaI1NOw2Dehm7YsY9crFYpCJNnWdjq&#10;B8sjdJTH29UhQM6kchSlUwLdiQfMXupTvydxuP88p6in/4blI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IUuMQIAAGMEAAAOAAAAAAAAAAEAIAAAAB8BAABkcnMvZTJvRG9jLnhtbFBLBQYA&#10;AAAABgAGAFkBAADCBQAAAAA=&#10;">
              <v:fill on="f" focussize="0,0"/>
              <v:stroke on="f" weight="0.5pt"/>
              <v:imagedata o:title=""/>
              <o:lock v:ext="edit" aspectratio="f"/>
              <v:textbox inset="0mm,0mm,0mm,0mm" style="mso-fit-shape-to-text:t;">
                <w:txbxContent>
                  <w:sdt>
                    <w:sdtPr>
                      <w:id w:val="-1102564419"/>
                    </w:sdtPr>
                    <w:sdtContent>
                      <w:p>
                        <w:pPr>
                          <w:pStyle w:val="28"/>
                          <w:jc w:val="center"/>
                        </w:pPr>
                        <w:r>
                          <w:fldChar w:fldCharType="begin"/>
                        </w:r>
                        <w:r>
                          <w:instrText xml:space="preserve">PAGE   \* MERGEFORMAT</w:instrText>
                        </w:r>
                        <w:r>
                          <w:fldChar w:fldCharType="separate"/>
                        </w:r>
                        <w:r>
                          <w:t>45</w:t>
                        </w:r>
                        <w:r>
                          <w:fldChar w:fldCharType="end"/>
                        </w:r>
                      </w:p>
                    </w:sdtContent>
                  </w:sdt>
                  <w:p/>
                </w:txbxContent>
              </v:textbox>
            </v:shape>
          </w:pict>
        </mc:Fallback>
      </mc:AlternateContent>
    </w:r>
  </w:p>
  <w:p>
    <w:pPr>
      <w:pStyle w:val="2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r>
      <w:rPr>
        <w:rFonts w:hint="eastAsia" w:ascii="宋体" w:hAnsi="宋体"/>
        <w:szCs w:val="21"/>
      </w:rPr>
      <w:t xml:space="preserve">钦州市政府采购中心   </w:t>
    </w:r>
    <w:r>
      <w:rPr>
        <w:rFonts w:hint="eastAsia" w:ascii="宋体" w:hAnsi="宋体"/>
        <w:szCs w:val="21"/>
        <w:lang w:eastAsia="zh-CN"/>
      </w:rPr>
      <w:t>钦州市电子政务外网（钦州市镇级、村级卫生室社保专线）服务采购</w:t>
    </w:r>
    <w:r>
      <w:rPr>
        <w:rFonts w:hint="eastAsia" w:ascii="宋体" w:hAnsi="宋体"/>
        <w:szCs w:val="21"/>
      </w:rPr>
      <w:t>（</w:t>
    </w:r>
    <w:r>
      <w:rPr>
        <w:rFonts w:hint="eastAsia" w:ascii="宋体" w:hAnsi="宋体"/>
        <w:bCs/>
        <w:lang w:eastAsia="zh-CN"/>
      </w:rPr>
      <w:t>QZZC2026-C3-990039-QZSZ</w:t>
    </w:r>
    <w:r>
      <w:rPr>
        <w:rFonts w:hint="eastAsia" w:ascii="宋体" w:hAnsi="宋体"/>
        <w:szCs w:val="21"/>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r>
      <w:rPr>
        <w:rFonts w:hint="eastAsia"/>
      </w:rPr>
      <w:t xml:space="preserve">钦州市政府采购中心   </w:t>
    </w:r>
    <w:r>
      <w:rPr>
        <w:rFonts w:hint="eastAsia" w:ascii="宋体" w:hAnsi="宋体"/>
        <w:szCs w:val="21"/>
        <w:lang w:eastAsia="zh-CN"/>
      </w:rPr>
      <w:t>钦州市电子政务外网（钦州市镇级、村级卫生室社保专线）服务采购</w:t>
    </w:r>
    <w:r>
      <w:rPr>
        <w:rFonts w:hint="eastAsia"/>
      </w:rPr>
      <w:t>(</w:t>
    </w:r>
    <w:r>
      <w:rPr>
        <w:rFonts w:hint="eastAsia"/>
        <w:lang w:eastAsia="zh-CN"/>
      </w:rPr>
      <w:t>QZZC2026-C3-990039-QZSZ</w:t>
    </w:r>
    <w:r>
      <w:rPr>
        <w:rFonts w:hint="eastAsia"/>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chineseCountingThousand"/>
      <w:pStyle w:val="22"/>
      <w:suff w:val="nothing"/>
      <w:lvlText w:val="第%1章"/>
      <w:lvlJc w:val="left"/>
      <w:pPr>
        <w:ind w:left="142" w:firstLine="0"/>
      </w:pPr>
      <w:rPr>
        <w:rFonts w:hint="eastAsia" w:ascii="仿宋_GB2312" w:eastAsia="仿宋_GB2312"/>
        <w:sz w:val="44"/>
      </w:rPr>
    </w:lvl>
    <w:lvl w:ilvl="1" w:tentative="0">
      <w:start w:val="1"/>
      <w:numFmt w:val="none"/>
      <w:suff w:val="nothing"/>
      <w:lvlText w:val=""/>
      <w:lvlJc w:val="left"/>
      <w:pPr>
        <w:ind w:left="142" w:firstLine="0"/>
      </w:pPr>
      <w:rPr>
        <w:rFonts w:hint="eastAsia"/>
      </w:rPr>
    </w:lvl>
    <w:lvl w:ilvl="2" w:tentative="0">
      <w:start w:val="1"/>
      <w:numFmt w:val="none"/>
      <w:suff w:val="nothing"/>
      <w:lvlText w:val=""/>
      <w:lvlJc w:val="left"/>
      <w:pPr>
        <w:ind w:left="142" w:firstLine="0"/>
      </w:pPr>
      <w:rPr>
        <w:rFonts w:hint="eastAsia"/>
      </w:rPr>
    </w:lvl>
    <w:lvl w:ilvl="3" w:tentative="0">
      <w:start w:val="1"/>
      <w:numFmt w:val="none"/>
      <w:suff w:val="nothing"/>
      <w:lvlText w:val=""/>
      <w:lvlJc w:val="left"/>
      <w:pPr>
        <w:ind w:left="142" w:firstLine="0"/>
      </w:pPr>
      <w:rPr>
        <w:rFonts w:hint="eastAsia"/>
      </w:rPr>
    </w:lvl>
    <w:lvl w:ilvl="4" w:tentative="0">
      <w:start w:val="1"/>
      <w:numFmt w:val="none"/>
      <w:pStyle w:val="7"/>
      <w:suff w:val="nothing"/>
      <w:lvlText w:val=""/>
      <w:lvlJc w:val="left"/>
      <w:pPr>
        <w:ind w:left="142" w:firstLine="0"/>
      </w:pPr>
      <w:rPr>
        <w:rFonts w:hint="eastAsia"/>
      </w:rPr>
    </w:lvl>
    <w:lvl w:ilvl="5" w:tentative="0">
      <w:start w:val="1"/>
      <w:numFmt w:val="none"/>
      <w:pStyle w:val="9"/>
      <w:suff w:val="nothing"/>
      <w:lvlText w:val=""/>
      <w:lvlJc w:val="left"/>
      <w:pPr>
        <w:ind w:left="142" w:firstLine="0"/>
      </w:pPr>
      <w:rPr>
        <w:rFonts w:hint="eastAsia"/>
      </w:rPr>
    </w:lvl>
    <w:lvl w:ilvl="6" w:tentative="0">
      <w:start w:val="1"/>
      <w:numFmt w:val="none"/>
      <w:pStyle w:val="10"/>
      <w:suff w:val="nothing"/>
      <w:lvlText w:val=""/>
      <w:lvlJc w:val="left"/>
      <w:pPr>
        <w:ind w:left="142" w:firstLine="0"/>
      </w:pPr>
      <w:rPr>
        <w:rFonts w:hint="eastAsia"/>
      </w:rPr>
    </w:lvl>
    <w:lvl w:ilvl="7" w:tentative="0">
      <w:start w:val="1"/>
      <w:numFmt w:val="none"/>
      <w:pStyle w:val="11"/>
      <w:suff w:val="nothing"/>
      <w:lvlText w:val=""/>
      <w:lvlJc w:val="left"/>
      <w:pPr>
        <w:ind w:left="142" w:firstLine="0"/>
      </w:pPr>
      <w:rPr>
        <w:rFonts w:hint="eastAsia"/>
      </w:rPr>
    </w:lvl>
    <w:lvl w:ilvl="8" w:tentative="0">
      <w:start w:val="1"/>
      <w:numFmt w:val="none"/>
      <w:pStyle w:val="12"/>
      <w:suff w:val="nothing"/>
      <w:lvlText w:val=""/>
      <w:lvlJc w:val="left"/>
      <w:pPr>
        <w:ind w:left="142"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I1Zjc1NGMwNGNiZjg0NTZkZmM5ZGVmZDM0OWNmMDMifQ=="/>
  </w:docVars>
  <w:rsids>
    <w:rsidRoot w:val="00172A27"/>
    <w:rsid w:val="0000046D"/>
    <w:rsid w:val="000009A4"/>
    <w:rsid w:val="0000182C"/>
    <w:rsid w:val="00001C30"/>
    <w:rsid w:val="00001F66"/>
    <w:rsid w:val="00002715"/>
    <w:rsid w:val="0000296D"/>
    <w:rsid w:val="00002E66"/>
    <w:rsid w:val="00003781"/>
    <w:rsid w:val="00003F3C"/>
    <w:rsid w:val="0000486E"/>
    <w:rsid w:val="00004CB0"/>
    <w:rsid w:val="00004CDE"/>
    <w:rsid w:val="00005328"/>
    <w:rsid w:val="00007E2F"/>
    <w:rsid w:val="00007E51"/>
    <w:rsid w:val="000104B5"/>
    <w:rsid w:val="00010E05"/>
    <w:rsid w:val="00012061"/>
    <w:rsid w:val="000123EC"/>
    <w:rsid w:val="000125C2"/>
    <w:rsid w:val="00013AC8"/>
    <w:rsid w:val="00013C7F"/>
    <w:rsid w:val="00014132"/>
    <w:rsid w:val="00014488"/>
    <w:rsid w:val="000149E9"/>
    <w:rsid w:val="00016092"/>
    <w:rsid w:val="00016829"/>
    <w:rsid w:val="00017A2B"/>
    <w:rsid w:val="00020517"/>
    <w:rsid w:val="000207E1"/>
    <w:rsid w:val="00020DBA"/>
    <w:rsid w:val="00021054"/>
    <w:rsid w:val="000216CC"/>
    <w:rsid w:val="00021A62"/>
    <w:rsid w:val="00022909"/>
    <w:rsid w:val="00022CE2"/>
    <w:rsid w:val="00023813"/>
    <w:rsid w:val="000244C1"/>
    <w:rsid w:val="000248E5"/>
    <w:rsid w:val="00025985"/>
    <w:rsid w:val="00025AC0"/>
    <w:rsid w:val="00027018"/>
    <w:rsid w:val="000272D2"/>
    <w:rsid w:val="0002754E"/>
    <w:rsid w:val="00027BD3"/>
    <w:rsid w:val="0003177E"/>
    <w:rsid w:val="00032229"/>
    <w:rsid w:val="00032A59"/>
    <w:rsid w:val="00032B1F"/>
    <w:rsid w:val="00032F50"/>
    <w:rsid w:val="00033214"/>
    <w:rsid w:val="000344F4"/>
    <w:rsid w:val="0003479C"/>
    <w:rsid w:val="00034B7D"/>
    <w:rsid w:val="00035002"/>
    <w:rsid w:val="0003509E"/>
    <w:rsid w:val="00036EC4"/>
    <w:rsid w:val="00037318"/>
    <w:rsid w:val="00037EEA"/>
    <w:rsid w:val="000400F8"/>
    <w:rsid w:val="0004027B"/>
    <w:rsid w:val="00040DCA"/>
    <w:rsid w:val="000417D5"/>
    <w:rsid w:val="000419B7"/>
    <w:rsid w:val="00041EAA"/>
    <w:rsid w:val="00041FD1"/>
    <w:rsid w:val="00042DEF"/>
    <w:rsid w:val="00044162"/>
    <w:rsid w:val="00044278"/>
    <w:rsid w:val="000445D1"/>
    <w:rsid w:val="000448E0"/>
    <w:rsid w:val="00045285"/>
    <w:rsid w:val="0004535A"/>
    <w:rsid w:val="00045CF3"/>
    <w:rsid w:val="00045D3B"/>
    <w:rsid w:val="00046ED2"/>
    <w:rsid w:val="00050908"/>
    <w:rsid w:val="00050B4D"/>
    <w:rsid w:val="00051B41"/>
    <w:rsid w:val="000521BA"/>
    <w:rsid w:val="00052C3B"/>
    <w:rsid w:val="00053067"/>
    <w:rsid w:val="000530C2"/>
    <w:rsid w:val="00053FFD"/>
    <w:rsid w:val="00054058"/>
    <w:rsid w:val="000548EF"/>
    <w:rsid w:val="00054C4F"/>
    <w:rsid w:val="00054D61"/>
    <w:rsid w:val="00054F2A"/>
    <w:rsid w:val="00055319"/>
    <w:rsid w:val="00055AA6"/>
    <w:rsid w:val="0005758A"/>
    <w:rsid w:val="000576C1"/>
    <w:rsid w:val="00060064"/>
    <w:rsid w:val="0006170C"/>
    <w:rsid w:val="00061972"/>
    <w:rsid w:val="000619FC"/>
    <w:rsid w:val="00061AC4"/>
    <w:rsid w:val="0006223A"/>
    <w:rsid w:val="00063151"/>
    <w:rsid w:val="00064127"/>
    <w:rsid w:val="00064B46"/>
    <w:rsid w:val="0006699C"/>
    <w:rsid w:val="000670F3"/>
    <w:rsid w:val="000675EC"/>
    <w:rsid w:val="00067C97"/>
    <w:rsid w:val="000700B4"/>
    <w:rsid w:val="000707DE"/>
    <w:rsid w:val="000709DB"/>
    <w:rsid w:val="000714E8"/>
    <w:rsid w:val="00071DBC"/>
    <w:rsid w:val="00072665"/>
    <w:rsid w:val="0007297B"/>
    <w:rsid w:val="00072ABB"/>
    <w:rsid w:val="00074159"/>
    <w:rsid w:val="000749B7"/>
    <w:rsid w:val="000753D2"/>
    <w:rsid w:val="00075494"/>
    <w:rsid w:val="0007550C"/>
    <w:rsid w:val="00075C45"/>
    <w:rsid w:val="00076CDB"/>
    <w:rsid w:val="000770DB"/>
    <w:rsid w:val="00077B75"/>
    <w:rsid w:val="00077E54"/>
    <w:rsid w:val="000813F4"/>
    <w:rsid w:val="000817C6"/>
    <w:rsid w:val="00081921"/>
    <w:rsid w:val="00081A1B"/>
    <w:rsid w:val="00082980"/>
    <w:rsid w:val="00083D28"/>
    <w:rsid w:val="00083D58"/>
    <w:rsid w:val="00084EA9"/>
    <w:rsid w:val="00084EC7"/>
    <w:rsid w:val="00085936"/>
    <w:rsid w:val="00085C49"/>
    <w:rsid w:val="00085CBC"/>
    <w:rsid w:val="00085EEB"/>
    <w:rsid w:val="000867B0"/>
    <w:rsid w:val="00086B70"/>
    <w:rsid w:val="00087668"/>
    <w:rsid w:val="000904A2"/>
    <w:rsid w:val="00090AF0"/>
    <w:rsid w:val="000910C5"/>
    <w:rsid w:val="00092839"/>
    <w:rsid w:val="00093C1A"/>
    <w:rsid w:val="00093E79"/>
    <w:rsid w:val="00093F41"/>
    <w:rsid w:val="00094441"/>
    <w:rsid w:val="00094BC6"/>
    <w:rsid w:val="000953A5"/>
    <w:rsid w:val="00096670"/>
    <w:rsid w:val="00096B4A"/>
    <w:rsid w:val="00096DE8"/>
    <w:rsid w:val="00097C9E"/>
    <w:rsid w:val="000A0911"/>
    <w:rsid w:val="000A124F"/>
    <w:rsid w:val="000A139A"/>
    <w:rsid w:val="000A2431"/>
    <w:rsid w:val="000A2A30"/>
    <w:rsid w:val="000A358F"/>
    <w:rsid w:val="000A38A0"/>
    <w:rsid w:val="000A3C64"/>
    <w:rsid w:val="000A4362"/>
    <w:rsid w:val="000A5274"/>
    <w:rsid w:val="000A61B8"/>
    <w:rsid w:val="000A62BD"/>
    <w:rsid w:val="000A6603"/>
    <w:rsid w:val="000A679A"/>
    <w:rsid w:val="000A6A7F"/>
    <w:rsid w:val="000A6F98"/>
    <w:rsid w:val="000A70C5"/>
    <w:rsid w:val="000A74E0"/>
    <w:rsid w:val="000A74F6"/>
    <w:rsid w:val="000A7B98"/>
    <w:rsid w:val="000B1427"/>
    <w:rsid w:val="000B1905"/>
    <w:rsid w:val="000B1CCA"/>
    <w:rsid w:val="000B200B"/>
    <w:rsid w:val="000B3976"/>
    <w:rsid w:val="000B3C2D"/>
    <w:rsid w:val="000B470D"/>
    <w:rsid w:val="000B4EE6"/>
    <w:rsid w:val="000B5395"/>
    <w:rsid w:val="000B62CB"/>
    <w:rsid w:val="000B6350"/>
    <w:rsid w:val="000B678F"/>
    <w:rsid w:val="000B6FEF"/>
    <w:rsid w:val="000B7F9A"/>
    <w:rsid w:val="000C0328"/>
    <w:rsid w:val="000C03D4"/>
    <w:rsid w:val="000C0D86"/>
    <w:rsid w:val="000C1621"/>
    <w:rsid w:val="000C1CD7"/>
    <w:rsid w:val="000C2778"/>
    <w:rsid w:val="000C2784"/>
    <w:rsid w:val="000C32AE"/>
    <w:rsid w:val="000C3380"/>
    <w:rsid w:val="000C4807"/>
    <w:rsid w:val="000C4C6A"/>
    <w:rsid w:val="000C5751"/>
    <w:rsid w:val="000C57F9"/>
    <w:rsid w:val="000C598C"/>
    <w:rsid w:val="000C618E"/>
    <w:rsid w:val="000C6342"/>
    <w:rsid w:val="000C6CE1"/>
    <w:rsid w:val="000C7B9D"/>
    <w:rsid w:val="000D02E9"/>
    <w:rsid w:val="000D1274"/>
    <w:rsid w:val="000D1597"/>
    <w:rsid w:val="000D16A7"/>
    <w:rsid w:val="000D1C6A"/>
    <w:rsid w:val="000D1F8D"/>
    <w:rsid w:val="000D22BD"/>
    <w:rsid w:val="000D26E7"/>
    <w:rsid w:val="000D53F2"/>
    <w:rsid w:val="000D5748"/>
    <w:rsid w:val="000D5C8A"/>
    <w:rsid w:val="000D6072"/>
    <w:rsid w:val="000D6C9D"/>
    <w:rsid w:val="000D78E6"/>
    <w:rsid w:val="000E0487"/>
    <w:rsid w:val="000E088E"/>
    <w:rsid w:val="000E232F"/>
    <w:rsid w:val="000E285B"/>
    <w:rsid w:val="000E2DB0"/>
    <w:rsid w:val="000E348C"/>
    <w:rsid w:val="000E4D22"/>
    <w:rsid w:val="000E545D"/>
    <w:rsid w:val="000F0150"/>
    <w:rsid w:val="000F03FE"/>
    <w:rsid w:val="000F152C"/>
    <w:rsid w:val="000F17C9"/>
    <w:rsid w:val="000F3668"/>
    <w:rsid w:val="000F383E"/>
    <w:rsid w:val="000F38CF"/>
    <w:rsid w:val="000F3F16"/>
    <w:rsid w:val="000F449F"/>
    <w:rsid w:val="000F48C9"/>
    <w:rsid w:val="000F6024"/>
    <w:rsid w:val="00100B14"/>
    <w:rsid w:val="00100EB7"/>
    <w:rsid w:val="0010174C"/>
    <w:rsid w:val="0010201F"/>
    <w:rsid w:val="0010254F"/>
    <w:rsid w:val="00102B73"/>
    <w:rsid w:val="00102C51"/>
    <w:rsid w:val="00103216"/>
    <w:rsid w:val="0010330D"/>
    <w:rsid w:val="001039BF"/>
    <w:rsid w:val="00103CB4"/>
    <w:rsid w:val="00103D6B"/>
    <w:rsid w:val="00107F42"/>
    <w:rsid w:val="00110401"/>
    <w:rsid w:val="00110E22"/>
    <w:rsid w:val="001110F1"/>
    <w:rsid w:val="0011195C"/>
    <w:rsid w:val="00112E30"/>
    <w:rsid w:val="001138CB"/>
    <w:rsid w:val="00115CAC"/>
    <w:rsid w:val="001160DE"/>
    <w:rsid w:val="00116718"/>
    <w:rsid w:val="00116FC8"/>
    <w:rsid w:val="00117835"/>
    <w:rsid w:val="0012024C"/>
    <w:rsid w:val="00120493"/>
    <w:rsid w:val="00120DFA"/>
    <w:rsid w:val="00121726"/>
    <w:rsid w:val="001218FE"/>
    <w:rsid w:val="00121CC1"/>
    <w:rsid w:val="001221BE"/>
    <w:rsid w:val="00123679"/>
    <w:rsid w:val="001236BF"/>
    <w:rsid w:val="001236EB"/>
    <w:rsid w:val="00123ACC"/>
    <w:rsid w:val="00124792"/>
    <w:rsid w:val="00124CEA"/>
    <w:rsid w:val="00124CF0"/>
    <w:rsid w:val="00125726"/>
    <w:rsid w:val="001258B7"/>
    <w:rsid w:val="001267FF"/>
    <w:rsid w:val="00127F9D"/>
    <w:rsid w:val="0013084E"/>
    <w:rsid w:val="001315D8"/>
    <w:rsid w:val="00131845"/>
    <w:rsid w:val="00132B8C"/>
    <w:rsid w:val="0013360D"/>
    <w:rsid w:val="001339B4"/>
    <w:rsid w:val="00133E41"/>
    <w:rsid w:val="00133E7C"/>
    <w:rsid w:val="00134D7F"/>
    <w:rsid w:val="00134F05"/>
    <w:rsid w:val="00134F65"/>
    <w:rsid w:val="0013526C"/>
    <w:rsid w:val="001356B6"/>
    <w:rsid w:val="0013661A"/>
    <w:rsid w:val="00136E07"/>
    <w:rsid w:val="00136F43"/>
    <w:rsid w:val="001372D1"/>
    <w:rsid w:val="001374A2"/>
    <w:rsid w:val="00141121"/>
    <w:rsid w:val="001429D7"/>
    <w:rsid w:val="00143437"/>
    <w:rsid w:val="00143891"/>
    <w:rsid w:val="00145073"/>
    <w:rsid w:val="0014515E"/>
    <w:rsid w:val="0014559E"/>
    <w:rsid w:val="00145749"/>
    <w:rsid w:val="00145EF0"/>
    <w:rsid w:val="001462D6"/>
    <w:rsid w:val="001464A7"/>
    <w:rsid w:val="00147344"/>
    <w:rsid w:val="001477F2"/>
    <w:rsid w:val="0015059D"/>
    <w:rsid w:val="00151322"/>
    <w:rsid w:val="00151A22"/>
    <w:rsid w:val="00152576"/>
    <w:rsid w:val="00152C66"/>
    <w:rsid w:val="00153A5A"/>
    <w:rsid w:val="00153EDA"/>
    <w:rsid w:val="001547CA"/>
    <w:rsid w:val="00154C02"/>
    <w:rsid w:val="00154C69"/>
    <w:rsid w:val="0015529D"/>
    <w:rsid w:val="00156328"/>
    <w:rsid w:val="00156678"/>
    <w:rsid w:val="00156E9D"/>
    <w:rsid w:val="001573B4"/>
    <w:rsid w:val="00157B9D"/>
    <w:rsid w:val="00157E30"/>
    <w:rsid w:val="001600BF"/>
    <w:rsid w:val="001601A2"/>
    <w:rsid w:val="00160295"/>
    <w:rsid w:val="001607B6"/>
    <w:rsid w:val="001625C2"/>
    <w:rsid w:val="00162969"/>
    <w:rsid w:val="00162E86"/>
    <w:rsid w:val="00163D73"/>
    <w:rsid w:val="00163D88"/>
    <w:rsid w:val="00164096"/>
    <w:rsid w:val="0016529E"/>
    <w:rsid w:val="00165B1C"/>
    <w:rsid w:val="00166036"/>
    <w:rsid w:val="001662BD"/>
    <w:rsid w:val="001675A5"/>
    <w:rsid w:val="00170111"/>
    <w:rsid w:val="00170697"/>
    <w:rsid w:val="00171C1A"/>
    <w:rsid w:val="00172708"/>
    <w:rsid w:val="001727B0"/>
    <w:rsid w:val="00172A27"/>
    <w:rsid w:val="00172E97"/>
    <w:rsid w:val="00173260"/>
    <w:rsid w:val="00173C43"/>
    <w:rsid w:val="00174BEA"/>
    <w:rsid w:val="0017537B"/>
    <w:rsid w:val="001759CF"/>
    <w:rsid w:val="00175B5D"/>
    <w:rsid w:val="00176197"/>
    <w:rsid w:val="00176986"/>
    <w:rsid w:val="00176B7D"/>
    <w:rsid w:val="00177FB1"/>
    <w:rsid w:val="001809EC"/>
    <w:rsid w:val="00180D02"/>
    <w:rsid w:val="00181809"/>
    <w:rsid w:val="00182FF5"/>
    <w:rsid w:val="0018316B"/>
    <w:rsid w:val="001837AA"/>
    <w:rsid w:val="00183BC0"/>
    <w:rsid w:val="0018456A"/>
    <w:rsid w:val="00184681"/>
    <w:rsid w:val="001847DB"/>
    <w:rsid w:val="00185C46"/>
    <w:rsid w:val="00185D1E"/>
    <w:rsid w:val="00185D2D"/>
    <w:rsid w:val="00185EF5"/>
    <w:rsid w:val="00185F81"/>
    <w:rsid w:val="001863BC"/>
    <w:rsid w:val="0018652D"/>
    <w:rsid w:val="00186AA0"/>
    <w:rsid w:val="00187828"/>
    <w:rsid w:val="00187EAA"/>
    <w:rsid w:val="001908C1"/>
    <w:rsid w:val="00190B5F"/>
    <w:rsid w:val="001912D2"/>
    <w:rsid w:val="00191575"/>
    <w:rsid w:val="00191DE6"/>
    <w:rsid w:val="00191FD8"/>
    <w:rsid w:val="0019224F"/>
    <w:rsid w:val="0019227A"/>
    <w:rsid w:val="001923BA"/>
    <w:rsid w:val="0019338C"/>
    <w:rsid w:val="00194C01"/>
    <w:rsid w:val="00196AD9"/>
    <w:rsid w:val="00197F91"/>
    <w:rsid w:val="001A0381"/>
    <w:rsid w:val="001A04B7"/>
    <w:rsid w:val="001A10F0"/>
    <w:rsid w:val="001A24D5"/>
    <w:rsid w:val="001A2637"/>
    <w:rsid w:val="001A270B"/>
    <w:rsid w:val="001A2CE9"/>
    <w:rsid w:val="001A37A7"/>
    <w:rsid w:val="001A397E"/>
    <w:rsid w:val="001A3D56"/>
    <w:rsid w:val="001A3E22"/>
    <w:rsid w:val="001A4A03"/>
    <w:rsid w:val="001A4DEE"/>
    <w:rsid w:val="001A51A4"/>
    <w:rsid w:val="001A52EC"/>
    <w:rsid w:val="001A592E"/>
    <w:rsid w:val="001A5B3D"/>
    <w:rsid w:val="001A608D"/>
    <w:rsid w:val="001A64AB"/>
    <w:rsid w:val="001A69D0"/>
    <w:rsid w:val="001A7510"/>
    <w:rsid w:val="001A79FC"/>
    <w:rsid w:val="001B0FFF"/>
    <w:rsid w:val="001B1422"/>
    <w:rsid w:val="001B1780"/>
    <w:rsid w:val="001B2789"/>
    <w:rsid w:val="001B3396"/>
    <w:rsid w:val="001B45AC"/>
    <w:rsid w:val="001B4641"/>
    <w:rsid w:val="001B49B9"/>
    <w:rsid w:val="001B4AC9"/>
    <w:rsid w:val="001B53CE"/>
    <w:rsid w:val="001B5555"/>
    <w:rsid w:val="001B5A4E"/>
    <w:rsid w:val="001B621A"/>
    <w:rsid w:val="001B639B"/>
    <w:rsid w:val="001B66C9"/>
    <w:rsid w:val="001B7226"/>
    <w:rsid w:val="001B79CA"/>
    <w:rsid w:val="001C006C"/>
    <w:rsid w:val="001C046C"/>
    <w:rsid w:val="001C0792"/>
    <w:rsid w:val="001C111E"/>
    <w:rsid w:val="001C1954"/>
    <w:rsid w:val="001C1CB6"/>
    <w:rsid w:val="001C2637"/>
    <w:rsid w:val="001C2856"/>
    <w:rsid w:val="001C36F2"/>
    <w:rsid w:val="001C37B8"/>
    <w:rsid w:val="001C3997"/>
    <w:rsid w:val="001C4006"/>
    <w:rsid w:val="001C4264"/>
    <w:rsid w:val="001C5049"/>
    <w:rsid w:val="001C5A88"/>
    <w:rsid w:val="001C5F33"/>
    <w:rsid w:val="001D131F"/>
    <w:rsid w:val="001D145B"/>
    <w:rsid w:val="001D1E0C"/>
    <w:rsid w:val="001D2BC7"/>
    <w:rsid w:val="001D32DF"/>
    <w:rsid w:val="001D3347"/>
    <w:rsid w:val="001D342C"/>
    <w:rsid w:val="001D3D7A"/>
    <w:rsid w:val="001D3D91"/>
    <w:rsid w:val="001D3FE6"/>
    <w:rsid w:val="001D426E"/>
    <w:rsid w:val="001D47A2"/>
    <w:rsid w:val="001D4CB2"/>
    <w:rsid w:val="001D5364"/>
    <w:rsid w:val="001D542E"/>
    <w:rsid w:val="001D5AB1"/>
    <w:rsid w:val="001D6B41"/>
    <w:rsid w:val="001D6B43"/>
    <w:rsid w:val="001D6C9C"/>
    <w:rsid w:val="001D7C0A"/>
    <w:rsid w:val="001E135A"/>
    <w:rsid w:val="001E1B96"/>
    <w:rsid w:val="001E3151"/>
    <w:rsid w:val="001E33E7"/>
    <w:rsid w:val="001E3A70"/>
    <w:rsid w:val="001E4160"/>
    <w:rsid w:val="001E4638"/>
    <w:rsid w:val="001E4649"/>
    <w:rsid w:val="001E4806"/>
    <w:rsid w:val="001E4F61"/>
    <w:rsid w:val="001E5228"/>
    <w:rsid w:val="001E56BE"/>
    <w:rsid w:val="001E5D7F"/>
    <w:rsid w:val="001E606C"/>
    <w:rsid w:val="001E6E0F"/>
    <w:rsid w:val="001E7383"/>
    <w:rsid w:val="001E7A45"/>
    <w:rsid w:val="001F0090"/>
    <w:rsid w:val="001F01FC"/>
    <w:rsid w:val="001F145B"/>
    <w:rsid w:val="001F1B44"/>
    <w:rsid w:val="001F220E"/>
    <w:rsid w:val="001F299F"/>
    <w:rsid w:val="001F409D"/>
    <w:rsid w:val="001F4364"/>
    <w:rsid w:val="001F4B03"/>
    <w:rsid w:val="001F53DC"/>
    <w:rsid w:val="001F612B"/>
    <w:rsid w:val="001F69C1"/>
    <w:rsid w:val="001F7194"/>
    <w:rsid w:val="001F78C9"/>
    <w:rsid w:val="00200210"/>
    <w:rsid w:val="002005D7"/>
    <w:rsid w:val="00200C07"/>
    <w:rsid w:val="00201D62"/>
    <w:rsid w:val="002030D5"/>
    <w:rsid w:val="00203236"/>
    <w:rsid w:val="00203374"/>
    <w:rsid w:val="002047A7"/>
    <w:rsid w:val="00204832"/>
    <w:rsid w:val="00205192"/>
    <w:rsid w:val="002069C4"/>
    <w:rsid w:val="00207574"/>
    <w:rsid w:val="00207788"/>
    <w:rsid w:val="00207BB0"/>
    <w:rsid w:val="00210236"/>
    <w:rsid w:val="00210822"/>
    <w:rsid w:val="00210837"/>
    <w:rsid w:val="00210920"/>
    <w:rsid w:val="00210B9B"/>
    <w:rsid w:val="002119E2"/>
    <w:rsid w:val="00213134"/>
    <w:rsid w:val="00213C7B"/>
    <w:rsid w:val="00213CE3"/>
    <w:rsid w:val="00214AE1"/>
    <w:rsid w:val="00215B9B"/>
    <w:rsid w:val="00215DE3"/>
    <w:rsid w:val="0021617D"/>
    <w:rsid w:val="00216288"/>
    <w:rsid w:val="002168F3"/>
    <w:rsid w:val="00216ACD"/>
    <w:rsid w:val="00217785"/>
    <w:rsid w:val="00217AA5"/>
    <w:rsid w:val="00220B21"/>
    <w:rsid w:val="00220BFA"/>
    <w:rsid w:val="00220CA4"/>
    <w:rsid w:val="00221ADA"/>
    <w:rsid w:val="00221C35"/>
    <w:rsid w:val="00221E2F"/>
    <w:rsid w:val="00223AA0"/>
    <w:rsid w:val="00223AE2"/>
    <w:rsid w:val="00223DA7"/>
    <w:rsid w:val="002255D4"/>
    <w:rsid w:val="00225CAB"/>
    <w:rsid w:val="002262D7"/>
    <w:rsid w:val="002263C7"/>
    <w:rsid w:val="0022681A"/>
    <w:rsid w:val="00226A6D"/>
    <w:rsid w:val="00226C7E"/>
    <w:rsid w:val="00226F54"/>
    <w:rsid w:val="00230B9C"/>
    <w:rsid w:val="0023120C"/>
    <w:rsid w:val="002313E0"/>
    <w:rsid w:val="002313FE"/>
    <w:rsid w:val="002314F8"/>
    <w:rsid w:val="002323C0"/>
    <w:rsid w:val="00232AAB"/>
    <w:rsid w:val="00232BF8"/>
    <w:rsid w:val="0023312F"/>
    <w:rsid w:val="00233272"/>
    <w:rsid w:val="002332E7"/>
    <w:rsid w:val="00235CBD"/>
    <w:rsid w:val="00235F11"/>
    <w:rsid w:val="00235F5D"/>
    <w:rsid w:val="00236110"/>
    <w:rsid w:val="00236A1E"/>
    <w:rsid w:val="0023765F"/>
    <w:rsid w:val="00240C76"/>
    <w:rsid w:val="002420BD"/>
    <w:rsid w:val="002428DE"/>
    <w:rsid w:val="00244795"/>
    <w:rsid w:val="00244A39"/>
    <w:rsid w:val="00244F4D"/>
    <w:rsid w:val="00245C72"/>
    <w:rsid w:val="002460FA"/>
    <w:rsid w:val="00246576"/>
    <w:rsid w:val="00247748"/>
    <w:rsid w:val="00247F10"/>
    <w:rsid w:val="00247FE9"/>
    <w:rsid w:val="00250620"/>
    <w:rsid w:val="002518C7"/>
    <w:rsid w:val="00251E58"/>
    <w:rsid w:val="00253905"/>
    <w:rsid w:val="00253AB5"/>
    <w:rsid w:val="00253B1F"/>
    <w:rsid w:val="00253BF2"/>
    <w:rsid w:val="00254615"/>
    <w:rsid w:val="00254CE6"/>
    <w:rsid w:val="00254EAD"/>
    <w:rsid w:val="002554CD"/>
    <w:rsid w:val="00255AD8"/>
    <w:rsid w:val="00256102"/>
    <w:rsid w:val="00256160"/>
    <w:rsid w:val="00256BBA"/>
    <w:rsid w:val="00257F6D"/>
    <w:rsid w:val="00260023"/>
    <w:rsid w:val="0026021A"/>
    <w:rsid w:val="00260547"/>
    <w:rsid w:val="00260C1C"/>
    <w:rsid w:val="002617CC"/>
    <w:rsid w:val="0026186B"/>
    <w:rsid w:val="00261A0E"/>
    <w:rsid w:val="002625CB"/>
    <w:rsid w:val="00263DEF"/>
    <w:rsid w:val="00263F53"/>
    <w:rsid w:val="00264009"/>
    <w:rsid w:val="00264B45"/>
    <w:rsid w:val="002652AD"/>
    <w:rsid w:val="00266004"/>
    <w:rsid w:val="00267D9A"/>
    <w:rsid w:val="00270584"/>
    <w:rsid w:val="00270EA2"/>
    <w:rsid w:val="00271121"/>
    <w:rsid w:val="00272DFC"/>
    <w:rsid w:val="00275E57"/>
    <w:rsid w:val="0027616F"/>
    <w:rsid w:val="00276544"/>
    <w:rsid w:val="002767BF"/>
    <w:rsid w:val="00276976"/>
    <w:rsid w:val="00280525"/>
    <w:rsid w:val="00280656"/>
    <w:rsid w:val="00280870"/>
    <w:rsid w:val="002833C1"/>
    <w:rsid w:val="00284030"/>
    <w:rsid w:val="002846C4"/>
    <w:rsid w:val="00284927"/>
    <w:rsid w:val="00284BF6"/>
    <w:rsid w:val="00284C89"/>
    <w:rsid w:val="0028576F"/>
    <w:rsid w:val="00286B67"/>
    <w:rsid w:val="00287246"/>
    <w:rsid w:val="002906BB"/>
    <w:rsid w:val="00290940"/>
    <w:rsid w:val="00290E68"/>
    <w:rsid w:val="002910C9"/>
    <w:rsid w:val="00291975"/>
    <w:rsid w:val="00291DAD"/>
    <w:rsid w:val="00292529"/>
    <w:rsid w:val="00293C98"/>
    <w:rsid w:val="00293EC9"/>
    <w:rsid w:val="00294080"/>
    <w:rsid w:val="00294418"/>
    <w:rsid w:val="00294552"/>
    <w:rsid w:val="00294950"/>
    <w:rsid w:val="00295227"/>
    <w:rsid w:val="00295F39"/>
    <w:rsid w:val="00295F45"/>
    <w:rsid w:val="00296775"/>
    <w:rsid w:val="00296DDD"/>
    <w:rsid w:val="00297942"/>
    <w:rsid w:val="00297DE3"/>
    <w:rsid w:val="002A0ED2"/>
    <w:rsid w:val="002A135C"/>
    <w:rsid w:val="002A181B"/>
    <w:rsid w:val="002A1BC6"/>
    <w:rsid w:val="002A267D"/>
    <w:rsid w:val="002A270F"/>
    <w:rsid w:val="002A2B15"/>
    <w:rsid w:val="002A2B1E"/>
    <w:rsid w:val="002A323D"/>
    <w:rsid w:val="002A40F2"/>
    <w:rsid w:val="002A4A6F"/>
    <w:rsid w:val="002A5325"/>
    <w:rsid w:val="002A724F"/>
    <w:rsid w:val="002A737C"/>
    <w:rsid w:val="002A7B53"/>
    <w:rsid w:val="002B05B1"/>
    <w:rsid w:val="002B0C56"/>
    <w:rsid w:val="002B128E"/>
    <w:rsid w:val="002B1B6D"/>
    <w:rsid w:val="002B213F"/>
    <w:rsid w:val="002B278C"/>
    <w:rsid w:val="002B2D48"/>
    <w:rsid w:val="002B4C67"/>
    <w:rsid w:val="002B4F5A"/>
    <w:rsid w:val="002B5256"/>
    <w:rsid w:val="002B56E3"/>
    <w:rsid w:val="002B5792"/>
    <w:rsid w:val="002B6DF3"/>
    <w:rsid w:val="002B7809"/>
    <w:rsid w:val="002C0FD0"/>
    <w:rsid w:val="002C2AE1"/>
    <w:rsid w:val="002C35C5"/>
    <w:rsid w:val="002C37C7"/>
    <w:rsid w:val="002C3950"/>
    <w:rsid w:val="002C3E69"/>
    <w:rsid w:val="002C4303"/>
    <w:rsid w:val="002C4472"/>
    <w:rsid w:val="002C4D1D"/>
    <w:rsid w:val="002C5B91"/>
    <w:rsid w:val="002C6C98"/>
    <w:rsid w:val="002C6F15"/>
    <w:rsid w:val="002D00D0"/>
    <w:rsid w:val="002D00D7"/>
    <w:rsid w:val="002D04B3"/>
    <w:rsid w:val="002D0A76"/>
    <w:rsid w:val="002D12D5"/>
    <w:rsid w:val="002D19C8"/>
    <w:rsid w:val="002D25AB"/>
    <w:rsid w:val="002D2CFB"/>
    <w:rsid w:val="002D3C69"/>
    <w:rsid w:val="002D4074"/>
    <w:rsid w:val="002D4855"/>
    <w:rsid w:val="002D4F1C"/>
    <w:rsid w:val="002D5561"/>
    <w:rsid w:val="002D5749"/>
    <w:rsid w:val="002D681C"/>
    <w:rsid w:val="002D750B"/>
    <w:rsid w:val="002D7B35"/>
    <w:rsid w:val="002D7B63"/>
    <w:rsid w:val="002E0070"/>
    <w:rsid w:val="002E08D4"/>
    <w:rsid w:val="002E0964"/>
    <w:rsid w:val="002E0DD0"/>
    <w:rsid w:val="002E0E77"/>
    <w:rsid w:val="002E1625"/>
    <w:rsid w:val="002E30CD"/>
    <w:rsid w:val="002E334E"/>
    <w:rsid w:val="002E33C3"/>
    <w:rsid w:val="002E3AE8"/>
    <w:rsid w:val="002E3FFE"/>
    <w:rsid w:val="002E4E50"/>
    <w:rsid w:val="002E53D0"/>
    <w:rsid w:val="002E5625"/>
    <w:rsid w:val="002E5931"/>
    <w:rsid w:val="002E5C58"/>
    <w:rsid w:val="002E6A86"/>
    <w:rsid w:val="002E6E46"/>
    <w:rsid w:val="002E7D58"/>
    <w:rsid w:val="002F00FE"/>
    <w:rsid w:val="002F0609"/>
    <w:rsid w:val="002F1457"/>
    <w:rsid w:val="002F1614"/>
    <w:rsid w:val="002F17EB"/>
    <w:rsid w:val="002F1947"/>
    <w:rsid w:val="002F1B84"/>
    <w:rsid w:val="002F1D85"/>
    <w:rsid w:val="002F25D7"/>
    <w:rsid w:val="002F284C"/>
    <w:rsid w:val="002F2B81"/>
    <w:rsid w:val="002F3352"/>
    <w:rsid w:val="002F36AE"/>
    <w:rsid w:val="002F4DAB"/>
    <w:rsid w:val="002F5103"/>
    <w:rsid w:val="002F5779"/>
    <w:rsid w:val="002F5C8F"/>
    <w:rsid w:val="002F703B"/>
    <w:rsid w:val="0030040F"/>
    <w:rsid w:val="00301558"/>
    <w:rsid w:val="003023C6"/>
    <w:rsid w:val="00302CF7"/>
    <w:rsid w:val="00302D27"/>
    <w:rsid w:val="00302E1C"/>
    <w:rsid w:val="00303D3C"/>
    <w:rsid w:val="0030429A"/>
    <w:rsid w:val="003052AB"/>
    <w:rsid w:val="00305F0B"/>
    <w:rsid w:val="003060C4"/>
    <w:rsid w:val="0030668D"/>
    <w:rsid w:val="003069D9"/>
    <w:rsid w:val="00307BA1"/>
    <w:rsid w:val="003100DF"/>
    <w:rsid w:val="00311611"/>
    <w:rsid w:val="00311B0A"/>
    <w:rsid w:val="003137D4"/>
    <w:rsid w:val="00314227"/>
    <w:rsid w:val="00314DBA"/>
    <w:rsid w:val="00314EFA"/>
    <w:rsid w:val="00315AB3"/>
    <w:rsid w:val="0031608D"/>
    <w:rsid w:val="003164A3"/>
    <w:rsid w:val="00317A63"/>
    <w:rsid w:val="00317BA9"/>
    <w:rsid w:val="003200AE"/>
    <w:rsid w:val="0032034B"/>
    <w:rsid w:val="00320397"/>
    <w:rsid w:val="00320BF6"/>
    <w:rsid w:val="00320EFA"/>
    <w:rsid w:val="00321E23"/>
    <w:rsid w:val="0032215C"/>
    <w:rsid w:val="00322259"/>
    <w:rsid w:val="00322312"/>
    <w:rsid w:val="003255F1"/>
    <w:rsid w:val="00325789"/>
    <w:rsid w:val="00325A5A"/>
    <w:rsid w:val="00325A89"/>
    <w:rsid w:val="00325AFE"/>
    <w:rsid w:val="00326A2E"/>
    <w:rsid w:val="003272E3"/>
    <w:rsid w:val="00327843"/>
    <w:rsid w:val="00327CF0"/>
    <w:rsid w:val="00330325"/>
    <w:rsid w:val="00331922"/>
    <w:rsid w:val="00331AFB"/>
    <w:rsid w:val="0033295D"/>
    <w:rsid w:val="00332B79"/>
    <w:rsid w:val="00333953"/>
    <w:rsid w:val="00333CAB"/>
    <w:rsid w:val="00333D3B"/>
    <w:rsid w:val="00334C5E"/>
    <w:rsid w:val="00336AC2"/>
    <w:rsid w:val="00336FD3"/>
    <w:rsid w:val="00337B76"/>
    <w:rsid w:val="00337BB7"/>
    <w:rsid w:val="00337C26"/>
    <w:rsid w:val="00341DE7"/>
    <w:rsid w:val="003430E1"/>
    <w:rsid w:val="00345199"/>
    <w:rsid w:val="003451FE"/>
    <w:rsid w:val="003462BA"/>
    <w:rsid w:val="00346B52"/>
    <w:rsid w:val="00346C19"/>
    <w:rsid w:val="00346E53"/>
    <w:rsid w:val="003471EA"/>
    <w:rsid w:val="0034781A"/>
    <w:rsid w:val="00350096"/>
    <w:rsid w:val="00350421"/>
    <w:rsid w:val="0035042D"/>
    <w:rsid w:val="00350759"/>
    <w:rsid w:val="0035088B"/>
    <w:rsid w:val="00350FBD"/>
    <w:rsid w:val="003510DF"/>
    <w:rsid w:val="003511E3"/>
    <w:rsid w:val="0035181E"/>
    <w:rsid w:val="00352162"/>
    <w:rsid w:val="0035252E"/>
    <w:rsid w:val="0035327E"/>
    <w:rsid w:val="00353C02"/>
    <w:rsid w:val="00353F48"/>
    <w:rsid w:val="0035422F"/>
    <w:rsid w:val="00354301"/>
    <w:rsid w:val="003544A3"/>
    <w:rsid w:val="00354632"/>
    <w:rsid w:val="00354AC8"/>
    <w:rsid w:val="0035571F"/>
    <w:rsid w:val="00355FB1"/>
    <w:rsid w:val="003560A3"/>
    <w:rsid w:val="00356A1A"/>
    <w:rsid w:val="00357768"/>
    <w:rsid w:val="003579C1"/>
    <w:rsid w:val="00357A6C"/>
    <w:rsid w:val="00360B24"/>
    <w:rsid w:val="00360B88"/>
    <w:rsid w:val="00361478"/>
    <w:rsid w:val="00361769"/>
    <w:rsid w:val="003621B0"/>
    <w:rsid w:val="00363105"/>
    <w:rsid w:val="00363317"/>
    <w:rsid w:val="00363BEF"/>
    <w:rsid w:val="00365288"/>
    <w:rsid w:val="00366C33"/>
    <w:rsid w:val="0036705C"/>
    <w:rsid w:val="003673C9"/>
    <w:rsid w:val="00370782"/>
    <w:rsid w:val="003735E7"/>
    <w:rsid w:val="003737B0"/>
    <w:rsid w:val="003743F8"/>
    <w:rsid w:val="00374B13"/>
    <w:rsid w:val="00374FC1"/>
    <w:rsid w:val="003756A2"/>
    <w:rsid w:val="0037677A"/>
    <w:rsid w:val="00376DED"/>
    <w:rsid w:val="003774A0"/>
    <w:rsid w:val="0037767D"/>
    <w:rsid w:val="003810DB"/>
    <w:rsid w:val="00381624"/>
    <w:rsid w:val="003816C1"/>
    <w:rsid w:val="00381985"/>
    <w:rsid w:val="00381D4C"/>
    <w:rsid w:val="00382571"/>
    <w:rsid w:val="0038489B"/>
    <w:rsid w:val="003849B0"/>
    <w:rsid w:val="003857D9"/>
    <w:rsid w:val="003862DF"/>
    <w:rsid w:val="003863BE"/>
    <w:rsid w:val="00386566"/>
    <w:rsid w:val="00386647"/>
    <w:rsid w:val="00386A94"/>
    <w:rsid w:val="00387330"/>
    <w:rsid w:val="003876FF"/>
    <w:rsid w:val="00392FC0"/>
    <w:rsid w:val="003942E8"/>
    <w:rsid w:val="00394ECF"/>
    <w:rsid w:val="003955B2"/>
    <w:rsid w:val="00395890"/>
    <w:rsid w:val="003959A5"/>
    <w:rsid w:val="00395F26"/>
    <w:rsid w:val="00395FAA"/>
    <w:rsid w:val="00397827"/>
    <w:rsid w:val="003A063A"/>
    <w:rsid w:val="003A0B73"/>
    <w:rsid w:val="003A104E"/>
    <w:rsid w:val="003A13C4"/>
    <w:rsid w:val="003A2DD9"/>
    <w:rsid w:val="003A32F3"/>
    <w:rsid w:val="003A3817"/>
    <w:rsid w:val="003A384F"/>
    <w:rsid w:val="003A3985"/>
    <w:rsid w:val="003A50D9"/>
    <w:rsid w:val="003A543D"/>
    <w:rsid w:val="003A62CE"/>
    <w:rsid w:val="003A7AC8"/>
    <w:rsid w:val="003A7CFF"/>
    <w:rsid w:val="003B01F4"/>
    <w:rsid w:val="003B06DA"/>
    <w:rsid w:val="003B16AA"/>
    <w:rsid w:val="003B17F0"/>
    <w:rsid w:val="003B188F"/>
    <w:rsid w:val="003B1BEC"/>
    <w:rsid w:val="003B1D0C"/>
    <w:rsid w:val="003B2BA8"/>
    <w:rsid w:val="003B2DEE"/>
    <w:rsid w:val="003B3AF7"/>
    <w:rsid w:val="003B4180"/>
    <w:rsid w:val="003B4356"/>
    <w:rsid w:val="003B449D"/>
    <w:rsid w:val="003B453B"/>
    <w:rsid w:val="003B481F"/>
    <w:rsid w:val="003B536B"/>
    <w:rsid w:val="003B71F0"/>
    <w:rsid w:val="003B7A06"/>
    <w:rsid w:val="003B7BF7"/>
    <w:rsid w:val="003C15D0"/>
    <w:rsid w:val="003C2435"/>
    <w:rsid w:val="003C2CE0"/>
    <w:rsid w:val="003C2F76"/>
    <w:rsid w:val="003C4C71"/>
    <w:rsid w:val="003C4DC7"/>
    <w:rsid w:val="003C5558"/>
    <w:rsid w:val="003C738A"/>
    <w:rsid w:val="003D06B5"/>
    <w:rsid w:val="003D1898"/>
    <w:rsid w:val="003D1F0B"/>
    <w:rsid w:val="003D22D7"/>
    <w:rsid w:val="003D3096"/>
    <w:rsid w:val="003D3994"/>
    <w:rsid w:val="003D3D95"/>
    <w:rsid w:val="003D3EC0"/>
    <w:rsid w:val="003D519A"/>
    <w:rsid w:val="003D73AB"/>
    <w:rsid w:val="003D7CDF"/>
    <w:rsid w:val="003D7CEB"/>
    <w:rsid w:val="003E00AC"/>
    <w:rsid w:val="003E095B"/>
    <w:rsid w:val="003E0FA5"/>
    <w:rsid w:val="003E1840"/>
    <w:rsid w:val="003E1962"/>
    <w:rsid w:val="003E1E97"/>
    <w:rsid w:val="003E2F30"/>
    <w:rsid w:val="003E30A3"/>
    <w:rsid w:val="003E39C3"/>
    <w:rsid w:val="003E3D24"/>
    <w:rsid w:val="003E414B"/>
    <w:rsid w:val="003E431F"/>
    <w:rsid w:val="003E5349"/>
    <w:rsid w:val="003E5810"/>
    <w:rsid w:val="003E5A25"/>
    <w:rsid w:val="003E5D32"/>
    <w:rsid w:val="003E607E"/>
    <w:rsid w:val="003E691B"/>
    <w:rsid w:val="003E6E97"/>
    <w:rsid w:val="003E778E"/>
    <w:rsid w:val="003E78F0"/>
    <w:rsid w:val="003E79D7"/>
    <w:rsid w:val="003E7F3F"/>
    <w:rsid w:val="003F0FAD"/>
    <w:rsid w:val="003F0FC1"/>
    <w:rsid w:val="003F1894"/>
    <w:rsid w:val="003F1C77"/>
    <w:rsid w:val="003F3898"/>
    <w:rsid w:val="003F3A1B"/>
    <w:rsid w:val="003F3D0B"/>
    <w:rsid w:val="003F3E3F"/>
    <w:rsid w:val="003F42B8"/>
    <w:rsid w:val="003F4E50"/>
    <w:rsid w:val="003F4EDF"/>
    <w:rsid w:val="003F572D"/>
    <w:rsid w:val="003F5758"/>
    <w:rsid w:val="003F5D0D"/>
    <w:rsid w:val="003F6A41"/>
    <w:rsid w:val="003F6B54"/>
    <w:rsid w:val="003F6CAD"/>
    <w:rsid w:val="003F7235"/>
    <w:rsid w:val="004003FD"/>
    <w:rsid w:val="00402496"/>
    <w:rsid w:val="00402A13"/>
    <w:rsid w:val="0040368D"/>
    <w:rsid w:val="00403A8C"/>
    <w:rsid w:val="0040409E"/>
    <w:rsid w:val="004049EE"/>
    <w:rsid w:val="00404D01"/>
    <w:rsid w:val="00404D50"/>
    <w:rsid w:val="00404ECC"/>
    <w:rsid w:val="004051A6"/>
    <w:rsid w:val="0040652E"/>
    <w:rsid w:val="004071FD"/>
    <w:rsid w:val="0040738B"/>
    <w:rsid w:val="0041009D"/>
    <w:rsid w:val="004112F1"/>
    <w:rsid w:val="00411E8B"/>
    <w:rsid w:val="004122FB"/>
    <w:rsid w:val="0041282D"/>
    <w:rsid w:val="00412F73"/>
    <w:rsid w:val="00413F7A"/>
    <w:rsid w:val="004143DC"/>
    <w:rsid w:val="004147E2"/>
    <w:rsid w:val="00414CF4"/>
    <w:rsid w:val="00416802"/>
    <w:rsid w:val="00416812"/>
    <w:rsid w:val="00416BBD"/>
    <w:rsid w:val="00416D0A"/>
    <w:rsid w:val="00417112"/>
    <w:rsid w:val="00417637"/>
    <w:rsid w:val="00420B78"/>
    <w:rsid w:val="00420E3D"/>
    <w:rsid w:val="0042141A"/>
    <w:rsid w:val="00421E05"/>
    <w:rsid w:val="00422223"/>
    <w:rsid w:val="00422AB4"/>
    <w:rsid w:val="00422E58"/>
    <w:rsid w:val="0042311F"/>
    <w:rsid w:val="004234EC"/>
    <w:rsid w:val="004235E3"/>
    <w:rsid w:val="00423606"/>
    <w:rsid w:val="00424647"/>
    <w:rsid w:val="00424703"/>
    <w:rsid w:val="00424934"/>
    <w:rsid w:val="00425C37"/>
    <w:rsid w:val="0042603F"/>
    <w:rsid w:val="004261BD"/>
    <w:rsid w:val="004274AD"/>
    <w:rsid w:val="00427703"/>
    <w:rsid w:val="00430C76"/>
    <w:rsid w:val="00430F20"/>
    <w:rsid w:val="00431332"/>
    <w:rsid w:val="00431CF2"/>
    <w:rsid w:val="00431D90"/>
    <w:rsid w:val="00431E46"/>
    <w:rsid w:val="004329FE"/>
    <w:rsid w:val="00432A04"/>
    <w:rsid w:val="0043402A"/>
    <w:rsid w:val="00434769"/>
    <w:rsid w:val="0043518D"/>
    <w:rsid w:val="004351DE"/>
    <w:rsid w:val="00436611"/>
    <w:rsid w:val="00437A2F"/>
    <w:rsid w:val="00437D58"/>
    <w:rsid w:val="00440164"/>
    <w:rsid w:val="004405EC"/>
    <w:rsid w:val="00440E18"/>
    <w:rsid w:val="004426B7"/>
    <w:rsid w:val="00442FF5"/>
    <w:rsid w:val="00443834"/>
    <w:rsid w:val="00444140"/>
    <w:rsid w:val="00444ACC"/>
    <w:rsid w:val="00444B3E"/>
    <w:rsid w:val="00445234"/>
    <w:rsid w:val="00446DAE"/>
    <w:rsid w:val="00446E47"/>
    <w:rsid w:val="004476FB"/>
    <w:rsid w:val="00447854"/>
    <w:rsid w:val="00447B58"/>
    <w:rsid w:val="00450013"/>
    <w:rsid w:val="00450709"/>
    <w:rsid w:val="004508C5"/>
    <w:rsid w:val="00450A8E"/>
    <w:rsid w:val="00450C55"/>
    <w:rsid w:val="004514E0"/>
    <w:rsid w:val="004516ED"/>
    <w:rsid w:val="0045259B"/>
    <w:rsid w:val="004531AD"/>
    <w:rsid w:val="004532BB"/>
    <w:rsid w:val="004534D6"/>
    <w:rsid w:val="00453696"/>
    <w:rsid w:val="0045377E"/>
    <w:rsid w:val="00453CE9"/>
    <w:rsid w:val="004540DE"/>
    <w:rsid w:val="00454961"/>
    <w:rsid w:val="004551EE"/>
    <w:rsid w:val="00455682"/>
    <w:rsid w:val="00455922"/>
    <w:rsid w:val="00456610"/>
    <w:rsid w:val="00456BE9"/>
    <w:rsid w:val="00460061"/>
    <w:rsid w:val="004603B8"/>
    <w:rsid w:val="004610FB"/>
    <w:rsid w:val="00461667"/>
    <w:rsid w:val="00461CAB"/>
    <w:rsid w:val="00463040"/>
    <w:rsid w:val="00463156"/>
    <w:rsid w:val="00463317"/>
    <w:rsid w:val="00463E66"/>
    <w:rsid w:val="00463FE3"/>
    <w:rsid w:val="0046562A"/>
    <w:rsid w:val="00465DDA"/>
    <w:rsid w:val="00465E8B"/>
    <w:rsid w:val="0046640E"/>
    <w:rsid w:val="004665CA"/>
    <w:rsid w:val="00467256"/>
    <w:rsid w:val="00467674"/>
    <w:rsid w:val="00467A24"/>
    <w:rsid w:val="00470652"/>
    <w:rsid w:val="00470A24"/>
    <w:rsid w:val="0047201A"/>
    <w:rsid w:val="004729B4"/>
    <w:rsid w:val="0047427E"/>
    <w:rsid w:val="004742C1"/>
    <w:rsid w:val="00475FDF"/>
    <w:rsid w:val="00477289"/>
    <w:rsid w:val="00477456"/>
    <w:rsid w:val="00477793"/>
    <w:rsid w:val="00477A00"/>
    <w:rsid w:val="00480059"/>
    <w:rsid w:val="00480DC1"/>
    <w:rsid w:val="00480DE2"/>
    <w:rsid w:val="00481480"/>
    <w:rsid w:val="00481D6F"/>
    <w:rsid w:val="00482162"/>
    <w:rsid w:val="0048291E"/>
    <w:rsid w:val="00482A59"/>
    <w:rsid w:val="00483652"/>
    <w:rsid w:val="00483666"/>
    <w:rsid w:val="004843A9"/>
    <w:rsid w:val="0048472A"/>
    <w:rsid w:val="00484B49"/>
    <w:rsid w:val="00484D59"/>
    <w:rsid w:val="00485526"/>
    <w:rsid w:val="00485B21"/>
    <w:rsid w:val="00485F07"/>
    <w:rsid w:val="00486428"/>
    <w:rsid w:val="00486503"/>
    <w:rsid w:val="004866D8"/>
    <w:rsid w:val="00486987"/>
    <w:rsid w:val="00487537"/>
    <w:rsid w:val="00491CDE"/>
    <w:rsid w:val="00491EB1"/>
    <w:rsid w:val="00492566"/>
    <w:rsid w:val="00492C10"/>
    <w:rsid w:val="00492E53"/>
    <w:rsid w:val="004931AE"/>
    <w:rsid w:val="004933FA"/>
    <w:rsid w:val="004935EE"/>
    <w:rsid w:val="00493F1E"/>
    <w:rsid w:val="00493F29"/>
    <w:rsid w:val="00494354"/>
    <w:rsid w:val="00494902"/>
    <w:rsid w:val="00494E82"/>
    <w:rsid w:val="00495886"/>
    <w:rsid w:val="004958A6"/>
    <w:rsid w:val="00496444"/>
    <w:rsid w:val="0049662F"/>
    <w:rsid w:val="00496E76"/>
    <w:rsid w:val="00497018"/>
    <w:rsid w:val="00497A39"/>
    <w:rsid w:val="004A0666"/>
    <w:rsid w:val="004A19F6"/>
    <w:rsid w:val="004A1CF8"/>
    <w:rsid w:val="004A1F56"/>
    <w:rsid w:val="004A259D"/>
    <w:rsid w:val="004A2E1F"/>
    <w:rsid w:val="004A3892"/>
    <w:rsid w:val="004A487F"/>
    <w:rsid w:val="004A4B9D"/>
    <w:rsid w:val="004A4CA4"/>
    <w:rsid w:val="004A54AA"/>
    <w:rsid w:val="004A6F45"/>
    <w:rsid w:val="004A7062"/>
    <w:rsid w:val="004A78CA"/>
    <w:rsid w:val="004B02A4"/>
    <w:rsid w:val="004B0356"/>
    <w:rsid w:val="004B06C5"/>
    <w:rsid w:val="004B0916"/>
    <w:rsid w:val="004B1C66"/>
    <w:rsid w:val="004B1FAC"/>
    <w:rsid w:val="004B2291"/>
    <w:rsid w:val="004B2624"/>
    <w:rsid w:val="004B2A6A"/>
    <w:rsid w:val="004B2E7D"/>
    <w:rsid w:val="004B317D"/>
    <w:rsid w:val="004B40A3"/>
    <w:rsid w:val="004B4463"/>
    <w:rsid w:val="004B4B08"/>
    <w:rsid w:val="004B53FF"/>
    <w:rsid w:val="004B6418"/>
    <w:rsid w:val="004B666A"/>
    <w:rsid w:val="004B6989"/>
    <w:rsid w:val="004B763D"/>
    <w:rsid w:val="004C0192"/>
    <w:rsid w:val="004C04BD"/>
    <w:rsid w:val="004C0E2B"/>
    <w:rsid w:val="004C1270"/>
    <w:rsid w:val="004C1B57"/>
    <w:rsid w:val="004C1E9C"/>
    <w:rsid w:val="004C36A9"/>
    <w:rsid w:val="004C497E"/>
    <w:rsid w:val="004C4AD3"/>
    <w:rsid w:val="004C53C4"/>
    <w:rsid w:val="004C5844"/>
    <w:rsid w:val="004C6AD2"/>
    <w:rsid w:val="004C7513"/>
    <w:rsid w:val="004C782F"/>
    <w:rsid w:val="004D00C0"/>
    <w:rsid w:val="004D01EE"/>
    <w:rsid w:val="004D0448"/>
    <w:rsid w:val="004D0BA0"/>
    <w:rsid w:val="004D0BD0"/>
    <w:rsid w:val="004D1D79"/>
    <w:rsid w:val="004D23F0"/>
    <w:rsid w:val="004D34C3"/>
    <w:rsid w:val="004D45C4"/>
    <w:rsid w:val="004D4841"/>
    <w:rsid w:val="004D487B"/>
    <w:rsid w:val="004D4D09"/>
    <w:rsid w:val="004D5792"/>
    <w:rsid w:val="004D6A43"/>
    <w:rsid w:val="004D7C59"/>
    <w:rsid w:val="004E0137"/>
    <w:rsid w:val="004E02E5"/>
    <w:rsid w:val="004E15D4"/>
    <w:rsid w:val="004E16F7"/>
    <w:rsid w:val="004E2127"/>
    <w:rsid w:val="004E296C"/>
    <w:rsid w:val="004E2AE2"/>
    <w:rsid w:val="004E33F3"/>
    <w:rsid w:val="004E3597"/>
    <w:rsid w:val="004E3A28"/>
    <w:rsid w:val="004E3C34"/>
    <w:rsid w:val="004E3CE1"/>
    <w:rsid w:val="004E3FF1"/>
    <w:rsid w:val="004E41E2"/>
    <w:rsid w:val="004E55B7"/>
    <w:rsid w:val="004E56D9"/>
    <w:rsid w:val="004E5DCB"/>
    <w:rsid w:val="004E637C"/>
    <w:rsid w:val="004E662F"/>
    <w:rsid w:val="004E725F"/>
    <w:rsid w:val="004E75BB"/>
    <w:rsid w:val="004E790B"/>
    <w:rsid w:val="004E798E"/>
    <w:rsid w:val="004E7D1F"/>
    <w:rsid w:val="004F0307"/>
    <w:rsid w:val="004F057A"/>
    <w:rsid w:val="004F0C75"/>
    <w:rsid w:val="004F1517"/>
    <w:rsid w:val="004F1523"/>
    <w:rsid w:val="004F1EF0"/>
    <w:rsid w:val="004F2892"/>
    <w:rsid w:val="004F29DC"/>
    <w:rsid w:val="004F362E"/>
    <w:rsid w:val="004F3ECB"/>
    <w:rsid w:val="004F45A5"/>
    <w:rsid w:val="004F49AE"/>
    <w:rsid w:val="004F4D44"/>
    <w:rsid w:val="004F6534"/>
    <w:rsid w:val="004F6880"/>
    <w:rsid w:val="004F6EB3"/>
    <w:rsid w:val="004F6FCA"/>
    <w:rsid w:val="004F7453"/>
    <w:rsid w:val="004F78BC"/>
    <w:rsid w:val="005005A1"/>
    <w:rsid w:val="00501299"/>
    <w:rsid w:val="0050150A"/>
    <w:rsid w:val="005017CC"/>
    <w:rsid w:val="00501BFD"/>
    <w:rsid w:val="005027F1"/>
    <w:rsid w:val="00502B48"/>
    <w:rsid w:val="00503DD2"/>
    <w:rsid w:val="005048DA"/>
    <w:rsid w:val="00504C15"/>
    <w:rsid w:val="00505537"/>
    <w:rsid w:val="00506C1E"/>
    <w:rsid w:val="00506CCD"/>
    <w:rsid w:val="0050717B"/>
    <w:rsid w:val="00507647"/>
    <w:rsid w:val="0051007E"/>
    <w:rsid w:val="00510BB6"/>
    <w:rsid w:val="00511327"/>
    <w:rsid w:val="00511D79"/>
    <w:rsid w:val="00512B4C"/>
    <w:rsid w:val="0051432D"/>
    <w:rsid w:val="005154AD"/>
    <w:rsid w:val="00515628"/>
    <w:rsid w:val="00515BE6"/>
    <w:rsid w:val="005160F6"/>
    <w:rsid w:val="00516D87"/>
    <w:rsid w:val="005173B6"/>
    <w:rsid w:val="00520280"/>
    <w:rsid w:val="00520497"/>
    <w:rsid w:val="00520520"/>
    <w:rsid w:val="00520CEA"/>
    <w:rsid w:val="005213D0"/>
    <w:rsid w:val="00521423"/>
    <w:rsid w:val="005229B8"/>
    <w:rsid w:val="00523135"/>
    <w:rsid w:val="0052318E"/>
    <w:rsid w:val="00523C54"/>
    <w:rsid w:val="00524020"/>
    <w:rsid w:val="0052466B"/>
    <w:rsid w:val="005248DE"/>
    <w:rsid w:val="00525D3A"/>
    <w:rsid w:val="005262E7"/>
    <w:rsid w:val="00526A26"/>
    <w:rsid w:val="0053207B"/>
    <w:rsid w:val="00532381"/>
    <w:rsid w:val="005323FA"/>
    <w:rsid w:val="0053380D"/>
    <w:rsid w:val="00533837"/>
    <w:rsid w:val="005342AD"/>
    <w:rsid w:val="00534688"/>
    <w:rsid w:val="00534A8F"/>
    <w:rsid w:val="00535A75"/>
    <w:rsid w:val="0053617F"/>
    <w:rsid w:val="0053654A"/>
    <w:rsid w:val="00536689"/>
    <w:rsid w:val="00536855"/>
    <w:rsid w:val="00536872"/>
    <w:rsid w:val="00536D50"/>
    <w:rsid w:val="00536D89"/>
    <w:rsid w:val="00536F4A"/>
    <w:rsid w:val="00537C9C"/>
    <w:rsid w:val="0054163B"/>
    <w:rsid w:val="00541E60"/>
    <w:rsid w:val="00542B31"/>
    <w:rsid w:val="00545239"/>
    <w:rsid w:val="005454E5"/>
    <w:rsid w:val="00547244"/>
    <w:rsid w:val="0055098D"/>
    <w:rsid w:val="00550B24"/>
    <w:rsid w:val="00550FD2"/>
    <w:rsid w:val="005513B4"/>
    <w:rsid w:val="00552031"/>
    <w:rsid w:val="005528E7"/>
    <w:rsid w:val="00553018"/>
    <w:rsid w:val="0055382B"/>
    <w:rsid w:val="0055412E"/>
    <w:rsid w:val="0055419D"/>
    <w:rsid w:val="00554866"/>
    <w:rsid w:val="0055491D"/>
    <w:rsid w:val="00554B9E"/>
    <w:rsid w:val="0055583F"/>
    <w:rsid w:val="00555B53"/>
    <w:rsid w:val="00557ED9"/>
    <w:rsid w:val="005601C1"/>
    <w:rsid w:val="005603EF"/>
    <w:rsid w:val="00560A56"/>
    <w:rsid w:val="00560B40"/>
    <w:rsid w:val="00560CD8"/>
    <w:rsid w:val="005611CE"/>
    <w:rsid w:val="00561575"/>
    <w:rsid w:val="0056201F"/>
    <w:rsid w:val="005627B1"/>
    <w:rsid w:val="005631C0"/>
    <w:rsid w:val="0056408D"/>
    <w:rsid w:val="005651D0"/>
    <w:rsid w:val="00565220"/>
    <w:rsid w:val="00565370"/>
    <w:rsid w:val="00565470"/>
    <w:rsid w:val="0056586E"/>
    <w:rsid w:val="005658E3"/>
    <w:rsid w:val="00566941"/>
    <w:rsid w:val="00566DB4"/>
    <w:rsid w:val="005670F9"/>
    <w:rsid w:val="005672F2"/>
    <w:rsid w:val="005678DE"/>
    <w:rsid w:val="0056793E"/>
    <w:rsid w:val="00567C83"/>
    <w:rsid w:val="005700B8"/>
    <w:rsid w:val="0057024B"/>
    <w:rsid w:val="00570292"/>
    <w:rsid w:val="0057092B"/>
    <w:rsid w:val="0057110F"/>
    <w:rsid w:val="00571B2A"/>
    <w:rsid w:val="00571FC5"/>
    <w:rsid w:val="00572145"/>
    <w:rsid w:val="00572CE9"/>
    <w:rsid w:val="00573A2D"/>
    <w:rsid w:val="00573D47"/>
    <w:rsid w:val="005749DA"/>
    <w:rsid w:val="0057769E"/>
    <w:rsid w:val="005805B7"/>
    <w:rsid w:val="00580751"/>
    <w:rsid w:val="005812C5"/>
    <w:rsid w:val="00581990"/>
    <w:rsid w:val="0058223C"/>
    <w:rsid w:val="0058260F"/>
    <w:rsid w:val="00583EF1"/>
    <w:rsid w:val="005865CB"/>
    <w:rsid w:val="00586784"/>
    <w:rsid w:val="00586C4A"/>
    <w:rsid w:val="005871CB"/>
    <w:rsid w:val="00587424"/>
    <w:rsid w:val="005878DB"/>
    <w:rsid w:val="00587E29"/>
    <w:rsid w:val="00590967"/>
    <w:rsid w:val="005927A5"/>
    <w:rsid w:val="005936F6"/>
    <w:rsid w:val="00593785"/>
    <w:rsid w:val="005938A2"/>
    <w:rsid w:val="005940FD"/>
    <w:rsid w:val="00595AA4"/>
    <w:rsid w:val="00595B4C"/>
    <w:rsid w:val="0059666A"/>
    <w:rsid w:val="00596851"/>
    <w:rsid w:val="00597444"/>
    <w:rsid w:val="005A00B5"/>
    <w:rsid w:val="005A08EF"/>
    <w:rsid w:val="005A0AC7"/>
    <w:rsid w:val="005A0E6F"/>
    <w:rsid w:val="005A1051"/>
    <w:rsid w:val="005A16C7"/>
    <w:rsid w:val="005A299D"/>
    <w:rsid w:val="005A3906"/>
    <w:rsid w:val="005A3AC4"/>
    <w:rsid w:val="005A4B7F"/>
    <w:rsid w:val="005A5AC3"/>
    <w:rsid w:val="005A5B4C"/>
    <w:rsid w:val="005A5BE3"/>
    <w:rsid w:val="005A691E"/>
    <w:rsid w:val="005A6A43"/>
    <w:rsid w:val="005A6F87"/>
    <w:rsid w:val="005A70AD"/>
    <w:rsid w:val="005A797A"/>
    <w:rsid w:val="005B0BD6"/>
    <w:rsid w:val="005B13FA"/>
    <w:rsid w:val="005B197A"/>
    <w:rsid w:val="005B201E"/>
    <w:rsid w:val="005B23DC"/>
    <w:rsid w:val="005B2ADA"/>
    <w:rsid w:val="005B321C"/>
    <w:rsid w:val="005B35AB"/>
    <w:rsid w:val="005B37F7"/>
    <w:rsid w:val="005B4362"/>
    <w:rsid w:val="005B535B"/>
    <w:rsid w:val="005B59CB"/>
    <w:rsid w:val="005B5DAB"/>
    <w:rsid w:val="005B6794"/>
    <w:rsid w:val="005B6827"/>
    <w:rsid w:val="005B775D"/>
    <w:rsid w:val="005B790D"/>
    <w:rsid w:val="005C0C8C"/>
    <w:rsid w:val="005C1213"/>
    <w:rsid w:val="005C1661"/>
    <w:rsid w:val="005C17AA"/>
    <w:rsid w:val="005C27A6"/>
    <w:rsid w:val="005C3507"/>
    <w:rsid w:val="005C373C"/>
    <w:rsid w:val="005C3DFA"/>
    <w:rsid w:val="005C4574"/>
    <w:rsid w:val="005C4AFE"/>
    <w:rsid w:val="005C5AC6"/>
    <w:rsid w:val="005C5F92"/>
    <w:rsid w:val="005C684D"/>
    <w:rsid w:val="005C6997"/>
    <w:rsid w:val="005C7210"/>
    <w:rsid w:val="005C784C"/>
    <w:rsid w:val="005C79C9"/>
    <w:rsid w:val="005C7AFE"/>
    <w:rsid w:val="005D02BA"/>
    <w:rsid w:val="005D0A54"/>
    <w:rsid w:val="005D0B56"/>
    <w:rsid w:val="005D10E6"/>
    <w:rsid w:val="005D1294"/>
    <w:rsid w:val="005D25F9"/>
    <w:rsid w:val="005D3885"/>
    <w:rsid w:val="005D3F38"/>
    <w:rsid w:val="005D500D"/>
    <w:rsid w:val="005D51FF"/>
    <w:rsid w:val="005D55D6"/>
    <w:rsid w:val="005D5CE7"/>
    <w:rsid w:val="005D6D4B"/>
    <w:rsid w:val="005D70FE"/>
    <w:rsid w:val="005E11B5"/>
    <w:rsid w:val="005E2AFF"/>
    <w:rsid w:val="005E2E57"/>
    <w:rsid w:val="005E3430"/>
    <w:rsid w:val="005E396E"/>
    <w:rsid w:val="005E477F"/>
    <w:rsid w:val="005E4D25"/>
    <w:rsid w:val="005E4DCC"/>
    <w:rsid w:val="005E5151"/>
    <w:rsid w:val="005E5BA1"/>
    <w:rsid w:val="005E5F08"/>
    <w:rsid w:val="005E658F"/>
    <w:rsid w:val="005E73BB"/>
    <w:rsid w:val="005E7885"/>
    <w:rsid w:val="005F0613"/>
    <w:rsid w:val="005F0850"/>
    <w:rsid w:val="005F0F9C"/>
    <w:rsid w:val="005F101C"/>
    <w:rsid w:val="005F12E1"/>
    <w:rsid w:val="005F1F1F"/>
    <w:rsid w:val="005F1F64"/>
    <w:rsid w:val="005F21AB"/>
    <w:rsid w:val="005F29AA"/>
    <w:rsid w:val="005F2E3B"/>
    <w:rsid w:val="005F38B1"/>
    <w:rsid w:val="005F3B90"/>
    <w:rsid w:val="005F3BC1"/>
    <w:rsid w:val="005F4276"/>
    <w:rsid w:val="005F4746"/>
    <w:rsid w:val="005F4C6B"/>
    <w:rsid w:val="005F4CCA"/>
    <w:rsid w:val="005F50F3"/>
    <w:rsid w:val="005F55C1"/>
    <w:rsid w:val="005F5C1E"/>
    <w:rsid w:val="005F5EAC"/>
    <w:rsid w:val="005F5FB6"/>
    <w:rsid w:val="005F61AE"/>
    <w:rsid w:val="005F6F92"/>
    <w:rsid w:val="005F7C3B"/>
    <w:rsid w:val="005F7E8D"/>
    <w:rsid w:val="00600398"/>
    <w:rsid w:val="00600DCD"/>
    <w:rsid w:val="0060129B"/>
    <w:rsid w:val="006017EB"/>
    <w:rsid w:val="006020AC"/>
    <w:rsid w:val="006026C2"/>
    <w:rsid w:val="00602E24"/>
    <w:rsid w:val="00602E6A"/>
    <w:rsid w:val="006046C8"/>
    <w:rsid w:val="00604E35"/>
    <w:rsid w:val="0060528E"/>
    <w:rsid w:val="006072E7"/>
    <w:rsid w:val="0061131E"/>
    <w:rsid w:val="00611B2A"/>
    <w:rsid w:val="006122AE"/>
    <w:rsid w:val="006130AE"/>
    <w:rsid w:val="00613CB7"/>
    <w:rsid w:val="00613E1F"/>
    <w:rsid w:val="0061448D"/>
    <w:rsid w:val="00614C4F"/>
    <w:rsid w:val="00614DC7"/>
    <w:rsid w:val="00615AA2"/>
    <w:rsid w:val="00616395"/>
    <w:rsid w:val="0062044E"/>
    <w:rsid w:val="00620606"/>
    <w:rsid w:val="00620639"/>
    <w:rsid w:val="00620EE7"/>
    <w:rsid w:val="00621018"/>
    <w:rsid w:val="0062169F"/>
    <w:rsid w:val="00621D10"/>
    <w:rsid w:val="00623A30"/>
    <w:rsid w:val="00623DA7"/>
    <w:rsid w:val="006248E6"/>
    <w:rsid w:val="00624EC6"/>
    <w:rsid w:val="0062534F"/>
    <w:rsid w:val="0062625A"/>
    <w:rsid w:val="00626E73"/>
    <w:rsid w:val="006270FF"/>
    <w:rsid w:val="006279E4"/>
    <w:rsid w:val="00627E13"/>
    <w:rsid w:val="00630222"/>
    <w:rsid w:val="00630459"/>
    <w:rsid w:val="00630F6F"/>
    <w:rsid w:val="00631505"/>
    <w:rsid w:val="00632245"/>
    <w:rsid w:val="0063225C"/>
    <w:rsid w:val="00632301"/>
    <w:rsid w:val="006327BB"/>
    <w:rsid w:val="006335EF"/>
    <w:rsid w:val="006348C2"/>
    <w:rsid w:val="00634A4C"/>
    <w:rsid w:val="00634DE6"/>
    <w:rsid w:val="006372BF"/>
    <w:rsid w:val="00637322"/>
    <w:rsid w:val="00637434"/>
    <w:rsid w:val="0063785D"/>
    <w:rsid w:val="0064076F"/>
    <w:rsid w:val="00640A1C"/>
    <w:rsid w:val="00640CA8"/>
    <w:rsid w:val="006418E5"/>
    <w:rsid w:val="006421EA"/>
    <w:rsid w:val="00642772"/>
    <w:rsid w:val="00642ED3"/>
    <w:rsid w:val="006439AE"/>
    <w:rsid w:val="00643A62"/>
    <w:rsid w:val="006446BC"/>
    <w:rsid w:val="0064578A"/>
    <w:rsid w:val="00645953"/>
    <w:rsid w:val="00646614"/>
    <w:rsid w:val="00646BC6"/>
    <w:rsid w:val="00646D03"/>
    <w:rsid w:val="00651109"/>
    <w:rsid w:val="006517A0"/>
    <w:rsid w:val="00651A1C"/>
    <w:rsid w:val="0065304D"/>
    <w:rsid w:val="00653283"/>
    <w:rsid w:val="006536AF"/>
    <w:rsid w:val="00654230"/>
    <w:rsid w:val="00655371"/>
    <w:rsid w:val="00655DFD"/>
    <w:rsid w:val="006562D8"/>
    <w:rsid w:val="006568A3"/>
    <w:rsid w:val="00656B88"/>
    <w:rsid w:val="00657332"/>
    <w:rsid w:val="00657A01"/>
    <w:rsid w:val="00657C33"/>
    <w:rsid w:val="006605F9"/>
    <w:rsid w:val="00660999"/>
    <w:rsid w:val="00661E42"/>
    <w:rsid w:val="006620E0"/>
    <w:rsid w:val="00664805"/>
    <w:rsid w:val="00664B10"/>
    <w:rsid w:val="00664E88"/>
    <w:rsid w:val="006650D3"/>
    <w:rsid w:val="006653B3"/>
    <w:rsid w:val="006654A9"/>
    <w:rsid w:val="00665A41"/>
    <w:rsid w:val="006667E1"/>
    <w:rsid w:val="00670317"/>
    <w:rsid w:val="006707F6"/>
    <w:rsid w:val="0067093E"/>
    <w:rsid w:val="006713AB"/>
    <w:rsid w:val="00671976"/>
    <w:rsid w:val="00672890"/>
    <w:rsid w:val="00672B19"/>
    <w:rsid w:val="00672BFE"/>
    <w:rsid w:val="0067455D"/>
    <w:rsid w:val="0067474A"/>
    <w:rsid w:val="00674A59"/>
    <w:rsid w:val="00675260"/>
    <w:rsid w:val="006761E3"/>
    <w:rsid w:val="0067646D"/>
    <w:rsid w:val="0067650E"/>
    <w:rsid w:val="00676E14"/>
    <w:rsid w:val="00676F2E"/>
    <w:rsid w:val="00677896"/>
    <w:rsid w:val="00677AAE"/>
    <w:rsid w:val="00677ABE"/>
    <w:rsid w:val="00677DB8"/>
    <w:rsid w:val="00680FCC"/>
    <w:rsid w:val="006811FF"/>
    <w:rsid w:val="00681B16"/>
    <w:rsid w:val="00682287"/>
    <w:rsid w:val="006822B5"/>
    <w:rsid w:val="0068317C"/>
    <w:rsid w:val="006832D6"/>
    <w:rsid w:val="00683CE9"/>
    <w:rsid w:val="006845A4"/>
    <w:rsid w:val="00684DB1"/>
    <w:rsid w:val="006872CF"/>
    <w:rsid w:val="0069127B"/>
    <w:rsid w:val="006914EA"/>
    <w:rsid w:val="00691B91"/>
    <w:rsid w:val="006928AC"/>
    <w:rsid w:val="00692BB2"/>
    <w:rsid w:val="00692BFF"/>
    <w:rsid w:val="00693091"/>
    <w:rsid w:val="006948AC"/>
    <w:rsid w:val="00694D39"/>
    <w:rsid w:val="006953CA"/>
    <w:rsid w:val="006954EC"/>
    <w:rsid w:val="006955A9"/>
    <w:rsid w:val="006959D6"/>
    <w:rsid w:val="00695EC8"/>
    <w:rsid w:val="00696909"/>
    <w:rsid w:val="00697114"/>
    <w:rsid w:val="00697BC6"/>
    <w:rsid w:val="006A1B84"/>
    <w:rsid w:val="006A1FEF"/>
    <w:rsid w:val="006A27C2"/>
    <w:rsid w:val="006A2EBD"/>
    <w:rsid w:val="006A3009"/>
    <w:rsid w:val="006A3E7B"/>
    <w:rsid w:val="006A4D9B"/>
    <w:rsid w:val="006A5155"/>
    <w:rsid w:val="006A54E2"/>
    <w:rsid w:val="006A6950"/>
    <w:rsid w:val="006A7210"/>
    <w:rsid w:val="006A757D"/>
    <w:rsid w:val="006A7B32"/>
    <w:rsid w:val="006B002A"/>
    <w:rsid w:val="006B130C"/>
    <w:rsid w:val="006B308F"/>
    <w:rsid w:val="006B32C8"/>
    <w:rsid w:val="006B3A46"/>
    <w:rsid w:val="006B5301"/>
    <w:rsid w:val="006B698B"/>
    <w:rsid w:val="006B7C2C"/>
    <w:rsid w:val="006C1A19"/>
    <w:rsid w:val="006C221E"/>
    <w:rsid w:val="006C34B4"/>
    <w:rsid w:val="006C376B"/>
    <w:rsid w:val="006C4319"/>
    <w:rsid w:val="006C440B"/>
    <w:rsid w:val="006C453C"/>
    <w:rsid w:val="006C45C7"/>
    <w:rsid w:val="006C4BC0"/>
    <w:rsid w:val="006C4DD6"/>
    <w:rsid w:val="006C50E7"/>
    <w:rsid w:val="006C5C73"/>
    <w:rsid w:val="006C5DC3"/>
    <w:rsid w:val="006C616B"/>
    <w:rsid w:val="006C63FB"/>
    <w:rsid w:val="006C6A46"/>
    <w:rsid w:val="006C6D72"/>
    <w:rsid w:val="006C7447"/>
    <w:rsid w:val="006C7ACB"/>
    <w:rsid w:val="006D0115"/>
    <w:rsid w:val="006D03DF"/>
    <w:rsid w:val="006D12E3"/>
    <w:rsid w:val="006D1327"/>
    <w:rsid w:val="006D1F03"/>
    <w:rsid w:val="006D2971"/>
    <w:rsid w:val="006D2A98"/>
    <w:rsid w:val="006D4A4A"/>
    <w:rsid w:val="006D4ADB"/>
    <w:rsid w:val="006D4D36"/>
    <w:rsid w:val="006D6930"/>
    <w:rsid w:val="006D6E79"/>
    <w:rsid w:val="006D7DC0"/>
    <w:rsid w:val="006D7DEA"/>
    <w:rsid w:val="006E017B"/>
    <w:rsid w:val="006E06A9"/>
    <w:rsid w:val="006E0888"/>
    <w:rsid w:val="006E097F"/>
    <w:rsid w:val="006E0E4A"/>
    <w:rsid w:val="006E1778"/>
    <w:rsid w:val="006E1795"/>
    <w:rsid w:val="006E17B0"/>
    <w:rsid w:val="006E1A8C"/>
    <w:rsid w:val="006E1C39"/>
    <w:rsid w:val="006E1E63"/>
    <w:rsid w:val="006E2595"/>
    <w:rsid w:val="006E2694"/>
    <w:rsid w:val="006E2A1F"/>
    <w:rsid w:val="006E2A78"/>
    <w:rsid w:val="006E2FF5"/>
    <w:rsid w:val="006E4ED0"/>
    <w:rsid w:val="006E53A0"/>
    <w:rsid w:val="006E5500"/>
    <w:rsid w:val="006E58AF"/>
    <w:rsid w:val="006E5D0E"/>
    <w:rsid w:val="006E608C"/>
    <w:rsid w:val="006E6261"/>
    <w:rsid w:val="006E6540"/>
    <w:rsid w:val="006E65F8"/>
    <w:rsid w:val="006E6843"/>
    <w:rsid w:val="006E6AC7"/>
    <w:rsid w:val="006E6B4F"/>
    <w:rsid w:val="006E6DD4"/>
    <w:rsid w:val="006E7651"/>
    <w:rsid w:val="006E7C40"/>
    <w:rsid w:val="006E7F60"/>
    <w:rsid w:val="006F0181"/>
    <w:rsid w:val="006F03E3"/>
    <w:rsid w:val="006F0660"/>
    <w:rsid w:val="006F0A1F"/>
    <w:rsid w:val="006F0EA8"/>
    <w:rsid w:val="006F0F5F"/>
    <w:rsid w:val="006F150D"/>
    <w:rsid w:val="006F1654"/>
    <w:rsid w:val="006F222F"/>
    <w:rsid w:val="006F26F3"/>
    <w:rsid w:val="006F2CF3"/>
    <w:rsid w:val="006F3059"/>
    <w:rsid w:val="006F3A64"/>
    <w:rsid w:val="006F5987"/>
    <w:rsid w:val="006F5F1A"/>
    <w:rsid w:val="006F6C67"/>
    <w:rsid w:val="006F6EB9"/>
    <w:rsid w:val="006F7078"/>
    <w:rsid w:val="00700222"/>
    <w:rsid w:val="0070040B"/>
    <w:rsid w:val="007008C7"/>
    <w:rsid w:val="007008D0"/>
    <w:rsid w:val="00701188"/>
    <w:rsid w:val="0070137E"/>
    <w:rsid w:val="0070287D"/>
    <w:rsid w:val="00702DB9"/>
    <w:rsid w:val="00702E2E"/>
    <w:rsid w:val="00703F39"/>
    <w:rsid w:val="00704B8B"/>
    <w:rsid w:val="00705942"/>
    <w:rsid w:val="00705AB2"/>
    <w:rsid w:val="0070619A"/>
    <w:rsid w:val="0070678A"/>
    <w:rsid w:val="00707173"/>
    <w:rsid w:val="00707607"/>
    <w:rsid w:val="0071055F"/>
    <w:rsid w:val="0071095F"/>
    <w:rsid w:val="007118EB"/>
    <w:rsid w:val="00712C57"/>
    <w:rsid w:val="007136CC"/>
    <w:rsid w:val="00713902"/>
    <w:rsid w:val="00713B9A"/>
    <w:rsid w:val="00714281"/>
    <w:rsid w:val="00714BEF"/>
    <w:rsid w:val="007157C8"/>
    <w:rsid w:val="00715A6E"/>
    <w:rsid w:val="007161CE"/>
    <w:rsid w:val="00716B38"/>
    <w:rsid w:val="00717EE2"/>
    <w:rsid w:val="0072159A"/>
    <w:rsid w:val="00721BEF"/>
    <w:rsid w:val="00722055"/>
    <w:rsid w:val="007228F2"/>
    <w:rsid w:val="00722C23"/>
    <w:rsid w:val="007246ED"/>
    <w:rsid w:val="00725A8D"/>
    <w:rsid w:val="00727851"/>
    <w:rsid w:val="00727B18"/>
    <w:rsid w:val="00727D5D"/>
    <w:rsid w:val="00727FA5"/>
    <w:rsid w:val="007314A9"/>
    <w:rsid w:val="007318E5"/>
    <w:rsid w:val="007319A8"/>
    <w:rsid w:val="00732369"/>
    <w:rsid w:val="00732EA3"/>
    <w:rsid w:val="00733157"/>
    <w:rsid w:val="007333F4"/>
    <w:rsid w:val="00733EE3"/>
    <w:rsid w:val="00733F89"/>
    <w:rsid w:val="00734A03"/>
    <w:rsid w:val="007350F7"/>
    <w:rsid w:val="007372F4"/>
    <w:rsid w:val="00737FDC"/>
    <w:rsid w:val="007400AC"/>
    <w:rsid w:val="0074036B"/>
    <w:rsid w:val="007406F0"/>
    <w:rsid w:val="0074189A"/>
    <w:rsid w:val="00741BAA"/>
    <w:rsid w:val="00741E2A"/>
    <w:rsid w:val="007421DB"/>
    <w:rsid w:val="0074274E"/>
    <w:rsid w:val="00744BA5"/>
    <w:rsid w:val="00744E09"/>
    <w:rsid w:val="00745567"/>
    <w:rsid w:val="00745D02"/>
    <w:rsid w:val="00745F54"/>
    <w:rsid w:val="007461D4"/>
    <w:rsid w:val="007463A4"/>
    <w:rsid w:val="00746C32"/>
    <w:rsid w:val="00747802"/>
    <w:rsid w:val="00747E9F"/>
    <w:rsid w:val="00747F86"/>
    <w:rsid w:val="00750184"/>
    <w:rsid w:val="007520CE"/>
    <w:rsid w:val="00752414"/>
    <w:rsid w:val="00752573"/>
    <w:rsid w:val="007548EC"/>
    <w:rsid w:val="00754B63"/>
    <w:rsid w:val="00756180"/>
    <w:rsid w:val="00756636"/>
    <w:rsid w:val="007566F3"/>
    <w:rsid w:val="00756BC6"/>
    <w:rsid w:val="00756F23"/>
    <w:rsid w:val="00760777"/>
    <w:rsid w:val="00762B3F"/>
    <w:rsid w:val="00762B7E"/>
    <w:rsid w:val="007637A9"/>
    <w:rsid w:val="00763B8B"/>
    <w:rsid w:val="0076417B"/>
    <w:rsid w:val="00764C92"/>
    <w:rsid w:val="007651DB"/>
    <w:rsid w:val="0076552A"/>
    <w:rsid w:val="00765ED1"/>
    <w:rsid w:val="007674EC"/>
    <w:rsid w:val="00770158"/>
    <w:rsid w:val="00770B56"/>
    <w:rsid w:val="00770EC4"/>
    <w:rsid w:val="007710A5"/>
    <w:rsid w:val="00771615"/>
    <w:rsid w:val="007717BF"/>
    <w:rsid w:val="0077225D"/>
    <w:rsid w:val="00772E28"/>
    <w:rsid w:val="007734C9"/>
    <w:rsid w:val="007736D0"/>
    <w:rsid w:val="007737B8"/>
    <w:rsid w:val="0077463A"/>
    <w:rsid w:val="00776341"/>
    <w:rsid w:val="00776BC9"/>
    <w:rsid w:val="00777325"/>
    <w:rsid w:val="0077753D"/>
    <w:rsid w:val="0077786E"/>
    <w:rsid w:val="00777E53"/>
    <w:rsid w:val="007801E4"/>
    <w:rsid w:val="00780A67"/>
    <w:rsid w:val="00780A9A"/>
    <w:rsid w:val="00780AC7"/>
    <w:rsid w:val="00780AE8"/>
    <w:rsid w:val="00781105"/>
    <w:rsid w:val="007816AC"/>
    <w:rsid w:val="007823ED"/>
    <w:rsid w:val="007839AA"/>
    <w:rsid w:val="00783C5E"/>
    <w:rsid w:val="00784784"/>
    <w:rsid w:val="0078491B"/>
    <w:rsid w:val="00784D14"/>
    <w:rsid w:val="00784F1D"/>
    <w:rsid w:val="00787636"/>
    <w:rsid w:val="007906B4"/>
    <w:rsid w:val="00790975"/>
    <w:rsid w:val="007916AA"/>
    <w:rsid w:val="007919DB"/>
    <w:rsid w:val="00791A91"/>
    <w:rsid w:val="007929EE"/>
    <w:rsid w:val="00792E68"/>
    <w:rsid w:val="007930CD"/>
    <w:rsid w:val="00794302"/>
    <w:rsid w:val="0079532A"/>
    <w:rsid w:val="007957DD"/>
    <w:rsid w:val="00795D00"/>
    <w:rsid w:val="0079678C"/>
    <w:rsid w:val="007972C6"/>
    <w:rsid w:val="00797A09"/>
    <w:rsid w:val="00797CE7"/>
    <w:rsid w:val="007A0950"/>
    <w:rsid w:val="007A2429"/>
    <w:rsid w:val="007A27C4"/>
    <w:rsid w:val="007A34D9"/>
    <w:rsid w:val="007A3771"/>
    <w:rsid w:val="007A39B7"/>
    <w:rsid w:val="007A3A5D"/>
    <w:rsid w:val="007A41EC"/>
    <w:rsid w:val="007A5446"/>
    <w:rsid w:val="007A5863"/>
    <w:rsid w:val="007A5F29"/>
    <w:rsid w:val="007A6883"/>
    <w:rsid w:val="007A6D85"/>
    <w:rsid w:val="007A6E92"/>
    <w:rsid w:val="007A7F00"/>
    <w:rsid w:val="007B1015"/>
    <w:rsid w:val="007B1A5C"/>
    <w:rsid w:val="007B1F05"/>
    <w:rsid w:val="007B3AB0"/>
    <w:rsid w:val="007B433E"/>
    <w:rsid w:val="007B4961"/>
    <w:rsid w:val="007B4AB9"/>
    <w:rsid w:val="007B5BF6"/>
    <w:rsid w:val="007B5C2D"/>
    <w:rsid w:val="007B7058"/>
    <w:rsid w:val="007B709A"/>
    <w:rsid w:val="007B74E0"/>
    <w:rsid w:val="007B785D"/>
    <w:rsid w:val="007C164A"/>
    <w:rsid w:val="007C236F"/>
    <w:rsid w:val="007C24AA"/>
    <w:rsid w:val="007C2738"/>
    <w:rsid w:val="007C2746"/>
    <w:rsid w:val="007C2BCF"/>
    <w:rsid w:val="007C3645"/>
    <w:rsid w:val="007C429E"/>
    <w:rsid w:val="007C445E"/>
    <w:rsid w:val="007C4B10"/>
    <w:rsid w:val="007C56A9"/>
    <w:rsid w:val="007C5785"/>
    <w:rsid w:val="007C627E"/>
    <w:rsid w:val="007C6C74"/>
    <w:rsid w:val="007D0A66"/>
    <w:rsid w:val="007D2842"/>
    <w:rsid w:val="007D3061"/>
    <w:rsid w:val="007D376D"/>
    <w:rsid w:val="007D3BA1"/>
    <w:rsid w:val="007D401F"/>
    <w:rsid w:val="007D4F2C"/>
    <w:rsid w:val="007D5151"/>
    <w:rsid w:val="007D6F47"/>
    <w:rsid w:val="007D7383"/>
    <w:rsid w:val="007D7E2A"/>
    <w:rsid w:val="007E00C8"/>
    <w:rsid w:val="007E1113"/>
    <w:rsid w:val="007E1347"/>
    <w:rsid w:val="007E155F"/>
    <w:rsid w:val="007E1BDD"/>
    <w:rsid w:val="007E1CEA"/>
    <w:rsid w:val="007E20BA"/>
    <w:rsid w:val="007E28AC"/>
    <w:rsid w:val="007E2928"/>
    <w:rsid w:val="007E2C07"/>
    <w:rsid w:val="007E3151"/>
    <w:rsid w:val="007E3350"/>
    <w:rsid w:val="007E3ABE"/>
    <w:rsid w:val="007E455D"/>
    <w:rsid w:val="007E467A"/>
    <w:rsid w:val="007E4CB1"/>
    <w:rsid w:val="007E51A5"/>
    <w:rsid w:val="007E5E3C"/>
    <w:rsid w:val="007E65BE"/>
    <w:rsid w:val="007E69AB"/>
    <w:rsid w:val="007F042F"/>
    <w:rsid w:val="007F0A0A"/>
    <w:rsid w:val="007F1727"/>
    <w:rsid w:val="007F1E8C"/>
    <w:rsid w:val="007F248C"/>
    <w:rsid w:val="007F3C2C"/>
    <w:rsid w:val="007F441B"/>
    <w:rsid w:val="007F5555"/>
    <w:rsid w:val="007F5AD1"/>
    <w:rsid w:val="007F6A57"/>
    <w:rsid w:val="007F6BBF"/>
    <w:rsid w:val="007F6EAA"/>
    <w:rsid w:val="007F782D"/>
    <w:rsid w:val="00800575"/>
    <w:rsid w:val="00801CCA"/>
    <w:rsid w:val="00802783"/>
    <w:rsid w:val="0080290B"/>
    <w:rsid w:val="0080417F"/>
    <w:rsid w:val="008043A1"/>
    <w:rsid w:val="008045E4"/>
    <w:rsid w:val="008051C9"/>
    <w:rsid w:val="00806D25"/>
    <w:rsid w:val="008110DA"/>
    <w:rsid w:val="0081135B"/>
    <w:rsid w:val="00811AA7"/>
    <w:rsid w:val="00811DAF"/>
    <w:rsid w:val="0081210A"/>
    <w:rsid w:val="0081304C"/>
    <w:rsid w:val="00813373"/>
    <w:rsid w:val="0081353E"/>
    <w:rsid w:val="0081363A"/>
    <w:rsid w:val="00814CE6"/>
    <w:rsid w:val="0081696A"/>
    <w:rsid w:val="00816EBB"/>
    <w:rsid w:val="00817642"/>
    <w:rsid w:val="00821D78"/>
    <w:rsid w:val="0082313D"/>
    <w:rsid w:val="00823153"/>
    <w:rsid w:val="008235A6"/>
    <w:rsid w:val="00823E72"/>
    <w:rsid w:val="00824186"/>
    <w:rsid w:val="008248CE"/>
    <w:rsid w:val="00824C2F"/>
    <w:rsid w:val="00826265"/>
    <w:rsid w:val="00826288"/>
    <w:rsid w:val="00826980"/>
    <w:rsid w:val="00826AD7"/>
    <w:rsid w:val="008277D5"/>
    <w:rsid w:val="008301CA"/>
    <w:rsid w:val="008303D2"/>
    <w:rsid w:val="008313D1"/>
    <w:rsid w:val="008325BF"/>
    <w:rsid w:val="00832658"/>
    <w:rsid w:val="00832E14"/>
    <w:rsid w:val="00833150"/>
    <w:rsid w:val="00834231"/>
    <w:rsid w:val="008344B3"/>
    <w:rsid w:val="00834CEE"/>
    <w:rsid w:val="00834EA0"/>
    <w:rsid w:val="00836163"/>
    <w:rsid w:val="008368E9"/>
    <w:rsid w:val="008369C3"/>
    <w:rsid w:val="00837134"/>
    <w:rsid w:val="0083735B"/>
    <w:rsid w:val="008377B6"/>
    <w:rsid w:val="0083787C"/>
    <w:rsid w:val="008378CA"/>
    <w:rsid w:val="00840131"/>
    <w:rsid w:val="008403BF"/>
    <w:rsid w:val="00840A7D"/>
    <w:rsid w:val="00841D48"/>
    <w:rsid w:val="0084355E"/>
    <w:rsid w:val="00844042"/>
    <w:rsid w:val="0084528D"/>
    <w:rsid w:val="00845C10"/>
    <w:rsid w:val="008464F6"/>
    <w:rsid w:val="00846FC6"/>
    <w:rsid w:val="0084736E"/>
    <w:rsid w:val="00847BDD"/>
    <w:rsid w:val="00850C01"/>
    <w:rsid w:val="00851BBA"/>
    <w:rsid w:val="0085254F"/>
    <w:rsid w:val="00852DE2"/>
    <w:rsid w:val="008540D0"/>
    <w:rsid w:val="00854918"/>
    <w:rsid w:val="008553AA"/>
    <w:rsid w:val="00856DFA"/>
    <w:rsid w:val="00857B23"/>
    <w:rsid w:val="0086027E"/>
    <w:rsid w:val="008603B7"/>
    <w:rsid w:val="00861681"/>
    <w:rsid w:val="00861B04"/>
    <w:rsid w:val="00862432"/>
    <w:rsid w:val="00863552"/>
    <w:rsid w:val="00863A44"/>
    <w:rsid w:val="00864042"/>
    <w:rsid w:val="00864B06"/>
    <w:rsid w:val="00865BC3"/>
    <w:rsid w:val="0086628D"/>
    <w:rsid w:val="0086762E"/>
    <w:rsid w:val="00867691"/>
    <w:rsid w:val="00867E3B"/>
    <w:rsid w:val="00870161"/>
    <w:rsid w:val="00870708"/>
    <w:rsid w:val="008707B8"/>
    <w:rsid w:val="00871C82"/>
    <w:rsid w:val="00871DC4"/>
    <w:rsid w:val="008723AE"/>
    <w:rsid w:val="008726D6"/>
    <w:rsid w:val="008732ED"/>
    <w:rsid w:val="008733D7"/>
    <w:rsid w:val="008737F3"/>
    <w:rsid w:val="00873938"/>
    <w:rsid w:val="00873A79"/>
    <w:rsid w:val="00874A02"/>
    <w:rsid w:val="00874D4F"/>
    <w:rsid w:val="008755B8"/>
    <w:rsid w:val="00875AAC"/>
    <w:rsid w:val="00875D0E"/>
    <w:rsid w:val="00875EFD"/>
    <w:rsid w:val="00876641"/>
    <w:rsid w:val="008771EE"/>
    <w:rsid w:val="0087737B"/>
    <w:rsid w:val="00880E16"/>
    <w:rsid w:val="00880F2B"/>
    <w:rsid w:val="00881330"/>
    <w:rsid w:val="008817D2"/>
    <w:rsid w:val="00881C8C"/>
    <w:rsid w:val="00882464"/>
    <w:rsid w:val="00882833"/>
    <w:rsid w:val="00882FC1"/>
    <w:rsid w:val="00883CEE"/>
    <w:rsid w:val="00883D25"/>
    <w:rsid w:val="008842C2"/>
    <w:rsid w:val="00884A53"/>
    <w:rsid w:val="00884E17"/>
    <w:rsid w:val="0088507D"/>
    <w:rsid w:val="008853ED"/>
    <w:rsid w:val="0088545D"/>
    <w:rsid w:val="00885EAC"/>
    <w:rsid w:val="00885F21"/>
    <w:rsid w:val="008860D2"/>
    <w:rsid w:val="0088628D"/>
    <w:rsid w:val="008863A2"/>
    <w:rsid w:val="00887DF6"/>
    <w:rsid w:val="00890810"/>
    <w:rsid w:val="00890C62"/>
    <w:rsid w:val="00891E31"/>
    <w:rsid w:val="00892ADB"/>
    <w:rsid w:val="008933B8"/>
    <w:rsid w:val="0089360E"/>
    <w:rsid w:val="00893671"/>
    <w:rsid w:val="00893ACE"/>
    <w:rsid w:val="00893D30"/>
    <w:rsid w:val="00894B07"/>
    <w:rsid w:val="00894D05"/>
    <w:rsid w:val="0089507F"/>
    <w:rsid w:val="00896C03"/>
    <w:rsid w:val="00896EFD"/>
    <w:rsid w:val="00897F5D"/>
    <w:rsid w:val="008A01B8"/>
    <w:rsid w:val="008A0F38"/>
    <w:rsid w:val="008A1BF8"/>
    <w:rsid w:val="008A1E13"/>
    <w:rsid w:val="008A353B"/>
    <w:rsid w:val="008A54E7"/>
    <w:rsid w:val="008A55CE"/>
    <w:rsid w:val="008A5BDF"/>
    <w:rsid w:val="008A6BAF"/>
    <w:rsid w:val="008A6F28"/>
    <w:rsid w:val="008A7640"/>
    <w:rsid w:val="008A7E44"/>
    <w:rsid w:val="008B08A8"/>
    <w:rsid w:val="008B0934"/>
    <w:rsid w:val="008B09E4"/>
    <w:rsid w:val="008B10CB"/>
    <w:rsid w:val="008B17E9"/>
    <w:rsid w:val="008B1FA5"/>
    <w:rsid w:val="008B2BA3"/>
    <w:rsid w:val="008B3133"/>
    <w:rsid w:val="008B33AC"/>
    <w:rsid w:val="008B3900"/>
    <w:rsid w:val="008B3CB6"/>
    <w:rsid w:val="008B4B66"/>
    <w:rsid w:val="008B562D"/>
    <w:rsid w:val="008B643D"/>
    <w:rsid w:val="008B69BE"/>
    <w:rsid w:val="008B6CA7"/>
    <w:rsid w:val="008B7868"/>
    <w:rsid w:val="008B7DFC"/>
    <w:rsid w:val="008C021D"/>
    <w:rsid w:val="008C0654"/>
    <w:rsid w:val="008C0853"/>
    <w:rsid w:val="008C0948"/>
    <w:rsid w:val="008C2088"/>
    <w:rsid w:val="008C3975"/>
    <w:rsid w:val="008C47BA"/>
    <w:rsid w:val="008C5185"/>
    <w:rsid w:val="008C55CB"/>
    <w:rsid w:val="008C55EB"/>
    <w:rsid w:val="008C67E5"/>
    <w:rsid w:val="008C6C0B"/>
    <w:rsid w:val="008D0819"/>
    <w:rsid w:val="008D0859"/>
    <w:rsid w:val="008D0EF4"/>
    <w:rsid w:val="008D14CF"/>
    <w:rsid w:val="008D297A"/>
    <w:rsid w:val="008D2B08"/>
    <w:rsid w:val="008D35B1"/>
    <w:rsid w:val="008D39D3"/>
    <w:rsid w:val="008D4205"/>
    <w:rsid w:val="008D49C9"/>
    <w:rsid w:val="008D6020"/>
    <w:rsid w:val="008D63E9"/>
    <w:rsid w:val="008D6BBC"/>
    <w:rsid w:val="008D742C"/>
    <w:rsid w:val="008D7455"/>
    <w:rsid w:val="008D74D0"/>
    <w:rsid w:val="008D74EB"/>
    <w:rsid w:val="008D7BCB"/>
    <w:rsid w:val="008E0C42"/>
    <w:rsid w:val="008E15EA"/>
    <w:rsid w:val="008E1B5A"/>
    <w:rsid w:val="008E2F74"/>
    <w:rsid w:val="008E3532"/>
    <w:rsid w:val="008E3E3E"/>
    <w:rsid w:val="008E4681"/>
    <w:rsid w:val="008E4FC0"/>
    <w:rsid w:val="008E5216"/>
    <w:rsid w:val="008E68A7"/>
    <w:rsid w:val="008E728C"/>
    <w:rsid w:val="008E7327"/>
    <w:rsid w:val="008E78BF"/>
    <w:rsid w:val="008F03CC"/>
    <w:rsid w:val="008F066D"/>
    <w:rsid w:val="008F087E"/>
    <w:rsid w:val="008F189D"/>
    <w:rsid w:val="008F1B54"/>
    <w:rsid w:val="008F255D"/>
    <w:rsid w:val="008F2853"/>
    <w:rsid w:val="008F3209"/>
    <w:rsid w:val="008F3A03"/>
    <w:rsid w:val="008F3FDD"/>
    <w:rsid w:val="008F5F92"/>
    <w:rsid w:val="008F69D9"/>
    <w:rsid w:val="008F702F"/>
    <w:rsid w:val="008F70E1"/>
    <w:rsid w:val="008F735D"/>
    <w:rsid w:val="008F78C0"/>
    <w:rsid w:val="009012A5"/>
    <w:rsid w:val="00901A8A"/>
    <w:rsid w:val="0090208D"/>
    <w:rsid w:val="009024C4"/>
    <w:rsid w:val="00902603"/>
    <w:rsid w:val="0090316E"/>
    <w:rsid w:val="009032CC"/>
    <w:rsid w:val="0090353B"/>
    <w:rsid w:val="009040EB"/>
    <w:rsid w:val="009045E3"/>
    <w:rsid w:val="0090627F"/>
    <w:rsid w:val="0090766A"/>
    <w:rsid w:val="00907B64"/>
    <w:rsid w:val="009101A1"/>
    <w:rsid w:val="0091055F"/>
    <w:rsid w:val="009115D6"/>
    <w:rsid w:val="00911B31"/>
    <w:rsid w:val="00912148"/>
    <w:rsid w:val="00912AAC"/>
    <w:rsid w:val="00913442"/>
    <w:rsid w:val="00913C5A"/>
    <w:rsid w:val="00913CB2"/>
    <w:rsid w:val="00913E0F"/>
    <w:rsid w:val="00915D22"/>
    <w:rsid w:val="00915ECE"/>
    <w:rsid w:val="0091610D"/>
    <w:rsid w:val="009163AD"/>
    <w:rsid w:val="009166B8"/>
    <w:rsid w:val="00916EFB"/>
    <w:rsid w:val="00917A47"/>
    <w:rsid w:val="00920771"/>
    <w:rsid w:val="009209BD"/>
    <w:rsid w:val="009212C2"/>
    <w:rsid w:val="00921361"/>
    <w:rsid w:val="0092191C"/>
    <w:rsid w:val="00922464"/>
    <w:rsid w:val="00923600"/>
    <w:rsid w:val="0092394D"/>
    <w:rsid w:val="009239BF"/>
    <w:rsid w:val="00923AC1"/>
    <w:rsid w:val="00923BAC"/>
    <w:rsid w:val="00923E7D"/>
    <w:rsid w:val="00925FA1"/>
    <w:rsid w:val="00926019"/>
    <w:rsid w:val="00926A42"/>
    <w:rsid w:val="009276B1"/>
    <w:rsid w:val="009303CF"/>
    <w:rsid w:val="00930F58"/>
    <w:rsid w:val="00932182"/>
    <w:rsid w:val="00932A54"/>
    <w:rsid w:val="00932C21"/>
    <w:rsid w:val="00933057"/>
    <w:rsid w:val="009333DA"/>
    <w:rsid w:val="0093379B"/>
    <w:rsid w:val="00933B5D"/>
    <w:rsid w:val="00933BE8"/>
    <w:rsid w:val="00933CA9"/>
    <w:rsid w:val="00934CDB"/>
    <w:rsid w:val="00937046"/>
    <w:rsid w:val="009370FF"/>
    <w:rsid w:val="009375FD"/>
    <w:rsid w:val="00937911"/>
    <w:rsid w:val="00937B5D"/>
    <w:rsid w:val="00941CE3"/>
    <w:rsid w:val="00941D08"/>
    <w:rsid w:val="009421F9"/>
    <w:rsid w:val="009425DC"/>
    <w:rsid w:val="00942B91"/>
    <w:rsid w:val="00943A37"/>
    <w:rsid w:val="00944258"/>
    <w:rsid w:val="00944518"/>
    <w:rsid w:val="00944F09"/>
    <w:rsid w:val="0094537C"/>
    <w:rsid w:val="009453F9"/>
    <w:rsid w:val="00945899"/>
    <w:rsid w:val="009460D9"/>
    <w:rsid w:val="00946B3E"/>
    <w:rsid w:val="00946D21"/>
    <w:rsid w:val="009474A0"/>
    <w:rsid w:val="00950865"/>
    <w:rsid w:val="00950BB6"/>
    <w:rsid w:val="00950C35"/>
    <w:rsid w:val="00951444"/>
    <w:rsid w:val="0095152B"/>
    <w:rsid w:val="00951816"/>
    <w:rsid w:val="00952517"/>
    <w:rsid w:val="0095273E"/>
    <w:rsid w:val="00952A67"/>
    <w:rsid w:val="00952C40"/>
    <w:rsid w:val="00953589"/>
    <w:rsid w:val="009535F6"/>
    <w:rsid w:val="00953A15"/>
    <w:rsid w:val="00954DB3"/>
    <w:rsid w:val="00955755"/>
    <w:rsid w:val="00956091"/>
    <w:rsid w:val="009564B0"/>
    <w:rsid w:val="00957D5A"/>
    <w:rsid w:val="0096023A"/>
    <w:rsid w:val="009602F2"/>
    <w:rsid w:val="00960379"/>
    <w:rsid w:val="0096139B"/>
    <w:rsid w:val="00961AFF"/>
    <w:rsid w:val="0096394B"/>
    <w:rsid w:val="009640D3"/>
    <w:rsid w:val="00964D5A"/>
    <w:rsid w:val="00965C2C"/>
    <w:rsid w:val="00966078"/>
    <w:rsid w:val="00966CA6"/>
    <w:rsid w:val="00970C34"/>
    <w:rsid w:val="0097102C"/>
    <w:rsid w:val="00972702"/>
    <w:rsid w:val="0097275B"/>
    <w:rsid w:val="0097285E"/>
    <w:rsid w:val="00972AFF"/>
    <w:rsid w:val="00972EBA"/>
    <w:rsid w:val="00973519"/>
    <w:rsid w:val="00973A11"/>
    <w:rsid w:val="0097578C"/>
    <w:rsid w:val="00975B95"/>
    <w:rsid w:val="00976F30"/>
    <w:rsid w:val="00976F92"/>
    <w:rsid w:val="00977A76"/>
    <w:rsid w:val="00980019"/>
    <w:rsid w:val="009804CB"/>
    <w:rsid w:val="009806F1"/>
    <w:rsid w:val="00980C8D"/>
    <w:rsid w:val="009811F7"/>
    <w:rsid w:val="0098154C"/>
    <w:rsid w:val="0098199C"/>
    <w:rsid w:val="00983CFE"/>
    <w:rsid w:val="009842DC"/>
    <w:rsid w:val="0098438F"/>
    <w:rsid w:val="00984EEA"/>
    <w:rsid w:val="00984FC0"/>
    <w:rsid w:val="0098554F"/>
    <w:rsid w:val="009855AE"/>
    <w:rsid w:val="00985CD1"/>
    <w:rsid w:val="00986287"/>
    <w:rsid w:val="009875FA"/>
    <w:rsid w:val="0098764F"/>
    <w:rsid w:val="0098784D"/>
    <w:rsid w:val="009878CD"/>
    <w:rsid w:val="00987C93"/>
    <w:rsid w:val="00987EA5"/>
    <w:rsid w:val="0099021E"/>
    <w:rsid w:val="009909C3"/>
    <w:rsid w:val="00991216"/>
    <w:rsid w:val="00991349"/>
    <w:rsid w:val="00991354"/>
    <w:rsid w:val="009913D2"/>
    <w:rsid w:val="00991A65"/>
    <w:rsid w:val="009924AE"/>
    <w:rsid w:val="009935C1"/>
    <w:rsid w:val="00993943"/>
    <w:rsid w:val="00994035"/>
    <w:rsid w:val="0099441A"/>
    <w:rsid w:val="0099476D"/>
    <w:rsid w:val="0099566A"/>
    <w:rsid w:val="00996724"/>
    <w:rsid w:val="00996779"/>
    <w:rsid w:val="009A0607"/>
    <w:rsid w:val="009A1A23"/>
    <w:rsid w:val="009A357E"/>
    <w:rsid w:val="009A368D"/>
    <w:rsid w:val="009A3C7B"/>
    <w:rsid w:val="009A3D96"/>
    <w:rsid w:val="009A3E02"/>
    <w:rsid w:val="009A4829"/>
    <w:rsid w:val="009A4ACF"/>
    <w:rsid w:val="009A621B"/>
    <w:rsid w:val="009A6ECD"/>
    <w:rsid w:val="009A6EFC"/>
    <w:rsid w:val="009A7672"/>
    <w:rsid w:val="009A7E33"/>
    <w:rsid w:val="009B11D0"/>
    <w:rsid w:val="009B13CF"/>
    <w:rsid w:val="009B16B7"/>
    <w:rsid w:val="009B21D3"/>
    <w:rsid w:val="009B2D7F"/>
    <w:rsid w:val="009B2E9F"/>
    <w:rsid w:val="009B414C"/>
    <w:rsid w:val="009B498F"/>
    <w:rsid w:val="009B4D6E"/>
    <w:rsid w:val="009B53E1"/>
    <w:rsid w:val="009B5586"/>
    <w:rsid w:val="009B5934"/>
    <w:rsid w:val="009B6EEB"/>
    <w:rsid w:val="009B7205"/>
    <w:rsid w:val="009B72F3"/>
    <w:rsid w:val="009B7639"/>
    <w:rsid w:val="009C0449"/>
    <w:rsid w:val="009C04C6"/>
    <w:rsid w:val="009C06A2"/>
    <w:rsid w:val="009C0C34"/>
    <w:rsid w:val="009C0E53"/>
    <w:rsid w:val="009C14DE"/>
    <w:rsid w:val="009C20F0"/>
    <w:rsid w:val="009C336E"/>
    <w:rsid w:val="009C3DE4"/>
    <w:rsid w:val="009C49F0"/>
    <w:rsid w:val="009C4C7E"/>
    <w:rsid w:val="009C517F"/>
    <w:rsid w:val="009C5240"/>
    <w:rsid w:val="009C566F"/>
    <w:rsid w:val="009C56FC"/>
    <w:rsid w:val="009C5ABE"/>
    <w:rsid w:val="009C6600"/>
    <w:rsid w:val="009C72E1"/>
    <w:rsid w:val="009C7776"/>
    <w:rsid w:val="009D02B7"/>
    <w:rsid w:val="009D2726"/>
    <w:rsid w:val="009D2834"/>
    <w:rsid w:val="009D2AE9"/>
    <w:rsid w:val="009D4FAE"/>
    <w:rsid w:val="009D6612"/>
    <w:rsid w:val="009D7292"/>
    <w:rsid w:val="009E0B58"/>
    <w:rsid w:val="009E147D"/>
    <w:rsid w:val="009E1650"/>
    <w:rsid w:val="009E1BC1"/>
    <w:rsid w:val="009E1BF4"/>
    <w:rsid w:val="009E1F8D"/>
    <w:rsid w:val="009E21C8"/>
    <w:rsid w:val="009E27AA"/>
    <w:rsid w:val="009E3247"/>
    <w:rsid w:val="009E431F"/>
    <w:rsid w:val="009E47C1"/>
    <w:rsid w:val="009E4F4F"/>
    <w:rsid w:val="009E501C"/>
    <w:rsid w:val="009E521F"/>
    <w:rsid w:val="009E55ED"/>
    <w:rsid w:val="009E56E2"/>
    <w:rsid w:val="009E5CBF"/>
    <w:rsid w:val="009E621E"/>
    <w:rsid w:val="009E654F"/>
    <w:rsid w:val="009E6BBC"/>
    <w:rsid w:val="009F0826"/>
    <w:rsid w:val="009F15A7"/>
    <w:rsid w:val="009F1638"/>
    <w:rsid w:val="009F19E1"/>
    <w:rsid w:val="009F287D"/>
    <w:rsid w:val="009F3454"/>
    <w:rsid w:val="009F3BBB"/>
    <w:rsid w:val="009F44FF"/>
    <w:rsid w:val="009F4C8E"/>
    <w:rsid w:val="009F50E1"/>
    <w:rsid w:val="009F57EC"/>
    <w:rsid w:val="009F6076"/>
    <w:rsid w:val="009F68AA"/>
    <w:rsid w:val="009F695B"/>
    <w:rsid w:val="009F6F83"/>
    <w:rsid w:val="00A0011F"/>
    <w:rsid w:val="00A00A2A"/>
    <w:rsid w:val="00A02DDE"/>
    <w:rsid w:val="00A0317A"/>
    <w:rsid w:val="00A035A2"/>
    <w:rsid w:val="00A0362D"/>
    <w:rsid w:val="00A037BD"/>
    <w:rsid w:val="00A0384A"/>
    <w:rsid w:val="00A03C44"/>
    <w:rsid w:val="00A041E4"/>
    <w:rsid w:val="00A045F2"/>
    <w:rsid w:val="00A04DE7"/>
    <w:rsid w:val="00A07345"/>
    <w:rsid w:val="00A07D1C"/>
    <w:rsid w:val="00A109BD"/>
    <w:rsid w:val="00A112F0"/>
    <w:rsid w:val="00A11ABC"/>
    <w:rsid w:val="00A11DD5"/>
    <w:rsid w:val="00A1544B"/>
    <w:rsid w:val="00A1659E"/>
    <w:rsid w:val="00A16FAC"/>
    <w:rsid w:val="00A170BB"/>
    <w:rsid w:val="00A178A9"/>
    <w:rsid w:val="00A17D48"/>
    <w:rsid w:val="00A20927"/>
    <w:rsid w:val="00A210BD"/>
    <w:rsid w:val="00A21479"/>
    <w:rsid w:val="00A21640"/>
    <w:rsid w:val="00A21747"/>
    <w:rsid w:val="00A2188E"/>
    <w:rsid w:val="00A224F8"/>
    <w:rsid w:val="00A22832"/>
    <w:rsid w:val="00A22AB4"/>
    <w:rsid w:val="00A22C2F"/>
    <w:rsid w:val="00A23F6F"/>
    <w:rsid w:val="00A23FB0"/>
    <w:rsid w:val="00A251F4"/>
    <w:rsid w:val="00A26652"/>
    <w:rsid w:val="00A26A82"/>
    <w:rsid w:val="00A26AC9"/>
    <w:rsid w:val="00A2773A"/>
    <w:rsid w:val="00A277E4"/>
    <w:rsid w:val="00A27A5F"/>
    <w:rsid w:val="00A301C7"/>
    <w:rsid w:val="00A30AB2"/>
    <w:rsid w:val="00A316DF"/>
    <w:rsid w:val="00A323E5"/>
    <w:rsid w:val="00A32B87"/>
    <w:rsid w:val="00A33D5E"/>
    <w:rsid w:val="00A3441A"/>
    <w:rsid w:val="00A34B0C"/>
    <w:rsid w:val="00A34F05"/>
    <w:rsid w:val="00A35996"/>
    <w:rsid w:val="00A35E78"/>
    <w:rsid w:val="00A363C8"/>
    <w:rsid w:val="00A36D83"/>
    <w:rsid w:val="00A37422"/>
    <w:rsid w:val="00A37478"/>
    <w:rsid w:val="00A37922"/>
    <w:rsid w:val="00A4023F"/>
    <w:rsid w:val="00A4043C"/>
    <w:rsid w:val="00A41276"/>
    <w:rsid w:val="00A4136F"/>
    <w:rsid w:val="00A41873"/>
    <w:rsid w:val="00A41B6D"/>
    <w:rsid w:val="00A41F5A"/>
    <w:rsid w:val="00A421B9"/>
    <w:rsid w:val="00A42493"/>
    <w:rsid w:val="00A43592"/>
    <w:rsid w:val="00A43F1F"/>
    <w:rsid w:val="00A43FBB"/>
    <w:rsid w:val="00A515B4"/>
    <w:rsid w:val="00A52F63"/>
    <w:rsid w:val="00A5436E"/>
    <w:rsid w:val="00A54D38"/>
    <w:rsid w:val="00A550AE"/>
    <w:rsid w:val="00A5544C"/>
    <w:rsid w:val="00A559C9"/>
    <w:rsid w:val="00A564D4"/>
    <w:rsid w:val="00A56BA0"/>
    <w:rsid w:val="00A57F14"/>
    <w:rsid w:val="00A600ED"/>
    <w:rsid w:val="00A6080C"/>
    <w:rsid w:val="00A6156C"/>
    <w:rsid w:val="00A61E0B"/>
    <w:rsid w:val="00A623BD"/>
    <w:rsid w:val="00A62A82"/>
    <w:rsid w:val="00A6368B"/>
    <w:rsid w:val="00A63B46"/>
    <w:rsid w:val="00A64D8F"/>
    <w:rsid w:val="00A65040"/>
    <w:rsid w:val="00A651BE"/>
    <w:rsid w:val="00A65512"/>
    <w:rsid w:val="00A66666"/>
    <w:rsid w:val="00A677E0"/>
    <w:rsid w:val="00A67840"/>
    <w:rsid w:val="00A67966"/>
    <w:rsid w:val="00A70383"/>
    <w:rsid w:val="00A719AE"/>
    <w:rsid w:val="00A72220"/>
    <w:rsid w:val="00A727DD"/>
    <w:rsid w:val="00A72E23"/>
    <w:rsid w:val="00A734B1"/>
    <w:rsid w:val="00A74588"/>
    <w:rsid w:val="00A749FC"/>
    <w:rsid w:val="00A7515C"/>
    <w:rsid w:val="00A75216"/>
    <w:rsid w:val="00A75999"/>
    <w:rsid w:val="00A75A90"/>
    <w:rsid w:val="00A76523"/>
    <w:rsid w:val="00A767C9"/>
    <w:rsid w:val="00A7699E"/>
    <w:rsid w:val="00A769AD"/>
    <w:rsid w:val="00A76DAA"/>
    <w:rsid w:val="00A80636"/>
    <w:rsid w:val="00A806CF"/>
    <w:rsid w:val="00A80866"/>
    <w:rsid w:val="00A8105D"/>
    <w:rsid w:val="00A824FE"/>
    <w:rsid w:val="00A82727"/>
    <w:rsid w:val="00A834FB"/>
    <w:rsid w:val="00A836CB"/>
    <w:rsid w:val="00A850D2"/>
    <w:rsid w:val="00A856A7"/>
    <w:rsid w:val="00A85A0F"/>
    <w:rsid w:val="00A85E75"/>
    <w:rsid w:val="00A86002"/>
    <w:rsid w:val="00A86104"/>
    <w:rsid w:val="00A86836"/>
    <w:rsid w:val="00A8687B"/>
    <w:rsid w:val="00A87773"/>
    <w:rsid w:val="00A877E2"/>
    <w:rsid w:val="00A87C20"/>
    <w:rsid w:val="00A918BA"/>
    <w:rsid w:val="00A92ACF"/>
    <w:rsid w:val="00A92CE3"/>
    <w:rsid w:val="00A93317"/>
    <w:rsid w:val="00A9390F"/>
    <w:rsid w:val="00A93F88"/>
    <w:rsid w:val="00A94055"/>
    <w:rsid w:val="00A94056"/>
    <w:rsid w:val="00A94A3B"/>
    <w:rsid w:val="00A94B5C"/>
    <w:rsid w:val="00A95171"/>
    <w:rsid w:val="00A9529C"/>
    <w:rsid w:val="00A9558D"/>
    <w:rsid w:val="00A9577C"/>
    <w:rsid w:val="00A964CC"/>
    <w:rsid w:val="00A964D0"/>
    <w:rsid w:val="00A96E07"/>
    <w:rsid w:val="00A97928"/>
    <w:rsid w:val="00A97D17"/>
    <w:rsid w:val="00AA038F"/>
    <w:rsid w:val="00AA0EB9"/>
    <w:rsid w:val="00AA13A3"/>
    <w:rsid w:val="00AA18FB"/>
    <w:rsid w:val="00AA1FD0"/>
    <w:rsid w:val="00AA2C69"/>
    <w:rsid w:val="00AA32CE"/>
    <w:rsid w:val="00AA3660"/>
    <w:rsid w:val="00AA382B"/>
    <w:rsid w:val="00AA4549"/>
    <w:rsid w:val="00AA4601"/>
    <w:rsid w:val="00AA4DAB"/>
    <w:rsid w:val="00AA4E66"/>
    <w:rsid w:val="00AA63EB"/>
    <w:rsid w:val="00AA6F19"/>
    <w:rsid w:val="00AA7073"/>
    <w:rsid w:val="00AB0120"/>
    <w:rsid w:val="00AB02DB"/>
    <w:rsid w:val="00AB0B13"/>
    <w:rsid w:val="00AB0C37"/>
    <w:rsid w:val="00AB0E61"/>
    <w:rsid w:val="00AB106D"/>
    <w:rsid w:val="00AB1D9F"/>
    <w:rsid w:val="00AB2094"/>
    <w:rsid w:val="00AB26E6"/>
    <w:rsid w:val="00AB499B"/>
    <w:rsid w:val="00AB4E90"/>
    <w:rsid w:val="00AB4FF3"/>
    <w:rsid w:val="00AB51E5"/>
    <w:rsid w:val="00AB53FB"/>
    <w:rsid w:val="00AB5B43"/>
    <w:rsid w:val="00AB5DC4"/>
    <w:rsid w:val="00AB6092"/>
    <w:rsid w:val="00AB636C"/>
    <w:rsid w:val="00AB6716"/>
    <w:rsid w:val="00AB69AA"/>
    <w:rsid w:val="00AB6ADF"/>
    <w:rsid w:val="00AB6ED5"/>
    <w:rsid w:val="00AB6F6D"/>
    <w:rsid w:val="00AB769C"/>
    <w:rsid w:val="00AC052D"/>
    <w:rsid w:val="00AC0E21"/>
    <w:rsid w:val="00AC1B90"/>
    <w:rsid w:val="00AC2F81"/>
    <w:rsid w:val="00AC3332"/>
    <w:rsid w:val="00AC35F0"/>
    <w:rsid w:val="00AC3ADF"/>
    <w:rsid w:val="00AC3EF5"/>
    <w:rsid w:val="00AC48F4"/>
    <w:rsid w:val="00AC4E89"/>
    <w:rsid w:val="00AC5317"/>
    <w:rsid w:val="00AC551F"/>
    <w:rsid w:val="00AC5EF6"/>
    <w:rsid w:val="00AC6E1C"/>
    <w:rsid w:val="00AC7E2C"/>
    <w:rsid w:val="00AD0218"/>
    <w:rsid w:val="00AD07F8"/>
    <w:rsid w:val="00AD0E73"/>
    <w:rsid w:val="00AD0F7B"/>
    <w:rsid w:val="00AD1F9D"/>
    <w:rsid w:val="00AD36A2"/>
    <w:rsid w:val="00AD3A1E"/>
    <w:rsid w:val="00AD3CEC"/>
    <w:rsid w:val="00AD45C8"/>
    <w:rsid w:val="00AD4F49"/>
    <w:rsid w:val="00AD53C8"/>
    <w:rsid w:val="00AD5E9A"/>
    <w:rsid w:val="00AD66DB"/>
    <w:rsid w:val="00AD6AA9"/>
    <w:rsid w:val="00AD6D1F"/>
    <w:rsid w:val="00AD6EF8"/>
    <w:rsid w:val="00AE02E2"/>
    <w:rsid w:val="00AE0B1E"/>
    <w:rsid w:val="00AE233C"/>
    <w:rsid w:val="00AE2434"/>
    <w:rsid w:val="00AE26DB"/>
    <w:rsid w:val="00AE51FE"/>
    <w:rsid w:val="00AE5313"/>
    <w:rsid w:val="00AE6A54"/>
    <w:rsid w:val="00AE720B"/>
    <w:rsid w:val="00AE786D"/>
    <w:rsid w:val="00AE7F27"/>
    <w:rsid w:val="00AF0BFB"/>
    <w:rsid w:val="00AF3A3F"/>
    <w:rsid w:val="00AF3D70"/>
    <w:rsid w:val="00AF439D"/>
    <w:rsid w:val="00AF44B7"/>
    <w:rsid w:val="00AF52C6"/>
    <w:rsid w:val="00AF5978"/>
    <w:rsid w:val="00AF5A60"/>
    <w:rsid w:val="00AF73EA"/>
    <w:rsid w:val="00B006CD"/>
    <w:rsid w:val="00B00CD6"/>
    <w:rsid w:val="00B00FD2"/>
    <w:rsid w:val="00B016E4"/>
    <w:rsid w:val="00B0227F"/>
    <w:rsid w:val="00B0293B"/>
    <w:rsid w:val="00B0344F"/>
    <w:rsid w:val="00B059A7"/>
    <w:rsid w:val="00B05BCF"/>
    <w:rsid w:val="00B061BF"/>
    <w:rsid w:val="00B06780"/>
    <w:rsid w:val="00B067C4"/>
    <w:rsid w:val="00B06DC0"/>
    <w:rsid w:val="00B073F1"/>
    <w:rsid w:val="00B07B9A"/>
    <w:rsid w:val="00B07DEC"/>
    <w:rsid w:val="00B07FEE"/>
    <w:rsid w:val="00B102FC"/>
    <w:rsid w:val="00B10A34"/>
    <w:rsid w:val="00B110F4"/>
    <w:rsid w:val="00B11FA0"/>
    <w:rsid w:val="00B121E6"/>
    <w:rsid w:val="00B125D5"/>
    <w:rsid w:val="00B131C6"/>
    <w:rsid w:val="00B13596"/>
    <w:rsid w:val="00B156D1"/>
    <w:rsid w:val="00B16429"/>
    <w:rsid w:val="00B16808"/>
    <w:rsid w:val="00B169A4"/>
    <w:rsid w:val="00B16D9A"/>
    <w:rsid w:val="00B20176"/>
    <w:rsid w:val="00B2055C"/>
    <w:rsid w:val="00B207D8"/>
    <w:rsid w:val="00B20C48"/>
    <w:rsid w:val="00B20D3C"/>
    <w:rsid w:val="00B21940"/>
    <w:rsid w:val="00B21C7D"/>
    <w:rsid w:val="00B22A72"/>
    <w:rsid w:val="00B234E6"/>
    <w:rsid w:val="00B24083"/>
    <w:rsid w:val="00B240A5"/>
    <w:rsid w:val="00B24F20"/>
    <w:rsid w:val="00B25DD6"/>
    <w:rsid w:val="00B26209"/>
    <w:rsid w:val="00B26687"/>
    <w:rsid w:val="00B27215"/>
    <w:rsid w:val="00B27EA2"/>
    <w:rsid w:val="00B319A4"/>
    <w:rsid w:val="00B3204F"/>
    <w:rsid w:val="00B32984"/>
    <w:rsid w:val="00B32EB6"/>
    <w:rsid w:val="00B337CA"/>
    <w:rsid w:val="00B33E86"/>
    <w:rsid w:val="00B3428E"/>
    <w:rsid w:val="00B34686"/>
    <w:rsid w:val="00B349AC"/>
    <w:rsid w:val="00B362E1"/>
    <w:rsid w:val="00B36577"/>
    <w:rsid w:val="00B36A05"/>
    <w:rsid w:val="00B36ED3"/>
    <w:rsid w:val="00B40001"/>
    <w:rsid w:val="00B400DB"/>
    <w:rsid w:val="00B42F2E"/>
    <w:rsid w:val="00B43466"/>
    <w:rsid w:val="00B43B96"/>
    <w:rsid w:val="00B449D1"/>
    <w:rsid w:val="00B4541F"/>
    <w:rsid w:val="00B45583"/>
    <w:rsid w:val="00B45B7A"/>
    <w:rsid w:val="00B46195"/>
    <w:rsid w:val="00B46B6A"/>
    <w:rsid w:val="00B46D80"/>
    <w:rsid w:val="00B47314"/>
    <w:rsid w:val="00B47CDE"/>
    <w:rsid w:val="00B51292"/>
    <w:rsid w:val="00B513FE"/>
    <w:rsid w:val="00B53257"/>
    <w:rsid w:val="00B53617"/>
    <w:rsid w:val="00B53B68"/>
    <w:rsid w:val="00B53D02"/>
    <w:rsid w:val="00B5450A"/>
    <w:rsid w:val="00B54600"/>
    <w:rsid w:val="00B56587"/>
    <w:rsid w:val="00B56594"/>
    <w:rsid w:val="00B56A88"/>
    <w:rsid w:val="00B5708C"/>
    <w:rsid w:val="00B57E4B"/>
    <w:rsid w:val="00B6023B"/>
    <w:rsid w:val="00B60FCB"/>
    <w:rsid w:val="00B6173C"/>
    <w:rsid w:val="00B61D17"/>
    <w:rsid w:val="00B63EE9"/>
    <w:rsid w:val="00B64E8F"/>
    <w:rsid w:val="00B6559F"/>
    <w:rsid w:val="00B6597A"/>
    <w:rsid w:val="00B65CFE"/>
    <w:rsid w:val="00B65E65"/>
    <w:rsid w:val="00B66127"/>
    <w:rsid w:val="00B6617F"/>
    <w:rsid w:val="00B667EB"/>
    <w:rsid w:val="00B67071"/>
    <w:rsid w:val="00B6719C"/>
    <w:rsid w:val="00B67E4B"/>
    <w:rsid w:val="00B70A84"/>
    <w:rsid w:val="00B70CB1"/>
    <w:rsid w:val="00B71787"/>
    <w:rsid w:val="00B71C39"/>
    <w:rsid w:val="00B721F6"/>
    <w:rsid w:val="00B731BB"/>
    <w:rsid w:val="00B734ED"/>
    <w:rsid w:val="00B73712"/>
    <w:rsid w:val="00B74202"/>
    <w:rsid w:val="00B74418"/>
    <w:rsid w:val="00B75816"/>
    <w:rsid w:val="00B759C0"/>
    <w:rsid w:val="00B80651"/>
    <w:rsid w:val="00B82170"/>
    <w:rsid w:val="00B825D9"/>
    <w:rsid w:val="00B82842"/>
    <w:rsid w:val="00B84431"/>
    <w:rsid w:val="00B853F9"/>
    <w:rsid w:val="00B85425"/>
    <w:rsid w:val="00B85762"/>
    <w:rsid w:val="00B85D59"/>
    <w:rsid w:val="00B86B25"/>
    <w:rsid w:val="00B86F02"/>
    <w:rsid w:val="00B87693"/>
    <w:rsid w:val="00B87DB4"/>
    <w:rsid w:val="00B904E4"/>
    <w:rsid w:val="00B905FC"/>
    <w:rsid w:val="00B90FE8"/>
    <w:rsid w:val="00B917A8"/>
    <w:rsid w:val="00B9204F"/>
    <w:rsid w:val="00B929CE"/>
    <w:rsid w:val="00B92FCF"/>
    <w:rsid w:val="00B9444D"/>
    <w:rsid w:val="00B945FE"/>
    <w:rsid w:val="00B95A48"/>
    <w:rsid w:val="00B970A4"/>
    <w:rsid w:val="00B97855"/>
    <w:rsid w:val="00B97ECD"/>
    <w:rsid w:val="00BA061F"/>
    <w:rsid w:val="00BA079A"/>
    <w:rsid w:val="00BA277F"/>
    <w:rsid w:val="00BA2D7D"/>
    <w:rsid w:val="00BA3C8B"/>
    <w:rsid w:val="00BA4155"/>
    <w:rsid w:val="00BA4378"/>
    <w:rsid w:val="00BA5587"/>
    <w:rsid w:val="00BA6434"/>
    <w:rsid w:val="00BA66EA"/>
    <w:rsid w:val="00BA7346"/>
    <w:rsid w:val="00BA7BCA"/>
    <w:rsid w:val="00BA7D14"/>
    <w:rsid w:val="00BA7FD6"/>
    <w:rsid w:val="00BB030E"/>
    <w:rsid w:val="00BB0428"/>
    <w:rsid w:val="00BB05E7"/>
    <w:rsid w:val="00BB0621"/>
    <w:rsid w:val="00BB0DE4"/>
    <w:rsid w:val="00BB1E00"/>
    <w:rsid w:val="00BB1E03"/>
    <w:rsid w:val="00BB2FE2"/>
    <w:rsid w:val="00BB30CF"/>
    <w:rsid w:val="00BB4421"/>
    <w:rsid w:val="00BB4887"/>
    <w:rsid w:val="00BB55ED"/>
    <w:rsid w:val="00BB5721"/>
    <w:rsid w:val="00BC11E2"/>
    <w:rsid w:val="00BC1DCC"/>
    <w:rsid w:val="00BC26C0"/>
    <w:rsid w:val="00BC2FDB"/>
    <w:rsid w:val="00BC3B23"/>
    <w:rsid w:val="00BC42AF"/>
    <w:rsid w:val="00BC4471"/>
    <w:rsid w:val="00BC4A30"/>
    <w:rsid w:val="00BC4A90"/>
    <w:rsid w:val="00BC5334"/>
    <w:rsid w:val="00BC6026"/>
    <w:rsid w:val="00BC6061"/>
    <w:rsid w:val="00BC6A12"/>
    <w:rsid w:val="00BC7A84"/>
    <w:rsid w:val="00BC7CF4"/>
    <w:rsid w:val="00BC7F3D"/>
    <w:rsid w:val="00BD0F58"/>
    <w:rsid w:val="00BD13D8"/>
    <w:rsid w:val="00BD1CE5"/>
    <w:rsid w:val="00BD2860"/>
    <w:rsid w:val="00BD327A"/>
    <w:rsid w:val="00BD349B"/>
    <w:rsid w:val="00BD398B"/>
    <w:rsid w:val="00BD3A56"/>
    <w:rsid w:val="00BD5A3D"/>
    <w:rsid w:val="00BD61A8"/>
    <w:rsid w:val="00BD6459"/>
    <w:rsid w:val="00BD6714"/>
    <w:rsid w:val="00BD6DF0"/>
    <w:rsid w:val="00BD745F"/>
    <w:rsid w:val="00BE1064"/>
    <w:rsid w:val="00BE14F4"/>
    <w:rsid w:val="00BE1820"/>
    <w:rsid w:val="00BE1D76"/>
    <w:rsid w:val="00BE1D92"/>
    <w:rsid w:val="00BE2C6C"/>
    <w:rsid w:val="00BE3CD6"/>
    <w:rsid w:val="00BE5BC1"/>
    <w:rsid w:val="00BE62F1"/>
    <w:rsid w:val="00BE63A7"/>
    <w:rsid w:val="00BE6828"/>
    <w:rsid w:val="00BE77EC"/>
    <w:rsid w:val="00BF03F1"/>
    <w:rsid w:val="00BF053B"/>
    <w:rsid w:val="00BF199C"/>
    <w:rsid w:val="00BF1BF2"/>
    <w:rsid w:val="00BF1D61"/>
    <w:rsid w:val="00BF218A"/>
    <w:rsid w:val="00BF2D94"/>
    <w:rsid w:val="00BF3303"/>
    <w:rsid w:val="00BF3D6F"/>
    <w:rsid w:val="00BF477A"/>
    <w:rsid w:val="00BF5FBB"/>
    <w:rsid w:val="00BF68E0"/>
    <w:rsid w:val="00BF7334"/>
    <w:rsid w:val="00C003AB"/>
    <w:rsid w:val="00C0083B"/>
    <w:rsid w:val="00C012D5"/>
    <w:rsid w:val="00C013C5"/>
    <w:rsid w:val="00C01588"/>
    <w:rsid w:val="00C02AFC"/>
    <w:rsid w:val="00C043FD"/>
    <w:rsid w:val="00C0478B"/>
    <w:rsid w:val="00C047D6"/>
    <w:rsid w:val="00C0489F"/>
    <w:rsid w:val="00C05234"/>
    <w:rsid w:val="00C052D3"/>
    <w:rsid w:val="00C055CF"/>
    <w:rsid w:val="00C06502"/>
    <w:rsid w:val="00C065DD"/>
    <w:rsid w:val="00C06A90"/>
    <w:rsid w:val="00C06B2A"/>
    <w:rsid w:val="00C07078"/>
    <w:rsid w:val="00C0767A"/>
    <w:rsid w:val="00C1042D"/>
    <w:rsid w:val="00C1162A"/>
    <w:rsid w:val="00C11A89"/>
    <w:rsid w:val="00C121C1"/>
    <w:rsid w:val="00C1223E"/>
    <w:rsid w:val="00C131FF"/>
    <w:rsid w:val="00C135C4"/>
    <w:rsid w:val="00C13D55"/>
    <w:rsid w:val="00C15836"/>
    <w:rsid w:val="00C15EF3"/>
    <w:rsid w:val="00C165F6"/>
    <w:rsid w:val="00C171A0"/>
    <w:rsid w:val="00C1789C"/>
    <w:rsid w:val="00C17E85"/>
    <w:rsid w:val="00C20A03"/>
    <w:rsid w:val="00C20DED"/>
    <w:rsid w:val="00C2199F"/>
    <w:rsid w:val="00C21AFE"/>
    <w:rsid w:val="00C2243A"/>
    <w:rsid w:val="00C22E37"/>
    <w:rsid w:val="00C2370D"/>
    <w:rsid w:val="00C24249"/>
    <w:rsid w:val="00C2518F"/>
    <w:rsid w:val="00C253DA"/>
    <w:rsid w:val="00C2627F"/>
    <w:rsid w:val="00C26FDC"/>
    <w:rsid w:val="00C27B79"/>
    <w:rsid w:val="00C3079D"/>
    <w:rsid w:val="00C310A9"/>
    <w:rsid w:val="00C31837"/>
    <w:rsid w:val="00C31A2D"/>
    <w:rsid w:val="00C320FB"/>
    <w:rsid w:val="00C32173"/>
    <w:rsid w:val="00C322EE"/>
    <w:rsid w:val="00C328BF"/>
    <w:rsid w:val="00C3378A"/>
    <w:rsid w:val="00C34A03"/>
    <w:rsid w:val="00C34F6E"/>
    <w:rsid w:val="00C34FEB"/>
    <w:rsid w:val="00C357FE"/>
    <w:rsid w:val="00C364E8"/>
    <w:rsid w:val="00C378AD"/>
    <w:rsid w:val="00C404FA"/>
    <w:rsid w:val="00C40861"/>
    <w:rsid w:val="00C4131C"/>
    <w:rsid w:val="00C421C7"/>
    <w:rsid w:val="00C42572"/>
    <w:rsid w:val="00C42630"/>
    <w:rsid w:val="00C426F8"/>
    <w:rsid w:val="00C4350F"/>
    <w:rsid w:val="00C43B95"/>
    <w:rsid w:val="00C43D50"/>
    <w:rsid w:val="00C43F65"/>
    <w:rsid w:val="00C462DD"/>
    <w:rsid w:val="00C469E4"/>
    <w:rsid w:val="00C46BE6"/>
    <w:rsid w:val="00C47D80"/>
    <w:rsid w:val="00C47EC1"/>
    <w:rsid w:val="00C50EBA"/>
    <w:rsid w:val="00C5116C"/>
    <w:rsid w:val="00C5301F"/>
    <w:rsid w:val="00C5349E"/>
    <w:rsid w:val="00C537E0"/>
    <w:rsid w:val="00C538F8"/>
    <w:rsid w:val="00C53E0C"/>
    <w:rsid w:val="00C53FC9"/>
    <w:rsid w:val="00C55058"/>
    <w:rsid w:val="00C55175"/>
    <w:rsid w:val="00C552A6"/>
    <w:rsid w:val="00C559BF"/>
    <w:rsid w:val="00C55BC4"/>
    <w:rsid w:val="00C5730F"/>
    <w:rsid w:val="00C60154"/>
    <w:rsid w:val="00C60A1A"/>
    <w:rsid w:val="00C613D2"/>
    <w:rsid w:val="00C617BA"/>
    <w:rsid w:val="00C62A9D"/>
    <w:rsid w:val="00C633F7"/>
    <w:rsid w:val="00C63707"/>
    <w:rsid w:val="00C63825"/>
    <w:rsid w:val="00C64525"/>
    <w:rsid w:val="00C64E9E"/>
    <w:rsid w:val="00C658FB"/>
    <w:rsid w:val="00C6643E"/>
    <w:rsid w:val="00C66E4B"/>
    <w:rsid w:val="00C67CF0"/>
    <w:rsid w:val="00C700F2"/>
    <w:rsid w:val="00C710F6"/>
    <w:rsid w:val="00C712D9"/>
    <w:rsid w:val="00C7156E"/>
    <w:rsid w:val="00C71599"/>
    <w:rsid w:val="00C71DA3"/>
    <w:rsid w:val="00C72940"/>
    <w:rsid w:val="00C737C9"/>
    <w:rsid w:val="00C744B1"/>
    <w:rsid w:val="00C74E7A"/>
    <w:rsid w:val="00C7568D"/>
    <w:rsid w:val="00C75698"/>
    <w:rsid w:val="00C75E2D"/>
    <w:rsid w:val="00C76659"/>
    <w:rsid w:val="00C76E2C"/>
    <w:rsid w:val="00C80780"/>
    <w:rsid w:val="00C80796"/>
    <w:rsid w:val="00C80907"/>
    <w:rsid w:val="00C81AF4"/>
    <w:rsid w:val="00C8201C"/>
    <w:rsid w:val="00C8246F"/>
    <w:rsid w:val="00C82E23"/>
    <w:rsid w:val="00C837F9"/>
    <w:rsid w:val="00C84457"/>
    <w:rsid w:val="00C85E21"/>
    <w:rsid w:val="00C86421"/>
    <w:rsid w:val="00C86F99"/>
    <w:rsid w:val="00C87547"/>
    <w:rsid w:val="00C9049F"/>
    <w:rsid w:val="00C905E1"/>
    <w:rsid w:val="00C90800"/>
    <w:rsid w:val="00C91E8C"/>
    <w:rsid w:val="00C93360"/>
    <w:rsid w:val="00C934A7"/>
    <w:rsid w:val="00C94599"/>
    <w:rsid w:val="00C9600E"/>
    <w:rsid w:val="00C9767C"/>
    <w:rsid w:val="00C97F01"/>
    <w:rsid w:val="00CA052C"/>
    <w:rsid w:val="00CA098E"/>
    <w:rsid w:val="00CA0A19"/>
    <w:rsid w:val="00CA0F7C"/>
    <w:rsid w:val="00CA2649"/>
    <w:rsid w:val="00CA278C"/>
    <w:rsid w:val="00CA2991"/>
    <w:rsid w:val="00CA361D"/>
    <w:rsid w:val="00CA4A2B"/>
    <w:rsid w:val="00CA4A3D"/>
    <w:rsid w:val="00CA5D42"/>
    <w:rsid w:val="00CA79E2"/>
    <w:rsid w:val="00CB0504"/>
    <w:rsid w:val="00CB1117"/>
    <w:rsid w:val="00CB1515"/>
    <w:rsid w:val="00CB164B"/>
    <w:rsid w:val="00CB1F8E"/>
    <w:rsid w:val="00CB270E"/>
    <w:rsid w:val="00CB2FBE"/>
    <w:rsid w:val="00CB33F8"/>
    <w:rsid w:val="00CB462C"/>
    <w:rsid w:val="00CB484E"/>
    <w:rsid w:val="00CB5900"/>
    <w:rsid w:val="00CB6031"/>
    <w:rsid w:val="00CB6519"/>
    <w:rsid w:val="00CB67D0"/>
    <w:rsid w:val="00CB6878"/>
    <w:rsid w:val="00CB70BD"/>
    <w:rsid w:val="00CC03BA"/>
    <w:rsid w:val="00CC08A0"/>
    <w:rsid w:val="00CC1386"/>
    <w:rsid w:val="00CC172C"/>
    <w:rsid w:val="00CC199B"/>
    <w:rsid w:val="00CC3AF2"/>
    <w:rsid w:val="00CC404B"/>
    <w:rsid w:val="00CC495D"/>
    <w:rsid w:val="00CC4A4E"/>
    <w:rsid w:val="00CC5721"/>
    <w:rsid w:val="00CC5C0B"/>
    <w:rsid w:val="00CC6292"/>
    <w:rsid w:val="00CC72CB"/>
    <w:rsid w:val="00CC7355"/>
    <w:rsid w:val="00CC79EA"/>
    <w:rsid w:val="00CD06C6"/>
    <w:rsid w:val="00CD0947"/>
    <w:rsid w:val="00CD0B5F"/>
    <w:rsid w:val="00CD10BC"/>
    <w:rsid w:val="00CD115F"/>
    <w:rsid w:val="00CD153C"/>
    <w:rsid w:val="00CD1705"/>
    <w:rsid w:val="00CD1A26"/>
    <w:rsid w:val="00CD2219"/>
    <w:rsid w:val="00CD2DFE"/>
    <w:rsid w:val="00CD48D4"/>
    <w:rsid w:val="00CD4E71"/>
    <w:rsid w:val="00CD6A2E"/>
    <w:rsid w:val="00CD6F4C"/>
    <w:rsid w:val="00CD7A82"/>
    <w:rsid w:val="00CE031A"/>
    <w:rsid w:val="00CE05F5"/>
    <w:rsid w:val="00CE0A30"/>
    <w:rsid w:val="00CE1DFF"/>
    <w:rsid w:val="00CE1F7F"/>
    <w:rsid w:val="00CE32F8"/>
    <w:rsid w:val="00CE3300"/>
    <w:rsid w:val="00CE390B"/>
    <w:rsid w:val="00CE4129"/>
    <w:rsid w:val="00CE4C9D"/>
    <w:rsid w:val="00CE4EA4"/>
    <w:rsid w:val="00CE50C4"/>
    <w:rsid w:val="00CE575F"/>
    <w:rsid w:val="00CE57DE"/>
    <w:rsid w:val="00CE647F"/>
    <w:rsid w:val="00CE66BB"/>
    <w:rsid w:val="00CE696A"/>
    <w:rsid w:val="00CE69DB"/>
    <w:rsid w:val="00CE6A2A"/>
    <w:rsid w:val="00CE6A53"/>
    <w:rsid w:val="00CE71EF"/>
    <w:rsid w:val="00CE73AD"/>
    <w:rsid w:val="00CE75F6"/>
    <w:rsid w:val="00CF038A"/>
    <w:rsid w:val="00CF065A"/>
    <w:rsid w:val="00CF127D"/>
    <w:rsid w:val="00CF181B"/>
    <w:rsid w:val="00CF23B9"/>
    <w:rsid w:val="00CF35E8"/>
    <w:rsid w:val="00CF3EC8"/>
    <w:rsid w:val="00CF4189"/>
    <w:rsid w:val="00CF4402"/>
    <w:rsid w:val="00CF4569"/>
    <w:rsid w:val="00CF4888"/>
    <w:rsid w:val="00CF4F70"/>
    <w:rsid w:val="00CF60EC"/>
    <w:rsid w:val="00CF7E56"/>
    <w:rsid w:val="00D00492"/>
    <w:rsid w:val="00D00AA3"/>
    <w:rsid w:val="00D01014"/>
    <w:rsid w:val="00D018A0"/>
    <w:rsid w:val="00D01D34"/>
    <w:rsid w:val="00D02699"/>
    <w:rsid w:val="00D03D7B"/>
    <w:rsid w:val="00D04071"/>
    <w:rsid w:val="00D04157"/>
    <w:rsid w:val="00D0433D"/>
    <w:rsid w:val="00D046D6"/>
    <w:rsid w:val="00D0490A"/>
    <w:rsid w:val="00D05068"/>
    <w:rsid w:val="00D05B1B"/>
    <w:rsid w:val="00D068E3"/>
    <w:rsid w:val="00D0764C"/>
    <w:rsid w:val="00D07F60"/>
    <w:rsid w:val="00D1088D"/>
    <w:rsid w:val="00D11238"/>
    <w:rsid w:val="00D11D67"/>
    <w:rsid w:val="00D12A0D"/>
    <w:rsid w:val="00D12D17"/>
    <w:rsid w:val="00D12D91"/>
    <w:rsid w:val="00D135A5"/>
    <w:rsid w:val="00D1388C"/>
    <w:rsid w:val="00D13D54"/>
    <w:rsid w:val="00D13E42"/>
    <w:rsid w:val="00D145D4"/>
    <w:rsid w:val="00D15EEA"/>
    <w:rsid w:val="00D20BA9"/>
    <w:rsid w:val="00D224E7"/>
    <w:rsid w:val="00D22FB3"/>
    <w:rsid w:val="00D236C2"/>
    <w:rsid w:val="00D23814"/>
    <w:rsid w:val="00D251AB"/>
    <w:rsid w:val="00D25292"/>
    <w:rsid w:val="00D25507"/>
    <w:rsid w:val="00D256E5"/>
    <w:rsid w:val="00D25A2C"/>
    <w:rsid w:val="00D26E1C"/>
    <w:rsid w:val="00D274D2"/>
    <w:rsid w:val="00D2786B"/>
    <w:rsid w:val="00D3122B"/>
    <w:rsid w:val="00D31B75"/>
    <w:rsid w:val="00D3201B"/>
    <w:rsid w:val="00D33326"/>
    <w:rsid w:val="00D347E9"/>
    <w:rsid w:val="00D34D53"/>
    <w:rsid w:val="00D34F0D"/>
    <w:rsid w:val="00D3532B"/>
    <w:rsid w:val="00D35A2B"/>
    <w:rsid w:val="00D36388"/>
    <w:rsid w:val="00D364BC"/>
    <w:rsid w:val="00D37712"/>
    <w:rsid w:val="00D37D94"/>
    <w:rsid w:val="00D401FA"/>
    <w:rsid w:val="00D407CC"/>
    <w:rsid w:val="00D40919"/>
    <w:rsid w:val="00D41146"/>
    <w:rsid w:val="00D417DB"/>
    <w:rsid w:val="00D42794"/>
    <w:rsid w:val="00D42ADB"/>
    <w:rsid w:val="00D42CDC"/>
    <w:rsid w:val="00D43F32"/>
    <w:rsid w:val="00D44575"/>
    <w:rsid w:val="00D44D89"/>
    <w:rsid w:val="00D44DCE"/>
    <w:rsid w:val="00D453A1"/>
    <w:rsid w:val="00D46546"/>
    <w:rsid w:val="00D46A00"/>
    <w:rsid w:val="00D46D25"/>
    <w:rsid w:val="00D516D3"/>
    <w:rsid w:val="00D517B4"/>
    <w:rsid w:val="00D518D2"/>
    <w:rsid w:val="00D52AB6"/>
    <w:rsid w:val="00D52D4B"/>
    <w:rsid w:val="00D5360A"/>
    <w:rsid w:val="00D53D03"/>
    <w:rsid w:val="00D540AB"/>
    <w:rsid w:val="00D54A42"/>
    <w:rsid w:val="00D56598"/>
    <w:rsid w:val="00D56C08"/>
    <w:rsid w:val="00D5764E"/>
    <w:rsid w:val="00D577D1"/>
    <w:rsid w:val="00D57A67"/>
    <w:rsid w:val="00D61112"/>
    <w:rsid w:val="00D62347"/>
    <w:rsid w:val="00D64D10"/>
    <w:rsid w:val="00D65856"/>
    <w:rsid w:val="00D66903"/>
    <w:rsid w:val="00D67422"/>
    <w:rsid w:val="00D70A0F"/>
    <w:rsid w:val="00D719E8"/>
    <w:rsid w:val="00D71AFB"/>
    <w:rsid w:val="00D723DA"/>
    <w:rsid w:val="00D7255C"/>
    <w:rsid w:val="00D72856"/>
    <w:rsid w:val="00D72E86"/>
    <w:rsid w:val="00D74166"/>
    <w:rsid w:val="00D74F8F"/>
    <w:rsid w:val="00D75373"/>
    <w:rsid w:val="00D764A3"/>
    <w:rsid w:val="00D76BB7"/>
    <w:rsid w:val="00D80F3A"/>
    <w:rsid w:val="00D82839"/>
    <w:rsid w:val="00D82BCE"/>
    <w:rsid w:val="00D82DA2"/>
    <w:rsid w:val="00D82E48"/>
    <w:rsid w:val="00D83DCA"/>
    <w:rsid w:val="00D844AB"/>
    <w:rsid w:val="00D851BB"/>
    <w:rsid w:val="00D8521D"/>
    <w:rsid w:val="00D861C2"/>
    <w:rsid w:val="00D86267"/>
    <w:rsid w:val="00D86582"/>
    <w:rsid w:val="00D86B73"/>
    <w:rsid w:val="00D87574"/>
    <w:rsid w:val="00D87C5D"/>
    <w:rsid w:val="00D90DA0"/>
    <w:rsid w:val="00D935C4"/>
    <w:rsid w:val="00D9579F"/>
    <w:rsid w:val="00D95979"/>
    <w:rsid w:val="00D95C97"/>
    <w:rsid w:val="00D96CC2"/>
    <w:rsid w:val="00D97057"/>
    <w:rsid w:val="00D97559"/>
    <w:rsid w:val="00DA0229"/>
    <w:rsid w:val="00DA0897"/>
    <w:rsid w:val="00DA0A99"/>
    <w:rsid w:val="00DA15D2"/>
    <w:rsid w:val="00DA27B9"/>
    <w:rsid w:val="00DA29D1"/>
    <w:rsid w:val="00DA30D8"/>
    <w:rsid w:val="00DA3C65"/>
    <w:rsid w:val="00DA3CE0"/>
    <w:rsid w:val="00DA4E66"/>
    <w:rsid w:val="00DA4FA3"/>
    <w:rsid w:val="00DA68E6"/>
    <w:rsid w:val="00DA6975"/>
    <w:rsid w:val="00DA6AC1"/>
    <w:rsid w:val="00DA7461"/>
    <w:rsid w:val="00DA77FA"/>
    <w:rsid w:val="00DA7D1C"/>
    <w:rsid w:val="00DB0022"/>
    <w:rsid w:val="00DB127E"/>
    <w:rsid w:val="00DB139B"/>
    <w:rsid w:val="00DB1C28"/>
    <w:rsid w:val="00DB20F7"/>
    <w:rsid w:val="00DB2AAD"/>
    <w:rsid w:val="00DB3094"/>
    <w:rsid w:val="00DB3431"/>
    <w:rsid w:val="00DB3972"/>
    <w:rsid w:val="00DB3F40"/>
    <w:rsid w:val="00DB61C7"/>
    <w:rsid w:val="00DB6EF7"/>
    <w:rsid w:val="00DB763F"/>
    <w:rsid w:val="00DB7B4A"/>
    <w:rsid w:val="00DC0A31"/>
    <w:rsid w:val="00DC10CC"/>
    <w:rsid w:val="00DC215E"/>
    <w:rsid w:val="00DC2824"/>
    <w:rsid w:val="00DC2B34"/>
    <w:rsid w:val="00DC2B56"/>
    <w:rsid w:val="00DC33C3"/>
    <w:rsid w:val="00DC3963"/>
    <w:rsid w:val="00DC3CAC"/>
    <w:rsid w:val="00DC44A5"/>
    <w:rsid w:val="00DC5976"/>
    <w:rsid w:val="00DC61C5"/>
    <w:rsid w:val="00DC667E"/>
    <w:rsid w:val="00DC69A0"/>
    <w:rsid w:val="00DC7DAF"/>
    <w:rsid w:val="00DD0713"/>
    <w:rsid w:val="00DD1090"/>
    <w:rsid w:val="00DD1520"/>
    <w:rsid w:val="00DD1903"/>
    <w:rsid w:val="00DD1A3B"/>
    <w:rsid w:val="00DD2065"/>
    <w:rsid w:val="00DD2BEC"/>
    <w:rsid w:val="00DD3051"/>
    <w:rsid w:val="00DD3A56"/>
    <w:rsid w:val="00DD456D"/>
    <w:rsid w:val="00DD46CA"/>
    <w:rsid w:val="00DD4A81"/>
    <w:rsid w:val="00DD5605"/>
    <w:rsid w:val="00DD5716"/>
    <w:rsid w:val="00DD5FBC"/>
    <w:rsid w:val="00DD64AD"/>
    <w:rsid w:val="00DD6BDA"/>
    <w:rsid w:val="00DD707A"/>
    <w:rsid w:val="00DD776F"/>
    <w:rsid w:val="00DD7827"/>
    <w:rsid w:val="00DD7F79"/>
    <w:rsid w:val="00DE0573"/>
    <w:rsid w:val="00DE27E3"/>
    <w:rsid w:val="00DE2840"/>
    <w:rsid w:val="00DE2A9B"/>
    <w:rsid w:val="00DE348F"/>
    <w:rsid w:val="00DE3907"/>
    <w:rsid w:val="00DE3A0D"/>
    <w:rsid w:val="00DE42C0"/>
    <w:rsid w:val="00DE4ACE"/>
    <w:rsid w:val="00DE521C"/>
    <w:rsid w:val="00DE5D48"/>
    <w:rsid w:val="00DE643A"/>
    <w:rsid w:val="00DE6590"/>
    <w:rsid w:val="00DE65D9"/>
    <w:rsid w:val="00DE7AC1"/>
    <w:rsid w:val="00DF033F"/>
    <w:rsid w:val="00DF0ED4"/>
    <w:rsid w:val="00DF11F1"/>
    <w:rsid w:val="00DF1DBD"/>
    <w:rsid w:val="00DF2899"/>
    <w:rsid w:val="00DF3E05"/>
    <w:rsid w:val="00DF422F"/>
    <w:rsid w:val="00DF4557"/>
    <w:rsid w:val="00DF5A06"/>
    <w:rsid w:val="00DF60D3"/>
    <w:rsid w:val="00DF7072"/>
    <w:rsid w:val="00DF7320"/>
    <w:rsid w:val="00DF7897"/>
    <w:rsid w:val="00DF7F27"/>
    <w:rsid w:val="00E00686"/>
    <w:rsid w:val="00E02B92"/>
    <w:rsid w:val="00E03753"/>
    <w:rsid w:val="00E05A52"/>
    <w:rsid w:val="00E06F82"/>
    <w:rsid w:val="00E07ECB"/>
    <w:rsid w:val="00E10446"/>
    <w:rsid w:val="00E10AAD"/>
    <w:rsid w:val="00E114F8"/>
    <w:rsid w:val="00E11D41"/>
    <w:rsid w:val="00E11FEE"/>
    <w:rsid w:val="00E12DF9"/>
    <w:rsid w:val="00E13002"/>
    <w:rsid w:val="00E1364B"/>
    <w:rsid w:val="00E13963"/>
    <w:rsid w:val="00E13966"/>
    <w:rsid w:val="00E14140"/>
    <w:rsid w:val="00E144A9"/>
    <w:rsid w:val="00E14D66"/>
    <w:rsid w:val="00E16313"/>
    <w:rsid w:val="00E164B2"/>
    <w:rsid w:val="00E1744E"/>
    <w:rsid w:val="00E205A9"/>
    <w:rsid w:val="00E2071B"/>
    <w:rsid w:val="00E20754"/>
    <w:rsid w:val="00E21725"/>
    <w:rsid w:val="00E22196"/>
    <w:rsid w:val="00E229AE"/>
    <w:rsid w:val="00E23FA6"/>
    <w:rsid w:val="00E2459A"/>
    <w:rsid w:val="00E24871"/>
    <w:rsid w:val="00E24F99"/>
    <w:rsid w:val="00E25502"/>
    <w:rsid w:val="00E25653"/>
    <w:rsid w:val="00E257C1"/>
    <w:rsid w:val="00E25C8E"/>
    <w:rsid w:val="00E26760"/>
    <w:rsid w:val="00E272F6"/>
    <w:rsid w:val="00E27381"/>
    <w:rsid w:val="00E30406"/>
    <w:rsid w:val="00E30438"/>
    <w:rsid w:val="00E30BF9"/>
    <w:rsid w:val="00E313AD"/>
    <w:rsid w:val="00E31BD8"/>
    <w:rsid w:val="00E3246B"/>
    <w:rsid w:val="00E325D8"/>
    <w:rsid w:val="00E328FF"/>
    <w:rsid w:val="00E32961"/>
    <w:rsid w:val="00E32AD3"/>
    <w:rsid w:val="00E331B7"/>
    <w:rsid w:val="00E3365B"/>
    <w:rsid w:val="00E336E4"/>
    <w:rsid w:val="00E3400D"/>
    <w:rsid w:val="00E34436"/>
    <w:rsid w:val="00E34996"/>
    <w:rsid w:val="00E34CEB"/>
    <w:rsid w:val="00E3538C"/>
    <w:rsid w:val="00E35810"/>
    <w:rsid w:val="00E35F86"/>
    <w:rsid w:val="00E3648E"/>
    <w:rsid w:val="00E37263"/>
    <w:rsid w:val="00E374F7"/>
    <w:rsid w:val="00E37608"/>
    <w:rsid w:val="00E37751"/>
    <w:rsid w:val="00E37BDB"/>
    <w:rsid w:val="00E403F4"/>
    <w:rsid w:val="00E4079E"/>
    <w:rsid w:val="00E40D7F"/>
    <w:rsid w:val="00E41A03"/>
    <w:rsid w:val="00E41ABD"/>
    <w:rsid w:val="00E41E65"/>
    <w:rsid w:val="00E421CC"/>
    <w:rsid w:val="00E425E6"/>
    <w:rsid w:val="00E429EF"/>
    <w:rsid w:val="00E430DF"/>
    <w:rsid w:val="00E434F9"/>
    <w:rsid w:val="00E43CA1"/>
    <w:rsid w:val="00E44793"/>
    <w:rsid w:val="00E44950"/>
    <w:rsid w:val="00E44AD3"/>
    <w:rsid w:val="00E45377"/>
    <w:rsid w:val="00E45DC9"/>
    <w:rsid w:val="00E46EC3"/>
    <w:rsid w:val="00E47C67"/>
    <w:rsid w:val="00E514C7"/>
    <w:rsid w:val="00E5156F"/>
    <w:rsid w:val="00E51BC2"/>
    <w:rsid w:val="00E51E96"/>
    <w:rsid w:val="00E52404"/>
    <w:rsid w:val="00E52A34"/>
    <w:rsid w:val="00E52F36"/>
    <w:rsid w:val="00E544B6"/>
    <w:rsid w:val="00E545B0"/>
    <w:rsid w:val="00E54861"/>
    <w:rsid w:val="00E54AFA"/>
    <w:rsid w:val="00E5516A"/>
    <w:rsid w:val="00E55347"/>
    <w:rsid w:val="00E5556C"/>
    <w:rsid w:val="00E55890"/>
    <w:rsid w:val="00E55D8D"/>
    <w:rsid w:val="00E56A40"/>
    <w:rsid w:val="00E57667"/>
    <w:rsid w:val="00E600C0"/>
    <w:rsid w:val="00E603F8"/>
    <w:rsid w:val="00E60ED2"/>
    <w:rsid w:val="00E60FC4"/>
    <w:rsid w:val="00E615F5"/>
    <w:rsid w:val="00E62CB9"/>
    <w:rsid w:val="00E62CD8"/>
    <w:rsid w:val="00E64E53"/>
    <w:rsid w:val="00E65A41"/>
    <w:rsid w:val="00E6715F"/>
    <w:rsid w:val="00E673FD"/>
    <w:rsid w:val="00E70061"/>
    <w:rsid w:val="00E7096F"/>
    <w:rsid w:val="00E71682"/>
    <w:rsid w:val="00E720FC"/>
    <w:rsid w:val="00E72401"/>
    <w:rsid w:val="00E7271A"/>
    <w:rsid w:val="00E7376C"/>
    <w:rsid w:val="00E748B6"/>
    <w:rsid w:val="00E74950"/>
    <w:rsid w:val="00E751F9"/>
    <w:rsid w:val="00E753B5"/>
    <w:rsid w:val="00E7566B"/>
    <w:rsid w:val="00E75F11"/>
    <w:rsid w:val="00E7700B"/>
    <w:rsid w:val="00E77C6E"/>
    <w:rsid w:val="00E809EB"/>
    <w:rsid w:val="00E8501C"/>
    <w:rsid w:val="00E851A5"/>
    <w:rsid w:val="00E851AA"/>
    <w:rsid w:val="00E8576B"/>
    <w:rsid w:val="00E85A30"/>
    <w:rsid w:val="00E85FBE"/>
    <w:rsid w:val="00E863FA"/>
    <w:rsid w:val="00E86CBC"/>
    <w:rsid w:val="00E870AB"/>
    <w:rsid w:val="00E9082B"/>
    <w:rsid w:val="00E911CE"/>
    <w:rsid w:val="00E91664"/>
    <w:rsid w:val="00E91C0B"/>
    <w:rsid w:val="00E924C5"/>
    <w:rsid w:val="00E92AD8"/>
    <w:rsid w:val="00E92D29"/>
    <w:rsid w:val="00E92D44"/>
    <w:rsid w:val="00E92ECA"/>
    <w:rsid w:val="00E9394D"/>
    <w:rsid w:val="00E94337"/>
    <w:rsid w:val="00E94965"/>
    <w:rsid w:val="00E94A5A"/>
    <w:rsid w:val="00E96BBA"/>
    <w:rsid w:val="00E973A0"/>
    <w:rsid w:val="00E975EF"/>
    <w:rsid w:val="00EA11FC"/>
    <w:rsid w:val="00EA1C42"/>
    <w:rsid w:val="00EA2324"/>
    <w:rsid w:val="00EA3529"/>
    <w:rsid w:val="00EA42DD"/>
    <w:rsid w:val="00EA49B8"/>
    <w:rsid w:val="00EA4A5A"/>
    <w:rsid w:val="00EA4F11"/>
    <w:rsid w:val="00EA5A37"/>
    <w:rsid w:val="00EA5F42"/>
    <w:rsid w:val="00EA61F1"/>
    <w:rsid w:val="00EA62A2"/>
    <w:rsid w:val="00EA655B"/>
    <w:rsid w:val="00EA68D6"/>
    <w:rsid w:val="00EA6C92"/>
    <w:rsid w:val="00EA7669"/>
    <w:rsid w:val="00EA7C44"/>
    <w:rsid w:val="00EB016A"/>
    <w:rsid w:val="00EB0C1A"/>
    <w:rsid w:val="00EB15FB"/>
    <w:rsid w:val="00EB1E31"/>
    <w:rsid w:val="00EB1EA2"/>
    <w:rsid w:val="00EB21C2"/>
    <w:rsid w:val="00EB26ED"/>
    <w:rsid w:val="00EB279C"/>
    <w:rsid w:val="00EB320E"/>
    <w:rsid w:val="00EB4FFB"/>
    <w:rsid w:val="00EB598D"/>
    <w:rsid w:val="00EB7271"/>
    <w:rsid w:val="00EC0FD6"/>
    <w:rsid w:val="00EC190C"/>
    <w:rsid w:val="00EC27BB"/>
    <w:rsid w:val="00EC31D1"/>
    <w:rsid w:val="00EC3C4B"/>
    <w:rsid w:val="00EC3CF5"/>
    <w:rsid w:val="00EC3E9E"/>
    <w:rsid w:val="00EC42C8"/>
    <w:rsid w:val="00EC5A7B"/>
    <w:rsid w:val="00EC5B60"/>
    <w:rsid w:val="00EC5EF1"/>
    <w:rsid w:val="00EC6072"/>
    <w:rsid w:val="00EC75EC"/>
    <w:rsid w:val="00EC798B"/>
    <w:rsid w:val="00ED046A"/>
    <w:rsid w:val="00ED145A"/>
    <w:rsid w:val="00ED183B"/>
    <w:rsid w:val="00ED2F0F"/>
    <w:rsid w:val="00ED3203"/>
    <w:rsid w:val="00ED337A"/>
    <w:rsid w:val="00ED367A"/>
    <w:rsid w:val="00ED4A83"/>
    <w:rsid w:val="00ED50C9"/>
    <w:rsid w:val="00ED603D"/>
    <w:rsid w:val="00ED6328"/>
    <w:rsid w:val="00ED6345"/>
    <w:rsid w:val="00ED672A"/>
    <w:rsid w:val="00ED6BF1"/>
    <w:rsid w:val="00ED6C96"/>
    <w:rsid w:val="00ED6FE7"/>
    <w:rsid w:val="00ED7570"/>
    <w:rsid w:val="00ED7918"/>
    <w:rsid w:val="00EE01BA"/>
    <w:rsid w:val="00EE0A61"/>
    <w:rsid w:val="00EE1534"/>
    <w:rsid w:val="00EE199A"/>
    <w:rsid w:val="00EE3AD2"/>
    <w:rsid w:val="00EE558E"/>
    <w:rsid w:val="00EE645F"/>
    <w:rsid w:val="00EE6918"/>
    <w:rsid w:val="00EF0047"/>
    <w:rsid w:val="00EF072D"/>
    <w:rsid w:val="00EF135F"/>
    <w:rsid w:val="00EF1B00"/>
    <w:rsid w:val="00EF375B"/>
    <w:rsid w:val="00EF38F2"/>
    <w:rsid w:val="00EF41B6"/>
    <w:rsid w:val="00EF4A7B"/>
    <w:rsid w:val="00EF5ED3"/>
    <w:rsid w:val="00EF64A3"/>
    <w:rsid w:val="00EF71EE"/>
    <w:rsid w:val="00EF74B5"/>
    <w:rsid w:val="00EF7825"/>
    <w:rsid w:val="00F0044E"/>
    <w:rsid w:val="00F009A6"/>
    <w:rsid w:val="00F010E9"/>
    <w:rsid w:val="00F01974"/>
    <w:rsid w:val="00F0290D"/>
    <w:rsid w:val="00F02F72"/>
    <w:rsid w:val="00F0307B"/>
    <w:rsid w:val="00F03948"/>
    <w:rsid w:val="00F04771"/>
    <w:rsid w:val="00F04F98"/>
    <w:rsid w:val="00F05675"/>
    <w:rsid w:val="00F056BB"/>
    <w:rsid w:val="00F05F14"/>
    <w:rsid w:val="00F06DFD"/>
    <w:rsid w:val="00F0752F"/>
    <w:rsid w:val="00F075A1"/>
    <w:rsid w:val="00F0765A"/>
    <w:rsid w:val="00F10236"/>
    <w:rsid w:val="00F104E3"/>
    <w:rsid w:val="00F10A6C"/>
    <w:rsid w:val="00F11344"/>
    <w:rsid w:val="00F11621"/>
    <w:rsid w:val="00F125FA"/>
    <w:rsid w:val="00F1277D"/>
    <w:rsid w:val="00F135D5"/>
    <w:rsid w:val="00F137C8"/>
    <w:rsid w:val="00F13836"/>
    <w:rsid w:val="00F13863"/>
    <w:rsid w:val="00F13B9C"/>
    <w:rsid w:val="00F14190"/>
    <w:rsid w:val="00F14494"/>
    <w:rsid w:val="00F158B8"/>
    <w:rsid w:val="00F15C0E"/>
    <w:rsid w:val="00F16015"/>
    <w:rsid w:val="00F16A50"/>
    <w:rsid w:val="00F16B55"/>
    <w:rsid w:val="00F17396"/>
    <w:rsid w:val="00F17C65"/>
    <w:rsid w:val="00F20046"/>
    <w:rsid w:val="00F21062"/>
    <w:rsid w:val="00F215A0"/>
    <w:rsid w:val="00F21E7C"/>
    <w:rsid w:val="00F22176"/>
    <w:rsid w:val="00F228D8"/>
    <w:rsid w:val="00F22F76"/>
    <w:rsid w:val="00F2317A"/>
    <w:rsid w:val="00F23C66"/>
    <w:rsid w:val="00F23D8D"/>
    <w:rsid w:val="00F23F7E"/>
    <w:rsid w:val="00F242DC"/>
    <w:rsid w:val="00F24BD1"/>
    <w:rsid w:val="00F260C9"/>
    <w:rsid w:val="00F2635F"/>
    <w:rsid w:val="00F27191"/>
    <w:rsid w:val="00F27404"/>
    <w:rsid w:val="00F278C4"/>
    <w:rsid w:val="00F27DA3"/>
    <w:rsid w:val="00F3085A"/>
    <w:rsid w:val="00F30905"/>
    <w:rsid w:val="00F314A2"/>
    <w:rsid w:val="00F32894"/>
    <w:rsid w:val="00F32A44"/>
    <w:rsid w:val="00F32F58"/>
    <w:rsid w:val="00F333B8"/>
    <w:rsid w:val="00F33A07"/>
    <w:rsid w:val="00F33B22"/>
    <w:rsid w:val="00F33B6F"/>
    <w:rsid w:val="00F340D3"/>
    <w:rsid w:val="00F34415"/>
    <w:rsid w:val="00F3478A"/>
    <w:rsid w:val="00F353BC"/>
    <w:rsid w:val="00F35686"/>
    <w:rsid w:val="00F3614C"/>
    <w:rsid w:val="00F3738D"/>
    <w:rsid w:val="00F37786"/>
    <w:rsid w:val="00F377DB"/>
    <w:rsid w:val="00F37E99"/>
    <w:rsid w:val="00F41035"/>
    <w:rsid w:val="00F4242E"/>
    <w:rsid w:val="00F424A3"/>
    <w:rsid w:val="00F42F6A"/>
    <w:rsid w:val="00F431B8"/>
    <w:rsid w:val="00F43CF7"/>
    <w:rsid w:val="00F443AD"/>
    <w:rsid w:val="00F44F27"/>
    <w:rsid w:val="00F45B92"/>
    <w:rsid w:val="00F45F1D"/>
    <w:rsid w:val="00F46401"/>
    <w:rsid w:val="00F471FD"/>
    <w:rsid w:val="00F4768E"/>
    <w:rsid w:val="00F503E0"/>
    <w:rsid w:val="00F5043D"/>
    <w:rsid w:val="00F50BCC"/>
    <w:rsid w:val="00F50C08"/>
    <w:rsid w:val="00F5159B"/>
    <w:rsid w:val="00F51E48"/>
    <w:rsid w:val="00F52AC0"/>
    <w:rsid w:val="00F52E2D"/>
    <w:rsid w:val="00F536BB"/>
    <w:rsid w:val="00F54084"/>
    <w:rsid w:val="00F5476D"/>
    <w:rsid w:val="00F549A1"/>
    <w:rsid w:val="00F549DE"/>
    <w:rsid w:val="00F5603F"/>
    <w:rsid w:val="00F57DA4"/>
    <w:rsid w:val="00F603F8"/>
    <w:rsid w:val="00F6062F"/>
    <w:rsid w:val="00F606A7"/>
    <w:rsid w:val="00F606C2"/>
    <w:rsid w:val="00F60B09"/>
    <w:rsid w:val="00F61877"/>
    <w:rsid w:val="00F61ACE"/>
    <w:rsid w:val="00F61D84"/>
    <w:rsid w:val="00F64888"/>
    <w:rsid w:val="00F65260"/>
    <w:rsid w:val="00F6612D"/>
    <w:rsid w:val="00F662BB"/>
    <w:rsid w:val="00F66A9E"/>
    <w:rsid w:val="00F67239"/>
    <w:rsid w:val="00F70762"/>
    <w:rsid w:val="00F70856"/>
    <w:rsid w:val="00F721CA"/>
    <w:rsid w:val="00F72655"/>
    <w:rsid w:val="00F737D7"/>
    <w:rsid w:val="00F73B9F"/>
    <w:rsid w:val="00F740A0"/>
    <w:rsid w:val="00F74801"/>
    <w:rsid w:val="00F74AE7"/>
    <w:rsid w:val="00F75BB0"/>
    <w:rsid w:val="00F76B6A"/>
    <w:rsid w:val="00F76BEA"/>
    <w:rsid w:val="00F76C17"/>
    <w:rsid w:val="00F80F83"/>
    <w:rsid w:val="00F81011"/>
    <w:rsid w:val="00F81AEE"/>
    <w:rsid w:val="00F81B08"/>
    <w:rsid w:val="00F81BDE"/>
    <w:rsid w:val="00F8258B"/>
    <w:rsid w:val="00F82614"/>
    <w:rsid w:val="00F826C1"/>
    <w:rsid w:val="00F828EE"/>
    <w:rsid w:val="00F82D78"/>
    <w:rsid w:val="00F8373D"/>
    <w:rsid w:val="00F83970"/>
    <w:rsid w:val="00F84018"/>
    <w:rsid w:val="00F84B5A"/>
    <w:rsid w:val="00F84B93"/>
    <w:rsid w:val="00F84D11"/>
    <w:rsid w:val="00F855B5"/>
    <w:rsid w:val="00F858B5"/>
    <w:rsid w:val="00F85FF6"/>
    <w:rsid w:val="00F868C1"/>
    <w:rsid w:val="00F87A66"/>
    <w:rsid w:val="00F87CBF"/>
    <w:rsid w:val="00F9230A"/>
    <w:rsid w:val="00F92626"/>
    <w:rsid w:val="00F92B52"/>
    <w:rsid w:val="00F93BBC"/>
    <w:rsid w:val="00F9442A"/>
    <w:rsid w:val="00F94F5F"/>
    <w:rsid w:val="00F958C2"/>
    <w:rsid w:val="00F95F56"/>
    <w:rsid w:val="00F96137"/>
    <w:rsid w:val="00F9644D"/>
    <w:rsid w:val="00F97296"/>
    <w:rsid w:val="00F979AC"/>
    <w:rsid w:val="00FA0BA0"/>
    <w:rsid w:val="00FA19C1"/>
    <w:rsid w:val="00FA25EE"/>
    <w:rsid w:val="00FA34D2"/>
    <w:rsid w:val="00FA3B86"/>
    <w:rsid w:val="00FA4969"/>
    <w:rsid w:val="00FA53D7"/>
    <w:rsid w:val="00FA58E1"/>
    <w:rsid w:val="00FA60BD"/>
    <w:rsid w:val="00FA6796"/>
    <w:rsid w:val="00FA6DDC"/>
    <w:rsid w:val="00FA7557"/>
    <w:rsid w:val="00FA7558"/>
    <w:rsid w:val="00FA774E"/>
    <w:rsid w:val="00FB1905"/>
    <w:rsid w:val="00FB1E74"/>
    <w:rsid w:val="00FB2347"/>
    <w:rsid w:val="00FB2D85"/>
    <w:rsid w:val="00FB3587"/>
    <w:rsid w:val="00FB3B2E"/>
    <w:rsid w:val="00FB3D97"/>
    <w:rsid w:val="00FB440B"/>
    <w:rsid w:val="00FB4510"/>
    <w:rsid w:val="00FB4A92"/>
    <w:rsid w:val="00FB56AF"/>
    <w:rsid w:val="00FB585F"/>
    <w:rsid w:val="00FB5AA2"/>
    <w:rsid w:val="00FB63BC"/>
    <w:rsid w:val="00FB6514"/>
    <w:rsid w:val="00FC05C0"/>
    <w:rsid w:val="00FC085D"/>
    <w:rsid w:val="00FC1CE1"/>
    <w:rsid w:val="00FC29E0"/>
    <w:rsid w:val="00FC2B13"/>
    <w:rsid w:val="00FC3E96"/>
    <w:rsid w:val="00FC5728"/>
    <w:rsid w:val="00FC572D"/>
    <w:rsid w:val="00FC6714"/>
    <w:rsid w:val="00FC6E87"/>
    <w:rsid w:val="00FC7EBB"/>
    <w:rsid w:val="00FC7F08"/>
    <w:rsid w:val="00FD0FD1"/>
    <w:rsid w:val="00FD106D"/>
    <w:rsid w:val="00FD13AA"/>
    <w:rsid w:val="00FD1975"/>
    <w:rsid w:val="00FD1A3D"/>
    <w:rsid w:val="00FD2191"/>
    <w:rsid w:val="00FD266B"/>
    <w:rsid w:val="00FD2B28"/>
    <w:rsid w:val="00FD2D33"/>
    <w:rsid w:val="00FD4710"/>
    <w:rsid w:val="00FD5B50"/>
    <w:rsid w:val="00FD63FC"/>
    <w:rsid w:val="00FE0670"/>
    <w:rsid w:val="00FE2147"/>
    <w:rsid w:val="00FE219D"/>
    <w:rsid w:val="00FE2455"/>
    <w:rsid w:val="00FE246F"/>
    <w:rsid w:val="00FE2620"/>
    <w:rsid w:val="00FE3864"/>
    <w:rsid w:val="00FE3E75"/>
    <w:rsid w:val="00FE4B0E"/>
    <w:rsid w:val="00FE4D6E"/>
    <w:rsid w:val="00FE6349"/>
    <w:rsid w:val="00FE7282"/>
    <w:rsid w:val="00FE7304"/>
    <w:rsid w:val="00FE78EF"/>
    <w:rsid w:val="00FE79B7"/>
    <w:rsid w:val="00FF0310"/>
    <w:rsid w:val="00FF11DA"/>
    <w:rsid w:val="00FF23DE"/>
    <w:rsid w:val="00FF2792"/>
    <w:rsid w:val="00FF3258"/>
    <w:rsid w:val="00FF38CF"/>
    <w:rsid w:val="00FF59D0"/>
    <w:rsid w:val="00FF7454"/>
    <w:rsid w:val="013D4B1C"/>
    <w:rsid w:val="01600A02"/>
    <w:rsid w:val="0168325F"/>
    <w:rsid w:val="016E5CDC"/>
    <w:rsid w:val="01B14A47"/>
    <w:rsid w:val="01D55328"/>
    <w:rsid w:val="01FB5C4F"/>
    <w:rsid w:val="022A246F"/>
    <w:rsid w:val="022B2C0A"/>
    <w:rsid w:val="024E4B4B"/>
    <w:rsid w:val="0256548E"/>
    <w:rsid w:val="02704AC1"/>
    <w:rsid w:val="028601C5"/>
    <w:rsid w:val="02890D36"/>
    <w:rsid w:val="029370C7"/>
    <w:rsid w:val="02987B74"/>
    <w:rsid w:val="0299635A"/>
    <w:rsid w:val="02D92355"/>
    <w:rsid w:val="02F32FFC"/>
    <w:rsid w:val="02FE014F"/>
    <w:rsid w:val="02FF41F8"/>
    <w:rsid w:val="0314419D"/>
    <w:rsid w:val="034258CD"/>
    <w:rsid w:val="03450399"/>
    <w:rsid w:val="03593DC5"/>
    <w:rsid w:val="035B12CD"/>
    <w:rsid w:val="03D12F2D"/>
    <w:rsid w:val="03D8291E"/>
    <w:rsid w:val="04402406"/>
    <w:rsid w:val="04A30FCF"/>
    <w:rsid w:val="04A722F0"/>
    <w:rsid w:val="04AE774F"/>
    <w:rsid w:val="04C11604"/>
    <w:rsid w:val="04E24159"/>
    <w:rsid w:val="04E81B1A"/>
    <w:rsid w:val="04EF308B"/>
    <w:rsid w:val="050140F6"/>
    <w:rsid w:val="05097AD0"/>
    <w:rsid w:val="05355B4E"/>
    <w:rsid w:val="054C4FD9"/>
    <w:rsid w:val="05997E8B"/>
    <w:rsid w:val="05C82A14"/>
    <w:rsid w:val="05CC0E93"/>
    <w:rsid w:val="05D26875"/>
    <w:rsid w:val="06086B80"/>
    <w:rsid w:val="06224324"/>
    <w:rsid w:val="06243FE8"/>
    <w:rsid w:val="06443FD4"/>
    <w:rsid w:val="067A1D26"/>
    <w:rsid w:val="06C323B5"/>
    <w:rsid w:val="06FA3E47"/>
    <w:rsid w:val="07277E4A"/>
    <w:rsid w:val="07303E30"/>
    <w:rsid w:val="07854B6B"/>
    <w:rsid w:val="07D16002"/>
    <w:rsid w:val="07D977EE"/>
    <w:rsid w:val="08073E22"/>
    <w:rsid w:val="084A4E7A"/>
    <w:rsid w:val="08607386"/>
    <w:rsid w:val="08822685"/>
    <w:rsid w:val="08837FE4"/>
    <w:rsid w:val="0886405D"/>
    <w:rsid w:val="08DC4C5E"/>
    <w:rsid w:val="08E91129"/>
    <w:rsid w:val="08FA104A"/>
    <w:rsid w:val="08FA57C7"/>
    <w:rsid w:val="09146774"/>
    <w:rsid w:val="09442803"/>
    <w:rsid w:val="099C263F"/>
    <w:rsid w:val="09A235A6"/>
    <w:rsid w:val="09A514F4"/>
    <w:rsid w:val="09AA1547"/>
    <w:rsid w:val="09C4212D"/>
    <w:rsid w:val="09C53944"/>
    <w:rsid w:val="09F369D7"/>
    <w:rsid w:val="0A0834FD"/>
    <w:rsid w:val="0A765FB8"/>
    <w:rsid w:val="0A814349"/>
    <w:rsid w:val="0AE637EE"/>
    <w:rsid w:val="0AF8308E"/>
    <w:rsid w:val="0B073AE9"/>
    <w:rsid w:val="0B0A5387"/>
    <w:rsid w:val="0B0F6A49"/>
    <w:rsid w:val="0B291406"/>
    <w:rsid w:val="0B352404"/>
    <w:rsid w:val="0B4E34C6"/>
    <w:rsid w:val="0B4E3F33"/>
    <w:rsid w:val="0B5750BC"/>
    <w:rsid w:val="0B7D1064"/>
    <w:rsid w:val="0B860EB1"/>
    <w:rsid w:val="0B925AA8"/>
    <w:rsid w:val="0BBB1258"/>
    <w:rsid w:val="0BD12BB2"/>
    <w:rsid w:val="0BE05B27"/>
    <w:rsid w:val="0C1D646C"/>
    <w:rsid w:val="0C4105DA"/>
    <w:rsid w:val="0C483CB5"/>
    <w:rsid w:val="0C575F26"/>
    <w:rsid w:val="0C5F0057"/>
    <w:rsid w:val="0C687194"/>
    <w:rsid w:val="0C7449DD"/>
    <w:rsid w:val="0C92510C"/>
    <w:rsid w:val="0CBD6B55"/>
    <w:rsid w:val="0CD43A0E"/>
    <w:rsid w:val="0CFB19FB"/>
    <w:rsid w:val="0D1644B7"/>
    <w:rsid w:val="0D1D4BC1"/>
    <w:rsid w:val="0D565D1A"/>
    <w:rsid w:val="0D675788"/>
    <w:rsid w:val="0D8D654B"/>
    <w:rsid w:val="0DA914DF"/>
    <w:rsid w:val="0DF465A6"/>
    <w:rsid w:val="0DFC36AD"/>
    <w:rsid w:val="0E263246"/>
    <w:rsid w:val="0E3015D7"/>
    <w:rsid w:val="0E3C50EF"/>
    <w:rsid w:val="0E502F4D"/>
    <w:rsid w:val="0E6A02CB"/>
    <w:rsid w:val="0E7C47EE"/>
    <w:rsid w:val="0E907A06"/>
    <w:rsid w:val="0EA512A6"/>
    <w:rsid w:val="0EB1519D"/>
    <w:rsid w:val="0EE52393"/>
    <w:rsid w:val="0F2D71C5"/>
    <w:rsid w:val="0F2E7896"/>
    <w:rsid w:val="0F5D75BF"/>
    <w:rsid w:val="0F6F59FF"/>
    <w:rsid w:val="0F9242C9"/>
    <w:rsid w:val="0FBC30F4"/>
    <w:rsid w:val="0FBF6BD6"/>
    <w:rsid w:val="0FD3569A"/>
    <w:rsid w:val="10022AD1"/>
    <w:rsid w:val="100625C1"/>
    <w:rsid w:val="101500B2"/>
    <w:rsid w:val="10301D7B"/>
    <w:rsid w:val="104A6951"/>
    <w:rsid w:val="10507C42"/>
    <w:rsid w:val="105A7962"/>
    <w:rsid w:val="105E2DE3"/>
    <w:rsid w:val="107514F4"/>
    <w:rsid w:val="109C3C4F"/>
    <w:rsid w:val="10B262A5"/>
    <w:rsid w:val="10B63FE7"/>
    <w:rsid w:val="10BA2C88"/>
    <w:rsid w:val="10CC4CEA"/>
    <w:rsid w:val="10D12BCF"/>
    <w:rsid w:val="10F17C33"/>
    <w:rsid w:val="11333889"/>
    <w:rsid w:val="11405FA6"/>
    <w:rsid w:val="114F5A7F"/>
    <w:rsid w:val="115C57C9"/>
    <w:rsid w:val="11804306"/>
    <w:rsid w:val="11BF6ECB"/>
    <w:rsid w:val="11D32976"/>
    <w:rsid w:val="11F62C07"/>
    <w:rsid w:val="124F3295"/>
    <w:rsid w:val="12C30C3D"/>
    <w:rsid w:val="132316DC"/>
    <w:rsid w:val="13737B75"/>
    <w:rsid w:val="13A43D9E"/>
    <w:rsid w:val="13B43E61"/>
    <w:rsid w:val="13BB1914"/>
    <w:rsid w:val="13C06F2A"/>
    <w:rsid w:val="13C94031"/>
    <w:rsid w:val="13F007CA"/>
    <w:rsid w:val="144542CF"/>
    <w:rsid w:val="146D2C0E"/>
    <w:rsid w:val="146E4BD8"/>
    <w:rsid w:val="14752DDD"/>
    <w:rsid w:val="147719A1"/>
    <w:rsid w:val="14867537"/>
    <w:rsid w:val="14881AC7"/>
    <w:rsid w:val="148C1946"/>
    <w:rsid w:val="149208C7"/>
    <w:rsid w:val="149A777C"/>
    <w:rsid w:val="14A10028"/>
    <w:rsid w:val="14B8240A"/>
    <w:rsid w:val="14D97F69"/>
    <w:rsid w:val="14E629C1"/>
    <w:rsid w:val="152266B8"/>
    <w:rsid w:val="154C7218"/>
    <w:rsid w:val="15520056"/>
    <w:rsid w:val="157B194C"/>
    <w:rsid w:val="15AA10FC"/>
    <w:rsid w:val="15B91E83"/>
    <w:rsid w:val="15D469C1"/>
    <w:rsid w:val="160B3BC9"/>
    <w:rsid w:val="16323F16"/>
    <w:rsid w:val="165350D5"/>
    <w:rsid w:val="16E32916"/>
    <w:rsid w:val="170A1F30"/>
    <w:rsid w:val="17530F90"/>
    <w:rsid w:val="17707100"/>
    <w:rsid w:val="17853822"/>
    <w:rsid w:val="179A43C1"/>
    <w:rsid w:val="17B93866"/>
    <w:rsid w:val="17C54B91"/>
    <w:rsid w:val="17E06C0C"/>
    <w:rsid w:val="1837499D"/>
    <w:rsid w:val="183F2B14"/>
    <w:rsid w:val="1869193F"/>
    <w:rsid w:val="18893D8F"/>
    <w:rsid w:val="18947263"/>
    <w:rsid w:val="18951F6A"/>
    <w:rsid w:val="18E65685"/>
    <w:rsid w:val="190A4EF2"/>
    <w:rsid w:val="1912647A"/>
    <w:rsid w:val="191C10A7"/>
    <w:rsid w:val="19434886"/>
    <w:rsid w:val="196C5A40"/>
    <w:rsid w:val="198463D0"/>
    <w:rsid w:val="19AF6752"/>
    <w:rsid w:val="19C2556A"/>
    <w:rsid w:val="19C41B53"/>
    <w:rsid w:val="19EC528A"/>
    <w:rsid w:val="19FE6FFE"/>
    <w:rsid w:val="1A08279E"/>
    <w:rsid w:val="1A121912"/>
    <w:rsid w:val="1A2608F3"/>
    <w:rsid w:val="1A336B23"/>
    <w:rsid w:val="1A383CBF"/>
    <w:rsid w:val="1A402B73"/>
    <w:rsid w:val="1A4C32C6"/>
    <w:rsid w:val="1A5D54D3"/>
    <w:rsid w:val="1A627516"/>
    <w:rsid w:val="1A655F05"/>
    <w:rsid w:val="1A7840BB"/>
    <w:rsid w:val="1ADA6B24"/>
    <w:rsid w:val="1ADE675F"/>
    <w:rsid w:val="1AF9516D"/>
    <w:rsid w:val="1B104AEF"/>
    <w:rsid w:val="1BA07A8F"/>
    <w:rsid w:val="1BB15445"/>
    <w:rsid w:val="1BCD57AB"/>
    <w:rsid w:val="1C0E1A98"/>
    <w:rsid w:val="1C381E84"/>
    <w:rsid w:val="1C490289"/>
    <w:rsid w:val="1C6F4FB4"/>
    <w:rsid w:val="1C8732D6"/>
    <w:rsid w:val="1C8B457A"/>
    <w:rsid w:val="1C9C2FC5"/>
    <w:rsid w:val="1CA6768D"/>
    <w:rsid w:val="1CC96E50"/>
    <w:rsid w:val="1CDB5968"/>
    <w:rsid w:val="1CDF6575"/>
    <w:rsid w:val="1D061E52"/>
    <w:rsid w:val="1D136074"/>
    <w:rsid w:val="1D1F6145"/>
    <w:rsid w:val="1D2624F4"/>
    <w:rsid w:val="1D412E8A"/>
    <w:rsid w:val="1D4330A6"/>
    <w:rsid w:val="1D54432D"/>
    <w:rsid w:val="1D6F271C"/>
    <w:rsid w:val="1DA63635"/>
    <w:rsid w:val="1DC3403B"/>
    <w:rsid w:val="1DFA76CE"/>
    <w:rsid w:val="1DFE5056"/>
    <w:rsid w:val="1E1D485B"/>
    <w:rsid w:val="1E1E212A"/>
    <w:rsid w:val="1E2D620F"/>
    <w:rsid w:val="1E422931"/>
    <w:rsid w:val="1E6257AE"/>
    <w:rsid w:val="1E6C3F37"/>
    <w:rsid w:val="1E6F681E"/>
    <w:rsid w:val="1EA25BAA"/>
    <w:rsid w:val="1EB37DB8"/>
    <w:rsid w:val="1EB65B04"/>
    <w:rsid w:val="1EFD773D"/>
    <w:rsid w:val="1F1A7E37"/>
    <w:rsid w:val="1F5E4382"/>
    <w:rsid w:val="1F8F2FC4"/>
    <w:rsid w:val="1FA066B4"/>
    <w:rsid w:val="1FB5210B"/>
    <w:rsid w:val="202D5948"/>
    <w:rsid w:val="20325EC0"/>
    <w:rsid w:val="20443F72"/>
    <w:rsid w:val="20621846"/>
    <w:rsid w:val="208244E5"/>
    <w:rsid w:val="208337BA"/>
    <w:rsid w:val="208F53EE"/>
    <w:rsid w:val="20A16A63"/>
    <w:rsid w:val="20AC248A"/>
    <w:rsid w:val="20D34741"/>
    <w:rsid w:val="2155607D"/>
    <w:rsid w:val="21667363"/>
    <w:rsid w:val="21856355"/>
    <w:rsid w:val="2190748C"/>
    <w:rsid w:val="21BD09EA"/>
    <w:rsid w:val="21C734F7"/>
    <w:rsid w:val="21D2510C"/>
    <w:rsid w:val="21F0363B"/>
    <w:rsid w:val="223E6C07"/>
    <w:rsid w:val="22590B18"/>
    <w:rsid w:val="228850B7"/>
    <w:rsid w:val="22B60C01"/>
    <w:rsid w:val="231879A1"/>
    <w:rsid w:val="23226E88"/>
    <w:rsid w:val="232625C1"/>
    <w:rsid w:val="2331285C"/>
    <w:rsid w:val="23731435"/>
    <w:rsid w:val="239A46F7"/>
    <w:rsid w:val="24076056"/>
    <w:rsid w:val="2411343C"/>
    <w:rsid w:val="241A61E3"/>
    <w:rsid w:val="241B11F0"/>
    <w:rsid w:val="241C01AD"/>
    <w:rsid w:val="24374FE7"/>
    <w:rsid w:val="24400A52"/>
    <w:rsid w:val="24681644"/>
    <w:rsid w:val="247C0C4C"/>
    <w:rsid w:val="249F6523"/>
    <w:rsid w:val="24AF3183"/>
    <w:rsid w:val="24B67467"/>
    <w:rsid w:val="24BF3300"/>
    <w:rsid w:val="24E3487F"/>
    <w:rsid w:val="24EE1B49"/>
    <w:rsid w:val="24FA6740"/>
    <w:rsid w:val="25545725"/>
    <w:rsid w:val="2594705E"/>
    <w:rsid w:val="25B84A72"/>
    <w:rsid w:val="25C96113"/>
    <w:rsid w:val="25D54AB7"/>
    <w:rsid w:val="25E710EE"/>
    <w:rsid w:val="263E69BB"/>
    <w:rsid w:val="2699467B"/>
    <w:rsid w:val="26A537CA"/>
    <w:rsid w:val="26B223D2"/>
    <w:rsid w:val="26C9119A"/>
    <w:rsid w:val="26CA35AD"/>
    <w:rsid w:val="26E90EA9"/>
    <w:rsid w:val="27624B0A"/>
    <w:rsid w:val="27653C19"/>
    <w:rsid w:val="27675EA2"/>
    <w:rsid w:val="27B066DA"/>
    <w:rsid w:val="27D50D9F"/>
    <w:rsid w:val="27DC6979"/>
    <w:rsid w:val="27EE1E60"/>
    <w:rsid w:val="27EE46AD"/>
    <w:rsid w:val="281A4A03"/>
    <w:rsid w:val="284249A6"/>
    <w:rsid w:val="28A53F20"/>
    <w:rsid w:val="28B1694E"/>
    <w:rsid w:val="28BC0562"/>
    <w:rsid w:val="29373393"/>
    <w:rsid w:val="29557225"/>
    <w:rsid w:val="296D0CD1"/>
    <w:rsid w:val="296D2A7D"/>
    <w:rsid w:val="29747D10"/>
    <w:rsid w:val="29BB2216"/>
    <w:rsid w:val="2A0E2DEA"/>
    <w:rsid w:val="2A2D713F"/>
    <w:rsid w:val="2A416914"/>
    <w:rsid w:val="2A423861"/>
    <w:rsid w:val="2A4915D0"/>
    <w:rsid w:val="2A63541A"/>
    <w:rsid w:val="2A6F29D9"/>
    <w:rsid w:val="2A8F5EDF"/>
    <w:rsid w:val="2AA84B6D"/>
    <w:rsid w:val="2ABF0192"/>
    <w:rsid w:val="2ACB0237"/>
    <w:rsid w:val="2AFB6893"/>
    <w:rsid w:val="2B4104F9"/>
    <w:rsid w:val="2B4C6B5C"/>
    <w:rsid w:val="2B593A95"/>
    <w:rsid w:val="2B632B65"/>
    <w:rsid w:val="2B761974"/>
    <w:rsid w:val="2B937D0B"/>
    <w:rsid w:val="2BDF21EC"/>
    <w:rsid w:val="2BFC4D1A"/>
    <w:rsid w:val="2C1005F7"/>
    <w:rsid w:val="2C131E96"/>
    <w:rsid w:val="2C3F0EDD"/>
    <w:rsid w:val="2C482C1C"/>
    <w:rsid w:val="2C4C7B94"/>
    <w:rsid w:val="2C7F77A0"/>
    <w:rsid w:val="2CB5119F"/>
    <w:rsid w:val="2CEB12F2"/>
    <w:rsid w:val="2CEE4F73"/>
    <w:rsid w:val="2D964B2C"/>
    <w:rsid w:val="2D9F72BB"/>
    <w:rsid w:val="2DA55B88"/>
    <w:rsid w:val="2DAD00C8"/>
    <w:rsid w:val="2DD65871"/>
    <w:rsid w:val="2DDE4097"/>
    <w:rsid w:val="2DF6381D"/>
    <w:rsid w:val="2E1E06B9"/>
    <w:rsid w:val="2E291E44"/>
    <w:rsid w:val="2E2C7917"/>
    <w:rsid w:val="2E317F48"/>
    <w:rsid w:val="2E896632"/>
    <w:rsid w:val="2EB61B31"/>
    <w:rsid w:val="2EBB79A5"/>
    <w:rsid w:val="2EF8259B"/>
    <w:rsid w:val="2F064E19"/>
    <w:rsid w:val="2F2954D5"/>
    <w:rsid w:val="2F3D15F2"/>
    <w:rsid w:val="2F665BC2"/>
    <w:rsid w:val="2F7E0CFF"/>
    <w:rsid w:val="2F854E58"/>
    <w:rsid w:val="2F8921D3"/>
    <w:rsid w:val="2F9959A7"/>
    <w:rsid w:val="2FDE4A00"/>
    <w:rsid w:val="2FEC137B"/>
    <w:rsid w:val="2FFFCEF5"/>
    <w:rsid w:val="304A6F2C"/>
    <w:rsid w:val="308E2455"/>
    <w:rsid w:val="30A957E4"/>
    <w:rsid w:val="30C56DD2"/>
    <w:rsid w:val="30EF26D5"/>
    <w:rsid w:val="313905F0"/>
    <w:rsid w:val="316201F2"/>
    <w:rsid w:val="31791FF8"/>
    <w:rsid w:val="31802F27"/>
    <w:rsid w:val="31843689"/>
    <w:rsid w:val="3198766B"/>
    <w:rsid w:val="319D0DD6"/>
    <w:rsid w:val="31CA573B"/>
    <w:rsid w:val="31F63E86"/>
    <w:rsid w:val="321014FC"/>
    <w:rsid w:val="32222C57"/>
    <w:rsid w:val="32513718"/>
    <w:rsid w:val="3293788C"/>
    <w:rsid w:val="329D4BAF"/>
    <w:rsid w:val="329F0927"/>
    <w:rsid w:val="32C0264B"/>
    <w:rsid w:val="32DE1F01"/>
    <w:rsid w:val="32FD2527"/>
    <w:rsid w:val="32FE32E0"/>
    <w:rsid w:val="331630E9"/>
    <w:rsid w:val="33356B95"/>
    <w:rsid w:val="33527747"/>
    <w:rsid w:val="335F3C12"/>
    <w:rsid w:val="335F6FD7"/>
    <w:rsid w:val="33837901"/>
    <w:rsid w:val="338A1331"/>
    <w:rsid w:val="33B771C8"/>
    <w:rsid w:val="341669C7"/>
    <w:rsid w:val="3437693D"/>
    <w:rsid w:val="345B087E"/>
    <w:rsid w:val="34781430"/>
    <w:rsid w:val="34802092"/>
    <w:rsid w:val="34B43250"/>
    <w:rsid w:val="34C131AF"/>
    <w:rsid w:val="34CF642A"/>
    <w:rsid w:val="34E34080"/>
    <w:rsid w:val="34E87C04"/>
    <w:rsid w:val="34ED3E0B"/>
    <w:rsid w:val="35170C48"/>
    <w:rsid w:val="35476355"/>
    <w:rsid w:val="356928AF"/>
    <w:rsid w:val="3579545F"/>
    <w:rsid w:val="35A46254"/>
    <w:rsid w:val="35D579E0"/>
    <w:rsid w:val="35DB17EF"/>
    <w:rsid w:val="35E35887"/>
    <w:rsid w:val="35F03135"/>
    <w:rsid w:val="36013D27"/>
    <w:rsid w:val="36025D97"/>
    <w:rsid w:val="361138EA"/>
    <w:rsid w:val="3615054F"/>
    <w:rsid w:val="36173F21"/>
    <w:rsid w:val="368E4F3A"/>
    <w:rsid w:val="36985DB9"/>
    <w:rsid w:val="36A007CA"/>
    <w:rsid w:val="36DB3EF8"/>
    <w:rsid w:val="36E47B9D"/>
    <w:rsid w:val="37110C64"/>
    <w:rsid w:val="37691503"/>
    <w:rsid w:val="37701F23"/>
    <w:rsid w:val="381004BD"/>
    <w:rsid w:val="3859271F"/>
    <w:rsid w:val="38733E42"/>
    <w:rsid w:val="38741F0E"/>
    <w:rsid w:val="387B79FF"/>
    <w:rsid w:val="388C6C01"/>
    <w:rsid w:val="389E43A6"/>
    <w:rsid w:val="38B82E6B"/>
    <w:rsid w:val="38C2712E"/>
    <w:rsid w:val="38DE46BA"/>
    <w:rsid w:val="38E70CD8"/>
    <w:rsid w:val="38FE128F"/>
    <w:rsid w:val="38FE7A29"/>
    <w:rsid w:val="390E4110"/>
    <w:rsid w:val="39167469"/>
    <w:rsid w:val="39474516"/>
    <w:rsid w:val="39677CC5"/>
    <w:rsid w:val="399F374B"/>
    <w:rsid w:val="39A62C24"/>
    <w:rsid w:val="39A93E39"/>
    <w:rsid w:val="39D9647A"/>
    <w:rsid w:val="39DF7ECE"/>
    <w:rsid w:val="39F907B5"/>
    <w:rsid w:val="3A29797A"/>
    <w:rsid w:val="3A3E409C"/>
    <w:rsid w:val="3A494FC3"/>
    <w:rsid w:val="3A5B7D04"/>
    <w:rsid w:val="3A856654"/>
    <w:rsid w:val="3AC4228B"/>
    <w:rsid w:val="3AC53AEC"/>
    <w:rsid w:val="3B1D351E"/>
    <w:rsid w:val="3B2301E5"/>
    <w:rsid w:val="3B2575DE"/>
    <w:rsid w:val="3B365BA1"/>
    <w:rsid w:val="3BAE5737"/>
    <w:rsid w:val="3C3519B4"/>
    <w:rsid w:val="3C596F67"/>
    <w:rsid w:val="3C60370E"/>
    <w:rsid w:val="3C682428"/>
    <w:rsid w:val="3CA344B1"/>
    <w:rsid w:val="3CE753A4"/>
    <w:rsid w:val="3D417B8C"/>
    <w:rsid w:val="3D4402AC"/>
    <w:rsid w:val="3D45031D"/>
    <w:rsid w:val="3D4C5F1D"/>
    <w:rsid w:val="3D695DB9"/>
    <w:rsid w:val="3D8449A1"/>
    <w:rsid w:val="3D8E51F5"/>
    <w:rsid w:val="3DB325F4"/>
    <w:rsid w:val="3DDD0555"/>
    <w:rsid w:val="3DF51079"/>
    <w:rsid w:val="3E06185A"/>
    <w:rsid w:val="3E0C4997"/>
    <w:rsid w:val="3E1A5671"/>
    <w:rsid w:val="3E483694"/>
    <w:rsid w:val="3E552EE8"/>
    <w:rsid w:val="3E667CEF"/>
    <w:rsid w:val="3E6F10C5"/>
    <w:rsid w:val="3E8A248B"/>
    <w:rsid w:val="3EA96969"/>
    <w:rsid w:val="3ED34AA0"/>
    <w:rsid w:val="3EF06563"/>
    <w:rsid w:val="3EF73899"/>
    <w:rsid w:val="3F14056A"/>
    <w:rsid w:val="3F2A54AE"/>
    <w:rsid w:val="3F2D2E17"/>
    <w:rsid w:val="3F542A99"/>
    <w:rsid w:val="3F63552B"/>
    <w:rsid w:val="3F6E789D"/>
    <w:rsid w:val="3FAC3D46"/>
    <w:rsid w:val="3FB53538"/>
    <w:rsid w:val="3FD01BE5"/>
    <w:rsid w:val="3FD634AE"/>
    <w:rsid w:val="3FDB7A15"/>
    <w:rsid w:val="3FE04FF8"/>
    <w:rsid w:val="3FED2FEE"/>
    <w:rsid w:val="3FF948DF"/>
    <w:rsid w:val="4005056A"/>
    <w:rsid w:val="403D52DB"/>
    <w:rsid w:val="40B118C6"/>
    <w:rsid w:val="40DC68A2"/>
    <w:rsid w:val="40E65C17"/>
    <w:rsid w:val="40EB11DB"/>
    <w:rsid w:val="412874F2"/>
    <w:rsid w:val="41456493"/>
    <w:rsid w:val="41566655"/>
    <w:rsid w:val="41605AED"/>
    <w:rsid w:val="417B7937"/>
    <w:rsid w:val="418036D2"/>
    <w:rsid w:val="41B55D1B"/>
    <w:rsid w:val="41D045A0"/>
    <w:rsid w:val="41D13F2D"/>
    <w:rsid w:val="41EF0857"/>
    <w:rsid w:val="42014C57"/>
    <w:rsid w:val="42161379"/>
    <w:rsid w:val="42323CE4"/>
    <w:rsid w:val="424C5CAA"/>
    <w:rsid w:val="42512785"/>
    <w:rsid w:val="42905B96"/>
    <w:rsid w:val="429531AD"/>
    <w:rsid w:val="42AF6075"/>
    <w:rsid w:val="42CF43AB"/>
    <w:rsid w:val="42EB2575"/>
    <w:rsid w:val="42EE6E5E"/>
    <w:rsid w:val="43204EC2"/>
    <w:rsid w:val="43636CBD"/>
    <w:rsid w:val="4383394D"/>
    <w:rsid w:val="439134E8"/>
    <w:rsid w:val="43916355"/>
    <w:rsid w:val="43C845C3"/>
    <w:rsid w:val="43CF425A"/>
    <w:rsid w:val="43D83C99"/>
    <w:rsid w:val="43ED4BC0"/>
    <w:rsid w:val="4427077C"/>
    <w:rsid w:val="444E6B40"/>
    <w:rsid w:val="44DA2723"/>
    <w:rsid w:val="44DA4046"/>
    <w:rsid w:val="44E01002"/>
    <w:rsid w:val="44F87A23"/>
    <w:rsid w:val="45123FBD"/>
    <w:rsid w:val="454202BC"/>
    <w:rsid w:val="455E1E07"/>
    <w:rsid w:val="45CF5A88"/>
    <w:rsid w:val="45EE7D6C"/>
    <w:rsid w:val="45FB77CB"/>
    <w:rsid w:val="461A767A"/>
    <w:rsid w:val="46252A2C"/>
    <w:rsid w:val="46477507"/>
    <w:rsid w:val="46515FBA"/>
    <w:rsid w:val="46737A24"/>
    <w:rsid w:val="46C112DE"/>
    <w:rsid w:val="46CA0433"/>
    <w:rsid w:val="46CD43DB"/>
    <w:rsid w:val="47224097"/>
    <w:rsid w:val="47613A98"/>
    <w:rsid w:val="478F466E"/>
    <w:rsid w:val="47B93D99"/>
    <w:rsid w:val="47EF1F72"/>
    <w:rsid w:val="47F42C4B"/>
    <w:rsid w:val="47F646ED"/>
    <w:rsid w:val="47FE35A2"/>
    <w:rsid w:val="480B174B"/>
    <w:rsid w:val="4828470F"/>
    <w:rsid w:val="483D3C87"/>
    <w:rsid w:val="48516FB5"/>
    <w:rsid w:val="488A12DA"/>
    <w:rsid w:val="48A57EC2"/>
    <w:rsid w:val="48A91760"/>
    <w:rsid w:val="48B459D5"/>
    <w:rsid w:val="48DD3AFF"/>
    <w:rsid w:val="48FF5A97"/>
    <w:rsid w:val="491F1A22"/>
    <w:rsid w:val="493337A9"/>
    <w:rsid w:val="49380D36"/>
    <w:rsid w:val="493D1724"/>
    <w:rsid w:val="49480F82"/>
    <w:rsid w:val="49497D40"/>
    <w:rsid w:val="497C08B3"/>
    <w:rsid w:val="499A554C"/>
    <w:rsid w:val="49FE5ADB"/>
    <w:rsid w:val="4A4F27DB"/>
    <w:rsid w:val="4A6B737E"/>
    <w:rsid w:val="4A9216E3"/>
    <w:rsid w:val="4AE74707"/>
    <w:rsid w:val="4AE820F1"/>
    <w:rsid w:val="4B0435C5"/>
    <w:rsid w:val="4B3A12EF"/>
    <w:rsid w:val="4B691C1A"/>
    <w:rsid w:val="4BBD1E2C"/>
    <w:rsid w:val="4BC52E28"/>
    <w:rsid w:val="4BED3046"/>
    <w:rsid w:val="4C066EC9"/>
    <w:rsid w:val="4C227327"/>
    <w:rsid w:val="4C404189"/>
    <w:rsid w:val="4C4F6AC2"/>
    <w:rsid w:val="4C690320"/>
    <w:rsid w:val="4C7402D7"/>
    <w:rsid w:val="4CD60F91"/>
    <w:rsid w:val="4CDC3E37"/>
    <w:rsid w:val="4CE57329"/>
    <w:rsid w:val="4CF7388F"/>
    <w:rsid w:val="4CFE1087"/>
    <w:rsid w:val="4D951248"/>
    <w:rsid w:val="4DA20263"/>
    <w:rsid w:val="4DF7294E"/>
    <w:rsid w:val="4E634927"/>
    <w:rsid w:val="4E727AD3"/>
    <w:rsid w:val="4E964534"/>
    <w:rsid w:val="4EE259CC"/>
    <w:rsid w:val="4EE41A34"/>
    <w:rsid w:val="4F096709"/>
    <w:rsid w:val="4F105D44"/>
    <w:rsid w:val="4F2002A2"/>
    <w:rsid w:val="4F355850"/>
    <w:rsid w:val="4F537DE0"/>
    <w:rsid w:val="4F540CB2"/>
    <w:rsid w:val="4F5C4B3F"/>
    <w:rsid w:val="4F626B34"/>
    <w:rsid w:val="4F88106E"/>
    <w:rsid w:val="4F8B14B0"/>
    <w:rsid w:val="4F9B198F"/>
    <w:rsid w:val="4FA34231"/>
    <w:rsid w:val="4FB671CF"/>
    <w:rsid w:val="4FC136F4"/>
    <w:rsid w:val="4FD1307C"/>
    <w:rsid w:val="4FE92F20"/>
    <w:rsid w:val="4FEE276A"/>
    <w:rsid w:val="4FFD7F4B"/>
    <w:rsid w:val="501F5F01"/>
    <w:rsid w:val="50406E4E"/>
    <w:rsid w:val="504D50C7"/>
    <w:rsid w:val="505C17AE"/>
    <w:rsid w:val="508C0176"/>
    <w:rsid w:val="509004C1"/>
    <w:rsid w:val="50BF05A8"/>
    <w:rsid w:val="50D8235D"/>
    <w:rsid w:val="50F07F20"/>
    <w:rsid w:val="50F934A0"/>
    <w:rsid w:val="511977B8"/>
    <w:rsid w:val="51AC2C1B"/>
    <w:rsid w:val="51D00906"/>
    <w:rsid w:val="52077FA0"/>
    <w:rsid w:val="52387930"/>
    <w:rsid w:val="526F57C8"/>
    <w:rsid w:val="529F5982"/>
    <w:rsid w:val="52F61E27"/>
    <w:rsid w:val="530323B4"/>
    <w:rsid w:val="53206AC2"/>
    <w:rsid w:val="53223693"/>
    <w:rsid w:val="532B7CFC"/>
    <w:rsid w:val="53562573"/>
    <w:rsid w:val="536108EF"/>
    <w:rsid w:val="53EB4DFF"/>
    <w:rsid w:val="53EC4A7F"/>
    <w:rsid w:val="53F71F19"/>
    <w:rsid w:val="540168F4"/>
    <w:rsid w:val="545C6276"/>
    <w:rsid w:val="54C4412B"/>
    <w:rsid w:val="54C77D84"/>
    <w:rsid w:val="54DD6AF9"/>
    <w:rsid w:val="54EA382C"/>
    <w:rsid w:val="5510307A"/>
    <w:rsid w:val="5511700B"/>
    <w:rsid w:val="5537272A"/>
    <w:rsid w:val="55432F3C"/>
    <w:rsid w:val="55570917"/>
    <w:rsid w:val="556A04C9"/>
    <w:rsid w:val="556C60B3"/>
    <w:rsid w:val="55EE10FA"/>
    <w:rsid w:val="561966F2"/>
    <w:rsid w:val="561A74D1"/>
    <w:rsid w:val="562E04CB"/>
    <w:rsid w:val="56431446"/>
    <w:rsid w:val="56493E35"/>
    <w:rsid w:val="567809C3"/>
    <w:rsid w:val="570B1838"/>
    <w:rsid w:val="571526B6"/>
    <w:rsid w:val="571F7091"/>
    <w:rsid w:val="57263CA9"/>
    <w:rsid w:val="57283E0B"/>
    <w:rsid w:val="574A1DC1"/>
    <w:rsid w:val="57887DF0"/>
    <w:rsid w:val="57C00B06"/>
    <w:rsid w:val="57CC0FC7"/>
    <w:rsid w:val="57D142CB"/>
    <w:rsid w:val="57FB0B32"/>
    <w:rsid w:val="58021570"/>
    <w:rsid w:val="580E5197"/>
    <w:rsid w:val="5831455A"/>
    <w:rsid w:val="583302DE"/>
    <w:rsid w:val="5863030F"/>
    <w:rsid w:val="58AA18A6"/>
    <w:rsid w:val="58B07A56"/>
    <w:rsid w:val="58F36F1E"/>
    <w:rsid w:val="5906339C"/>
    <w:rsid w:val="59091DA7"/>
    <w:rsid w:val="59096782"/>
    <w:rsid w:val="5915699E"/>
    <w:rsid w:val="592616D2"/>
    <w:rsid w:val="59341B00"/>
    <w:rsid w:val="594971F2"/>
    <w:rsid w:val="597C338E"/>
    <w:rsid w:val="59B02EE7"/>
    <w:rsid w:val="59CF2FF0"/>
    <w:rsid w:val="59DE0E81"/>
    <w:rsid w:val="59F55223"/>
    <w:rsid w:val="59F64A21"/>
    <w:rsid w:val="59FF35B4"/>
    <w:rsid w:val="5A025ACB"/>
    <w:rsid w:val="5A04705D"/>
    <w:rsid w:val="5A166E71"/>
    <w:rsid w:val="5A201A9E"/>
    <w:rsid w:val="5A3A55A5"/>
    <w:rsid w:val="5A470DD9"/>
    <w:rsid w:val="5A81078E"/>
    <w:rsid w:val="5A88187B"/>
    <w:rsid w:val="5AE470AA"/>
    <w:rsid w:val="5AF24640"/>
    <w:rsid w:val="5B301727"/>
    <w:rsid w:val="5B430F23"/>
    <w:rsid w:val="5B465534"/>
    <w:rsid w:val="5B5A5DEF"/>
    <w:rsid w:val="5B5C4D58"/>
    <w:rsid w:val="5B7C7236"/>
    <w:rsid w:val="5B8816A9"/>
    <w:rsid w:val="5BBE7FC2"/>
    <w:rsid w:val="5BC56904"/>
    <w:rsid w:val="5C0A6E8C"/>
    <w:rsid w:val="5C1B076F"/>
    <w:rsid w:val="5C1D1988"/>
    <w:rsid w:val="5C2313D1"/>
    <w:rsid w:val="5C427AD9"/>
    <w:rsid w:val="5C5872CD"/>
    <w:rsid w:val="5C7C4F46"/>
    <w:rsid w:val="5C99566E"/>
    <w:rsid w:val="5CB36BF9"/>
    <w:rsid w:val="5CD27C39"/>
    <w:rsid w:val="5CEC2D02"/>
    <w:rsid w:val="5D090655"/>
    <w:rsid w:val="5D2353DA"/>
    <w:rsid w:val="5D262B63"/>
    <w:rsid w:val="5D345E60"/>
    <w:rsid w:val="5D5850AB"/>
    <w:rsid w:val="5D867E6A"/>
    <w:rsid w:val="5D8772F7"/>
    <w:rsid w:val="5D8F31C2"/>
    <w:rsid w:val="5DED7EE9"/>
    <w:rsid w:val="5DF034C7"/>
    <w:rsid w:val="5E1B2CA8"/>
    <w:rsid w:val="5E1E7C25"/>
    <w:rsid w:val="5E35380A"/>
    <w:rsid w:val="5E364A4E"/>
    <w:rsid w:val="5E7128C8"/>
    <w:rsid w:val="5EA135C7"/>
    <w:rsid w:val="5EBC3A41"/>
    <w:rsid w:val="5EF552A7"/>
    <w:rsid w:val="5EFD567F"/>
    <w:rsid w:val="5EFF09C4"/>
    <w:rsid w:val="5F4E0FD2"/>
    <w:rsid w:val="5F661D01"/>
    <w:rsid w:val="5F6D531F"/>
    <w:rsid w:val="5F8A57A2"/>
    <w:rsid w:val="5FA138F4"/>
    <w:rsid w:val="5FAE2505"/>
    <w:rsid w:val="5FE00EBE"/>
    <w:rsid w:val="5FF43BD0"/>
    <w:rsid w:val="60056797"/>
    <w:rsid w:val="602F6597"/>
    <w:rsid w:val="604B177D"/>
    <w:rsid w:val="60597720"/>
    <w:rsid w:val="609D3C1B"/>
    <w:rsid w:val="60EA6962"/>
    <w:rsid w:val="61045C75"/>
    <w:rsid w:val="61086E58"/>
    <w:rsid w:val="61094D40"/>
    <w:rsid w:val="61183A4F"/>
    <w:rsid w:val="613872F0"/>
    <w:rsid w:val="614172DE"/>
    <w:rsid w:val="61446072"/>
    <w:rsid w:val="6160574F"/>
    <w:rsid w:val="617526CF"/>
    <w:rsid w:val="61907509"/>
    <w:rsid w:val="61A207BC"/>
    <w:rsid w:val="61DC62AA"/>
    <w:rsid w:val="61F31F12"/>
    <w:rsid w:val="6211064A"/>
    <w:rsid w:val="62277E3D"/>
    <w:rsid w:val="62447F52"/>
    <w:rsid w:val="625546D4"/>
    <w:rsid w:val="625D1E88"/>
    <w:rsid w:val="62922E0D"/>
    <w:rsid w:val="62B64D4D"/>
    <w:rsid w:val="62CA1FAA"/>
    <w:rsid w:val="62E35058"/>
    <w:rsid w:val="63055E8A"/>
    <w:rsid w:val="633839B4"/>
    <w:rsid w:val="633F77F1"/>
    <w:rsid w:val="636A546F"/>
    <w:rsid w:val="637553B9"/>
    <w:rsid w:val="63872F01"/>
    <w:rsid w:val="638F62F8"/>
    <w:rsid w:val="63AD6B42"/>
    <w:rsid w:val="64157762"/>
    <w:rsid w:val="6424573C"/>
    <w:rsid w:val="642A353F"/>
    <w:rsid w:val="64550596"/>
    <w:rsid w:val="64557AC0"/>
    <w:rsid w:val="64A136EE"/>
    <w:rsid w:val="64B660F0"/>
    <w:rsid w:val="64E55418"/>
    <w:rsid w:val="64E738E4"/>
    <w:rsid w:val="64F47DAF"/>
    <w:rsid w:val="6511265D"/>
    <w:rsid w:val="651C4271"/>
    <w:rsid w:val="651D61D9"/>
    <w:rsid w:val="65411C21"/>
    <w:rsid w:val="65536730"/>
    <w:rsid w:val="65A93AD5"/>
    <w:rsid w:val="65C23FA5"/>
    <w:rsid w:val="660378EE"/>
    <w:rsid w:val="66157FDD"/>
    <w:rsid w:val="661A55F3"/>
    <w:rsid w:val="661B188C"/>
    <w:rsid w:val="662B3EC2"/>
    <w:rsid w:val="6630218A"/>
    <w:rsid w:val="6676066F"/>
    <w:rsid w:val="668A0DFC"/>
    <w:rsid w:val="668B029F"/>
    <w:rsid w:val="66B25BAB"/>
    <w:rsid w:val="66C35C8B"/>
    <w:rsid w:val="66E371E4"/>
    <w:rsid w:val="66E55C01"/>
    <w:rsid w:val="672C55DE"/>
    <w:rsid w:val="672E0FA4"/>
    <w:rsid w:val="67346B89"/>
    <w:rsid w:val="678A56CC"/>
    <w:rsid w:val="67DD2D7C"/>
    <w:rsid w:val="67DF1F8E"/>
    <w:rsid w:val="67E67E83"/>
    <w:rsid w:val="67FF0980"/>
    <w:rsid w:val="6808013C"/>
    <w:rsid w:val="681A3FD0"/>
    <w:rsid w:val="6837444B"/>
    <w:rsid w:val="68490BA5"/>
    <w:rsid w:val="6872092B"/>
    <w:rsid w:val="68790CF7"/>
    <w:rsid w:val="68973534"/>
    <w:rsid w:val="68A320F0"/>
    <w:rsid w:val="68C10A03"/>
    <w:rsid w:val="68F01515"/>
    <w:rsid w:val="68FE11FC"/>
    <w:rsid w:val="691702F9"/>
    <w:rsid w:val="692E7F1E"/>
    <w:rsid w:val="69310934"/>
    <w:rsid w:val="69331236"/>
    <w:rsid w:val="69430A4C"/>
    <w:rsid w:val="69836A41"/>
    <w:rsid w:val="699423CB"/>
    <w:rsid w:val="69BE2739"/>
    <w:rsid w:val="69D21173"/>
    <w:rsid w:val="69FD635D"/>
    <w:rsid w:val="6A242849"/>
    <w:rsid w:val="6A3D4E61"/>
    <w:rsid w:val="6A3F1364"/>
    <w:rsid w:val="6A736150"/>
    <w:rsid w:val="6A9F256B"/>
    <w:rsid w:val="6ACD70D8"/>
    <w:rsid w:val="6ADF78E5"/>
    <w:rsid w:val="6AF503DD"/>
    <w:rsid w:val="6B0B3C2C"/>
    <w:rsid w:val="6B252A70"/>
    <w:rsid w:val="6B4F77AF"/>
    <w:rsid w:val="6B513865"/>
    <w:rsid w:val="6B6D3E7B"/>
    <w:rsid w:val="6B7874F8"/>
    <w:rsid w:val="6B8D0D02"/>
    <w:rsid w:val="6BD91AAD"/>
    <w:rsid w:val="6BF455F7"/>
    <w:rsid w:val="6BF9752A"/>
    <w:rsid w:val="6C1E3F43"/>
    <w:rsid w:val="6C30048E"/>
    <w:rsid w:val="6C33740F"/>
    <w:rsid w:val="6C7C0DB6"/>
    <w:rsid w:val="6C7C2B89"/>
    <w:rsid w:val="6C94077E"/>
    <w:rsid w:val="6C944351"/>
    <w:rsid w:val="6CB30AE5"/>
    <w:rsid w:val="6CE04DE9"/>
    <w:rsid w:val="6D092290"/>
    <w:rsid w:val="6D1A7F9C"/>
    <w:rsid w:val="6D282CEC"/>
    <w:rsid w:val="6D557F38"/>
    <w:rsid w:val="6D6A6E60"/>
    <w:rsid w:val="6D9A063D"/>
    <w:rsid w:val="6E2250C2"/>
    <w:rsid w:val="6E251458"/>
    <w:rsid w:val="6E92338D"/>
    <w:rsid w:val="6E934224"/>
    <w:rsid w:val="6EA50F15"/>
    <w:rsid w:val="6EF74724"/>
    <w:rsid w:val="6F1218C9"/>
    <w:rsid w:val="6F35142D"/>
    <w:rsid w:val="6F433E0D"/>
    <w:rsid w:val="6F4E2B2B"/>
    <w:rsid w:val="6FB10D76"/>
    <w:rsid w:val="6FB1521A"/>
    <w:rsid w:val="6FB42BCB"/>
    <w:rsid w:val="6FCA62DC"/>
    <w:rsid w:val="6FE10C9C"/>
    <w:rsid w:val="70257F20"/>
    <w:rsid w:val="70375E28"/>
    <w:rsid w:val="704C6791"/>
    <w:rsid w:val="705404D0"/>
    <w:rsid w:val="70593DDE"/>
    <w:rsid w:val="70BD7BEF"/>
    <w:rsid w:val="70DF5255"/>
    <w:rsid w:val="70DF5DB7"/>
    <w:rsid w:val="70EB0942"/>
    <w:rsid w:val="71134033"/>
    <w:rsid w:val="711D1701"/>
    <w:rsid w:val="714C76AF"/>
    <w:rsid w:val="714D2E86"/>
    <w:rsid w:val="716C5346"/>
    <w:rsid w:val="717457CE"/>
    <w:rsid w:val="717753E6"/>
    <w:rsid w:val="71973F9C"/>
    <w:rsid w:val="71AD1A11"/>
    <w:rsid w:val="72401A80"/>
    <w:rsid w:val="72824C4C"/>
    <w:rsid w:val="7298562B"/>
    <w:rsid w:val="72A8327B"/>
    <w:rsid w:val="72CA2166"/>
    <w:rsid w:val="72D46DF2"/>
    <w:rsid w:val="73047240"/>
    <w:rsid w:val="730C3D48"/>
    <w:rsid w:val="730D6C0C"/>
    <w:rsid w:val="7318735E"/>
    <w:rsid w:val="731A5C13"/>
    <w:rsid w:val="73263829"/>
    <w:rsid w:val="732E4C12"/>
    <w:rsid w:val="735F4F8D"/>
    <w:rsid w:val="736C596F"/>
    <w:rsid w:val="739A5FC5"/>
    <w:rsid w:val="73ED4347"/>
    <w:rsid w:val="74000C22"/>
    <w:rsid w:val="74080ED3"/>
    <w:rsid w:val="74125278"/>
    <w:rsid w:val="744A3547"/>
    <w:rsid w:val="744C5512"/>
    <w:rsid w:val="74682D01"/>
    <w:rsid w:val="7474619D"/>
    <w:rsid w:val="74991BB8"/>
    <w:rsid w:val="74A013B9"/>
    <w:rsid w:val="74E514C2"/>
    <w:rsid w:val="74E90FB2"/>
    <w:rsid w:val="75412B9C"/>
    <w:rsid w:val="75435570"/>
    <w:rsid w:val="75B23A9A"/>
    <w:rsid w:val="76087494"/>
    <w:rsid w:val="765E373E"/>
    <w:rsid w:val="7666465A"/>
    <w:rsid w:val="767C19B2"/>
    <w:rsid w:val="767E7DFB"/>
    <w:rsid w:val="76912AA8"/>
    <w:rsid w:val="76936197"/>
    <w:rsid w:val="76C03F95"/>
    <w:rsid w:val="76CA7A83"/>
    <w:rsid w:val="76F747F8"/>
    <w:rsid w:val="770D04C0"/>
    <w:rsid w:val="77122878"/>
    <w:rsid w:val="778E5E41"/>
    <w:rsid w:val="77BD2282"/>
    <w:rsid w:val="77DA4BE2"/>
    <w:rsid w:val="77E048EF"/>
    <w:rsid w:val="77F42148"/>
    <w:rsid w:val="78232A2D"/>
    <w:rsid w:val="784D1858"/>
    <w:rsid w:val="788A485A"/>
    <w:rsid w:val="78BB0EB8"/>
    <w:rsid w:val="78F93091"/>
    <w:rsid w:val="79584959"/>
    <w:rsid w:val="7971039E"/>
    <w:rsid w:val="79A45903"/>
    <w:rsid w:val="7A1F7224"/>
    <w:rsid w:val="7A2D6D03"/>
    <w:rsid w:val="7A3B22B0"/>
    <w:rsid w:val="7A485784"/>
    <w:rsid w:val="7A604F75"/>
    <w:rsid w:val="7AA421AC"/>
    <w:rsid w:val="7AC202DC"/>
    <w:rsid w:val="7AF244C2"/>
    <w:rsid w:val="7B38234C"/>
    <w:rsid w:val="7B3922D8"/>
    <w:rsid w:val="7B6C0247"/>
    <w:rsid w:val="7B7D06A6"/>
    <w:rsid w:val="7B840ECA"/>
    <w:rsid w:val="7BC521C1"/>
    <w:rsid w:val="7BD84AA1"/>
    <w:rsid w:val="7BEB0026"/>
    <w:rsid w:val="7C013085"/>
    <w:rsid w:val="7C2809B4"/>
    <w:rsid w:val="7C2B1938"/>
    <w:rsid w:val="7C72188D"/>
    <w:rsid w:val="7C8313D5"/>
    <w:rsid w:val="7C902EEF"/>
    <w:rsid w:val="7C9941D5"/>
    <w:rsid w:val="7CAD22F1"/>
    <w:rsid w:val="7CB1637A"/>
    <w:rsid w:val="7CC365BC"/>
    <w:rsid w:val="7CC810B7"/>
    <w:rsid w:val="7CD82575"/>
    <w:rsid w:val="7CEA58C8"/>
    <w:rsid w:val="7D033D2B"/>
    <w:rsid w:val="7D0564AB"/>
    <w:rsid w:val="7D5052A6"/>
    <w:rsid w:val="7D947A81"/>
    <w:rsid w:val="7D9677FD"/>
    <w:rsid w:val="7DBF0B02"/>
    <w:rsid w:val="7DBF70D2"/>
    <w:rsid w:val="7DCE6F97"/>
    <w:rsid w:val="7DE50961"/>
    <w:rsid w:val="7DF804B8"/>
    <w:rsid w:val="7E026C41"/>
    <w:rsid w:val="7E235340"/>
    <w:rsid w:val="7E2C32B4"/>
    <w:rsid w:val="7E5278CE"/>
    <w:rsid w:val="7E5A082B"/>
    <w:rsid w:val="7E813419"/>
    <w:rsid w:val="7E843AFA"/>
    <w:rsid w:val="7EA61CC2"/>
    <w:rsid w:val="7EA76302"/>
    <w:rsid w:val="7EB048EF"/>
    <w:rsid w:val="7EBE700C"/>
    <w:rsid w:val="7EC52BE0"/>
    <w:rsid w:val="7ED239C0"/>
    <w:rsid w:val="7EFD4CFB"/>
    <w:rsid w:val="7F0204F0"/>
    <w:rsid w:val="7F0D7F93"/>
    <w:rsid w:val="7F106C3A"/>
    <w:rsid w:val="7F271055"/>
    <w:rsid w:val="7F405F57"/>
    <w:rsid w:val="7F9B10A0"/>
    <w:rsid w:val="7F9B10FB"/>
    <w:rsid w:val="7FAF1263"/>
    <w:rsid w:val="7FBC6E37"/>
    <w:rsid w:val="7FBE5B80"/>
    <w:rsid w:val="7FEC4621"/>
    <w:rsid w:val="FAFF46F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iPriority="99" w:semiHidden="0" w:name="index 8"/>
    <w:lsdException w:uiPriority="99" w:name="index 9"/>
    <w:lsdException w:qFormat="1" w:unhideWhenUsed="0" w:uiPriority="39" w:semiHidden="0" w:name="toc 1"/>
    <w:lsdException w:qFormat="1" w:unhideWhenUsed="0" w:uiPriority="39" w:semiHidden="0" w:name="toc 2"/>
    <w:lsdException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qFormat="1" w:unhideWhenUsed="0" w:uiPriority="0" w:semiHidden="0"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qFormat="1"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4"/>
    <w:qFormat/>
    <w:uiPriority w:val="9"/>
    <w:pPr>
      <w:keepNext/>
      <w:keepLines/>
      <w:spacing w:before="340" w:after="330" w:line="578" w:lineRule="auto"/>
      <w:jc w:val="center"/>
      <w:outlineLvl w:val="0"/>
    </w:pPr>
    <w:rPr>
      <w:rFonts w:eastAsia="仿宋_GB2312"/>
      <w:b/>
      <w:bCs/>
      <w:kern w:val="44"/>
      <w:sz w:val="44"/>
      <w:szCs w:val="44"/>
    </w:rPr>
  </w:style>
  <w:style w:type="paragraph" w:styleId="4">
    <w:name w:val="heading 2"/>
    <w:basedOn w:val="1"/>
    <w:next w:val="1"/>
    <w:link w:val="89"/>
    <w:qFormat/>
    <w:uiPriority w:val="9"/>
    <w:pPr>
      <w:keepNext/>
      <w:keepLines/>
      <w:spacing w:before="260" w:after="260" w:line="400" w:lineRule="exact"/>
      <w:outlineLvl w:val="1"/>
    </w:pPr>
    <w:rPr>
      <w:rFonts w:ascii="Arial" w:hAnsi="Arial" w:eastAsia="黑体"/>
      <w:b/>
      <w:bCs/>
      <w:sz w:val="24"/>
      <w:szCs w:val="32"/>
    </w:rPr>
  </w:style>
  <w:style w:type="paragraph" w:styleId="5">
    <w:name w:val="heading 3"/>
    <w:basedOn w:val="1"/>
    <w:next w:val="1"/>
    <w:link w:val="65"/>
    <w:qFormat/>
    <w:uiPriority w:val="9"/>
    <w:pPr>
      <w:keepNext/>
      <w:keepLines/>
      <w:spacing w:before="260" w:after="260" w:line="416" w:lineRule="auto"/>
      <w:outlineLvl w:val="2"/>
    </w:pPr>
    <w:rPr>
      <w:b/>
      <w:bCs/>
      <w:sz w:val="32"/>
      <w:szCs w:val="32"/>
    </w:rPr>
  </w:style>
  <w:style w:type="paragraph" w:styleId="6">
    <w:name w:val="heading 4"/>
    <w:basedOn w:val="1"/>
    <w:next w:val="1"/>
    <w:link w:val="132"/>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7">
    <w:name w:val="heading 5"/>
    <w:basedOn w:val="1"/>
    <w:next w:val="8"/>
    <w:link w:val="133"/>
    <w:qFormat/>
    <w:uiPriority w:val="9"/>
    <w:pPr>
      <w:keepNext/>
      <w:keepLines/>
      <w:numPr>
        <w:ilvl w:val="4"/>
        <w:numId w:val="1"/>
      </w:numPr>
      <w:spacing w:before="280" w:after="290" w:line="376" w:lineRule="auto"/>
      <w:outlineLvl w:val="4"/>
    </w:pPr>
    <w:rPr>
      <w:b/>
      <w:sz w:val="28"/>
    </w:rPr>
  </w:style>
  <w:style w:type="paragraph" w:styleId="9">
    <w:name w:val="heading 6"/>
    <w:basedOn w:val="1"/>
    <w:next w:val="8"/>
    <w:link w:val="134"/>
    <w:qFormat/>
    <w:uiPriority w:val="9"/>
    <w:pPr>
      <w:keepNext/>
      <w:keepLines/>
      <w:numPr>
        <w:ilvl w:val="5"/>
        <w:numId w:val="1"/>
      </w:numPr>
      <w:spacing w:before="240" w:after="64" w:line="320" w:lineRule="auto"/>
      <w:outlineLvl w:val="5"/>
    </w:pPr>
    <w:rPr>
      <w:rFonts w:ascii="Arial" w:hAnsi="Arial" w:eastAsia="黑体"/>
      <w:b/>
      <w:sz w:val="24"/>
    </w:rPr>
  </w:style>
  <w:style w:type="paragraph" w:styleId="10">
    <w:name w:val="heading 7"/>
    <w:basedOn w:val="1"/>
    <w:next w:val="8"/>
    <w:link w:val="135"/>
    <w:qFormat/>
    <w:uiPriority w:val="9"/>
    <w:pPr>
      <w:keepNext/>
      <w:keepLines/>
      <w:numPr>
        <w:ilvl w:val="6"/>
        <w:numId w:val="1"/>
      </w:numPr>
      <w:spacing w:before="240" w:after="64" w:line="320" w:lineRule="auto"/>
      <w:outlineLvl w:val="6"/>
    </w:pPr>
    <w:rPr>
      <w:b/>
      <w:sz w:val="24"/>
    </w:rPr>
  </w:style>
  <w:style w:type="paragraph" w:styleId="11">
    <w:name w:val="heading 8"/>
    <w:basedOn w:val="1"/>
    <w:next w:val="8"/>
    <w:link w:val="136"/>
    <w:qFormat/>
    <w:uiPriority w:val="9"/>
    <w:pPr>
      <w:keepNext/>
      <w:keepLines/>
      <w:numPr>
        <w:ilvl w:val="7"/>
        <w:numId w:val="1"/>
      </w:numPr>
      <w:spacing w:before="240" w:after="64" w:line="320" w:lineRule="auto"/>
      <w:outlineLvl w:val="7"/>
    </w:pPr>
    <w:rPr>
      <w:rFonts w:ascii="Arial" w:hAnsi="Arial" w:eastAsia="黑体"/>
      <w:sz w:val="24"/>
    </w:rPr>
  </w:style>
  <w:style w:type="paragraph" w:styleId="12">
    <w:name w:val="heading 9"/>
    <w:basedOn w:val="1"/>
    <w:next w:val="8"/>
    <w:link w:val="137"/>
    <w:qFormat/>
    <w:uiPriority w:val="9"/>
    <w:pPr>
      <w:keepNext/>
      <w:keepLines/>
      <w:numPr>
        <w:ilvl w:val="8"/>
        <w:numId w:val="1"/>
      </w:numPr>
      <w:spacing w:before="240" w:after="64" w:line="320" w:lineRule="auto"/>
      <w:outlineLvl w:val="8"/>
    </w:pPr>
    <w:rPr>
      <w:rFonts w:ascii="Arial" w:hAnsi="Arial" w:eastAsia="黑体"/>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customStyle="1" w:styleId="2">
    <w:name w:val="首行缩进"/>
    <w:qFormat/>
    <w:uiPriority w:val="0"/>
    <w:pPr>
      <w:widowControl w:val="0"/>
      <w:ind w:firstLine="480" w:firstLineChars="200"/>
      <w:jc w:val="both"/>
    </w:pPr>
    <w:rPr>
      <w:rFonts w:ascii="Times New Roman" w:hAnsi="Times New Roman" w:eastAsia="宋体" w:cs="Times New Roman"/>
      <w:kern w:val="2"/>
      <w:sz w:val="21"/>
      <w:szCs w:val="24"/>
      <w:lang w:val="zh-CN" w:eastAsia="zh-CN" w:bidi="ar-SA"/>
    </w:rPr>
  </w:style>
  <w:style w:type="paragraph" w:styleId="8">
    <w:name w:val="Normal Indent"/>
    <w:basedOn w:val="1"/>
    <w:link w:val="63"/>
    <w:qFormat/>
    <w:uiPriority w:val="0"/>
    <w:pPr>
      <w:ind w:firstLine="420"/>
    </w:pPr>
    <w:rPr>
      <w:szCs w:val="20"/>
    </w:rPr>
  </w:style>
  <w:style w:type="paragraph" w:styleId="13">
    <w:name w:val="index 8"/>
    <w:basedOn w:val="1"/>
    <w:next w:val="1"/>
    <w:unhideWhenUsed/>
    <w:qFormat/>
    <w:uiPriority w:val="99"/>
    <w:pPr>
      <w:ind w:left="1400" w:leftChars="1400"/>
    </w:pPr>
  </w:style>
  <w:style w:type="paragraph" w:styleId="14">
    <w:name w:val="List Number"/>
    <w:basedOn w:val="1"/>
    <w:qFormat/>
    <w:uiPriority w:val="0"/>
    <w:pPr>
      <w:widowControl/>
      <w:tabs>
        <w:tab w:val="left" w:pos="454"/>
        <w:tab w:val="left" w:pos="720"/>
        <w:tab w:val="left" w:pos="840"/>
      </w:tabs>
      <w:spacing w:afterLines="50"/>
      <w:ind w:left="454" w:hanging="284"/>
      <w:jc w:val="left"/>
    </w:pPr>
    <w:rPr>
      <w:kern w:val="0"/>
      <w:sz w:val="24"/>
      <w:szCs w:val="20"/>
    </w:rPr>
  </w:style>
  <w:style w:type="paragraph" w:styleId="15">
    <w:name w:val="caption"/>
    <w:basedOn w:val="1"/>
    <w:next w:val="1"/>
    <w:qFormat/>
    <w:uiPriority w:val="35"/>
    <w:pPr>
      <w:spacing w:before="152" w:after="160"/>
    </w:pPr>
    <w:rPr>
      <w:rFonts w:ascii="Arial" w:hAnsi="Arial" w:eastAsia="黑体" w:cs="Arial"/>
      <w:sz w:val="20"/>
      <w:szCs w:val="20"/>
    </w:rPr>
  </w:style>
  <w:style w:type="paragraph" w:styleId="16">
    <w:name w:val="Document Map"/>
    <w:basedOn w:val="1"/>
    <w:link w:val="139"/>
    <w:qFormat/>
    <w:uiPriority w:val="99"/>
    <w:pPr>
      <w:shd w:val="clear" w:color="auto" w:fill="000080"/>
    </w:pPr>
  </w:style>
  <w:style w:type="paragraph" w:styleId="17">
    <w:name w:val="annotation text"/>
    <w:basedOn w:val="1"/>
    <w:link w:val="79"/>
    <w:qFormat/>
    <w:uiPriority w:val="99"/>
    <w:pPr>
      <w:jc w:val="left"/>
    </w:pPr>
  </w:style>
  <w:style w:type="paragraph" w:styleId="18">
    <w:name w:val="Body Text 3"/>
    <w:basedOn w:val="1"/>
    <w:qFormat/>
    <w:uiPriority w:val="0"/>
    <w:pPr>
      <w:spacing w:line="500" w:lineRule="exact"/>
    </w:pPr>
    <w:rPr>
      <w:b/>
      <w:bCs/>
      <w:sz w:val="24"/>
    </w:rPr>
  </w:style>
  <w:style w:type="paragraph" w:styleId="19">
    <w:name w:val="Body Text"/>
    <w:basedOn w:val="1"/>
    <w:next w:val="20"/>
    <w:link w:val="140"/>
    <w:qFormat/>
    <w:uiPriority w:val="0"/>
    <w:pPr>
      <w:spacing w:line="380" w:lineRule="exact"/>
    </w:pPr>
    <w:rPr>
      <w:sz w:val="24"/>
    </w:rPr>
  </w:style>
  <w:style w:type="paragraph" w:styleId="20">
    <w:name w:val="Title"/>
    <w:basedOn w:val="1"/>
    <w:next w:val="1"/>
    <w:qFormat/>
    <w:uiPriority w:val="99"/>
    <w:pPr>
      <w:spacing w:before="60" w:after="120" w:line="560" w:lineRule="exact"/>
      <w:jc w:val="center"/>
      <w:outlineLvl w:val="0"/>
    </w:pPr>
    <w:rPr>
      <w:rFonts w:eastAsia="Arial Unicode MS"/>
      <w:bCs/>
      <w:sz w:val="44"/>
      <w:szCs w:val="32"/>
    </w:rPr>
  </w:style>
  <w:style w:type="paragraph" w:styleId="21">
    <w:name w:val="Body Text Indent"/>
    <w:basedOn w:val="1"/>
    <w:next w:val="1"/>
    <w:link w:val="72"/>
    <w:qFormat/>
    <w:uiPriority w:val="0"/>
    <w:pPr>
      <w:ind w:firstLine="830" w:firstLineChars="352"/>
    </w:pPr>
    <w:rPr>
      <w:rFonts w:ascii="仿宋_GB2312" w:eastAsia="仿宋_GB2312"/>
      <w:sz w:val="32"/>
      <w:szCs w:val="20"/>
    </w:rPr>
  </w:style>
  <w:style w:type="paragraph" w:styleId="22">
    <w:name w:val="List Number 3"/>
    <w:basedOn w:val="1"/>
    <w:qFormat/>
    <w:uiPriority w:val="0"/>
    <w:pPr>
      <w:numPr>
        <w:ilvl w:val="0"/>
        <w:numId w:val="1"/>
      </w:numPr>
    </w:pPr>
  </w:style>
  <w:style w:type="paragraph" w:styleId="23">
    <w:name w:val="List 2"/>
    <w:basedOn w:val="1"/>
    <w:qFormat/>
    <w:uiPriority w:val="0"/>
    <w:pPr>
      <w:ind w:left="100" w:leftChars="200" w:hanging="200" w:hangingChars="200"/>
    </w:pPr>
    <w:rPr>
      <w:sz w:val="28"/>
    </w:rPr>
  </w:style>
  <w:style w:type="paragraph" w:styleId="24">
    <w:name w:val="Plain Text"/>
    <w:basedOn w:val="1"/>
    <w:next w:val="6"/>
    <w:link w:val="59"/>
    <w:qFormat/>
    <w:uiPriority w:val="0"/>
    <w:rPr>
      <w:rFonts w:ascii="宋体" w:hAnsi="Courier New" w:cs="Courier New"/>
      <w:szCs w:val="21"/>
    </w:rPr>
  </w:style>
  <w:style w:type="paragraph" w:styleId="25">
    <w:name w:val="Date"/>
    <w:basedOn w:val="1"/>
    <w:next w:val="1"/>
    <w:qFormat/>
    <w:uiPriority w:val="0"/>
    <w:pPr>
      <w:ind w:left="100" w:leftChars="2500"/>
    </w:pPr>
    <w:rPr>
      <w:rFonts w:ascii="宋体" w:hAnsi="Courier New" w:cs="Courier New"/>
      <w:szCs w:val="21"/>
    </w:rPr>
  </w:style>
  <w:style w:type="paragraph" w:styleId="26">
    <w:name w:val="Body Text Indent 2"/>
    <w:basedOn w:val="1"/>
    <w:qFormat/>
    <w:uiPriority w:val="0"/>
    <w:pPr>
      <w:ind w:firstLine="630"/>
    </w:pPr>
    <w:rPr>
      <w:sz w:val="32"/>
      <w:szCs w:val="20"/>
    </w:rPr>
  </w:style>
  <w:style w:type="paragraph" w:styleId="27">
    <w:name w:val="Balloon Text"/>
    <w:basedOn w:val="1"/>
    <w:link w:val="78"/>
    <w:qFormat/>
    <w:uiPriority w:val="99"/>
    <w:rPr>
      <w:sz w:val="18"/>
      <w:szCs w:val="18"/>
      <w:lang w:val="zh-CN"/>
    </w:rPr>
  </w:style>
  <w:style w:type="paragraph" w:styleId="28">
    <w:name w:val="footer"/>
    <w:basedOn w:val="1"/>
    <w:link w:val="74"/>
    <w:qFormat/>
    <w:uiPriority w:val="99"/>
    <w:pPr>
      <w:tabs>
        <w:tab w:val="center" w:pos="4153"/>
        <w:tab w:val="right" w:pos="8306"/>
      </w:tabs>
      <w:snapToGrid w:val="0"/>
      <w:jc w:val="left"/>
    </w:pPr>
    <w:rPr>
      <w:sz w:val="18"/>
      <w:szCs w:val="18"/>
      <w:lang w:val="zh-CN"/>
    </w:rPr>
  </w:style>
  <w:style w:type="paragraph" w:styleId="29">
    <w:name w:val="header"/>
    <w:basedOn w:val="1"/>
    <w:link w:val="76"/>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qFormat/>
    <w:uiPriority w:val="39"/>
  </w:style>
  <w:style w:type="paragraph" w:styleId="31">
    <w:name w:val="Subtitle"/>
    <w:basedOn w:val="1"/>
    <w:next w:val="1"/>
    <w:link w:val="77"/>
    <w:qFormat/>
    <w:uiPriority w:val="0"/>
    <w:pPr>
      <w:spacing w:line="312" w:lineRule="auto"/>
      <w:ind w:left="200" w:leftChars="200"/>
      <w:jc w:val="left"/>
      <w:outlineLvl w:val="1"/>
    </w:pPr>
    <w:rPr>
      <w:rFonts w:ascii="Cambria" w:hAnsi="Cambria"/>
      <w:b/>
      <w:bCs/>
      <w:kern w:val="28"/>
      <w:sz w:val="28"/>
      <w:szCs w:val="32"/>
    </w:rPr>
  </w:style>
  <w:style w:type="paragraph" w:styleId="32">
    <w:name w:val="List"/>
    <w:basedOn w:val="1"/>
    <w:qFormat/>
    <w:uiPriority w:val="0"/>
    <w:pPr>
      <w:ind w:left="200" w:hanging="200" w:hangingChars="200"/>
    </w:pPr>
    <w:rPr>
      <w:sz w:val="28"/>
    </w:rPr>
  </w:style>
  <w:style w:type="paragraph" w:styleId="33">
    <w:name w:val="Body Text Indent 3"/>
    <w:basedOn w:val="1"/>
    <w:qFormat/>
    <w:uiPriority w:val="0"/>
    <w:pPr>
      <w:spacing w:after="120"/>
      <w:ind w:left="420" w:leftChars="200"/>
    </w:pPr>
    <w:rPr>
      <w:sz w:val="16"/>
      <w:szCs w:val="16"/>
    </w:rPr>
  </w:style>
  <w:style w:type="paragraph" w:styleId="34">
    <w:name w:val="table of figures"/>
    <w:basedOn w:val="1"/>
    <w:next w:val="1"/>
    <w:qFormat/>
    <w:uiPriority w:val="0"/>
    <w:pPr>
      <w:ind w:leftChars="200" w:hanging="200" w:hangingChars="200"/>
    </w:pPr>
  </w:style>
  <w:style w:type="paragraph" w:styleId="35">
    <w:name w:val="toc 2"/>
    <w:basedOn w:val="1"/>
    <w:next w:val="1"/>
    <w:qFormat/>
    <w:uiPriority w:val="39"/>
    <w:pPr>
      <w:ind w:left="420" w:leftChars="200"/>
    </w:pPr>
    <w:rPr>
      <w:rFonts w:ascii="Times New Roman" w:hAnsi="Times New Roman" w:eastAsia="宋体" w:cs="Times New Roman"/>
    </w:rPr>
  </w:style>
  <w:style w:type="paragraph" w:styleId="36">
    <w:name w:val="Body Text 2"/>
    <w:basedOn w:val="1"/>
    <w:qFormat/>
    <w:uiPriority w:val="0"/>
    <w:pPr>
      <w:spacing w:after="120" w:line="480" w:lineRule="auto"/>
    </w:pPr>
  </w:style>
  <w:style w:type="paragraph" w:styleId="37">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8">
    <w:name w:val="Normal (Web)"/>
    <w:basedOn w:val="1"/>
    <w:qFormat/>
    <w:uiPriority w:val="0"/>
    <w:pPr>
      <w:widowControl/>
      <w:spacing w:before="100" w:beforeAutospacing="1" w:after="100" w:afterAutospacing="1"/>
      <w:jc w:val="left"/>
    </w:pPr>
    <w:rPr>
      <w:rFonts w:ascii="宋体" w:hAnsi="宋体"/>
      <w:kern w:val="0"/>
      <w:sz w:val="24"/>
    </w:rPr>
  </w:style>
  <w:style w:type="paragraph" w:styleId="39">
    <w:name w:val="index 1"/>
    <w:basedOn w:val="1"/>
    <w:next w:val="1"/>
    <w:semiHidden/>
    <w:qFormat/>
    <w:uiPriority w:val="0"/>
    <w:pPr>
      <w:spacing w:line="400" w:lineRule="exact"/>
      <w:ind w:firstLine="420" w:firstLineChars="200"/>
    </w:pPr>
    <w:rPr>
      <w:rFonts w:ascii="宋体" w:hAnsi="Courier New"/>
      <w:b/>
      <w:szCs w:val="20"/>
    </w:rPr>
  </w:style>
  <w:style w:type="paragraph" w:styleId="40">
    <w:name w:val="annotation subject"/>
    <w:basedOn w:val="17"/>
    <w:next w:val="17"/>
    <w:link w:val="90"/>
    <w:qFormat/>
    <w:uiPriority w:val="0"/>
    <w:rPr>
      <w:b/>
      <w:bCs/>
    </w:rPr>
  </w:style>
  <w:style w:type="paragraph" w:styleId="41">
    <w:name w:val="Body Text First Indent"/>
    <w:basedOn w:val="19"/>
    <w:qFormat/>
    <w:uiPriority w:val="0"/>
    <w:pPr>
      <w:ind w:firstLine="420" w:firstLineChars="100"/>
    </w:pPr>
    <w:rPr>
      <w:rFonts w:ascii="宋体"/>
      <w:sz w:val="21"/>
    </w:rPr>
  </w:style>
  <w:style w:type="table" w:styleId="43">
    <w:name w:val="Table Grid"/>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qFormat/>
    <w:uiPriority w:val="0"/>
    <w:rPr>
      <w:rFonts w:ascii="Times New Roman" w:hAnsi="Times New Roman" w:eastAsia="宋体" w:cs="Times New Roman"/>
      <w:b/>
      <w:bCs/>
    </w:rPr>
  </w:style>
  <w:style w:type="character" w:styleId="46">
    <w:name w:val="page number"/>
    <w:qFormat/>
    <w:uiPriority w:val="0"/>
    <w:rPr>
      <w:rFonts w:ascii="Times New Roman" w:hAnsi="Times New Roman" w:eastAsia="宋体" w:cs="Times New Roman"/>
    </w:rPr>
  </w:style>
  <w:style w:type="character" w:styleId="47">
    <w:name w:val="FollowedHyperlink"/>
    <w:basedOn w:val="44"/>
    <w:unhideWhenUsed/>
    <w:qFormat/>
    <w:uiPriority w:val="99"/>
    <w:rPr>
      <w:color w:val="954F72" w:themeColor="followedHyperlink"/>
      <w:u w:val="single"/>
      <w14:textFill>
        <w14:solidFill>
          <w14:schemeClr w14:val="folHlink"/>
        </w14:solidFill>
      </w14:textFill>
    </w:rPr>
  </w:style>
  <w:style w:type="character" w:styleId="48">
    <w:name w:val="Emphasis"/>
    <w:qFormat/>
    <w:uiPriority w:val="0"/>
    <w:rPr>
      <w:rFonts w:ascii="Times New Roman" w:hAnsi="Times New Roman" w:eastAsia="宋体" w:cs="Times New Roman"/>
      <w:color w:val="CC0033"/>
    </w:rPr>
  </w:style>
  <w:style w:type="character" w:styleId="49">
    <w:name w:val="Hyperlink"/>
    <w:qFormat/>
    <w:uiPriority w:val="99"/>
    <w:rPr>
      <w:rFonts w:ascii="Times New Roman" w:hAnsi="Times New Roman" w:eastAsia="宋体" w:cs="Times New Roman"/>
      <w:color w:val="0000FF"/>
      <w:u w:val="single"/>
    </w:rPr>
  </w:style>
  <w:style w:type="character" w:styleId="50">
    <w:name w:val="annotation reference"/>
    <w:qFormat/>
    <w:uiPriority w:val="0"/>
    <w:rPr>
      <w:rFonts w:ascii="Times New Roman" w:hAnsi="Times New Roman" w:eastAsia="宋体" w:cs="Times New Roman"/>
      <w:sz w:val="21"/>
      <w:szCs w:val="21"/>
    </w:rPr>
  </w:style>
  <w:style w:type="character" w:styleId="51">
    <w:name w:val="HTML Sample"/>
    <w:basedOn w:val="44"/>
    <w:semiHidden/>
    <w:unhideWhenUsed/>
    <w:qFormat/>
    <w:uiPriority w:val="99"/>
    <w:rPr>
      <w:rFonts w:ascii="Courier New" w:hAnsi="Courier New"/>
    </w:rPr>
  </w:style>
  <w:style w:type="character" w:customStyle="1" w:styleId="52">
    <w:name w:val="font21"/>
    <w:qFormat/>
    <w:uiPriority w:val="0"/>
    <w:rPr>
      <w:rFonts w:hint="eastAsia" w:ascii="宋体" w:hAnsi="宋体" w:eastAsia="宋体" w:cs="宋体"/>
      <w:color w:val="000000"/>
      <w:sz w:val="20"/>
      <w:szCs w:val="20"/>
    </w:rPr>
  </w:style>
  <w:style w:type="character" w:customStyle="1" w:styleId="53">
    <w:name w:val="st1"/>
    <w:qFormat/>
    <w:uiPriority w:val="0"/>
    <w:rPr>
      <w:rFonts w:ascii="Times New Roman" w:hAnsi="Times New Roman" w:eastAsia="宋体" w:cs="Times New Roman"/>
    </w:rPr>
  </w:style>
  <w:style w:type="character" w:customStyle="1" w:styleId="54">
    <w:name w:val="标题 1 Char"/>
    <w:link w:val="3"/>
    <w:qFormat/>
    <w:uiPriority w:val="9"/>
    <w:rPr>
      <w:rFonts w:ascii="Times New Roman" w:hAnsi="Times New Roman" w:eastAsia="仿宋_GB2312" w:cs="Times New Roman"/>
      <w:b/>
      <w:bCs/>
      <w:kern w:val="44"/>
      <w:sz w:val="44"/>
      <w:szCs w:val="44"/>
      <w:lang w:val="en-US" w:eastAsia="zh-CN" w:bidi="ar-SA"/>
    </w:rPr>
  </w:style>
  <w:style w:type="character" w:customStyle="1" w:styleId="55">
    <w:name w:val="ca-2"/>
    <w:qFormat/>
    <w:uiPriority w:val="0"/>
    <w:rPr>
      <w:rFonts w:ascii="Times New Roman" w:hAnsi="Times New Roman" w:eastAsia="宋体" w:cs="Times New Roman"/>
    </w:rPr>
  </w:style>
  <w:style w:type="character" w:customStyle="1" w:styleId="56">
    <w:name w:val="H1 Char"/>
    <w:qFormat/>
    <w:uiPriority w:val="0"/>
    <w:rPr>
      <w:rFonts w:ascii="Times New Roman" w:hAnsi="Times New Roman" w:eastAsia="仿宋_GB2312" w:cs="Times New Roman"/>
      <w:b/>
      <w:bCs/>
      <w:kern w:val="44"/>
      <w:sz w:val="44"/>
      <w:szCs w:val="44"/>
      <w:lang w:val="en-US" w:eastAsia="zh-CN" w:bidi="ar-SA"/>
    </w:rPr>
  </w:style>
  <w:style w:type="character" w:customStyle="1" w:styleId="57">
    <w:name w:val="1ji Char"/>
    <w:link w:val="58"/>
    <w:qFormat/>
    <w:uiPriority w:val="0"/>
    <w:rPr>
      <w:rFonts w:ascii="宋体" w:hAnsi="宋体" w:eastAsia="仿宋_GB2312" w:cs="Times New Roman"/>
      <w:b/>
      <w:bCs/>
      <w:kern w:val="44"/>
      <w:sz w:val="36"/>
      <w:szCs w:val="44"/>
      <w:lang w:val="en-US" w:eastAsia="zh-CN" w:bidi="ar-SA"/>
    </w:rPr>
  </w:style>
  <w:style w:type="paragraph" w:customStyle="1" w:styleId="58">
    <w:name w:val="1ji"/>
    <w:basedOn w:val="3"/>
    <w:link w:val="57"/>
    <w:qFormat/>
    <w:uiPriority w:val="0"/>
    <w:pPr>
      <w:keepLines w:val="0"/>
      <w:widowControl/>
      <w:spacing w:before="0" w:after="0" w:line="240" w:lineRule="auto"/>
    </w:pPr>
    <w:rPr>
      <w:rFonts w:ascii="宋体" w:hAnsi="宋体"/>
      <w:sz w:val="36"/>
    </w:rPr>
  </w:style>
  <w:style w:type="character" w:customStyle="1" w:styleId="59">
    <w:name w:val="纯文本 Char"/>
    <w:link w:val="24"/>
    <w:qFormat/>
    <w:uiPriority w:val="0"/>
    <w:rPr>
      <w:rFonts w:ascii="宋体" w:hAnsi="Courier New" w:eastAsia="宋体" w:cs="Courier New"/>
      <w:kern w:val="2"/>
      <w:sz w:val="21"/>
      <w:szCs w:val="21"/>
      <w:lang w:val="en-US" w:eastAsia="zh-CN" w:bidi="ar-SA"/>
    </w:rPr>
  </w:style>
  <w:style w:type="character" w:customStyle="1" w:styleId="60">
    <w:name w:val="font41"/>
    <w:qFormat/>
    <w:uiPriority w:val="0"/>
    <w:rPr>
      <w:rFonts w:hint="default" w:ascii="Times New Roman" w:hAnsi="Times New Roman" w:eastAsia="宋体" w:cs="Times New Roman"/>
      <w:color w:val="000000"/>
      <w:sz w:val="20"/>
      <w:szCs w:val="20"/>
    </w:rPr>
  </w:style>
  <w:style w:type="character" w:customStyle="1" w:styleId="61">
    <w:name w:val="font31"/>
    <w:qFormat/>
    <w:uiPriority w:val="0"/>
    <w:rPr>
      <w:rFonts w:hint="default" w:ascii="Times New Roman" w:hAnsi="Times New Roman" w:eastAsia="宋体" w:cs="Times New Roman"/>
      <w:color w:val="000000"/>
      <w:sz w:val="20"/>
      <w:szCs w:val="20"/>
    </w:rPr>
  </w:style>
  <w:style w:type="character" w:customStyle="1" w:styleId="62">
    <w:name w:val="apple-style-span"/>
    <w:qFormat/>
    <w:uiPriority w:val="0"/>
    <w:rPr>
      <w:rFonts w:ascii="Times New Roman" w:hAnsi="Times New Roman" w:eastAsia="宋体" w:cs="Times New Roman"/>
    </w:rPr>
  </w:style>
  <w:style w:type="character" w:customStyle="1" w:styleId="63">
    <w:name w:val="正文缩进 Char"/>
    <w:link w:val="8"/>
    <w:qFormat/>
    <w:uiPriority w:val="0"/>
    <w:rPr>
      <w:rFonts w:ascii="Times New Roman" w:hAnsi="Times New Roman" w:eastAsia="宋体" w:cs="Times New Roman"/>
      <w:kern w:val="2"/>
      <w:sz w:val="21"/>
      <w:lang w:val="en-US" w:eastAsia="zh-CN" w:bidi="ar-SA"/>
    </w:rPr>
  </w:style>
  <w:style w:type="character" w:customStyle="1" w:styleId="64">
    <w:name w:val="font51"/>
    <w:qFormat/>
    <w:uiPriority w:val="0"/>
    <w:rPr>
      <w:rFonts w:hint="default" w:ascii="Times New Roman" w:hAnsi="Times New Roman" w:eastAsia="宋体" w:cs="Times New Roman"/>
      <w:color w:val="000000"/>
      <w:sz w:val="20"/>
      <w:szCs w:val="20"/>
    </w:rPr>
  </w:style>
  <w:style w:type="character" w:customStyle="1" w:styleId="65">
    <w:name w:val="标题 3 Char"/>
    <w:link w:val="5"/>
    <w:qFormat/>
    <w:uiPriority w:val="9"/>
    <w:rPr>
      <w:rFonts w:ascii="Times New Roman" w:hAnsi="Times New Roman" w:eastAsia="宋体" w:cs="Times New Roman"/>
      <w:b/>
      <w:bCs/>
      <w:kern w:val="2"/>
      <w:sz w:val="32"/>
      <w:szCs w:val="32"/>
      <w:lang w:val="en-US" w:eastAsia="zh-CN" w:bidi="ar-SA"/>
    </w:rPr>
  </w:style>
  <w:style w:type="character" w:customStyle="1" w:styleId="66">
    <w:name w:val="apple-converted-space"/>
    <w:qFormat/>
    <w:uiPriority w:val="0"/>
    <w:rPr>
      <w:rFonts w:ascii="Times New Roman" w:hAnsi="Times New Roman" w:eastAsia="宋体" w:cs="Times New Roman"/>
    </w:rPr>
  </w:style>
  <w:style w:type="character" w:customStyle="1" w:styleId="67">
    <w:name w:val="Header Char"/>
    <w:qFormat/>
    <w:uiPriority w:val="0"/>
    <w:rPr>
      <w:rFonts w:ascii="Calibri" w:hAnsi="Calibri" w:eastAsia="宋体" w:cs="Times New Roman"/>
      <w:kern w:val="2"/>
      <w:sz w:val="18"/>
      <w:szCs w:val="18"/>
      <w:lang w:val="en-US" w:eastAsia="zh-CN" w:bidi="ar-SA"/>
    </w:rPr>
  </w:style>
  <w:style w:type="character" w:customStyle="1" w:styleId="68">
    <w:name w:val="Footer Char"/>
    <w:qFormat/>
    <w:uiPriority w:val="0"/>
    <w:rPr>
      <w:rFonts w:ascii="Calibri" w:hAnsi="Calibri" w:eastAsia="宋体" w:cs="Times New Roman"/>
      <w:kern w:val="2"/>
      <w:sz w:val="18"/>
      <w:szCs w:val="18"/>
      <w:lang w:val="en-US" w:eastAsia="zh-CN" w:bidi="ar-SA"/>
    </w:rPr>
  </w:style>
  <w:style w:type="character" w:customStyle="1" w:styleId="69">
    <w:name w:val="Plain Text Char"/>
    <w:qFormat/>
    <w:uiPriority w:val="0"/>
    <w:rPr>
      <w:rFonts w:ascii="宋体" w:hAnsi="Courier New" w:eastAsia="宋体" w:cs="Times New Roman"/>
      <w:lang w:bidi="ar-SA"/>
    </w:rPr>
  </w:style>
  <w:style w:type="character" w:customStyle="1" w:styleId="70">
    <w:name w:val="普通文字 Char Char3"/>
    <w:qFormat/>
    <w:uiPriority w:val="0"/>
    <w:rPr>
      <w:rFonts w:ascii="宋体" w:hAnsi="Times New Roman" w:eastAsia="宋体" w:cs="Courier New"/>
      <w:kern w:val="2"/>
      <w:sz w:val="21"/>
      <w:szCs w:val="21"/>
      <w:lang w:val="en-US" w:eastAsia="zh-CN" w:bidi="ar-SA"/>
    </w:rPr>
  </w:style>
  <w:style w:type="character" w:customStyle="1" w:styleId="71">
    <w:name w:val="样式 正文 +"/>
    <w:qFormat/>
    <w:uiPriority w:val="0"/>
    <w:rPr>
      <w:rFonts w:ascii="Times New Roman" w:hAnsi="Times New Roman" w:eastAsia="宋体" w:cs="Times New Roman"/>
      <w:kern w:val="0"/>
      <w:sz w:val="28"/>
    </w:rPr>
  </w:style>
  <w:style w:type="character" w:customStyle="1" w:styleId="72">
    <w:name w:val="正文文本缩进 Char"/>
    <w:link w:val="21"/>
    <w:qFormat/>
    <w:uiPriority w:val="0"/>
    <w:rPr>
      <w:rFonts w:ascii="仿宋_GB2312" w:hAnsi="Times New Roman" w:eastAsia="仿宋_GB2312" w:cs="Times New Roman"/>
      <w:kern w:val="2"/>
      <w:sz w:val="32"/>
      <w:lang w:val="en-US" w:eastAsia="zh-CN" w:bidi="ar-SA"/>
    </w:rPr>
  </w:style>
  <w:style w:type="character" w:customStyle="1" w:styleId="73">
    <w:name w:val="普通文字 Char Char2"/>
    <w:qFormat/>
    <w:uiPriority w:val="0"/>
    <w:rPr>
      <w:rFonts w:ascii="宋体" w:hAnsi="Courier New" w:eastAsia="宋体" w:cs="Times New Roman"/>
      <w:kern w:val="2"/>
      <w:sz w:val="21"/>
      <w:lang w:val="en-US" w:eastAsia="zh-CN" w:bidi="ar-SA"/>
    </w:rPr>
  </w:style>
  <w:style w:type="character" w:customStyle="1" w:styleId="74">
    <w:name w:val="页脚 Char"/>
    <w:link w:val="28"/>
    <w:qFormat/>
    <w:uiPriority w:val="99"/>
    <w:rPr>
      <w:rFonts w:ascii="Times New Roman" w:hAnsi="Times New Roman" w:eastAsia="宋体" w:cs="Times New Roman"/>
      <w:kern w:val="2"/>
      <w:sz w:val="18"/>
      <w:szCs w:val="18"/>
    </w:rPr>
  </w:style>
  <w:style w:type="character" w:customStyle="1" w:styleId="75">
    <w:name w:val="样式 宋体 小四"/>
    <w:qFormat/>
    <w:uiPriority w:val="0"/>
    <w:rPr>
      <w:rFonts w:ascii="宋体" w:hAnsi="宋体" w:eastAsia="宋体" w:cs="Times New Roman"/>
      <w:sz w:val="24"/>
    </w:rPr>
  </w:style>
  <w:style w:type="character" w:customStyle="1" w:styleId="76">
    <w:name w:val="页眉 Char"/>
    <w:link w:val="29"/>
    <w:qFormat/>
    <w:uiPriority w:val="99"/>
    <w:rPr>
      <w:rFonts w:ascii="Times New Roman" w:hAnsi="Times New Roman" w:eastAsia="宋体" w:cs="Times New Roman"/>
      <w:kern w:val="2"/>
      <w:sz w:val="18"/>
      <w:szCs w:val="18"/>
      <w:lang w:val="en-US" w:eastAsia="zh-CN" w:bidi="ar-SA"/>
    </w:rPr>
  </w:style>
  <w:style w:type="character" w:customStyle="1" w:styleId="77">
    <w:name w:val="副标题 Char"/>
    <w:link w:val="31"/>
    <w:qFormat/>
    <w:uiPriority w:val="0"/>
    <w:rPr>
      <w:rFonts w:ascii="Cambria" w:hAnsi="Cambria" w:eastAsia="宋体" w:cs="Times New Roman"/>
      <w:b/>
      <w:bCs/>
      <w:kern w:val="28"/>
      <w:sz w:val="28"/>
      <w:szCs w:val="32"/>
      <w:lang w:val="en-US" w:eastAsia="zh-CN" w:bidi="ar-SA"/>
    </w:rPr>
  </w:style>
  <w:style w:type="character" w:customStyle="1" w:styleId="78">
    <w:name w:val="批注框文本 Char"/>
    <w:link w:val="27"/>
    <w:qFormat/>
    <w:uiPriority w:val="99"/>
    <w:rPr>
      <w:rFonts w:ascii="Times New Roman" w:hAnsi="Times New Roman" w:eastAsia="宋体" w:cs="Times New Roman"/>
      <w:kern w:val="2"/>
      <w:sz w:val="18"/>
      <w:szCs w:val="18"/>
    </w:rPr>
  </w:style>
  <w:style w:type="character" w:customStyle="1" w:styleId="79">
    <w:name w:val="批注文字 Char"/>
    <w:link w:val="17"/>
    <w:qFormat/>
    <w:uiPriority w:val="99"/>
    <w:rPr>
      <w:rFonts w:ascii="Times New Roman" w:hAnsi="Times New Roman" w:eastAsia="宋体" w:cs="Times New Roman"/>
      <w:kern w:val="2"/>
      <w:sz w:val="21"/>
      <w:szCs w:val="24"/>
      <w:lang w:val="en-US" w:eastAsia="zh-CN" w:bidi="ar-SA"/>
    </w:rPr>
  </w:style>
  <w:style w:type="character" w:customStyle="1" w:styleId="80">
    <w:name w:val="Char Char7"/>
    <w:qFormat/>
    <w:uiPriority w:val="0"/>
    <w:rPr>
      <w:rFonts w:ascii="Times New Roman" w:hAnsi="Times New Roman" w:eastAsia="仿宋_GB2312" w:cs="Times New Roman"/>
      <w:b/>
      <w:bCs/>
      <w:kern w:val="44"/>
      <w:sz w:val="44"/>
      <w:szCs w:val="44"/>
      <w:lang w:val="en-US" w:eastAsia="zh-CN" w:bidi="ar-SA"/>
    </w:rPr>
  </w:style>
  <w:style w:type="character" w:customStyle="1" w:styleId="81">
    <w:name w:val="ca-1"/>
    <w:qFormat/>
    <w:uiPriority w:val="0"/>
    <w:rPr>
      <w:rFonts w:ascii="Times New Roman" w:hAnsi="Times New Roman" w:eastAsia="宋体" w:cs="Times New Roman"/>
    </w:rPr>
  </w:style>
  <w:style w:type="character" w:customStyle="1" w:styleId="82">
    <w:name w:val="正文360首行缩进 Char"/>
    <w:link w:val="83"/>
    <w:qFormat/>
    <w:uiPriority w:val="0"/>
    <w:rPr>
      <w:rFonts w:ascii="Times New Roman" w:hAnsi="Times New Roman" w:eastAsia="宋体" w:cs="Times New Roman"/>
      <w:sz w:val="24"/>
      <w:szCs w:val="24"/>
    </w:rPr>
  </w:style>
  <w:style w:type="paragraph" w:customStyle="1" w:styleId="83">
    <w:name w:val="正文360首行缩进"/>
    <w:basedOn w:val="1"/>
    <w:link w:val="82"/>
    <w:qFormat/>
    <w:uiPriority w:val="0"/>
    <w:pPr>
      <w:widowControl/>
      <w:spacing w:before="120" w:line="300" w:lineRule="auto"/>
      <w:ind w:firstLine="200"/>
      <w:jc w:val="left"/>
    </w:pPr>
    <w:rPr>
      <w:kern w:val="0"/>
      <w:sz w:val="24"/>
    </w:rPr>
  </w:style>
  <w:style w:type="character" w:customStyle="1" w:styleId="84">
    <w:name w:val="List Paragraph Char"/>
    <w:link w:val="85"/>
    <w:qFormat/>
    <w:locked/>
    <w:uiPriority w:val="0"/>
    <w:rPr>
      <w:rFonts w:ascii="宋体" w:hAnsi="宋体" w:cs="宋体"/>
      <w:sz w:val="24"/>
      <w:szCs w:val="24"/>
    </w:rPr>
  </w:style>
  <w:style w:type="paragraph" w:customStyle="1" w:styleId="85">
    <w:name w:val="列表段落1"/>
    <w:basedOn w:val="1"/>
    <w:link w:val="84"/>
    <w:qFormat/>
    <w:uiPriority w:val="0"/>
    <w:pPr>
      <w:widowControl/>
      <w:ind w:firstLine="420" w:firstLineChars="200"/>
      <w:jc w:val="left"/>
    </w:pPr>
    <w:rPr>
      <w:rFonts w:ascii="宋体" w:hAnsi="宋体"/>
      <w:kern w:val="0"/>
      <w:sz w:val="24"/>
      <w:lang w:val="zh-CN"/>
    </w:rPr>
  </w:style>
  <w:style w:type="character" w:customStyle="1" w:styleId="86">
    <w:name w:val="yyii"/>
    <w:qFormat/>
    <w:uiPriority w:val="0"/>
    <w:rPr>
      <w:rFonts w:ascii="Times New Roman" w:hAnsi="Times New Roman" w:eastAsia="宋体" w:cs="Times New Roman"/>
    </w:rPr>
  </w:style>
  <w:style w:type="character" w:customStyle="1" w:styleId="87">
    <w:name w:val="纯文本 Char1"/>
    <w:qFormat/>
    <w:uiPriority w:val="0"/>
    <w:rPr>
      <w:rFonts w:ascii="宋体" w:hAnsi="Courier New" w:eastAsia="宋体" w:cs="Times New Roman"/>
      <w:kern w:val="2"/>
      <w:sz w:val="21"/>
    </w:rPr>
  </w:style>
  <w:style w:type="character" w:customStyle="1" w:styleId="88">
    <w:name w:val="标题 1 Char1"/>
    <w:qFormat/>
    <w:uiPriority w:val="0"/>
    <w:rPr>
      <w:rFonts w:ascii="Times New Roman" w:hAnsi="Times New Roman" w:eastAsia="宋体" w:cs="Times New Roman"/>
      <w:b/>
      <w:bCs/>
      <w:kern w:val="44"/>
      <w:sz w:val="44"/>
      <w:szCs w:val="44"/>
    </w:rPr>
  </w:style>
  <w:style w:type="character" w:customStyle="1" w:styleId="89">
    <w:name w:val="标题 2 Char"/>
    <w:link w:val="4"/>
    <w:qFormat/>
    <w:uiPriority w:val="9"/>
    <w:rPr>
      <w:rFonts w:ascii="Arial" w:hAnsi="Arial" w:eastAsia="黑体"/>
      <w:b/>
      <w:bCs/>
      <w:kern w:val="2"/>
      <w:sz w:val="24"/>
      <w:szCs w:val="32"/>
    </w:rPr>
  </w:style>
  <w:style w:type="character" w:customStyle="1" w:styleId="90">
    <w:name w:val="批注主题 Char"/>
    <w:link w:val="40"/>
    <w:qFormat/>
    <w:uiPriority w:val="0"/>
    <w:rPr>
      <w:rFonts w:ascii="Times New Roman" w:hAnsi="Times New Roman" w:eastAsia="宋体" w:cs="Times New Roman"/>
      <w:b/>
      <w:bCs/>
      <w:kern w:val="2"/>
      <w:sz w:val="21"/>
      <w:szCs w:val="24"/>
      <w:lang w:val="en-US" w:eastAsia="zh-CN" w:bidi="ar-SA"/>
    </w:rPr>
  </w:style>
  <w:style w:type="paragraph" w:customStyle="1" w:styleId="91">
    <w:name w:val="目录 11"/>
    <w:basedOn w:val="1"/>
    <w:next w:val="1"/>
    <w:qFormat/>
    <w:uiPriority w:val="39"/>
  </w:style>
  <w:style w:type="paragraph" w:customStyle="1" w:styleId="92">
    <w:name w:val="目录 21"/>
    <w:basedOn w:val="1"/>
    <w:next w:val="1"/>
    <w:qFormat/>
    <w:uiPriority w:val="39"/>
    <w:pPr>
      <w:tabs>
        <w:tab w:val="right" w:leader="dot" w:pos="9402"/>
      </w:tabs>
      <w:ind w:left="718" w:leftChars="200" w:hanging="298" w:hangingChars="142"/>
    </w:pPr>
  </w:style>
  <w:style w:type="paragraph" w:customStyle="1" w:styleId="93">
    <w:name w:val="目录 31"/>
    <w:basedOn w:val="1"/>
    <w:next w:val="1"/>
    <w:qFormat/>
    <w:uiPriority w:val="39"/>
    <w:pPr>
      <w:ind w:left="840" w:leftChars="400"/>
    </w:pPr>
  </w:style>
  <w:style w:type="paragraph" w:customStyle="1" w:styleId="94">
    <w:name w:val="正文首行缩进1"/>
    <w:basedOn w:val="19"/>
    <w:qFormat/>
    <w:uiPriority w:val="0"/>
    <w:pPr>
      <w:spacing w:after="120" w:line="240" w:lineRule="auto"/>
      <w:ind w:firstLine="420" w:firstLineChars="100"/>
    </w:pPr>
    <w:rPr>
      <w:sz w:val="21"/>
    </w:rPr>
  </w:style>
  <w:style w:type="paragraph" w:customStyle="1" w:styleId="95">
    <w:name w:val="Char Char1 Char Char Char Char"/>
    <w:basedOn w:val="16"/>
    <w:qFormat/>
    <w:uiPriority w:val="0"/>
    <w:rPr>
      <w:rFonts w:ascii="Tahoma" w:hAnsi="Tahoma"/>
      <w:sz w:val="24"/>
    </w:rPr>
  </w:style>
  <w:style w:type="paragraph" w:customStyle="1" w:styleId="96">
    <w:name w:val="列出段落1"/>
    <w:basedOn w:val="1"/>
    <w:qFormat/>
    <w:uiPriority w:val="99"/>
    <w:pPr>
      <w:ind w:firstLine="420" w:firstLineChars="200"/>
    </w:pPr>
    <w:rPr>
      <w:rFonts w:ascii="Calibri" w:hAnsi="Calibri"/>
    </w:rPr>
  </w:style>
  <w:style w:type="paragraph" w:customStyle="1" w:styleId="97">
    <w:name w:val="Char Char Char1 Char"/>
    <w:basedOn w:val="16"/>
    <w:qFormat/>
    <w:uiPriority w:val="0"/>
  </w:style>
  <w:style w:type="paragraph" w:customStyle="1" w:styleId="98">
    <w:name w:val="pa-5"/>
    <w:basedOn w:val="1"/>
    <w:qFormat/>
    <w:uiPriority w:val="0"/>
    <w:pPr>
      <w:widowControl/>
      <w:spacing w:before="150" w:after="150"/>
      <w:jc w:val="left"/>
    </w:pPr>
    <w:rPr>
      <w:rFonts w:ascii="宋体" w:hAnsi="宋体" w:cs="宋体"/>
      <w:kern w:val="0"/>
      <w:sz w:val="24"/>
    </w:rPr>
  </w:style>
  <w:style w:type="paragraph" w:customStyle="1" w:styleId="99">
    <w:name w:val="Table Text Char"/>
    <w:qFormat/>
    <w:uiPriority w:val="0"/>
    <w:pPr>
      <w:snapToGrid w:val="0"/>
      <w:spacing w:before="80" w:after="80"/>
    </w:pPr>
    <w:rPr>
      <w:rFonts w:ascii="Arial" w:hAnsi="Arial" w:eastAsia="宋体" w:cs="Times New Roman"/>
      <w:sz w:val="18"/>
      <w:lang w:val="en-US" w:eastAsia="zh-CN" w:bidi="ar-SA"/>
    </w:rPr>
  </w:style>
  <w:style w:type="paragraph" w:customStyle="1" w:styleId="100">
    <w:name w:val="Char Char1 Char Char Char Char1"/>
    <w:basedOn w:val="16"/>
    <w:qFormat/>
    <w:uiPriority w:val="0"/>
    <w:rPr>
      <w:rFonts w:ascii="Tahoma" w:hAnsi="Tahoma"/>
      <w:sz w:val="24"/>
    </w:rPr>
  </w:style>
  <w:style w:type="paragraph" w:customStyle="1" w:styleId="101">
    <w:name w:val="_Style 35"/>
    <w:basedOn w:val="16"/>
    <w:qFormat/>
    <w:uiPriority w:val="0"/>
    <w:pPr>
      <w:widowControl/>
      <w:ind w:firstLine="454"/>
      <w:jc w:val="left"/>
    </w:pPr>
  </w:style>
  <w:style w:type="paragraph" w:customStyle="1" w:styleId="102">
    <w:name w:val="5 Char Char Char Char Char Char Char Char Char Char"/>
    <w:basedOn w:val="1"/>
    <w:qFormat/>
    <w:uiPriority w:val="0"/>
  </w:style>
  <w:style w:type="paragraph" w:customStyle="1" w:styleId="103">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textAlignment w:val="top"/>
    </w:pPr>
    <w:rPr>
      <w:kern w:val="0"/>
      <w:szCs w:val="21"/>
    </w:rPr>
  </w:style>
  <w:style w:type="paragraph" w:customStyle="1" w:styleId="104">
    <w:name w:val="Char Char2 Char Char Char Char Char Char Char Char Char Char"/>
    <w:basedOn w:val="1"/>
    <w:qFormat/>
    <w:uiPriority w:val="0"/>
    <w:pPr>
      <w:tabs>
        <w:tab w:val="left" w:pos="360"/>
      </w:tabs>
      <w:spacing w:line="360" w:lineRule="auto"/>
      <w:ind w:left="482" w:firstLine="200" w:firstLineChars="200"/>
    </w:pPr>
  </w:style>
  <w:style w:type="paragraph" w:customStyle="1" w:styleId="105">
    <w:name w:val="默认段落字体 Para Char"/>
    <w:basedOn w:val="1"/>
    <w:qFormat/>
    <w:uiPriority w:val="0"/>
    <w:rPr>
      <w:szCs w:val="20"/>
    </w:rPr>
  </w:style>
  <w:style w:type="paragraph" w:customStyle="1" w:styleId="106">
    <w:name w:val="表格文字"/>
    <w:basedOn w:val="1"/>
    <w:qFormat/>
    <w:uiPriority w:val="0"/>
    <w:pPr>
      <w:spacing w:before="25" w:after="25"/>
      <w:jc w:val="left"/>
    </w:pPr>
    <w:rPr>
      <w:bCs/>
      <w:spacing w:val="10"/>
      <w:kern w:val="0"/>
      <w:sz w:val="24"/>
    </w:rPr>
  </w:style>
  <w:style w:type="paragraph" w:customStyle="1" w:styleId="107">
    <w:name w:val="_Style 7"/>
    <w:basedOn w:val="16"/>
    <w:qFormat/>
    <w:uiPriority w:val="0"/>
  </w:style>
  <w:style w:type="paragraph" w:customStyle="1" w:styleId="108">
    <w:name w:val="普通(网站)1"/>
    <w:basedOn w:val="1"/>
    <w:qFormat/>
    <w:uiPriority w:val="0"/>
    <w:pPr>
      <w:widowControl/>
      <w:spacing w:before="100" w:beforeAutospacing="1" w:after="100" w:afterAutospacing="1"/>
      <w:jc w:val="left"/>
    </w:pPr>
    <w:rPr>
      <w:rFonts w:ascii="宋体" w:hAnsi="宋体" w:cs="宋体"/>
      <w:kern w:val="0"/>
      <w:sz w:val="24"/>
    </w:rPr>
  </w:style>
  <w:style w:type="paragraph" w:customStyle="1" w:styleId="109">
    <w:name w:val="默认段落字体 Para Char Char Char Char Char Char Char Char Char1 Char Char Char Char"/>
    <w:basedOn w:val="1"/>
    <w:qFormat/>
    <w:uiPriority w:val="0"/>
    <w:rPr>
      <w:rFonts w:ascii="Tahoma" w:hAnsi="Tahoma"/>
      <w:sz w:val="24"/>
      <w:szCs w:val="20"/>
    </w:rPr>
  </w:style>
  <w:style w:type="paragraph" w:customStyle="1" w:styleId="110">
    <w:name w:val="样式 标题 1 + 居中 段前: 0 磅 段后: 0 磅 行距: 固定值 30 磅"/>
    <w:basedOn w:val="3"/>
    <w:qFormat/>
    <w:uiPriority w:val="0"/>
    <w:pPr>
      <w:spacing w:before="0" w:after="0" w:line="600" w:lineRule="exact"/>
    </w:pPr>
    <w:rPr>
      <w:rFonts w:eastAsia="宋体" w:cs="宋体"/>
      <w:szCs w:val="20"/>
    </w:rPr>
  </w:style>
  <w:style w:type="paragraph" w:customStyle="1" w:styleId="111">
    <w:name w:val="样式 小四 行距: 1.5 倍行距"/>
    <w:basedOn w:val="1"/>
    <w:qFormat/>
    <w:uiPriority w:val="0"/>
    <w:pPr>
      <w:spacing w:line="360" w:lineRule="auto"/>
      <w:ind w:firstLine="480" w:firstLineChars="200"/>
    </w:pPr>
    <w:rPr>
      <w:rFonts w:cs="宋体"/>
      <w:sz w:val="24"/>
      <w:szCs w:val="20"/>
    </w:rPr>
  </w:style>
  <w:style w:type="paragraph" w:customStyle="1" w:styleId="112">
    <w:name w:val="p0"/>
    <w:basedOn w:val="1"/>
    <w:qFormat/>
    <w:uiPriority w:val="0"/>
    <w:pPr>
      <w:widowControl/>
    </w:pPr>
    <w:rPr>
      <w:rFonts w:ascii="宋体" w:hAnsi="宋体" w:cs="宋体"/>
      <w:kern w:val="0"/>
      <w:szCs w:val="21"/>
    </w:rPr>
  </w:style>
  <w:style w:type="paragraph" w:customStyle="1" w:styleId="113">
    <w:name w:val="Char Char Char Char Char Char Char Char Char Char Char Char"/>
    <w:basedOn w:val="1"/>
    <w:qFormat/>
    <w:uiPriority w:val="0"/>
    <w:pPr>
      <w:widowControl/>
      <w:spacing w:after="160" w:line="240" w:lineRule="exact"/>
      <w:jc w:val="left"/>
    </w:pPr>
  </w:style>
  <w:style w:type="paragraph" w:customStyle="1" w:styleId="114">
    <w:name w:val="Char Char Char1 Char1"/>
    <w:basedOn w:val="1"/>
    <w:qFormat/>
    <w:uiPriority w:val="0"/>
    <w:rPr>
      <w:rFonts w:ascii="Calibri" w:hAnsi="Calibri"/>
      <w:szCs w:val="22"/>
    </w:rPr>
  </w:style>
  <w:style w:type="paragraph" w:customStyle="1" w:styleId="115">
    <w:name w:val="Char Char Char Char Char Char Char"/>
    <w:basedOn w:val="1"/>
    <w:qFormat/>
    <w:uiPriority w:val="0"/>
  </w:style>
  <w:style w:type="paragraph" w:customStyle="1" w:styleId="116">
    <w:name w:val="文档正文"/>
    <w:basedOn w:val="1"/>
    <w:qFormat/>
    <w:uiPriority w:val="0"/>
    <w:pPr>
      <w:autoSpaceDE w:val="0"/>
      <w:autoSpaceDN w:val="0"/>
      <w:adjustRightInd w:val="0"/>
      <w:spacing w:line="240" w:lineRule="atLeast"/>
      <w:ind w:firstLine="567"/>
    </w:pPr>
    <w:rPr>
      <w:rFonts w:ascii="Arial Narrow" w:hAnsi="Arial Narrow" w:cs="Arial"/>
      <w:sz w:val="24"/>
      <w:lang w:val="zh-CN"/>
    </w:rPr>
  </w:style>
  <w:style w:type="paragraph" w:customStyle="1" w:styleId="117">
    <w:name w:val="样式 正文2 + 仿宋 黑色 首行缩进:  2 字符"/>
    <w:basedOn w:val="1"/>
    <w:qFormat/>
    <w:uiPriority w:val="0"/>
    <w:pPr>
      <w:spacing w:line="360" w:lineRule="auto"/>
      <w:ind w:firstLine="480" w:firstLineChars="200"/>
    </w:pPr>
    <w:rPr>
      <w:rFonts w:ascii="仿宋" w:hAnsi="仿宋" w:eastAsia="仿宋" w:cs="宋体"/>
      <w:color w:val="000000"/>
      <w:sz w:val="24"/>
      <w:szCs w:val="20"/>
    </w:rPr>
  </w:style>
  <w:style w:type="paragraph" w:customStyle="1" w:styleId="118">
    <w:name w:val="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19">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20">
    <w:name w:val="Char"/>
    <w:basedOn w:val="16"/>
    <w:qFormat/>
    <w:uiPriority w:val="0"/>
    <w:pPr>
      <w:widowControl/>
      <w:ind w:firstLine="454"/>
      <w:jc w:val="left"/>
    </w:pPr>
    <w:rPr>
      <w:rFonts w:ascii="Tahoma" w:hAnsi="Tahoma" w:cs="宋体"/>
      <w:kern w:val="0"/>
      <w:sz w:val="24"/>
      <w:szCs w:val="20"/>
    </w:rPr>
  </w:style>
  <w:style w:type="paragraph" w:customStyle="1" w:styleId="121">
    <w:name w:val="Char1"/>
    <w:basedOn w:val="16"/>
    <w:qFormat/>
    <w:uiPriority w:val="0"/>
    <w:pPr>
      <w:widowControl/>
      <w:ind w:firstLine="454"/>
      <w:jc w:val="left"/>
    </w:pPr>
    <w:rPr>
      <w:rFonts w:ascii="Tahoma" w:hAnsi="Tahoma" w:cs="宋体"/>
      <w:kern w:val="0"/>
      <w:sz w:val="24"/>
      <w:szCs w:val="20"/>
    </w:rPr>
  </w:style>
  <w:style w:type="paragraph" w:customStyle="1" w:styleId="122">
    <w:name w:val="1"/>
    <w:basedOn w:val="1"/>
    <w:next w:val="24"/>
    <w:qFormat/>
    <w:uiPriority w:val="0"/>
    <w:rPr>
      <w:rFonts w:ascii="宋体" w:hAnsi="Courier New"/>
      <w:szCs w:val="20"/>
    </w:rPr>
  </w:style>
  <w:style w:type="paragraph" w:customStyle="1" w:styleId="123">
    <w:name w:val="_Style 2"/>
    <w:basedOn w:val="1"/>
    <w:qFormat/>
    <w:uiPriority w:val="0"/>
    <w:pPr>
      <w:ind w:firstLine="420" w:firstLineChars="200"/>
    </w:pPr>
  </w:style>
  <w:style w:type="paragraph" w:customStyle="1" w:styleId="124">
    <w:name w:val="正文段"/>
    <w:basedOn w:val="1"/>
    <w:qFormat/>
    <w:uiPriority w:val="0"/>
    <w:pPr>
      <w:widowControl/>
      <w:snapToGrid w:val="0"/>
      <w:spacing w:afterLines="50"/>
      <w:ind w:firstLine="200" w:firstLineChars="200"/>
    </w:pPr>
    <w:rPr>
      <w:kern w:val="0"/>
      <w:sz w:val="24"/>
      <w:szCs w:val="20"/>
    </w:rPr>
  </w:style>
  <w:style w:type="paragraph" w:customStyle="1" w:styleId="125">
    <w:name w:val="列出段落2"/>
    <w:basedOn w:val="1"/>
    <w:qFormat/>
    <w:uiPriority w:val="34"/>
    <w:pPr>
      <w:ind w:firstLine="420" w:firstLineChars="200"/>
    </w:pPr>
    <w:rPr>
      <w:rFonts w:ascii="Calibri" w:hAnsi="Calibri"/>
      <w:szCs w:val="22"/>
    </w:rPr>
  </w:style>
  <w:style w:type="paragraph" w:customStyle="1" w:styleId="126">
    <w:name w:val="无间隔1"/>
    <w:qFormat/>
    <w:uiPriority w:val="0"/>
    <w:pPr>
      <w:widowControl w:val="0"/>
      <w:jc w:val="both"/>
    </w:pPr>
    <w:rPr>
      <w:rFonts w:ascii="Calibri" w:hAnsi="Calibri" w:eastAsia="宋体" w:cs="Times New Roman"/>
      <w:kern w:val="2"/>
      <w:sz w:val="21"/>
      <w:szCs w:val="22"/>
      <w:lang w:val="en-US" w:eastAsia="zh-CN" w:bidi="ar-SA"/>
    </w:rPr>
  </w:style>
  <w:style w:type="character" w:customStyle="1" w:styleId="127">
    <w:name w:val="未处理的提及1"/>
    <w:basedOn w:val="44"/>
    <w:unhideWhenUsed/>
    <w:qFormat/>
    <w:uiPriority w:val="99"/>
    <w:rPr>
      <w:color w:val="605E5C"/>
      <w:shd w:val="clear" w:color="auto" w:fill="E1DFDD"/>
    </w:rPr>
  </w:style>
  <w:style w:type="character" w:customStyle="1" w:styleId="128">
    <w:name w:val="font81"/>
    <w:basedOn w:val="44"/>
    <w:qFormat/>
    <w:uiPriority w:val="0"/>
    <w:rPr>
      <w:rFonts w:hint="eastAsia" w:ascii="宋体" w:hAnsi="宋体" w:eastAsia="宋体" w:cs="宋体"/>
      <w:color w:val="000000"/>
      <w:sz w:val="18"/>
      <w:szCs w:val="18"/>
      <w:u w:val="none"/>
    </w:rPr>
  </w:style>
  <w:style w:type="paragraph" w:customStyle="1" w:styleId="129">
    <w:name w:val="列表段落2"/>
    <w:basedOn w:val="1"/>
    <w:qFormat/>
    <w:uiPriority w:val="34"/>
    <w:pPr>
      <w:ind w:firstLine="420" w:firstLineChars="200"/>
    </w:pPr>
  </w:style>
  <w:style w:type="character" w:customStyle="1" w:styleId="130">
    <w:name w:val="未处理的提及2"/>
    <w:basedOn w:val="44"/>
    <w:unhideWhenUsed/>
    <w:qFormat/>
    <w:uiPriority w:val="99"/>
    <w:rPr>
      <w:color w:val="605E5C"/>
      <w:shd w:val="clear" w:color="auto" w:fill="E1DFDD"/>
    </w:rPr>
  </w:style>
  <w:style w:type="character" w:customStyle="1" w:styleId="131">
    <w:name w:val="纯文本 字符1"/>
    <w:qFormat/>
    <w:uiPriority w:val="0"/>
    <w:rPr>
      <w:rFonts w:ascii="宋体" w:hAnsi="Courier New" w:eastAsia="宋体" w:cs="Courier New"/>
      <w:kern w:val="2"/>
      <w:sz w:val="21"/>
      <w:szCs w:val="21"/>
      <w:lang w:val="en-US" w:eastAsia="zh-CN" w:bidi="ar-SA"/>
    </w:rPr>
  </w:style>
  <w:style w:type="character" w:customStyle="1" w:styleId="132">
    <w:name w:val="标题 4 Char"/>
    <w:basedOn w:val="44"/>
    <w:link w:val="6"/>
    <w:qFormat/>
    <w:uiPriority w:val="9"/>
    <w:rPr>
      <w:rFonts w:asciiTheme="majorHAnsi" w:hAnsiTheme="majorHAnsi" w:eastAsiaTheme="majorEastAsia" w:cstheme="majorBidi"/>
      <w:b/>
      <w:bCs/>
      <w:kern w:val="2"/>
      <w:sz w:val="28"/>
      <w:szCs w:val="28"/>
    </w:rPr>
  </w:style>
  <w:style w:type="character" w:customStyle="1" w:styleId="133">
    <w:name w:val="标题 5 Char"/>
    <w:basedOn w:val="44"/>
    <w:link w:val="7"/>
    <w:qFormat/>
    <w:uiPriority w:val="9"/>
    <w:rPr>
      <w:b/>
      <w:kern w:val="2"/>
      <w:sz w:val="28"/>
      <w:szCs w:val="24"/>
    </w:rPr>
  </w:style>
  <w:style w:type="character" w:customStyle="1" w:styleId="134">
    <w:name w:val="标题 6 Char"/>
    <w:basedOn w:val="44"/>
    <w:link w:val="9"/>
    <w:qFormat/>
    <w:uiPriority w:val="9"/>
    <w:rPr>
      <w:rFonts w:ascii="Arial" w:hAnsi="Arial" w:eastAsia="黑体"/>
      <w:b/>
      <w:kern w:val="2"/>
      <w:sz w:val="24"/>
      <w:szCs w:val="24"/>
    </w:rPr>
  </w:style>
  <w:style w:type="character" w:customStyle="1" w:styleId="135">
    <w:name w:val="标题 7 Char"/>
    <w:basedOn w:val="44"/>
    <w:link w:val="10"/>
    <w:qFormat/>
    <w:uiPriority w:val="9"/>
    <w:rPr>
      <w:b/>
      <w:kern w:val="2"/>
      <w:sz w:val="24"/>
      <w:szCs w:val="24"/>
    </w:rPr>
  </w:style>
  <w:style w:type="character" w:customStyle="1" w:styleId="136">
    <w:name w:val="标题 8 Char"/>
    <w:basedOn w:val="44"/>
    <w:link w:val="11"/>
    <w:qFormat/>
    <w:uiPriority w:val="9"/>
    <w:rPr>
      <w:rFonts w:ascii="Arial" w:hAnsi="Arial" w:eastAsia="黑体"/>
      <w:kern w:val="2"/>
      <w:sz w:val="24"/>
      <w:szCs w:val="24"/>
    </w:rPr>
  </w:style>
  <w:style w:type="character" w:customStyle="1" w:styleId="137">
    <w:name w:val="标题 9 Char"/>
    <w:basedOn w:val="44"/>
    <w:link w:val="12"/>
    <w:qFormat/>
    <w:uiPriority w:val="9"/>
    <w:rPr>
      <w:rFonts w:ascii="Arial" w:hAnsi="Arial" w:eastAsia="黑体"/>
      <w:kern w:val="2"/>
      <w:sz w:val="21"/>
      <w:szCs w:val="24"/>
    </w:rPr>
  </w:style>
  <w:style w:type="paragraph" w:customStyle="1" w:styleId="138">
    <w:name w:val="TOC 71"/>
    <w:basedOn w:val="1"/>
    <w:next w:val="1"/>
    <w:unhideWhenUsed/>
    <w:qFormat/>
    <w:uiPriority w:val="39"/>
    <w:pPr>
      <w:spacing w:line="360" w:lineRule="auto"/>
      <w:ind w:left="1440" w:firstLine="200" w:firstLineChars="200"/>
      <w:jc w:val="left"/>
    </w:pPr>
    <w:rPr>
      <w:rFonts w:ascii="Calibri" w:hAnsi="Calibri"/>
      <w:sz w:val="18"/>
      <w:szCs w:val="18"/>
    </w:rPr>
  </w:style>
  <w:style w:type="character" w:customStyle="1" w:styleId="139">
    <w:name w:val="文档结构图 Char"/>
    <w:basedOn w:val="44"/>
    <w:link w:val="16"/>
    <w:qFormat/>
    <w:uiPriority w:val="99"/>
    <w:rPr>
      <w:kern w:val="2"/>
      <w:sz w:val="21"/>
      <w:szCs w:val="24"/>
      <w:shd w:val="clear" w:color="auto" w:fill="000080"/>
    </w:rPr>
  </w:style>
  <w:style w:type="character" w:customStyle="1" w:styleId="140">
    <w:name w:val="正文文本 Char"/>
    <w:basedOn w:val="44"/>
    <w:link w:val="19"/>
    <w:qFormat/>
    <w:uiPriority w:val="0"/>
    <w:rPr>
      <w:kern w:val="2"/>
      <w:sz w:val="24"/>
      <w:szCs w:val="24"/>
    </w:rPr>
  </w:style>
  <w:style w:type="paragraph" w:customStyle="1" w:styleId="141">
    <w:name w:val="TOC 51"/>
    <w:basedOn w:val="1"/>
    <w:next w:val="1"/>
    <w:unhideWhenUsed/>
    <w:qFormat/>
    <w:uiPriority w:val="39"/>
    <w:pPr>
      <w:spacing w:line="360" w:lineRule="auto"/>
      <w:ind w:left="960" w:firstLine="200" w:firstLineChars="200"/>
      <w:jc w:val="left"/>
    </w:pPr>
    <w:rPr>
      <w:rFonts w:ascii="Calibri" w:hAnsi="Calibri"/>
      <w:sz w:val="18"/>
      <w:szCs w:val="18"/>
    </w:rPr>
  </w:style>
  <w:style w:type="paragraph" w:customStyle="1" w:styleId="142">
    <w:name w:val="TOC 31"/>
    <w:basedOn w:val="1"/>
    <w:next w:val="1"/>
    <w:unhideWhenUsed/>
    <w:qFormat/>
    <w:uiPriority w:val="39"/>
    <w:pPr>
      <w:spacing w:line="360" w:lineRule="auto"/>
      <w:ind w:left="480" w:firstLine="200" w:firstLineChars="200"/>
      <w:jc w:val="left"/>
    </w:pPr>
    <w:rPr>
      <w:rFonts w:ascii="Calibri" w:hAnsi="Calibri"/>
      <w:i/>
      <w:iCs/>
      <w:sz w:val="20"/>
      <w:szCs w:val="20"/>
    </w:rPr>
  </w:style>
  <w:style w:type="paragraph" w:customStyle="1" w:styleId="143">
    <w:name w:val="TOC 81"/>
    <w:basedOn w:val="1"/>
    <w:next w:val="1"/>
    <w:unhideWhenUsed/>
    <w:qFormat/>
    <w:uiPriority w:val="39"/>
    <w:pPr>
      <w:spacing w:line="360" w:lineRule="auto"/>
      <w:ind w:left="1680" w:firstLine="200" w:firstLineChars="200"/>
      <w:jc w:val="left"/>
    </w:pPr>
    <w:rPr>
      <w:rFonts w:ascii="Calibri" w:hAnsi="Calibri"/>
      <w:sz w:val="18"/>
      <w:szCs w:val="18"/>
    </w:rPr>
  </w:style>
  <w:style w:type="paragraph" w:customStyle="1" w:styleId="144">
    <w:name w:val="TOC 41"/>
    <w:basedOn w:val="1"/>
    <w:next w:val="1"/>
    <w:unhideWhenUsed/>
    <w:qFormat/>
    <w:uiPriority w:val="39"/>
    <w:pPr>
      <w:spacing w:line="360" w:lineRule="auto"/>
      <w:ind w:left="720" w:firstLine="200" w:firstLineChars="200"/>
      <w:jc w:val="left"/>
    </w:pPr>
    <w:rPr>
      <w:rFonts w:ascii="Calibri" w:hAnsi="Calibri"/>
      <w:sz w:val="18"/>
      <w:szCs w:val="18"/>
    </w:rPr>
  </w:style>
  <w:style w:type="paragraph" w:customStyle="1" w:styleId="145">
    <w:name w:val="TOC 61"/>
    <w:basedOn w:val="1"/>
    <w:next w:val="1"/>
    <w:unhideWhenUsed/>
    <w:qFormat/>
    <w:uiPriority w:val="39"/>
    <w:pPr>
      <w:spacing w:line="360" w:lineRule="auto"/>
      <w:ind w:left="1200" w:firstLine="200" w:firstLineChars="200"/>
      <w:jc w:val="left"/>
    </w:pPr>
    <w:rPr>
      <w:rFonts w:ascii="Calibri" w:hAnsi="Calibri"/>
      <w:sz w:val="18"/>
      <w:szCs w:val="18"/>
    </w:rPr>
  </w:style>
  <w:style w:type="paragraph" w:customStyle="1" w:styleId="146">
    <w:name w:val="TOC 21"/>
    <w:basedOn w:val="1"/>
    <w:next w:val="1"/>
    <w:unhideWhenUsed/>
    <w:qFormat/>
    <w:uiPriority w:val="39"/>
    <w:pPr>
      <w:spacing w:line="360" w:lineRule="auto"/>
      <w:ind w:left="240" w:firstLine="200" w:firstLineChars="200"/>
      <w:jc w:val="left"/>
    </w:pPr>
    <w:rPr>
      <w:rFonts w:ascii="Calibri" w:hAnsi="Calibri"/>
      <w:smallCaps/>
      <w:sz w:val="20"/>
      <w:szCs w:val="20"/>
    </w:rPr>
  </w:style>
  <w:style w:type="paragraph" w:customStyle="1" w:styleId="147">
    <w:name w:val="TOC 91"/>
    <w:basedOn w:val="1"/>
    <w:next w:val="1"/>
    <w:unhideWhenUsed/>
    <w:qFormat/>
    <w:uiPriority w:val="39"/>
    <w:pPr>
      <w:spacing w:line="360" w:lineRule="auto"/>
      <w:ind w:left="1920" w:firstLine="200" w:firstLineChars="200"/>
      <w:jc w:val="left"/>
    </w:pPr>
    <w:rPr>
      <w:rFonts w:ascii="Calibri" w:hAnsi="Calibri"/>
      <w:sz w:val="18"/>
      <w:szCs w:val="18"/>
    </w:rPr>
  </w:style>
  <w:style w:type="table" w:customStyle="1" w:styleId="148">
    <w:name w:val="网格型1"/>
    <w:basedOn w:val="42"/>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49">
    <w:name w:val="正文文本 Char1"/>
    <w:basedOn w:val="44"/>
    <w:semiHidden/>
    <w:qFormat/>
    <w:uiPriority w:val="99"/>
    <w:rPr>
      <w:sz w:val="24"/>
    </w:rPr>
  </w:style>
  <w:style w:type="paragraph" w:customStyle="1" w:styleId="150">
    <w:name w:val="修订1"/>
    <w:hidden/>
    <w:unhideWhenUsed/>
    <w:qFormat/>
    <w:uiPriority w:val="99"/>
    <w:rPr>
      <w:rFonts w:ascii="Calibri" w:hAnsi="Calibri" w:eastAsia="宋体" w:cs="Times New Roman"/>
      <w:kern w:val="2"/>
      <w:sz w:val="24"/>
      <w:szCs w:val="22"/>
      <w:lang w:val="en-US" w:eastAsia="zh-CN" w:bidi="ar-SA"/>
    </w:rPr>
  </w:style>
  <w:style w:type="character" w:customStyle="1" w:styleId="151">
    <w:name w:val="占位符文本1"/>
    <w:semiHidden/>
    <w:qFormat/>
    <w:uiPriority w:val="99"/>
    <w:rPr>
      <w:color w:val="808080"/>
    </w:rPr>
  </w:style>
  <w:style w:type="paragraph" w:customStyle="1" w:styleId="152">
    <w:name w:val="WPSOffice手动目录 1"/>
    <w:qFormat/>
    <w:uiPriority w:val="0"/>
    <w:rPr>
      <w:rFonts w:ascii="Times New Roman" w:hAnsi="Times New Roman" w:eastAsia="宋体" w:cs="Times New Roman"/>
      <w:lang w:val="en-US" w:eastAsia="zh-CN" w:bidi="ar-SA"/>
    </w:rPr>
  </w:style>
  <w:style w:type="paragraph" w:customStyle="1" w:styleId="153">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54">
    <w:name w:val="段"/>
    <w:next w:val="1"/>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lang w:val="en-US" w:eastAsia="zh-CN" w:bidi="ar-SA"/>
    </w:rPr>
  </w:style>
  <w:style w:type="character" w:customStyle="1" w:styleId="155">
    <w:name w:val="font01"/>
    <w:basedOn w:val="44"/>
    <w:qFormat/>
    <w:uiPriority w:val="0"/>
    <w:rPr>
      <w:rFonts w:hint="eastAsia" w:ascii="宋体" w:hAnsi="宋体" w:eastAsia="宋体" w:cs="宋体"/>
      <w:color w:val="000000"/>
      <w:sz w:val="24"/>
      <w:szCs w:val="24"/>
      <w:u w:val="none"/>
    </w:rPr>
  </w:style>
  <w:style w:type="paragraph" w:customStyle="1" w:styleId="156">
    <w:name w:val="TOC 标题1"/>
    <w:basedOn w:val="3"/>
    <w:next w:val="1"/>
    <w:unhideWhenUsed/>
    <w:qFormat/>
    <w:uiPriority w:val="39"/>
    <w:pPr>
      <w:widowControl/>
      <w:spacing w:before="240" w:after="0" w:line="259" w:lineRule="auto"/>
      <w:jc w:val="left"/>
      <w:outlineLvl w:val="9"/>
    </w:pPr>
    <w:rPr>
      <w:rFonts w:ascii="Cambria" w:hAnsi="Cambria" w:eastAsia="宋体"/>
      <w:b w:val="0"/>
      <w:bCs w:val="0"/>
      <w:color w:val="365F91"/>
      <w:kern w:val="0"/>
      <w:sz w:val="32"/>
      <w:szCs w:val="32"/>
    </w:rPr>
  </w:style>
  <w:style w:type="paragraph" w:styleId="157">
    <w:name w:val="List Paragraph"/>
    <w:basedOn w:val="1"/>
    <w:qFormat/>
    <w:uiPriority w:val="99"/>
    <w:pPr>
      <w:ind w:firstLine="420" w:firstLineChars="200"/>
    </w:pPr>
  </w:style>
  <w:style w:type="character" w:customStyle="1" w:styleId="158">
    <w:name w:val="Unresolved Mention"/>
    <w:basedOn w:val="44"/>
    <w:semiHidden/>
    <w:unhideWhenUsed/>
    <w:qFormat/>
    <w:uiPriority w:val="99"/>
    <w:rPr>
      <w:color w:val="605E5C"/>
      <w:shd w:val="clear" w:color="auto" w:fill="E1DFDD"/>
    </w:rPr>
  </w:style>
  <w:style w:type="character" w:customStyle="1" w:styleId="159">
    <w:name w:val="font61"/>
    <w:qFormat/>
    <w:uiPriority w:val="0"/>
    <w:rPr>
      <w:rFonts w:hint="eastAsia" w:ascii="宋体" w:hAnsi="宋体" w:eastAsia="宋体" w:cs="宋体"/>
      <w:color w:val="000000"/>
      <w:sz w:val="18"/>
      <w:szCs w:val="18"/>
      <w:u w:val="none"/>
    </w:rPr>
  </w:style>
  <w:style w:type="character" w:customStyle="1" w:styleId="160">
    <w:name w:val="font91"/>
    <w:qFormat/>
    <w:uiPriority w:val="0"/>
    <w:rPr>
      <w:rFonts w:hint="default" w:ascii="Times New Roman" w:hAnsi="Times New Roman" w:cs="Times New Roman"/>
      <w:color w:val="000000"/>
      <w:sz w:val="18"/>
      <w:szCs w:val="18"/>
      <w:u w:val="single"/>
    </w:rPr>
  </w:style>
  <w:style w:type="paragraph" w:customStyle="1" w:styleId="161">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62">
    <w:name w:val="标题1.0"/>
    <w:basedOn w:val="1"/>
    <w:next w:val="1"/>
    <w:qFormat/>
    <w:uiPriority w:val="0"/>
    <w:pPr>
      <w:jc w:val="center"/>
      <w:outlineLvl w:val="0"/>
    </w:pPr>
    <w:rPr>
      <w:rFonts w:asciiTheme="minorEastAsia" w:hAnsiTheme="minorEastAsia" w:eastAsiaTheme="minorEastAsia" w:cstheme="minorBidi"/>
      <w:b/>
      <w:color w:val="0070C0"/>
      <w:sz w:val="36"/>
      <w:szCs w:val="36"/>
    </w:rPr>
  </w:style>
  <w:style w:type="paragraph" w:customStyle="1" w:styleId="163">
    <w:name w:val="样式1"/>
    <w:basedOn w:val="1"/>
    <w:qFormat/>
    <w:uiPriority w:val="0"/>
    <w:pPr>
      <w:spacing w:line="360" w:lineRule="auto"/>
      <w:jc w:val="left"/>
    </w:pPr>
    <w:rPr>
      <w:rFonts w:hint="eastAsia" w:ascii="宋体" w:hAnsi="宋体"/>
      <w:szCs w:val="21"/>
    </w:rPr>
  </w:style>
  <w:style w:type="character" w:customStyle="1" w:styleId="164">
    <w:name w:val="font131"/>
    <w:basedOn w:val="44"/>
    <w:qFormat/>
    <w:uiPriority w:val="0"/>
    <w:rPr>
      <w:rFonts w:ascii="方正仿宋_GBK" w:hAnsi="方正仿宋_GBK" w:eastAsia="方正仿宋_GBK" w:cs="方正仿宋_GBK"/>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99</Pages>
  <Words>4046</Words>
  <Characters>4976</Characters>
  <Lines>277</Lines>
  <Paragraphs>78</Paragraphs>
  <TotalTime>5</TotalTime>
  <ScaleCrop>false</ScaleCrop>
  <LinksUpToDate>false</LinksUpToDate>
  <CharactersWithSpaces>5059</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2025-07-16T09:00:00Z</dcterms:created>
  <dc:creator>Huang Qian</dc:creator>
  <cp:lastModifiedBy>Administrator</cp:lastModifiedBy>
  <cp:lastPrinted>2026-02-26T07:19:00Z</cp:lastPrinted>
  <dcterms:modified xsi:type="dcterms:W3CDTF">2026-02-27T02:04:44Z</dcterms:modified>
  <dc:title>竞争性谈判文件</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7686C09E94CE473BA84DBB92D0C9DE97_13</vt:lpwstr>
  </property>
  <property fmtid="{D5CDD505-2E9C-101B-9397-08002B2CF9AE}" pid="4" name="KSOTemplateDocerSaveRecord">
    <vt:lpwstr>eyJoZGlkIjoiZTE3NjFiNWQzNWNhNmIzYjU1ODQ0NzE4OTUyMWI0YjEiLCJ1c2VySWQiOiI2NTY4NTEwODEifQ==</vt:lpwstr>
  </property>
</Properties>
</file>