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left="2557" w:leftChars="608" w:hanging="1280" w:hanging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钦州市疾病预防控制中心重点传染病试剂耗材</w:t>
      </w:r>
    </w:p>
    <w:p>
      <w:pPr>
        <w:spacing w:line="500" w:lineRule="exact"/>
        <w:ind w:left="2554" w:leftChars="1216" w:firstLine="0" w:firstLineChars="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lang w:eastAsia="zh-CN"/>
        </w:rPr>
        <w:t>采购项目</w:t>
      </w:r>
    </w:p>
    <w:p>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QZZC2026-J1-990054-QZSZ</w:t>
      </w:r>
    </w:p>
    <w:p/>
    <w:p/>
    <w:p/>
    <w:p/>
    <w:p/>
    <w:p/>
    <w:p/>
    <w:p/>
    <w:p/>
    <w:p/>
    <w:p/>
    <w:p/>
    <w:p/>
    <w:p/>
    <w:p/>
    <w:p/>
    <w:p/>
    <w:p/>
    <w:p>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w:t>
      </w:r>
      <w:r>
        <w:rPr>
          <w:rFonts w:hint="eastAsia" w:ascii="方正小标宋_GBK" w:hAnsi="微软雅黑" w:eastAsia="方正小标宋_GBK"/>
          <w:sz w:val="32"/>
          <w:szCs w:val="32"/>
          <w:lang w:val="en-US" w:eastAsia="zh-CN"/>
        </w:rPr>
        <w:t>6</w:t>
      </w:r>
      <w:r>
        <w:rPr>
          <w:rFonts w:hint="eastAsia" w:ascii="方正小标宋_GBK" w:hAnsi="微软雅黑" w:eastAsia="方正小标宋_GBK"/>
          <w:sz w:val="32"/>
          <w:szCs w:val="32"/>
        </w:rPr>
        <w:t>年</w:t>
      </w:r>
      <w:r>
        <w:rPr>
          <w:rFonts w:hint="eastAsia" w:ascii="方正小标宋_GBK" w:hAnsi="微软雅黑" w:eastAsia="方正小标宋_GBK"/>
          <w:sz w:val="32"/>
          <w:szCs w:val="32"/>
          <w:lang w:val="en-US" w:eastAsia="zh-CN"/>
        </w:rPr>
        <w:t>3</w:t>
      </w:r>
      <w:r>
        <w:rPr>
          <w:rFonts w:hint="eastAsia" w:ascii="方正小标宋_GBK" w:hAnsi="微软雅黑" w:eastAsia="方正小标宋_GBK"/>
          <w:sz w:val="32"/>
          <w:szCs w:val="32"/>
        </w:rPr>
        <w:t>月</w:t>
      </w:r>
    </w:p>
    <w:p/>
    <w:p/>
    <w:p>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p>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7"/>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7"/>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 xml:space="preserve">7 </w:t>
      </w:r>
      <w:r>
        <w:rPr>
          <w:sz w:val="28"/>
          <w:szCs w:val="28"/>
        </w:rPr>
        <w:fldChar w:fldCharType="end"/>
      </w:r>
      <w:r>
        <w:rPr>
          <w:sz w:val="28"/>
          <w:szCs w:val="28"/>
        </w:rPr>
        <w:fldChar w:fldCharType="end"/>
      </w:r>
    </w:p>
    <w:p>
      <w:pPr>
        <w:pStyle w:val="27"/>
        <w:tabs>
          <w:tab w:val="right" w:leader="dot" w:pos="9514"/>
        </w:tabs>
        <w:spacing w:line="1000" w:lineRule="exact"/>
        <w:rPr>
          <w:rFonts w:hint="eastAsia" w:eastAsia="宋体" w:asciiTheme="minorHAnsi" w:hAnsiTheme="minorHAnsi" w:cstheme="minorBidi"/>
          <w:sz w:val="28"/>
          <w:szCs w:val="28"/>
          <w:lang w:val="en-US" w:eastAsia="zh-CN"/>
        </w:rPr>
      </w:pPr>
      <w:r>
        <w:fldChar w:fldCharType="begin"/>
      </w:r>
      <w:r>
        <w:instrText xml:space="preserve"> HYPERLINK \l "_Toc92355025" </w:instrText>
      </w:r>
      <w:r>
        <w:fldChar w:fldCharType="separate"/>
      </w:r>
      <w:r>
        <w:rPr>
          <w:rStyle w:val="47"/>
          <w:rFonts w:ascii="方正小标宋简体" w:eastAsia="方正小标宋简体"/>
          <w:color w:val="auto"/>
          <w:sz w:val="28"/>
          <w:szCs w:val="28"/>
        </w:rPr>
        <w:t>第三章  供应商须知</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5</w:t>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7"/>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3</w:t>
      </w:r>
      <w:r>
        <w:rPr>
          <w:rFonts w:hint="eastAsia"/>
          <w:sz w:val="28"/>
          <w:szCs w:val="28"/>
          <w:lang w:val="en-US" w:eastAsia="zh-CN"/>
        </w:rPr>
        <w:t>8</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7"/>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4</w:t>
      </w:r>
      <w:r>
        <w:rPr>
          <w:rFonts w:hint="eastAsia"/>
          <w:sz w:val="28"/>
          <w:szCs w:val="28"/>
          <w:lang w:val="en-US" w:eastAsia="zh-CN"/>
        </w:rPr>
        <w:t>1</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7"/>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5</w:t>
      </w:r>
      <w:r>
        <w:rPr>
          <w:rFonts w:hint="eastAsia"/>
          <w:sz w:val="28"/>
          <w:szCs w:val="28"/>
          <w:lang w:val="en-US" w:eastAsia="zh-CN"/>
        </w:rPr>
        <w:t>7</w:t>
      </w:r>
      <w:r>
        <w:rPr>
          <w:sz w:val="28"/>
          <w:szCs w:val="28"/>
        </w:rPr>
        <w:fldChar w:fldCharType="end"/>
      </w:r>
      <w:r>
        <w:rPr>
          <w:sz w:val="28"/>
          <w:szCs w:val="28"/>
        </w:rPr>
        <w:fldChar w:fldCharType="end"/>
      </w:r>
    </w:p>
    <w:p>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bookmarkStart w:id="133" w:name="_GoBack"/>
      <w:bookmarkEnd w:id="133"/>
    </w:p>
    <w:p/>
    <w:p>
      <w:pPr>
        <w:widowControl/>
        <w:jc w:val="left"/>
      </w:pPr>
    </w:p>
    <w:p/>
    <w:p/>
    <w:p/>
    <w:p/>
    <w:p/>
    <w:p/>
    <w:p/>
    <w:p/>
    <w:p/>
    <w:p/>
    <w:p/>
    <w:p/>
    <w:p>
      <w:pPr>
        <w:pStyle w:val="2"/>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pPr>
        <w:spacing w:line="600" w:lineRule="exact"/>
        <w:jc w:val="center"/>
      </w:pPr>
      <w:r>
        <w:rPr>
          <w:rFonts w:ascii="黑体" w:hAnsi="宋体" w:eastAsia="黑体"/>
          <w:b/>
          <w:sz w:val="32"/>
          <w:szCs w:val="32"/>
        </w:rPr>
        <w:br w:type="page"/>
      </w:r>
    </w:p>
    <w:p>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钦州市疾病预防控制中心重点传染病试剂耗材采购项目</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QZZC2026-J1-990054-QZSZ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钦州市疾病预防控制中心重点传染病试剂耗材采购项目</w:t>
      </w:r>
      <w:r>
        <w:rPr>
          <w:rFonts w:hint="eastAsia" w:ascii="宋体" w:hAnsi="宋体"/>
          <w:szCs w:val="21"/>
        </w:rPr>
        <w:t>的潜在供应商应在广西政府采购云平台（https://www.gcy.zfcg.gxzf.gov.cn/）获取采购文件，并于202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pPr>
        <w:spacing w:line="400" w:lineRule="exact"/>
        <w:rPr>
          <w:b/>
        </w:rPr>
      </w:pPr>
      <w:bookmarkStart w:id="3" w:name="_Toc35393790"/>
      <w:bookmarkStart w:id="4" w:name="_Toc28359079"/>
      <w:bookmarkStart w:id="5" w:name="_Toc28359002"/>
      <w:bookmarkStart w:id="6" w:name="_Toc35393621"/>
      <w:bookmarkStart w:id="7" w:name="_Hlk24379207"/>
      <w:bookmarkStart w:id="8" w:name="_Toc38370146"/>
      <w:r>
        <w:rPr>
          <w:rFonts w:hint="eastAsia"/>
          <w:b/>
        </w:rPr>
        <w:t>一、项目基本情况</w:t>
      </w:r>
      <w:bookmarkEnd w:id="3"/>
      <w:bookmarkEnd w:id="4"/>
      <w:bookmarkEnd w:id="5"/>
      <w:bookmarkEnd w:id="6"/>
    </w:p>
    <w:p>
      <w:pPr>
        <w:spacing w:line="400" w:lineRule="exact"/>
        <w:ind w:firstLine="420"/>
        <w:rPr>
          <w:rFonts w:hint="eastAsia" w:eastAsia="宋体"/>
          <w:lang w:eastAsia="zh-CN"/>
        </w:rPr>
      </w:pPr>
      <w:r>
        <w:rPr>
          <w:rFonts w:hint="eastAsia"/>
        </w:rPr>
        <w:t>项目编号：</w:t>
      </w:r>
      <w:r>
        <w:rPr>
          <w:rFonts w:hint="eastAsia"/>
          <w:lang w:eastAsia="zh-CN"/>
        </w:rPr>
        <w:t>QZZC2026-J1-990054-QZSZ</w:t>
      </w:r>
    </w:p>
    <w:p>
      <w:pPr>
        <w:spacing w:line="400" w:lineRule="exact"/>
        <w:ind w:firstLine="420"/>
        <w:rPr>
          <w:rFonts w:hint="eastAsia" w:eastAsia="宋体"/>
          <w:lang w:eastAsia="zh-CN"/>
        </w:rPr>
      </w:pPr>
      <w:r>
        <w:rPr>
          <w:rFonts w:hint="eastAsia"/>
        </w:rPr>
        <w:t>项目名称：</w:t>
      </w:r>
      <w:r>
        <w:rPr>
          <w:rFonts w:hint="eastAsia"/>
          <w:lang w:eastAsia="zh-CN"/>
        </w:rPr>
        <w:t>钦州市疾病预防控制中心重点传染病试剂耗材采购项目</w:t>
      </w:r>
    </w:p>
    <w:bookmarkEnd w:id="7"/>
    <w:p>
      <w:pPr>
        <w:spacing w:line="400" w:lineRule="exact"/>
        <w:ind w:firstLine="420"/>
        <w:rPr>
          <w:rFonts w:hint="eastAsia"/>
        </w:rPr>
      </w:pPr>
      <w:r>
        <w:rPr>
          <w:rFonts w:hint="eastAsia"/>
        </w:rPr>
        <w:t>预算总金额(元)：630</w:t>
      </w:r>
      <w:r>
        <w:rPr>
          <w:rFonts w:hint="eastAsia"/>
          <w:lang w:eastAsia="zh-CN"/>
        </w:rPr>
        <w:t>，</w:t>
      </w:r>
      <w:r>
        <w:rPr>
          <w:rFonts w:hint="eastAsia"/>
        </w:rPr>
        <w:t>000.00</w:t>
      </w:r>
    </w:p>
    <w:p>
      <w:pPr>
        <w:spacing w:line="400" w:lineRule="exact"/>
        <w:ind w:firstLine="420"/>
      </w:pPr>
      <w:r>
        <w:rPr>
          <w:rFonts w:hint="eastAsia"/>
        </w:rPr>
        <w:t>采购需求：</w:t>
      </w:r>
    </w:p>
    <w:p>
      <w:pPr>
        <w:spacing w:line="400" w:lineRule="exact"/>
      </w:pPr>
    </w:p>
    <w:p>
      <w:pPr>
        <w:spacing w:line="400" w:lineRule="exact"/>
        <w:ind w:firstLine="420"/>
        <w:rPr>
          <w:rFonts w:hint="eastAsia" w:eastAsia="宋体"/>
          <w:lang w:eastAsia="zh-CN"/>
        </w:rPr>
      </w:pPr>
      <w:r>
        <w:rPr>
          <w:rFonts w:hint="eastAsia"/>
        </w:rPr>
        <w:t>标项名称：</w:t>
      </w:r>
      <w:r>
        <w:rPr>
          <w:rFonts w:hint="eastAsia"/>
          <w:lang w:eastAsia="zh-CN"/>
        </w:rPr>
        <w:t>钦州市疾病预防控制中心重点传染病试剂耗材采购项目</w:t>
      </w:r>
    </w:p>
    <w:p>
      <w:pPr>
        <w:spacing w:line="400" w:lineRule="exact"/>
        <w:ind w:firstLine="420"/>
      </w:pPr>
      <w:r>
        <w:rPr>
          <w:rFonts w:hint="eastAsia"/>
        </w:rPr>
        <w:t>数量：1</w:t>
      </w:r>
    </w:p>
    <w:p>
      <w:pPr>
        <w:spacing w:line="400" w:lineRule="exact"/>
        <w:ind w:firstLine="420"/>
      </w:pPr>
      <w:r>
        <w:rPr>
          <w:rFonts w:hint="eastAsia"/>
        </w:rPr>
        <w:t>预算金额(元</w:t>
      </w:r>
      <w:r>
        <w:t>)</w:t>
      </w:r>
      <w:r>
        <w:rPr>
          <w:rFonts w:hint="eastAsia"/>
        </w:rPr>
        <w:t>：630</w:t>
      </w:r>
      <w:r>
        <w:rPr>
          <w:rFonts w:hint="eastAsia"/>
          <w:lang w:eastAsia="zh-CN"/>
        </w:rPr>
        <w:t>，</w:t>
      </w:r>
      <w:r>
        <w:rPr>
          <w:rFonts w:hint="eastAsia"/>
        </w:rPr>
        <w:t>000.00</w:t>
      </w:r>
    </w:p>
    <w:p>
      <w:pPr>
        <w:spacing w:line="400" w:lineRule="exact"/>
        <w:ind w:firstLine="420"/>
        <w:rPr>
          <w:rFonts w:hint="eastAsia"/>
          <w:lang w:val="en-US" w:eastAsia="zh-CN"/>
        </w:rPr>
      </w:pPr>
      <w:r>
        <w:rPr>
          <w:rFonts w:hint="eastAsia"/>
        </w:rPr>
        <w:t>简要规格描述或项目基本概况介绍、用途：</w:t>
      </w:r>
      <w:r>
        <w:rPr>
          <w:rFonts w:hint="eastAsia"/>
          <w:lang w:eastAsia="zh-CN"/>
        </w:rPr>
        <w:t>重点传染病试剂耗材</w:t>
      </w:r>
      <w:r>
        <w:rPr>
          <w:rFonts w:hint="eastAsia"/>
          <w:lang w:val="en-US" w:eastAsia="zh-CN"/>
        </w:rPr>
        <w:t xml:space="preserve">一批，具体详见采购需求。 </w:t>
      </w:r>
    </w:p>
    <w:p>
      <w:pPr>
        <w:spacing w:line="400" w:lineRule="exact"/>
        <w:ind w:firstLine="420"/>
      </w:pPr>
      <w:r>
        <w:rPr>
          <w:rFonts w:hint="eastAsia"/>
        </w:rPr>
        <w:t>最高限价(如有</w:t>
      </w:r>
      <w:r>
        <w:t>)</w:t>
      </w:r>
      <w:r>
        <w:rPr>
          <w:rFonts w:hint="eastAsia"/>
        </w:rPr>
        <w:t>：630</w:t>
      </w:r>
      <w:r>
        <w:rPr>
          <w:rFonts w:hint="eastAsia"/>
          <w:lang w:eastAsia="zh-CN"/>
        </w:rPr>
        <w:t>，</w:t>
      </w:r>
      <w:r>
        <w:rPr>
          <w:rFonts w:hint="eastAsia"/>
        </w:rPr>
        <w:t>000.00</w:t>
      </w:r>
    </w:p>
    <w:p>
      <w:pPr>
        <w:spacing w:line="400" w:lineRule="exact"/>
        <w:ind w:firstLine="420"/>
        <w:rPr>
          <w:rFonts w:hint="eastAsia" w:ascii="Times New Roman" w:hAnsi="Times New Roman" w:eastAsia="宋体" w:cs="Times New Roman"/>
          <w:lang w:eastAsia="zh-CN"/>
        </w:rPr>
      </w:pPr>
      <w:r>
        <w:rPr>
          <w:rFonts w:hint="eastAsia" w:ascii="Times New Roman" w:hAnsi="Times New Roman" w:eastAsia="宋体" w:cs="Times New Roman"/>
        </w:rPr>
        <w:t>合同履行期限</w:t>
      </w:r>
      <w:r>
        <w:rPr>
          <w:rFonts w:hint="eastAsia" w:ascii="Times New Roman" w:hAnsi="Times New Roman" w:eastAsia="宋体" w:cs="Times New Roman"/>
          <w:highlight w:val="none"/>
        </w:rPr>
        <w:t>：</w:t>
      </w:r>
      <w:r>
        <w:rPr>
          <w:rFonts w:hint="eastAsia" w:ascii="Times New Roman" w:hAnsi="Times New Roman" w:eastAsia="宋体" w:cs="Times New Roman"/>
        </w:rPr>
        <w:t>分批供货</w:t>
      </w:r>
      <w:r>
        <w:rPr>
          <w:rFonts w:hint="eastAsia" w:ascii="Times New Roman" w:hAnsi="Times New Roman" w:eastAsia="宋体" w:cs="Times New Roman"/>
          <w:lang w:eastAsia="zh-CN"/>
        </w:rPr>
        <w:t>，</w:t>
      </w:r>
      <w:r>
        <w:rPr>
          <w:rFonts w:hint="eastAsia" w:ascii="Times New Roman" w:hAnsi="Times New Roman" w:eastAsia="宋体" w:cs="Times New Roman"/>
        </w:rPr>
        <w:t>合同签订之日起6个月内完成供货</w:t>
      </w:r>
      <w:r>
        <w:rPr>
          <w:rFonts w:hint="eastAsia" w:cs="Times New Roman"/>
          <w:lang w:eastAsia="zh-CN"/>
        </w:rPr>
        <w:t>。</w:t>
      </w:r>
    </w:p>
    <w:p>
      <w:pPr>
        <w:spacing w:line="400" w:lineRule="exact"/>
        <w:ind w:firstLine="420"/>
        <w:rPr>
          <w:highlight w:val="none"/>
        </w:rPr>
      </w:pPr>
      <w:r>
        <w:rPr>
          <w:rFonts w:hint="eastAsia"/>
          <w:highlight w:val="none"/>
        </w:rPr>
        <w:t>本标项(否</w:t>
      </w:r>
      <w:r>
        <w:rPr>
          <w:highlight w:val="none"/>
        </w:rPr>
        <w:t>)</w:t>
      </w:r>
      <w:r>
        <w:rPr>
          <w:rFonts w:hint="eastAsia"/>
          <w:highlight w:val="none"/>
        </w:rPr>
        <w:t>接受联合体竞标。</w:t>
      </w:r>
    </w:p>
    <w:p>
      <w:pPr>
        <w:spacing w:line="400" w:lineRule="exact"/>
        <w:ind w:firstLine="420"/>
        <w:rPr>
          <w:highlight w:val="none"/>
        </w:rPr>
      </w:pPr>
      <w:r>
        <w:rPr>
          <w:rFonts w:hint="eastAsia"/>
          <w:highlight w:val="none"/>
        </w:rPr>
        <w:t>备注：</w:t>
      </w:r>
    </w:p>
    <w:p>
      <w:pPr>
        <w:spacing w:line="400" w:lineRule="exact"/>
        <w:ind w:firstLine="420"/>
        <w:rPr>
          <w:highlight w:val="none"/>
        </w:rPr>
      </w:pPr>
    </w:p>
    <w:p>
      <w:pPr>
        <w:spacing w:line="400" w:lineRule="exact"/>
        <w:rPr>
          <w:b/>
          <w:highlight w:val="none"/>
        </w:rPr>
      </w:pPr>
      <w:bookmarkStart w:id="9" w:name="_Toc35393622"/>
      <w:bookmarkStart w:id="10" w:name="_Toc35393791"/>
      <w:bookmarkStart w:id="11" w:name="_Toc28359080"/>
      <w:bookmarkStart w:id="12" w:name="_Toc28359003"/>
      <w:r>
        <w:rPr>
          <w:rFonts w:hint="eastAsia"/>
          <w:b/>
          <w:highlight w:val="none"/>
        </w:rPr>
        <w:t>二、申请人的资格要求：</w:t>
      </w:r>
      <w:bookmarkEnd w:id="9"/>
      <w:bookmarkEnd w:id="10"/>
      <w:bookmarkEnd w:id="11"/>
      <w:bookmarkEnd w:id="12"/>
      <w:bookmarkStart w:id="13" w:name="_Toc35393623"/>
      <w:bookmarkStart w:id="14" w:name="_Toc35393792"/>
      <w:bookmarkStart w:id="15" w:name="_Toc28359004"/>
      <w:bookmarkStart w:id="16" w:name="_Toc28359081"/>
    </w:p>
    <w:p>
      <w:pPr>
        <w:spacing w:line="400" w:lineRule="exact"/>
        <w:ind w:firstLine="420"/>
        <w:rPr>
          <w:b/>
          <w:highlight w:val="none"/>
        </w:rPr>
      </w:pPr>
      <w:r>
        <w:rPr>
          <w:rFonts w:hint="eastAsia"/>
          <w:highlight w:val="none"/>
        </w:rPr>
        <w:t>1.满足《中华人民共和国政府采购法》第二十二条规定</w:t>
      </w:r>
    </w:p>
    <w:p>
      <w:pPr>
        <w:spacing w:line="400" w:lineRule="exact"/>
        <w:ind w:firstLine="420"/>
        <w:rPr>
          <w:highlight w:val="none"/>
        </w:rPr>
      </w:pPr>
      <w:r>
        <w:rPr>
          <w:rFonts w:hint="eastAsia"/>
          <w:highlight w:val="none"/>
        </w:rPr>
        <w:t>2.落实政府采购政策需满足的资格要求：</w:t>
      </w:r>
      <w:r>
        <w:rPr>
          <w:rFonts w:hint="eastAsia"/>
          <w:highlight w:val="none"/>
          <w:lang w:val="en-US" w:eastAsia="zh-CN"/>
        </w:rPr>
        <w:t>本项目属于</w:t>
      </w:r>
      <w:r>
        <w:rPr>
          <w:rFonts w:hint="eastAsia" w:ascii="宋体" w:hAnsi="宋体" w:eastAsia="宋体" w:cs="宋体"/>
          <w:b w:val="0"/>
          <w:bCs w:val="0"/>
          <w:color w:val="000000"/>
          <w:sz w:val="20"/>
          <w:szCs w:val="20"/>
        </w:rPr>
        <w:t>专门面向中小企业采购的项目，货物制造商应为中小微企业或监狱企业或残疾人福利性单位。</w:t>
      </w:r>
      <w:r>
        <w:rPr>
          <w:rFonts w:hint="eastAsia"/>
          <w:highlight w:val="none"/>
        </w:rPr>
        <w:t> </w:t>
      </w:r>
    </w:p>
    <w:p>
      <w:pPr>
        <w:spacing w:line="400" w:lineRule="exact"/>
        <w:ind w:firstLine="435"/>
        <w:rPr>
          <w:rFonts w:hint="eastAsia"/>
          <w:highlight w:val="none"/>
          <w:lang w:eastAsia="zh-CN"/>
        </w:rPr>
      </w:pPr>
      <w:r>
        <w:rPr>
          <w:rFonts w:hint="eastAsia"/>
          <w:highlight w:val="none"/>
        </w:rPr>
        <w:t>3.本项目的特定资格要求：供应商须具备有效的医疗器械经营许可证（或医疗器械生产许可证）</w:t>
      </w:r>
      <w:r>
        <w:rPr>
          <w:rFonts w:hint="eastAsia"/>
          <w:highlight w:val="none"/>
          <w:lang w:eastAsia="zh-CN"/>
        </w:rPr>
        <w:t>，</w:t>
      </w:r>
      <w:r>
        <w:rPr>
          <w:rFonts w:hint="eastAsia"/>
          <w:highlight w:val="none"/>
          <w:lang w:val="en-US" w:eastAsia="zh-CN"/>
        </w:rPr>
        <w:t>如</w:t>
      </w:r>
      <w:r>
        <w:rPr>
          <w:rFonts w:hint="eastAsia"/>
          <w:highlight w:val="none"/>
        </w:rPr>
        <w:t>供应商符合《医疗器械监督管理条例》（国务院令第 739 号）第四十三条规定的，</w:t>
      </w:r>
      <w:r>
        <w:rPr>
          <w:rFonts w:hint="eastAsia"/>
          <w:highlight w:val="none"/>
          <w:lang w:val="en-US" w:eastAsia="zh-CN"/>
        </w:rPr>
        <w:t>仅需提供</w:t>
      </w:r>
      <w:r>
        <w:rPr>
          <w:rFonts w:hint="eastAsia"/>
          <w:highlight w:val="none"/>
        </w:rPr>
        <w:t>与采购标的对应的医疗器械注册证。</w:t>
      </w:r>
    </w:p>
    <w:p>
      <w:pPr>
        <w:spacing w:line="400" w:lineRule="exact"/>
        <w:rPr>
          <w:b/>
        </w:rPr>
      </w:pPr>
      <w:r>
        <w:rPr>
          <w:rFonts w:hint="eastAsia"/>
          <w:b/>
        </w:rPr>
        <w:t>三、获取采购文件</w:t>
      </w:r>
      <w:bookmarkEnd w:id="13"/>
      <w:bookmarkEnd w:id="14"/>
      <w:bookmarkEnd w:id="15"/>
      <w:bookmarkEnd w:id="16"/>
    </w:p>
    <w:p>
      <w:pPr>
        <w:spacing w:line="400" w:lineRule="exact"/>
        <w:ind w:firstLine="420"/>
        <w:jc w:val="left"/>
      </w:pPr>
      <w:bookmarkStart w:id="17" w:name="_Toc38370141"/>
      <w:r>
        <w:rPr>
          <w:rFonts w:hint="eastAsia"/>
        </w:rPr>
        <w:t>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6</w:t>
      </w:r>
      <w:r>
        <w:rPr>
          <w:rFonts w:hint="eastAsia" w:ascii="宋体" w:hAnsi="宋体"/>
          <w:bCs/>
          <w:szCs w:val="21"/>
        </w:rPr>
        <w:t>日</w:t>
      </w:r>
      <w:r>
        <w:rPr>
          <w:rFonts w:hint="eastAsia"/>
        </w:rPr>
        <w:t>至</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11</w:t>
      </w:r>
      <w:r>
        <w:rPr>
          <w:rFonts w:hint="eastAsia" w:ascii="宋体" w:hAnsi="宋体"/>
          <w:bCs/>
          <w:szCs w:val="21"/>
        </w:rPr>
        <w:t>日</w:t>
      </w:r>
      <w:r>
        <w:rPr>
          <w:rFonts w:hint="eastAsia"/>
        </w:rPr>
        <w:t xml:space="preserve"> ，每天上午00:00至12:00，下午12:00至23:59（北京时间，法定节假日除外）</w:t>
      </w:r>
    </w:p>
    <w:p>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pPr>
        <w:spacing w:line="400" w:lineRule="exact"/>
        <w:ind w:firstLine="420"/>
      </w:pPr>
      <w:r>
        <w:rPr>
          <w:rFonts w:hint="eastAsia"/>
        </w:rPr>
        <w:t>方式：供应商登录广西政府采购云平台在线获取采购文件（进入“项目采购”应用选择项目，获取采购文件）</w:t>
      </w:r>
    </w:p>
    <w:p>
      <w:pPr>
        <w:spacing w:line="400" w:lineRule="exact"/>
        <w:ind w:firstLine="420"/>
      </w:pPr>
      <w:r>
        <w:rPr>
          <w:rFonts w:hint="eastAsia"/>
        </w:rPr>
        <w:t>售价(元</w:t>
      </w:r>
      <w:r>
        <w:t>)</w:t>
      </w:r>
      <w:r>
        <w:rPr>
          <w:rFonts w:hint="eastAsia"/>
        </w:rPr>
        <w:t>：0</w:t>
      </w:r>
    </w:p>
    <w:p>
      <w:pPr>
        <w:spacing w:line="400" w:lineRule="exact"/>
        <w:rPr>
          <w:b/>
        </w:rPr>
      </w:pPr>
      <w:r>
        <w:rPr>
          <w:rFonts w:hint="eastAsia"/>
          <w:b/>
          <w:bCs/>
        </w:rPr>
        <w:t>四、</w:t>
      </w:r>
      <w:bookmarkEnd w:id="17"/>
      <w:bookmarkStart w:id="18" w:name="_Toc28359082"/>
      <w:bookmarkStart w:id="19" w:name="_Toc28359005"/>
      <w:bookmarkStart w:id="20" w:name="_Toc35393793"/>
      <w:bookmarkStart w:id="21" w:name="_Toc35393624"/>
      <w:r>
        <w:rPr>
          <w:rFonts w:hint="eastAsia"/>
          <w:b/>
        </w:rPr>
        <w:t>响应文件</w:t>
      </w:r>
      <w:bookmarkEnd w:id="18"/>
      <w:bookmarkEnd w:id="19"/>
      <w:r>
        <w:rPr>
          <w:rFonts w:hint="eastAsia"/>
          <w:b/>
        </w:rPr>
        <w:t>提交</w:t>
      </w:r>
      <w:bookmarkEnd w:id="20"/>
      <w:bookmarkEnd w:id="21"/>
    </w:p>
    <w:p>
      <w:pPr>
        <w:spacing w:line="400" w:lineRule="exact"/>
        <w:ind w:firstLine="420"/>
      </w:pPr>
      <w:r>
        <w:rPr>
          <w:rFonts w:hint="eastAsia"/>
        </w:rPr>
        <w:t>截止时间：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pPr>
        <w:spacing w:line="400" w:lineRule="exact"/>
        <w:rPr>
          <w:rFonts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pPr>
        <w:spacing w:line="400" w:lineRule="exact"/>
        <w:ind w:firstLine="420"/>
        <w:rPr>
          <w:rFonts w:ascii="宋体" w:hAnsi="宋体" w:cs="Courier New"/>
          <w:szCs w:val="21"/>
        </w:rPr>
      </w:pPr>
      <w:r>
        <w:rPr>
          <w:rFonts w:hint="eastAsia" w:ascii="宋体" w:hAnsi="宋体" w:cs="Courier New"/>
          <w:szCs w:val="21"/>
        </w:rPr>
        <w:t>地点：</w:t>
      </w:r>
      <w:bookmarkStart w:id="22" w:name="_Toc28359007"/>
      <w:bookmarkStart w:id="23" w:name="_Toc28359084"/>
      <w:bookmarkStart w:id="24" w:name="_Toc35393794"/>
      <w:bookmarkStart w:id="25" w:name="_Toc35393625"/>
      <w:r>
        <w:rPr>
          <w:rFonts w:hint="eastAsia"/>
        </w:rPr>
        <w:t>广西钦州市金海湾东大街8号市政务服务中心三楼开标室</w:t>
      </w:r>
    </w:p>
    <w:p>
      <w:pPr>
        <w:spacing w:line="400" w:lineRule="exact"/>
        <w:rPr>
          <w:b/>
        </w:rPr>
      </w:pPr>
      <w:r>
        <w:rPr>
          <w:rFonts w:hint="eastAsia"/>
          <w:b/>
        </w:rPr>
        <w:t>六、公告期限</w:t>
      </w:r>
      <w:bookmarkEnd w:id="22"/>
      <w:bookmarkEnd w:id="23"/>
      <w:bookmarkEnd w:id="24"/>
      <w:bookmarkEnd w:id="25"/>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26" w:name="_Toc35393796"/>
      <w:bookmarkStart w:id="27" w:name="_Toc35393627"/>
      <w:bookmarkStart w:id="28" w:name="_Toc28359008"/>
      <w:bookmarkStart w:id="29" w:name="_Toc28359085"/>
      <w:r>
        <w:rPr>
          <w:rFonts w:hint="eastAsia"/>
          <w:b/>
        </w:rPr>
        <w:t>七、其他补充事宜</w:t>
      </w:r>
    </w:p>
    <w:p>
      <w:pPr>
        <w:spacing w:line="400" w:lineRule="exact"/>
        <w:ind w:firstLine="420"/>
        <w:rPr>
          <w:b/>
        </w:rPr>
      </w:pPr>
      <w:r>
        <w:rPr>
          <w:rFonts w:hint="eastAsia"/>
        </w:rPr>
        <w:t>1</w:t>
      </w:r>
      <w:r>
        <w:t>.</w:t>
      </w:r>
      <w:r>
        <w:rPr>
          <w:rFonts w:hint="eastAsia"/>
          <w:bCs/>
        </w:rPr>
        <w:t>本项目须要落实的政府采购政策</w:t>
      </w:r>
      <w:r>
        <w:rPr>
          <w:rFonts w:hint="eastAsia"/>
          <w:b/>
        </w:rPr>
        <w:t>：</w:t>
      </w:r>
    </w:p>
    <w:p>
      <w:pPr>
        <w:spacing w:line="400" w:lineRule="exact"/>
        <w:ind w:left="420" w:leftChars="200"/>
        <w:rPr>
          <w:bCs/>
          <w:highlight w:val="none"/>
        </w:rPr>
      </w:pPr>
      <w:r>
        <w:rPr>
          <w:rFonts w:hint="eastAsia"/>
          <w:bCs/>
          <w:highlight w:val="none"/>
        </w:rPr>
        <w:t>(1)财政部 工业和信息化部关于印发《政府采购促进中小企业发展管理办法》的通知(财库﹝2020﹞46号)</w:t>
      </w:r>
    </w:p>
    <w:p>
      <w:pPr>
        <w:spacing w:line="400" w:lineRule="exact"/>
        <w:ind w:left="420" w:leftChars="200"/>
        <w:rPr>
          <w:bCs/>
          <w:highlight w:val="none"/>
        </w:rPr>
      </w:pPr>
      <w:r>
        <w:rPr>
          <w:rFonts w:hint="eastAsia"/>
          <w:bCs/>
          <w:highlight w:val="none"/>
        </w:rPr>
        <w:t>(2)财政部 司法部关于政府采购支持监狱企业发展有关问题的通知 (财库﹝2014﹞68号)</w:t>
      </w:r>
    </w:p>
    <w:p>
      <w:pPr>
        <w:spacing w:line="400" w:lineRule="exact"/>
        <w:ind w:left="420" w:leftChars="200"/>
        <w:rPr>
          <w:bCs/>
          <w:highlight w:val="none"/>
        </w:rPr>
      </w:pPr>
      <w:r>
        <w:rPr>
          <w:rFonts w:hint="eastAsia"/>
          <w:bCs/>
          <w:highlight w:val="none"/>
        </w:rPr>
        <w:t>(3)财政部 民政部 中国残疾人联合会关于促进残疾人就业政府采购政策的通知 (财库﹝2017﹞141号)</w:t>
      </w:r>
    </w:p>
    <w:p>
      <w:pPr>
        <w:spacing w:line="400" w:lineRule="exact"/>
        <w:ind w:left="420" w:leftChars="200"/>
        <w:rPr>
          <w:rFonts w:hint="eastAsia" w:ascii="Times New Roman" w:hAnsi="Times New Roman" w:eastAsia="宋体" w:cs="Times New Roman"/>
          <w:bCs/>
          <w:highlight w:val="none"/>
        </w:rPr>
      </w:pPr>
      <w:r>
        <w:rPr>
          <w:rFonts w:hint="eastAsia" w:ascii="Times New Roman" w:hAnsi="Times New Roman" w:eastAsia="宋体" w:cs="Times New Roman"/>
          <w:bCs/>
          <w:highlight w:val="none"/>
        </w:rPr>
        <w:t>(</w:t>
      </w:r>
      <w:r>
        <w:rPr>
          <w:rFonts w:hint="eastAsia" w:cs="Times New Roman"/>
          <w:bCs/>
          <w:highlight w:val="none"/>
          <w:lang w:val="en-US" w:eastAsia="zh-CN"/>
        </w:rPr>
        <w:t>4</w:t>
      </w:r>
      <w:r>
        <w:rPr>
          <w:rFonts w:hint="eastAsia" w:ascii="Times New Roman" w:hAnsi="Times New Roman" w:eastAsia="宋体" w:cs="Times New Roman"/>
          <w:bCs/>
          <w:highlight w:val="none"/>
        </w:rPr>
        <w:t>)国务院办公厅关于在政府采购中实施本国产品标准及相关政策的通知（国办发〔2025〕34号）</w:t>
      </w:r>
    </w:p>
    <w:p>
      <w:pPr>
        <w:spacing w:line="400" w:lineRule="exact"/>
        <w:ind w:firstLine="420"/>
      </w:pPr>
      <w:r>
        <w:rPr>
          <w:rFonts w:hint="eastAsia"/>
        </w:rPr>
        <w:t>2</w:t>
      </w:r>
      <w:r>
        <w:t>.</w:t>
      </w:r>
      <w:bookmarkStart w:id="30" w:name="_Hlk91598380"/>
      <w:r>
        <w:rPr>
          <w:rFonts w:hint="eastAsia"/>
        </w:rPr>
        <w:t>全流程电子化</w:t>
      </w:r>
      <w:bookmarkEnd w:id="30"/>
      <w:r>
        <w:rPr>
          <w:rFonts w:hint="eastAsia"/>
        </w:rPr>
        <w:t>要求：</w:t>
      </w:r>
    </w:p>
    <w:p>
      <w:pPr>
        <w:spacing w:line="400" w:lineRule="exact"/>
        <w:ind w:firstLine="420"/>
      </w:pPr>
      <w:bookmarkStart w:id="31"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rPr>
        <w:t>)。因未注册入库、未办理CA数字证书、CA证书故障、操作不当等原因造成谈判失败等后果由供应商承担。</w:t>
      </w:r>
    </w:p>
    <w:bookmarkEnd w:id="31"/>
    <w:p>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7"/>
          <w:rFonts w:hint="eastAsia"/>
          <w:color w:val="auto"/>
        </w:rPr>
        <w:t>政府采购云平台</w:t>
      </w:r>
      <w:r>
        <w:rPr>
          <w:rStyle w:val="47"/>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32" w:name="_Hlk90367388"/>
      <w:r>
        <w:rPr>
          <w:rFonts w:hint="eastAsia"/>
        </w:rPr>
        <w:t>广西</w:t>
      </w:r>
      <w:r>
        <w:rPr>
          <w:rFonts w:hint="eastAsia" w:ascii="宋体" w:hAnsi="宋体" w:cs="Courier New"/>
          <w:szCs w:val="21"/>
        </w:rPr>
        <w:t>政采云远程开标大厅</w:t>
      </w:r>
      <w:bookmarkEnd w:id="32"/>
      <w:r>
        <w:rPr>
          <w:rFonts w:hint="eastAsia"/>
        </w:rPr>
        <w:t>，保持全程在线并关注评审谈判进度，评审期间谈判小组提出澄清等要求时，供应商须在规定时间内进行应答，否则按采购文件或广西政采云平台的相关规定执行。</w:t>
      </w:r>
    </w:p>
    <w:p>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pPr>
        <w:spacing w:line="400" w:lineRule="exact"/>
        <w:ind w:firstLine="420"/>
        <w:jc w:val="left"/>
        <w:rPr>
          <w:rFonts w:hAnsi="宋体"/>
        </w:rPr>
      </w:pPr>
      <w:bookmarkStart w:id="33"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Ansi="宋体"/>
        </w:rPr>
      </w:pPr>
      <w:r>
        <w:rPr>
          <w:rFonts w:hAnsi="宋体"/>
        </w:rPr>
        <w:t>(1)</w:t>
      </w:r>
      <w:r>
        <w:rPr>
          <w:rFonts w:hint="eastAsia" w:hAnsi="宋体"/>
        </w:rPr>
        <w:t>采购部(采购文件</w:t>
      </w:r>
      <w:r>
        <w:rPr>
          <w:rFonts w:hAnsi="宋体"/>
        </w:rPr>
        <w:t>)</w:t>
      </w:r>
    </w:p>
    <w:p>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3"/>
    </w:p>
    <w:p>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pPr>
        <w:spacing w:line="400" w:lineRule="exact"/>
        <w:ind w:firstLine="420" w:firstLineChars="200"/>
      </w:pPr>
      <w:r>
        <w:rPr>
          <w:rFonts w:hint="eastAsia"/>
        </w:rPr>
        <w:t>1.采购人信息</w:t>
      </w:r>
    </w:p>
    <w:p>
      <w:pPr>
        <w:spacing w:line="400" w:lineRule="exact"/>
        <w:ind w:firstLine="420" w:firstLineChars="200"/>
        <w:rPr>
          <w:rFonts w:hint="eastAsia"/>
          <w:lang w:eastAsia="zh-CN"/>
        </w:rPr>
      </w:pPr>
      <w:bookmarkStart w:id="34" w:name="_Toc38370147"/>
      <w:r>
        <w:rPr>
          <w:rFonts w:hint="eastAsia"/>
        </w:rPr>
        <w:t>名称</w:t>
      </w:r>
      <w:r>
        <w:rPr>
          <w:rFonts w:hint="eastAsia"/>
          <w:lang w:eastAsia="zh-CN"/>
        </w:rPr>
        <w:t>：钦州市疾病预防控制中心</w:t>
      </w:r>
      <w:r>
        <w:rPr>
          <w:rFonts w:hint="eastAsia"/>
          <w:lang w:val="en-US" w:eastAsia="zh-CN"/>
        </w:rPr>
        <w:t xml:space="preserve"> </w:t>
      </w:r>
    </w:p>
    <w:p>
      <w:pPr>
        <w:spacing w:line="400" w:lineRule="exact"/>
        <w:ind w:firstLine="420" w:firstLineChars="200"/>
        <w:rPr>
          <w:rFonts w:hint="eastAsia"/>
          <w:lang w:eastAsia="zh-CN"/>
        </w:rPr>
      </w:pPr>
      <w:r>
        <w:rPr>
          <w:rFonts w:hint="eastAsia"/>
          <w:lang w:eastAsia="zh-CN"/>
        </w:rPr>
        <w:t>地址：钦州市北环西路16号</w:t>
      </w:r>
    </w:p>
    <w:bookmarkEnd w:id="34"/>
    <w:p>
      <w:pPr>
        <w:spacing w:line="400" w:lineRule="exact"/>
        <w:ind w:firstLine="420" w:firstLineChars="200"/>
        <w:rPr>
          <w:rFonts w:hint="eastAsia"/>
          <w:lang w:eastAsia="zh-CN"/>
        </w:rPr>
      </w:pPr>
      <w:r>
        <w:rPr>
          <w:rFonts w:hint="eastAsia"/>
          <w:lang w:eastAsia="zh-CN"/>
        </w:rPr>
        <w:t>项目联系人：陈玉玲</w:t>
      </w:r>
    </w:p>
    <w:p>
      <w:pPr>
        <w:spacing w:line="400" w:lineRule="exact"/>
        <w:ind w:firstLine="420" w:firstLineChars="200"/>
        <w:rPr>
          <w:rFonts w:hint="eastAsia"/>
          <w:lang w:eastAsia="zh-CN"/>
        </w:rPr>
      </w:pPr>
      <w:r>
        <w:rPr>
          <w:rFonts w:hint="eastAsia"/>
          <w:lang w:eastAsia="zh-CN"/>
        </w:rPr>
        <w:t>项目联系方式：0777-2823747</w:t>
      </w:r>
    </w:p>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pPr>
      <w:r>
        <w:rPr>
          <w:rFonts w:hint="eastAsia"/>
        </w:rPr>
        <w:t>项目联系人：</w:t>
      </w:r>
      <w:bookmarkStart w:id="35" w:name="_Toc28359010"/>
      <w:bookmarkStart w:id="36" w:name="_Toc28359087"/>
      <w:r>
        <w:rPr>
          <w:rFonts w:hint="eastAsia"/>
        </w:rPr>
        <w:t>苏晓婷</w:t>
      </w:r>
    </w:p>
    <w:p>
      <w:pPr>
        <w:spacing w:line="400" w:lineRule="exact"/>
        <w:ind w:firstLine="420"/>
        <w:jc w:val="left"/>
        <w:rPr>
          <w:rFonts w:hAnsi="宋体"/>
        </w:rPr>
      </w:pPr>
      <w:r>
        <w:rPr>
          <w:rFonts w:hint="eastAsia"/>
        </w:rPr>
        <w:t>项目联系方式：</w:t>
      </w:r>
      <w:r>
        <w:rPr>
          <w:rFonts w:hint="eastAsia" w:hAnsi="宋体"/>
        </w:rPr>
        <w:t>0777-2886022</w:t>
      </w:r>
    </w:p>
    <w:p>
      <w:pPr>
        <w:spacing w:line="400" w:lineRule="exact"/>
        <w:ind w:firstLine="420" w:firstLineChars="200"/>
      </w:pPr>
    </w:p>
    <w:p>
      <w:pPr>
        <w:widowControl/>
        <w:jc w:val="left"/>
      </w:pPr>
      <w:r>
        <w:br w:type="page"/>
      </w:r>
    </w:p>
    <w:p>
      <w:pPr>
        <w:spacing w:line="400" w:lineRule="exact"/>
        <w:ind w:firstLine="420" w:firstLineChars="200"/>
      </w:pPr>
    </w:p>
    <w:p/>
    <w:bookmarkEnd w:id="35"/>
    <w:bookmarkEnd w:id="36"/>
    <w:p/>
    <w:p/>
    <w:p/>
    <w:p/>
    <w:p/>
    <w:p/>
    <w:p/>
    <w:p/>
    <w:p/>
    <w:p/>
    <w:p/>
    <w:p/>
    <w:p>
      <w:pPr>
        <w:pStyle w:val="2"/>
        <w:spacing w:line="400" w:lineRule="exact"/>
        <w:rPr>
          <w:rFonts w:ascii="方正小标宋_GBK" w:hAnsi="宋体" w:eastAsia="方正小标宋_GBK"/>
        </w:rPr>
      </w:pPr>
      <w:bookmarkStart w:id="37" w:name="_Toc92355024"/>
      <w:r>
        <w:rPr>
          <w:rFonts w:hint="eastAsia" w:ascii="方正小标宋_GBK" w:hAnsi="宋体" w:eastAsia="方正小标宋_GBK"/>
        </w:rPr>
        <w:t>第二章  项目需求</w:t>
      </w:r>
      <w:bookmarkEnd w:id="37"/>
    </w:p>
    <w:p>
      <w:pPr>
        <w:spacing w:line="440" w:lineRule="exact"/>
        <w:jc w:val="center"/>
        <w:rPr>
          <w:rFonts w:ascii="宋体" w:hAnsi="宋体"/>
          <w:b/>
          <w:sz w:val="36"/>
          <w:szCs w:val="36"/>
        </w:rPr>
      </w:pPr>
      <w:r>
        <w:rPr>
          <w:rFonts w:ascii="宋体" w:hAnsi="宋体"/>
          <w:b/>
          <w:szCs w:val="21"/>
        </w:rPr>
        <w:br w:type="page"/>
      </w:r>
      <w:bookmarkStart w:id="38" w:name="_Toc358477280"/>
      <w:bookmarkStart w:id="39" w:name="_Toc354479498"/>
      <w:r>
        <w:rPr>
          <w:rFonts w:hint="eastAsia" w:ascii="宋体" w:hAnsi="宋体"/>
          <w:b/>
          <w:sz w:val="36"/>
          <w:szCs w:val="36"/>
        </w:rPr>
        <w:t>项目需求</w:t>
      </w:r>
    </w:p>
    <w:p>
      <w:pPr>
        <w:spacing w:line="396" w:lineRule="exact"/>
        <w:rPr>
          <w:rFonts w:ascii="宋体" w:hAnsi="宋体"/>
          <w:b/>
          <w:szCs w:val="21"/>
        </w:rPr>
      </w:pPr>
    </w:p>
    <w:p>
      <w:pPr>
        <w:spacing w:line="430" w:lineRule="exact"/>
        <w:ind w:firstLine="422" w:firstLineChars="200"/>
        <w:rPr>
          <w:rFonts w:ascii="宋体" w:hAnsi="宋体" w:cs="宋体"/>
          <w:kern w:val="0"/>
          <w:szCs w:val="21"/>
        </w:rPr>
      </w:pPr>
      <w:r>
        <w:rPr>
          <w:rFonts w:hint="eastAsia" w:ascii="宋体" w:hAnsi="宋体" w:cs="宋体"/>
          <w:b/>
          <w:bCs/>
          <w:kern w:val="0"/>
          <w:szCs w:val="21"/>
        </w:rPr>
        <w:t>说明：</w:t>
      </w:r>
      <w:r>
        <w:rPr>
          <w:rFonts w:hint="eastAsia" w:ascii="宋体" w:hAnsi="宋体" w:cs="宋体"/>
          <w:kern w:val="0"/>
          <w:szCs w:val="21"/>
        </w:rPr>
        <w:t xml:space="preserve">  </w:t>
      </w:r>
    </w:p>
    <w:p>
      <w:pPr>
        <w:spacing w:line="43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.本项目不接受供应商提供通过中国海关报关验放进入中国境内且产自关境外的产品。</w:t>
      </w:r>
    </w:p>
    <w:p>
      <w:pPr>
        <w:spacing w:line="430" w:lineRule="exact"/>
        <w:ind w:firstLine="420" w:firstLineChars="200"/>
        <w:rPr>
          <w:rFonts w:ascii="宋体" w:hAnsi="宋体"/>
          <w:color w:val="auto"/>
          <w:szCs w:val="21"/>
        </w:rPr>
      </w:pPr>
      <w:r>
        <w:rPr>
          <w:rFonts w:hint="eastAsia" w:ascii="宋体" w:hAnsi="宋体"/>
          <w:color w:val="auto"/>
          <w:szCs w:val="21"/>
          <w:lang w:val="en-US" w:eastAsia="zh-CN"/>
        </w:rPr>
        <w:t>4</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pPr>
        <w:spacing w:line="430" w:lineRule="exact"/>
        <w:ind w:firstLine="422" w:firstLineChars="200"/>
        <w:rPr>
          <w:rFonts w:hint="eastAsia" w:ascii="宋体" w:hAnsi="宋体"/>
          <w:b/>
          <w:bCs/>
          <w:color w:val="auto"/>
          <w:szCs w:val="21"/>
        </w:rPr>
      </w:pPr>
      <w:r>
        <w:rPr>
          <w:rFonts w:hint="eastAsia" w:ascii="宋体" w:hAnsi="宋体"/>
          <w:b/>
          <w:bCs/>
          <w:color w:val="auto"/>
          <w:szCs w:val="21"/>
          <w:lang w:val="en-US" w:eastAsia="zh-CN"/>
        </w:rPr>
        <w:t>5</w:t>
      </w:r>
      <w:r>
        <w:rPr>
          <w:rFonts w:ascii="宋体" w:hAnsi="宋体"/>
          <w:b/>
          <w:bCs/>
          <w:color w:val="auto"/>
          <w:szCs w:val="21"/>
        </w:rPr>
        <w:t>.</w:t>
      </w:r>
      <w:r>
        <w:rPr>
          <w:rFonts w:hint="eastAsia" w:ascii="宋体" w:hAnsi="宋体"/>
          <w:b/>
          <w:bCs/>
          <w:color w:val="auto"/>
          <w:szCs w:val="21"/>
        </w:rPr>
        <w:t>标注</w:t>
      </w:r>
      <w:r>
        <w:rPr>
          <w:rFonts w:hint="eastAsia" w:ascii="宋体" w:hAnsi="宋体" w:cs="宋体"/>
          <w:b/>
          <w:bCs/>
          <w:i w:val="0"/>
          <w:color w:val="000000"/>
          <w:kern w:val="0"/>
          <w:sz w:val="21"/>
          <w:szCs w:val="21"/>
          <w:u w:val="none"/>
          <w:lang w:val="en-US" w:eastAsia="zh-CN" w:bidi="ar"/>
        </w:rPr>
        <w:t>★</w:t>
      </w:r>
      <w:r>
        <w:rPr>
          <w:rFonts w:hint="eastAsia" w:ascii="宋体" w:hAnsi="宋体"/>
          <w:b/>
          <w:bCs/>
          <w:color w:val="auto"/>
          <w:szCs w:val="21"/>
        </w:rPr>
        <w:t>号的技术参数为实质性响应条款，要求必须满足或优于，否则视为无效响应文件。</w:t>
      </w:r>
    </w:p>
    <w:p>
      <w:pPr>
        <w:spacing w:line="430" w:lineRule="exact"/>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6.所属行业：工业</w:t>
      </w:r>
    </w:p>
    <w:p>
      <w:pPr>
        <w:spacing w:line="430" w:lineRule="exact"/>
        <w:ind w:firstLine="402" w:firstLineChars="200"/>
        <w:rPr>
          <w:rFonts w:hint="default" w:ascii="宋体" w:hAnsi="宋体"/>
          <w:b w:val="0"/>
          <w:bCs w:val="0"/>
          <w:color w:val="auto"/>
          <w:szCs w:val="21"/>
          <w:highlight w:val="none"/>
          <w:lang w:val="en-US" w:eastAsia="zh-CN"/>
        </w:rPr>
      </w:pPr>
      <w:r>
        <w:rPr>
          <w:rFonts w:hint="eastAsia" w:ascii="新宋体" w:hAnsi="新宋体" w:eastAsia="新宋体" w:cs="新宋体"/>
          <w:b/>
          <w:bCs/>
          <w:color w:val="000000"/>
          <w:sz w:val="20"/>
          <w:szCs w:val="20"/>
          <w:lang w:val="en-US" w:eastAsia="zh-CN"/>
        </w:rPr>
        <w:t>7.</w:t>
      </w:r>
      <w:r>
        <w:rPr>
          <w:rFonts w:ascii="新宋体" w:hAnsi="新宋体" w:eastAsia="新宋体" w:cs="新宋体"/>
          <w:b/>
          <w:bCs/>
          <w:color w:val="000000"/>
          <w:sz w:val="20"/>
          <w:szCs w:val="20"/>
        </w:rPr>
        <w:t>竞标报价超过采购预算金额或采购预算单价</w:t>
      </w:r>
      <w:r>
        <w:rPr>
          <w:rFonts w:hint="eastAsia" w:ascii="新宋体" w:hAnsi="新宋体" w:eastAsia="新宋体" w:cs="新宋体"/>
          <w:b/>
          <w:bCs/>
          <w:color w:val="000000"/>
          <w:sz w:val="20"/>
          <w:szCs w:val="20"/>
          <w:lang w:val="en-US" w:eastAsia="zh-CN"/>
        </w:rPr>
        <w:t>最高限价</w:t>
      </w:r>
      <w:r>
        <w:rPr>
          <w:rFonts w:ascii="新宋体" w:hAnsi="新宋体" w:eastAsia="新宋体" w:cs="新宋体"/>
          <w:b/>
          <w:bCs/>
          <w:color w:val="000000"/>
          <w:sz w:val="20"/>
          <w:szCs w:val="20"/>
        </w:rPr>
        <w:t>的</w:t>
      </w:r>
      <w:r>
        <w:rPr>
          <w:rFonts w:hint="eastAsia" w:ascii="宋体" w:hAnsi="宋体" w:eastAsia="宋体" w:cs="宋体"/>
          <w:b/>
          <w:bCs/>
          <w:color w:val="000000"/>
          <w:sz w:val="20"/>
          <w:szCs w:val="20"/>
        </w:rPr>
        <w:t>响应文件按无效处理。</w:t>
      </w:r>
    </w:p>
    <w:p>
      <w:pPr>
        <w:pStyle w:val="51"/>
        <w:ind w:firstLine="353"/>
        <w:rPr>
          <w:color w:val="auto"/>
          <w:highlight w:val="yellow"/>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tabs>
          <w:tab w:val="left" w:pos="1001"/>
        </w:tabs>
        <w:bidi w:val="0"/>
        <w:jc w:val="left"/>
        <w:sectPr>
          <w:headerReference r:id="rId6" w:type="default"/>
          <w:footerReference r:id="rId7" w:type="default"/>
          <w:pgSz w:w="11909" w:h="16838"/>
          <w:pgMar w:top="1420" w:right="1190" w:bottom="802" w:left="1180" w:header="720" w:footer="720" w:gutter="0"/>
          <w:pgNumType w:fmt="numberInDash"/>
          <w:cols w:space="720" w:num="1"/>
        </w:sectPr>
      </w:pPr>
      <w:bookmarkStart w:id="40" w:name="_Toc92355025"/>
    </w:p>
    <w:p>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default" w:ascii="黑体" w:hAnsi="黑体" w:eastAsia="黑体" w:cs="黑体"/>
          <w:color w:val="000000"/>
          <w:spacing w:val="0"/>
          <w:w w:val="100"/>
          <w:sz w:val="30"/>
          <w:szCs w:val="30"/>
          <w:vertAlign w:val="baseline"/>
          <w:lang w:val="en-US" w:eastAsia="zh-CN"/>
        </w:rPr>
      </w:pPr>
    </w:p>
    <w:tbl>
      <w:tblPr>
        <w:tblStyle w:val="40"/>
        <w:tblW w:w="87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
        <w:gridCol w:w="672"/>
        <w:gridCol w:w="972"/>
        <w:gridCol w:w="535"/>
        <w:gridCol w:w="964"/>
        <w:gridCol w:w="781"/>
        <w:gridCol w:w="668"/>
        <w:gridCol w:w="3132"/>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30" w:hRule="atLeast"/>
        </w:trPr>
        <w:tc>
          <w:tcPr>
            <w:tcW w:w="872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color w:val="auto"/>
                <w:sz w:val="21"/>
                <w:szCs w:val="21"/>
                <w:highlight w:val="none"/>
              </w:rPr>
              <w:t>一、技术要求表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30" w:hRule="atLeast"/>
        </w:trPr>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标的</w:t>
            </w:r>
            <w:r>
              <w:rPr>
                <w:rFonts w:hint="eastAsia" w:ascii="宋体" w:hAnsi="宋体" w:eastAsia="宋体" w:cs="宋体"/>
                <w:i w:val="0"/>
                <w:iCs w:val="0"/>
                <w:color w:val="000000"/>
                <w:kern w:val="0"/>
                <w:sz w:val="21"/>
                <w:szCs w:val="21"/>
                <w:u w:val="none"/>
                <w:lang w:val="en-US" w:eastAsia="zh-CN" w:bidi="ar"/>
              </w:rPr>
              <w:t>名称</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技术参数要求</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采购预算单价最高限价（元）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w:t>
            </w:r>
            <w:r>
              <w:rPr>
                <w:rStyle w:val="158"/>
                <w:rFonts w:hint="eastAsia" w:ascii="宋体" w:hAnsi="宋体" w:eastAsia="宋体" w:cs="宋体"/>
                <w:sz w:val="21"/>
                <w:szCs w:val="21"/>
                <w:lang w:val="en-US" w:eastAsia="zh-CN" w:bidi="ar"/>
              </w:rPr>
              <w:t>/乙型流感病毒核酸双重实时荧光PCR检测试剂盒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pStyle w:val="15"/>
              <w:rPr>
                <w:rFonts w:hint="default" w:eastAsia="宋体"/>
                <w:lang w:val="en-US" w:eastAsia="zh-CN"/>
              </w:rPr>
            </w:pPr>
            <w:r>
              <w:rPr>
                <w:rStyle w:val="59"/>
                <w:rFonts w:hint="eastAsia" w:ascii="宋体" w:hAnsi="宋体" w:eastAsia="宋体" w:cs="宋体"/>
                <w:sz w:val="21"/>
                <w:szCs w:val="21"/>
                <w:lang w:val="en-US" w:eastAsia="zh-CN" w:bidi="ar"/>
              </w:rPr>
              <w:t>4.采用预混液技术:反应液1管，酶混合液1管</w:t>
            </w:r>
            <w:r>
              <w:rPr>
                <w:rStyle w:val="59"/>
                <w:rFonts w:hint="eastAsia" w:ascii="宋体" w:hAnsi="宋体" w:cs="宋体"/>
                <w:sz w:val="21"/>
                <w:szCs w:val="21"/>
                <w:lang w:val="en-US" w:eastAsia="zh-CN" w:bidi="ar"/>
              </w:rPr>
              <w:t>；</w:t>
            </w:r>
            <w:r>
              <w:rPr>
                <w:rStyle w:val="59"/>
                <w:rFonts w:hint="eastAsia" w:ascii="宋体" w:hAnsi="宋体" w:eastAsia="宋体" w:cs="宋体"/>
                <w:sz w:val="21"/>
                <w:szCs w:val="21"/>
                <w:lang w:val="en-US" w:eastAsia="zh-CN" w:bidi="ar"/>
              </w:rPr>
              <w:t>5.可检测</w:t>
            </w:r>
            <w:r>
              <w:rPr>
                <w:rFonts w:hint="eastAsia"/>
                <w:lang w:val="en-US" w:eastAsia="zh-CN"/>
              </w:rPr>
              <w:t>咽拭子、鼻咽拭子、痰液类型样本。</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甲型H1N1/H3亚型流感病毒核酸双重实时荧光PCR检测试剂盒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w:t>
            </w:r>
            <w:r>
              <w:rPr>
                <w:rFonts w:hint="eastAsia"/>
                <w:lang w:val="en-US" w:eastAsia="zh-CN"/>
              </w:rPr>
              <w:t>咽拭子、鼻咽拭子、痰液类型样本</w:t>
            </w:r>
            <w:r>
              <w:rPr>
                <w:rStyle w:val="59"/>
                <w:rFonts w:hint="eastAsia" w:ascii="宋体" w:hAnsi="宋体" w:eastAsia="宋体" w:cs="宋体"/>
                <w:sz w:val="21"/>
                <w:szCs w:val="21"/>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Yamagata/ Victoria系乙型流感病毒核酸双重实时荧光PCR检测试剂盒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w:t>
            </w:r>
            <w:r>
              <w:rPr>
                <w:rFonts w:hint="eastAsia"/>
                <w:lang w:val="en-US" w:eastAsia="zh-CN"/>
              </w:rPr>
              <w:t>咽拭子、鼻咽拭子、痰液类型样本</w:t>
            </w:r>
            <w:r>
              <w:rPr>
                <w:rStyle w:val="59"/>
                <w:rFonts w:hint="eastAsia" w:ascii="宋体" w:hAnsi="宋体" w:eastAsia="宋体" w:cs="宋体"/>
                <w:sz w:val="21"/>
                <w:szCs w:val="21"/>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新型冠状病毒核酸实时荧光PCR检测试剂盒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反应体系:不超过30uL、有内标</w:t>
            </w:r>
            <w:r>
              <w:rPr>
                <w:rStyle w:val="59"/>
                <w:rFonts w:hint="eastAsia" w:ascii="宋体" w:hAnsi="宋体" w:cs="宋体"/>
                <w:sz w:val="21"/>
                <w:szCs w:val="21"/>
                <w:lang w:val="en-US" w:eastAsia="zh-CN" w:bidi="ar"/>
              </w:rPr>
              <w:t>；</w:t>
            </w:r>
          </w:p>
          <w:p>
            <w:pPr>
              <w:keepNext w:val="0"/>
              <w:keepLines w:val="0"/>
              <w:widowControl/>
              <w:numPr>
                <w:ilvl w:val="0"/>
                <w:numId w:val="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w:t>
            </w:r>
            <w:r>
              <w:rPr>
                <w:rStyle w:val="59"/>
                <w:rFonts w:hint="eastAsia" w:ascii="宋体" w:hAnsi="宋体" w:cs="宋体"/>
                <w:sz w:val="21"/>
                <w:szCs w:val="21"/>
                <w:lang w:val="en-US" w:eastAsia="zh-CN" w:bidi="ar"/>
              </w:rPr>
              <w:t>或反应液</w:t>
            </w:r>
            <w:r>
              <w:rPr>
                <w:rStyle w:val="59"/>
                <w:rFonts w:hint="eastAsia" w:ascii="宋体" w:hAnsi="宋体" w:eastAsia="宋体" w:cs="宋体"/>
                <w:sz w:val="21"/>
                <w:szCs w:val="21"/>
                <w:lang w:val="en-US" w:eastAsia="zh-CN" w:bidi="ar"/>
              </w:rPr>
              <w:t>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核酸提取或纯化试剂盒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适用于天隆ＧeneＲotex-96提取仪</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可用于纯化提取RNA/DNA病毒</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适用于拭子类、洗液等类型标本</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提取时长不超过15分钟</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4.预封装。</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w:t>
            </w:r>
            <w:r>
              <w:rPr>
                <w:rStyle w:val="158"/>
                <w:rFonts w:hint="eastAsia" w:ascii="宋体" w:hAnsi="宋体" w:eastAsia="宋体" w:cs="宋体"/>
                <w:sz w:val="21"/>
                <w:szCs w:val="21"/>
                <w:lang w:val="en-US" w:eastAsia="zh-CN" w:bidi="ar"/>
              </w:rPr>
              <w:t>型流感病毒核酸实时荧光</w:t>
            </w:r>
            <w:r>
              <w:rPr>
                <w:rStyle w:val="161"/>
                <w:rFonts w:hint="eastAsia" w:ascii="宋体" w:hAnsi="宋体" w:eastAsia="宋体" w:cs="宋体"/>
                <w:sz w:val="21"/>
                <w:szCs w:val="21"/>
                <w:lang w:val="en-US" w:eastAsia="zh-CN" w:bidi="ar"/>
              </w:rPr>
              <w:t>PCR</w:t>
            </w:r>
            <w:r>
              <w:rPr>
                <w:rStyle w:val="158"/>
                <w:rFonts w:hint="eastAsia" w:ascii="宋体" w:hAnsi="宋体" w:eastAsia="宋体" w:cs="宋体"/>
                <w:sz w:val="21"/>
                <w:szCs w:val="21"/>
                <w:lang w:val="en-US" w:eastAsia="zh-CN" w:bidi="ar"/>
              </w:rPr>
              <w:t>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7"/>
              </w:numPr>
              <w:suppressLineNumbers w:val="0"/>
              <w:jc w:val="left"/>
              <w:textAlignment w:val="center"/>
              <w:rPr>
                <w:rStyle w:val="59"/>
                <w:rFonts w:hint="eastAsia" w:ascii="宋体" w:hAnsi="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7"/>
              </w:numPr>
              <w:suppressLineNumbers w:val="0"/>
              <w:ind w:left="0" w:leftChars="0" w:firstLine="0" w:firstLineChars="0"/>
              <w:jc w:val="left"/>
              <w:textAlignment w:val="center"/>
              <w:rPr>
                <w:rStyle w:val="59"/>
                <w:rFonts w:hint="eastAsia" w:ascii="宋体" w:hAnsi="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3.反应体系:不超过25uL、有内标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4.采用预混液技术:反应液1管，酶混合液1管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H5亚型禽流感病毒核酸实时荧光PCR检测试剂盒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8"/>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H7亚型禽流感病毒核酸实时荧光PCR检测试剂盒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9"/>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H9亚型禽流感病毒核酸实时荧光PCR检测试剂盒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0"/>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H3N8亚型禽流感病毒核酸双重实时荧光PCR检测试剂盒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1"/>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7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H5N6亚型禽流感病毒核酸实时荧光PCR检测试剂盒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H5N1亚型禽流感病毒核酸双重实时荧光PCR检测试剂盒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H7N9亚型禽流感病毒病毒核酸双重实时荧光PCR检测试剂盒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H7N4亚型禽流感病毒核酸双重实时荧光PCR检测试剂盒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H9N2亚型禽流感病毒核酸双重实时荧光PCR检测试剂盒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6"/>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H10N8亚型禽流感病毒核酸双重实时荧光PCR检测试剂盒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7"/>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H10N3亚型禽流感病毒核酸双重实时荧光PCR检测试剂盒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8"/>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H10N5亚型禽流感病毒核酸双重实时荧光PCR检测试剂盒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9"/>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欧亚类禽流感H1N1禽流感病毒核酸实时荧光PCR检测试剂盒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0"/>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肠道通用、柯萨奇病毒A16型/71型/肠道病毒核酸三重实时荧光PCR检测试剂盒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1"/>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柯萨奇病毒A6型/A10型核酸双重实时荧光PCR检测试剂盒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诺如病毒G1/GⅡ核酸双重实时荧光PCR检测试剂盒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诺如病毒G1/GⅡ核酸双重实时荧光PCR检测试剂盒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札如病毒/腺病毒/星状病毒核酸三重实时荧光PCR检测试剂盒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 和H组轮状病毒三重实时荧光PCR检测试剂盒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6"/>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72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A组轮状病毒实时荧光PCR检测试剂盒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7"/>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A组轮状病毒10种基因型多重实时荧光PCR检测试剂盒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8"/>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登革病毒通用型核酸实时荧光PCR检测试剂盒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9"/>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基孔肯雅病毒核酸实时荧光PCR检测试剂盒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0"/>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基孔肯雅病毒核酸实时荧光PCR检测试剂盒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1"/>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登革病毒/寨卡病毒/基孔肯雅病毒核酸三重实时荧光PCR检测试剂盒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登革病毒/寨卡病毒/基孔肯雅病毒核酸三重实时荧光PCR检测试剂盒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二十二种呼吸道病原体核酸检测试剂盒（预制板）</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反应体系:有内标</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4.可检测拭子类、痰等类型样本。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二十三种腹泻病原体核酸检测试剂盒（预制板）</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反应体系:有内标</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4.可检测拭子类、粪便、呕吐物、环境等类型样本。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核酸提取或纯化试剂盒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Ex-DNA/RNA病毒（4.0），20T/盒 1T/条*20条</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适用于天隆ＧeneＲotex-96提取仪</w:t>
            </w:r>
          </w:p>
          <w:p>
            <w:pPr>
              <w:keepNext w:val="0"/>
              <w:keepLines w:val="0"/>
              <w:widowControl/>
              <w:numPr>
                <w:ilvl w:val="0"/>
                <w:numId w:val="3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可用于纯化提取RNA/DNA病毒</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适用于全血、血清、血浆、组织液、尿液、拭子洗液等类型标本</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提取时长不超过25分钟</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4.预封装。</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核酸提取或纯化试剂盒</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Ex-DNA/RNA病毒（4.0），20T/盒（预制装） 5T/板*4板</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适用于天隆ＧeneＲotex-96提取仪</w:t>
            </w:r>
          </w:p>
          <w:p>
            <w:pPr>
              <w:keepNext w:val="0"/>
              <w:keepLines w:val="0"/>
              <w:widowControl/>
              <w:numPr>
                <w:ilvl w:val="0"/>
                <w:numId w:val="3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可用于纯化提取RNA/DNA病毒</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适用于全血、血清、血浆、组织液、尿液、拭子洗液等类型标本</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提取时长不超过25分钟</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4.预封装。</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 IgG 抗体检测试剂盒（酶免法）</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8"/>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 IgM 抗体检测试剂盒（酶免法）</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9"/>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 NS1 抗原检测试剂盒（酶免法）</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水痘-带状包疹病毒IgM抗体检测试剂盒（酶免法）</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1"/>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病毒采样管（非灭活、单管）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2"/>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保存液应为粉红色或红色液体</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2.装液量3ml</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与标示量的误差应小于5%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3.pH值6.8-8.8之间</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4、密封性好、无菌。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狂犬病病毒核酸实时荧光PCR检测试剂盒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5.可检测脑脊液、唾液、尿液、血清、血浆类型样本。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猴痘病毒核酸实时荧光PCR检测试剂盒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5.可检测血清、血浆、拭子类等类型样本。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肾综合征出血热汉坦病毒通用型核酸实时荧光PCR检测试剂盒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汉滩病毒/汉城病毒核酸双重实时荧光PCR检测试剂盒</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6"/>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甲型/乙型流感病毒抗原检测试剂（胶体金法）</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30人份/盒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3.可检测拭子类、痰等类型样本。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新型冠状病毒（2019-nCoV）抗原检测试剂盒（胶体金法）</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8"/>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3.可检测拭子类、痰等类型样本。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肠道病毒71型IgM抗体检测试剂盒（胶体金法）</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9"/>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柯萨奇病毒A16型IgM抗体检测试剂盒（胶体金法）</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1.胶体金法</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2.效期不少于1年，敏感性、特异性稳定</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登革病毒NS1抗原检测试剂（胶体金法）</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40人份/盒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5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肾综合征出血热病毒IgM抗体检测试剂盒（胶体金法）</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40人份/盒</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51"/>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甲型/乙型流感病毒核酸检测质控品（50000cp/ml）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新型冠状病毒核酸检测质控品（50000cp/ml）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肠道病毒EV71型核酸检测质控品（50000cp/ml）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柯萨奇病毒A16核酸检测质控品（50000cp/ml）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诺如病毒核酸检测质控品（50000cp/ml）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基孔肯雅病毒核酸核酸检测质控品（50000cp/ml）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登革病毒通用型核酸检测质控品（50000cp/ml）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DMEM</w:t>
            </w:r>
            <w:r>
              <w:rPr>
                <w:rStyle w:val="52"/>
                <w:rFonts w:hint="eastAsia" w:ascii="宋体" w:hAnsi="宋体" w:eastAsia="宋体" w:cs="宋体"/>
                <w:sz w:val="21"/>
                <w:szCs w:val="21"/>
                <w:lang w:val="en-US" w:eastAsia="zh-CN" w:bidi="ar"/>
              </w:rPr>
              <w:t>（斜瓶口）培养液</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52"/>
                <w:rFonts w:hint="eastAsia" w:ascii="宋体" w:hAnsi="宋体" w:eastAsia="宋体" w:cs="宋体"/>
                <w:sz w:val="21"/>
                <w:szCs w:val="21"/>
                <w:lang w:val="en-US" w:eastAsia="zh-CN" w:bidi="ar"/>
              </w:rPr>
              <w:t>瓶</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无菌、高糖、粉红色</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2.pH7.2-7.4之间。</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HEPES</w:t>
            </w:r>
            <w:r>
              <w:rPr>
                <w:rStyle w:val="52"/>
                <w:rFonts w:hint="eastAsia" w:ascii="宋体" w:hAnsi="宋体" w:eastAsia="宋体" w:cs="宋体"/>
                <w:sz w:val="21"/>
                <w:szCs w:val="21"/>
                <w:lang w:val="en-US" w:eastAsia="zh-CN" w:bidi="ar"/>
              </w:rPr>
              <w:t>缓冲液</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r>
              <w:rPr>
                <w:rStyle w:val="52"/>
                <w:rFonts w:hint="eastAsia" w:ascii="宋体" w:hAnsi="宋体" w:eastAsia="宋体" w:cs="宋体"/>
                <w:sz w:val="21"/>
                <w:szCs w:val="21"/>
                <w:lang w:val="en-US" w:eastAsia="zh-CN" w:bidi="ar"/>
              </w:rPr>
              <w:t>瓶</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7.5%NaHCO</w:t>
            </w:r>
            <w:r>
              <w:rPr>
                <w:rStyle w:val="162"/>
                <w:rFonts w:hint="eastAsia" w:ascii="宋体" w:hAnsi="宋体" w:eastAsia="宋体" w:cs="宋体"/>
                <w:sz w:val="21"/>
                <w:szCs w:val="21"/>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52"/>
                <w:rFonts w:hint="eastAsia" w:ascii="宋体" w:hAnsi="宋体" w:eastAsia="宋体" w:cs="宋体"/>
                <w:sz w:val="21"/>
                <w:szCs w:val="21"/>
                <w:lang w:val="en-US" w:eastAsia="zh-CN" w:bidi="ar"/>
              </w:rPr>
              <w:t xml:space="preserve"> ml/瓶</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胰蛋白酶-EDTA（0.05%），含酚红</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r>
              <w:rPr>
                <w:rStyle w:val="52"/>
                <w:rFonts w:hint="eastAsia" w:ascii="宋体" w:hAnsi="宋体" w:eastAsia="宋体" w:cs="宋体"/>
                <w:sz w:val="21"/>
                <w:szCs w:val="21"/>
                <w:lang w:val="en-US" w:eastAsia="zh-CN" w:bidi="ar"/>
              </w:rPr>
              <w:t>瓶</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TPCK-</w:t>
            </w:r>
            <w:r>
              <w:rPr>
                <w:rStyle w:val="52"/>
                <w:rFonts w:hint="eastAsia" w:ascii="宋体" w:hAnsi="宋体" w:eastAsia="宋体" w:cs="宋体"/>
                <w:sz w:val="21"/>
                <w:szCs w:val="21"/>
                <w:lang w:val="en-US" w:eastAsia="zh-CN" w:bidi="ar"/>
              </w:rPr>
              <w:t>胰酶</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50mg/</w:t>
            </w:r>
            <w:r>
              <w:rPr>
                <w:rStyle w:val="52"/>
                <w:rFonts w:hint="eastAsia" w:ascii="宋体" w:hAnsi="宋体" w:eastAsia="宋体" w:cs="宋体"/>
                <w:sz w:val="21"/>
                <w:szCs w:val="21"/>
                <w:lang w:val="en-US" w:eastAsia="zh-CN" w:bidi="ar"/>
              </w:rPr>
              <w:t>瓶</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PBS</w:t>
            </w:r>
            <w:r>
              <w:rPr>
                <w:rStyle w:val="52"/>
                <w:rFonts w:hint="eastAsia" w:ascii="宋体" w:hAnsi="宋体" w:eastAsia="宋体" w:cs="宋体"/>
                <w:sz w:val="21"/>
                <w:szCs w:val="21"/>
                <w:lang w:val="en-US" w:eastAsia="zh-CN" w:bidi="ar"/>
              </w:rPr>
              <w:t>（磷酸缓冲盐溶液）</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52"/>
                <w:rFonts w:hint="eastAsia" w:ascii="宋体" w:hAnsi="宋体" w:eastAsia="宋体" w:cs="宋体"/>
                <w:sz w:val="21"/>
                <w:szCs w:val="21"/>
                <w:lang w:val="en-US" w:eastAsia="zh-CN" w:bidi="ar"/>
              </w:rPr>
              <w:t>瓶</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8-11日龄/个</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胚皮色泽好</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2.胚眼明显、血管清晰。</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八联排管（内配有盖、固定型　1</w:t>
            </w:r>
            <w:r>
              <w:rPr>
                <w:rStyle w:val="158"/>
                <w:rFonts w:hint="eastAsia" w:ascii="宋体" w:hAnsi="宋体" w:eastAsia="宋体" w:cs="宋体"/>
                <w:sz w:val="21"/>
                <w:szCs w:val="21"/>
                <w:lang w:val="en-US" w:eastAsia="zh-CN" w:bidi="ar"/>
              </w:rPr>
              <w:t>25T 0.2ml）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10盒/箱</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1"/>
              </w:numPr>
              <w:suppressLineNumbers w:val="0"/>
              <w:ind w:left="0" w:leftChars="0" w:firstLine="0" w:firstLineChars="0"/>
              <w:jc w:val="left"/>
              <w:textAlignment w:val="center"/>
              <w:rPr>
                <w:rStyle w:val="164"/>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抗至少95</w:t>
            </w:r>
            <w:r>
              <w:rPr>
                <w:rStyle w:val="163"/>
                <w:rFonts w:hint="eastAsia" w:ascii="宋体" w:hAnsi="宋体" w:eastAsia="宋体" w:cs="宋体"/>
                <w:sz w:val="21"/>
                <w:szCs w:val="21"/>
                <w:lang w:val="en-US" w:eastAsia="zh-CN" w:bidi="ar"/>
              </w:rPr>
              <w:t>℃</w:t>
            </w:r>
            <w:r>
              <w:rPr>
                <w:rStyle w:val="164"/>
                <w:rFonts w:hint="eastAsia" w:ascii="宋体" w:hAnsi="宋体" w:eastAsia="宋体" w:cs="宋体"/>
                <w:sz w:val="21"/>
                <w:szCs w:val="21"/>
                <w:lang w:val="en-US" w:eastAsia="zh-CN" w:bidi="ar"/>
              </w:rPr>
              <w:t>以上高温、抗冷冻</w:t>
            </w:r>
            <w:r>
              <w:rPr>
                <w:rStyle w:val="164"/>
                <w:rFonts w:hint="eastAsia" w:ascii="宋体" w:hAnsi="宋体" w:cs="宋体"/>
                <w:sz w:val="21"/>
                <w:szCs w:val="21"/>
                <w:lang w:val="en-US" w:eastAsia="zh-CN" w:bidi="ar"/>
              </w:rPr>
              <w:t>；</w:t>
            </w:r>
          </w:p>
          <w:p>
            <w:pPr>
              <w:keepNext w:val="0"/>
              <w:keepLines w:val="0"/>
              <w:widowControl/>
              <w:numPr>
                <w:ilvl w:val="0"/>
                <w:numId w:val="61"/>
              </w:numPr>
              <w:suppressLineNumbers w:val="0"/>
              <w:ind w:left="0" w:leftChars="0" w:firstLine="0" w:firstLineChars="0"/>
              <w:jc w:val="left"/>
              <w:textAlignment w:val="center"/>
              <w:rPr>
                <w:rStyle w:val="164"/>
                <w:rFonts w:hint="eastAsia" w:ascii="宋体" w:hAnsi="宋体" w:eastAsia="宋体" w:cs="宋体"/>
                <w:sz w:val="21"/>
                <w:szCs w:val="21"/>
                <w:lang w:val="en-US" w:eastAsia="zh-CN" w:bidi="ar"/>
              </w:rPr>
            </w:pPr>
            <w:r>
              <w:rPr>
                <w:rStyle w:val="164"/>
                <w:rFonts w:hint="eastAsia" w:ascii="宋体" w:hAnsi="宋体" w:eastAsia="宋体" w:cs="宋体"/>
                <w:sz w:val="21"/>
                <w:szCs w:val="21"/>
                <w:lang w:val="en-US" w:eastAsia="zh-CN" w:bidi="ar"/>
              </w:rPr>
              <w:t>平盖、密封性好</w:t>
            </w:r>
            <w:r>
              <w:rPr>
                <w:rStyle w:val="164"/>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164"/>
                <w:rFonts w:hint="eastAsia" w:ascii="宋体" w:hAnsi="宋体" w:eastAsia="宋体" w:cs="宋体"/>
                <w:sz w:val="21"/>
                <w:szCs w:val="21"/>
                <w:lang w:val="en-US" w:eastAsia="zh-CN" w:bidi="ar"/>
              </w:rPr>
              <w:t>4.透明。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64"/>
                <w:rFonts w:hint="eastAsia" w:ascii="宋体" w:hAnsi="宋体" w:eastAsia="宋体" w:cs="宋体"/>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5-300ul带滤芯无菌吸头（独立包装）</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每盒独立包装；</w:t>
            </w:r>
          </w:p>
          <w:p>
            <w:pPr>
              <w:keepNext w:val="0"/>
              <w:keepLines w:val="0"/>
              <w:widowControl/>
              <w:numPr>
                <w:ilvl w:val="0"/>
                <w:numId w:val="62"/>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适用于Eppendorf移液器；</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3.无菌、带滤芯。</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SCT-5ML-S管(无RNA酶)</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158"/>
                <w:rFonts w:hint="eastAsia" w:ascii="宋体" w:hAnsi="宋体" w:eastAsia="宋体" w:cs="宋体"/>
                <w:sz w:val="21"/>
                <w:szCs w:val="21"/>
                <w:lang w:val="en-US" w:eastAsia="zh-CN" w:bidi="ar"/>
              </w:rPr>
              <w:t>个</w:t>
            </w:r>
            <w:r>
              <w:rPr>
                <w:rStyle w:val="161"/>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t>包</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1.无菌，无RNA或DNA</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 ml </w:t>
            </w:r>
            <w:r>
              <w:rPr>
                <w:rStyle w:val="60"/>
                <w:rFonts w:hint="eastAsia" w:ascii="宋体" w:hAnsi="宋体" w:eastAsia="宋体" w:cs="宋体"/>
                <w:sz w:val="21"/>
                <w:szCs w:val="21"/>
                <w:lang w:val="en-US" w:eastAsia="zh-CN" w:bidi="ar"/>
              </w:rPr>
              <w:t>培养瓶（密封）</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158"/>
                <w:rFonts w:hint="eastAsia" w:ascii="宋体" w:hAnsi="宋体" w:eastAsia="宋体" w:cs="宋体"/>
                <w:sz w:val="21"/>
                <w:szCs w:val="21"/>
                <w:lang w:val="en-US" w:eastAsia="zh-CN" w:bidi="ar"/>
              </w:rPr>
              <w:t>支</w:t>
            </w:r>
            <w:r>
              <w:rPr>
                <w:rStyle w:val="154"/>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t>箱</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3"/>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抗冷冻、密封性好</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15ml </w:t>
            </w:r>
            <w:r>
              <w:rPr>
                <w:rStyle w:val="52"/>
                <w:rFonts w:hint="eastAsia" w:ascii="宋体" w:hAnsi="宋体" w:eastAsia="宋体" w:cs="宋体"/>
                <w:sz w:val="21"/>
                <w:szCs w:val="21"/>
                <w:lang w:val="en-US" w:eastAsia="zh-CN" w:bidi="ar"/>
              </w:rPr>
              <w:t>冻存管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52"/>
                <w:rFonts w:hint="eastAsia" w:ascii="宋体" w:hAnsi="宋体" w:eastAsia="宋体" w:cs="宋体"/>
                <w:sz w:val="21"/>
                <w:szCs w:val="21"/>
                <w:lang w:val="en-US" w:eastAsia="zh-CN" w:bidi="ar"/>
              </w:rPr>
              <w:t>支</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箱</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4"/>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抗冷冻、密封性好</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1ml </w:t>
            </w:r>
            <w:r>
              <w:rPr>
                <w:rStyle w:val="52"/>
                <w:rFonts w:hint="eastAsia" w:ascii="宋体" w:hAnsi="宋体" w:eastAsia="宋体" w:cs="宋体"/>
                <w:sz w:val="21"/>
                <w:szCs w:val="21"/>
                <w:lang w:val="en-US" w:eastAsia="zh-CN" w:bidi="ar"/>
              </w:rPr>
              <w:t>的分液管</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独立包装</w:t>
            </w:r>
            <w:r>
              <w:rPr>
                <w:rStyle w:val="165"/>
                <w:rFonts w:hint="eastAsia" w:ascii="宋体" w:hAnsi="宋体" w:eastAsia="宋体" w:cs="宋体"/>
                <w:sz w:val="21"/>
                <w:szCs w:val="21"/>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52"/>
                <w:rFonts w:hint="eastAsia" w:ascii="宋体" w:hAnsi="宋体" w:eastAsia="宋体" w:cs="宋体"/>
                <w:sz w:val="21"/>
                <w:szCs w:val="21"/>
                <w:lang w:val="en-US" w:eastAsia="zh-CN" w:bidi="ar"/>
              </w:rPr>
              <w:t>箱</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r>
              <w:rPr>
                <w:rStyle w:val="52"/>
                <w:rFonts w:hint="eastAsia" w:ascii="宋体" w:hAnsi="宋体" w:eastAsia="宋体" w:cs="宋体"/>
                <w:sz w:val="21"/>
                <w:szCs w:val="21"/>
                <w:lang w:val="en-US" w:eastAsia="zh-CN" w:bidi="ar"/>
              </w:rPr>
              <w:t>孔</w:t>
            </w:r>
            <w:r>
              <w:rPr>
                <w:rStyle w:val="165"/>
                <w:rFonts w:hint="eastAsia" w:ascii="宋体" w:hAnsi="宋体" w:eastAsia="宋体" w:cs="宋体"/>
                <w:sz w:val="21"/>
                <w:szCs w:val="21"/>
                <w:lang w:val="en-US" w:eastAsia="zh-CN" w:bidi="ar"/>
              </w:rPr>
              <w:t>U</w:t>
            </w:r>
            <w:r>
              <w:rPr>
                <w:rStyle w:val="52"/>
                <w:rFonts w:hint="eastAsia" w:ascii="宋体" w:hAnsi="宋体" w:eastAsia="宋体" w:cs="宋体"/>
                <w:sz w:val="21"/>
                <w:szCs w:val="21"/>
                <w:lang w:val="en-US" w:eastAsia="zh-CN" w:bidi="ar"/>
              </w:rPr>
              <w:t>型血凝板</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52"/>
                <w:rFonts w:hint="eastAsia" w:ascii="宋体" w:hAnsi="宋体" w:eastAsia="宋体" w:cs="宋体"/>
                <w:sz w:val="21"/>
                <w:szCs w:val="21"/>
                <w:lang w:val="en-US" w:eastAsia="zh-CN" w:bidi="ar"/>
              </w:rPr>
              <w:t>块</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包</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1.U型、透明。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10ml </w:t>
            </w:r>
            <w:r>
              <w:rPr>
                <w:rStyle w:val="52"/>
                <w:rFonts w:hint="eastAsia" w:ascii="宋体" w:hAnsi="宋体" w:eastAsia="宋体" w:cs="宋体"/>
                <w:sz w:val="21"/>
                <w:szCs w:val="21"/>
                <w:lang w:val="en-US" w:eastAsia="zh-CN" w:bidi="ar"/>
              </w:rPr>
              <w:t>的一次性吸管（独立包装）</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r>
              <w:rPr>
                <w:rStyle w:val="52"/>
                <w:rFonts w:hint="eastAsia" w:ascii="宋体" w:hAnsi="宋体" w:eastAsia="宋体" w:cs="宋体"/>
                <w:sz w:val="21"/>
                <w:szCs w:val="21"/>
                <w:lang w:val="en-US" w:eastAsia="zh-CN" w:bidi="ar"/>
              </w:rPr>
              <w:t>支</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箱</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一次性巴氏吸管（独立包装、无菌）</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5ml/支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atLeast"/>
        </w:trPr>
        <w:tc>
          <w:tcPr>
            <w:tcW w:w="8723"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i w:val="0"/>
                <w:color w:val="000000"/>
                <w:kern w:val="2"/>
                <w:sz w:val="21"/>
                <w:szCs w:val="21"/>
                <w:u w:val="none"/>
                <w:lang w:val="en-US" w:eastAsia="zh-CN" w:bidi="ar-SA"/>
              </w:rPr>
            </w:pPr>
            <w:r>
              <w:rPr>
                <w:rStyle w:val="156"/>
                <w:rFonts w:hint="eastAsia" w:ascii="宋体" w:hAnsi="宋体" w:cs="宋体"/>
                <w:b/>
                <w:bCs/>
                <w:sz w:val="21"/>
                <w:szCs w:val="21"/>
                <w:lang w:val="en-US" w:eastAsia="zh-CN" w:bidi="ar"/>
              </w:rPr>
              <w:t>二、</w:t>
            </w:r>
            <w:r>
              <w:rPr>
                <w:rFonts w:hint="eastAsia" w:ascii="宋体" w:hAnsi="宋体" w:eastAsia="宋体" w:cs="宋体"/>
                <w:b/>
                <w:color w:val="auto"/>
                <w:sz w:val="21"/>
                <w:szCs w:val="21"/>
                <w:highlight w:val="none"/>
              </w:rPr>
              <w:t>商务要求表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3" w:hRule="atLeast"/>
        </w:trPr>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156"/>
                <w:rFonts w:hint="eastAsia" w:ascii="宋体" w:hAnsi="宋体" w:eastAsia="宋体" w:cs="宋体"/>
                <w:b/>
                <w:bCs/>
                <w:sz w:val="21"/>
                <w:szCs w:val="21"/>
                <w:lang w:val="en-US" w:eastAsia="zh-CN" w:bidi="ar"/>
              </w:rPr>
            </w:pPr>
            <w:r>
              <w:rPr>
                <w:rFonts w:hint="eastAsia" w:ascii="宋体" w:hAnsi="宋体" w:eastAsia="宋体" w:cs="宋体"/>
                <w:sz w:val="21"/>
                <w:szCs w:val="21"/>
                <w:highlight w:val="none"/>
              </w:rPr>
              <w:t>时间及地点要求</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1.合同签订期：自成交通知书发出之日起</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日内签订合同。</w:t>
            </w:r>
          </w:p>
          <w:p>
            <w:pPr>
              <w:keepNext w:val="0"/>
              <w:keepLines w:val="0"/>
              <w:pageBreakBefore w:val="0"/>
              <w:tabs>
                <w:tab w:val="left" w:pos="180"/>
                <w:tab w:val="left" w:pos="1620"/>
              </w:tabs>
              <w:kinsoku/>
              <w:wordWrap/>
              <w:overflowPunct/>
              <w:topLinePunct w:val="0"/>
              <w:autoSpaceDE/>
              <w:autoSpaceDN/>
              <w:bidi w:val="0"/>
              <w:adjustRightInd/>
              <w:snapToGrid/>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2.交货期：</w:t>
            </w:r>
            <w:r>
              <w:rPr>
                <w:rFonts w:hint="eastAsia" w:ascii="Times New Roman" w:hAnsi="Times New Roman" w:eastAsia="宋体" w:cs="Times New Roman"/>
              </w:rPr>
              <w:t>分批供货</w:t>
            </w:r>
            <w:r>
              <w:rPr>
                <w:rFonts w:hint="eastAsia" w:ascii="Times New Roman" w:hAnsi="Times New Roman" w:eastAsia="宋体" w:cs="Times New Roman"/>
                <w:lang w:eastAsia="zh-CN"/>
              </w:rPr>
              <w:t>，</w:t>
            </w:r>
            <w:r>
              <w:rPr>
                <w:rFonts w:hint="eastAsia" w:ascii="Times New Roman" w:hAnsi="Times New Roman" w:eastAsia="宋体" w:cs="Times New Roman"/>
              </w:rPr>
              <w:t>合同签订之日起6个月内完成供货</w:t>
            </w:r>
            <w:r>
              <w:rPr>
                <w:rFonts w:hint="eastAsia" w:cs="Times New Roman"/>
                <w:lang w:eastAsia="zh-CN"/>
              </w:rPr>
              <w:t>。</w:t>
            </w:r>
          </w:p>
          <w:p>
            <w:pPr>
              <w:keepNext w:val="0"/>
              <w:keepLines w:val="0"/>
              <w:pageBreakBefore w:val="0"/>
              <w:tabs>
                <w:tab w:val="left" w:pos="180"/>
                <w:tab w:val="left" w:pos="1620"/>
              </w:tabs>
              <w:kinsoku/>
              <w:wordWrap/>
              <w:overflowPunct/>
              <w:topLinePunct w:val="0"/>
              <w:autoSpaceDE/>
              <w:autoSpaceDN/>
              <w:bidi w:val="0"/>
              <w:adjustRightInd/>
              <w:snapToGrid/>
              <w:spacing w:line="440" w:lineRule="exact"/>
              <w:ind w:firstLine="420" w:firstLineChars="200"/>
              <w:rPr>
                <w:rStyle w:val="156"/>
                <w:rFonts w:hint="eastAsia" w:ascii="宋体" w:hAnsi="宋体" w:eastAsia="宋体" w:cs="宋体"/>
                <w:sz w:val="21"/>
                <w:szCs w:val="21"/>
                <w:lang w:val="en-US" w:eastAsia="zh-CN" w:bidi="ar"/>
              </w:rPr>
            </w:pPr>
            <w:r>
              <w:rPr>
                <w:rFonts w:hint="eastAsia" w:ascii="宋体" w:hAnsi="宋体" w:eastAsia="宋体" w:cs="宋体"/>
                <w:sz w:val="21"/>
                <w:szCs w:val="21"/>
                <w:highlight w:val="none"/>
              </w:rPr>
              <w:t>3.交货地点：</w:t>
            </w:r>
            <w:r>
              <w:rPr>
                <w:rFonts w:hint="eastAsia"/>
                <w:lang w:eastAsia="zh-CN"/>
              </w:rPr>
              <w:t>钦州市疾病预防控制中心</w:t>
            </w:r>
            <w:r>
              <w:rPr>
                <w:rFonts w:hint="eastAsia" w:ascii="宋体" w:hAnsi="宋体" w:eastAsia="宋体" w:cs="宋体"/>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400" w:lineRule="exact"/>
              <w:ind w:firstLine="200" w:firstLineChars="100"/>
              <w:rPr>
                <w:rFonts w:hint="eastAsia" w:ascii="宋体" w:hAnsi="宋体" w:eastAsia="宋体" w:cs="宋体"/>
                <w:sz w:val="21"/>
                <w:szCs w:val="21"/>
                <w:highlight w:val="none"/>
              </w:rPr>
            </w:pPr>
            <w:r>
              <w:rPr>
                <w:rFonts w:ascii="新宋体" w:hAnsi="新宋体" w:eastAsia="新宋体" w:cs="新宋体"/>
                <w:b w:val="0"/>
                <w:bCs w:val="0"/>
                <w:color w:val="000000"/>
                <w:sz w:val="20"/>
                <w:szCs w:val="20"/>
                <w:highlight w:val="none"/>
              </w:rPr>
              <w:t>试剂效期要求</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wordWrap w:val="0"/>
              <w:spacing w:line="400" w:lineRule="exact"/>
              <w:ind w:left="0" w:leftChars="0" w:firstLine="400" w:firstLineChars="200"/>
              <w:rPr>
                <w:rFonts w:hint="eastAsia" w:ascii="宋体" w:hAnsi="宋体" w:eastAsia="宋体" w:cs="宋体"/>
                <w:sz w:val="21"/>
                <w:szCs w:val="21"/>
                <w:highlight w:val="none"/>
              </w:rPr>
            </w:pPr>
            <w:r>
              <w:rPr>
                <w:rFonts w:ascii="新宋体" w:hAnsi="新宋体" w:eastAsia="新宋体" w:cs="新宋体"/>
                <w:b w:val="0"/>
                <w:bCs w:val="0"/>
                <w:color w:val="000000"/>
                <w:sz w:val="20"/>
                <w:szCs w:val="20"/>
                <w:highlight w:val="none"/>
              </w:rPr>
              <w:t>竞标人提供的产品出厂有效期在1年以内的，其供货实际有效期要大于出厂有效期的80%；出厂有效期在1年以上的，其供货实际有效期要大于出厂有效期的70%。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rPr>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报价要求</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val="en-US" w:eastAsia="zh-CN"/>
              </w:rPr>
              <w:t>本项目竞标报价包括货物的所有费用，包括采购、运输、劳务、管理、利润、税金、保险、协调、</w:t>
            </w:r>
            <w:r>
              <w:rPr>
                <w:rFonts w:hint="eastAsia" w:ascii="宋体" w:hAnsi="宋体" w:cs="宋体"/>
                <w:color w:val="auto"/>
                <w:spacing w:val="-3"/>
                <w:sz w:val="21"/>
                <w:szCs w:val="21"/>
                <w:highlight w:val="none"/>
                <w:lang w:val="en-US" w:eastAsia="zh-CN"/>
              </w:rPr>
              <w:t>验收、</w:t>
            </w:r>
            <w:r>
              <w:rPr>
                <w:rFonts w:hint="eastAsia" w:ascii="宋体" w:hAnsi="宋体" w:eastAsia="宋体" w:cs="宋体"/>
                <w:color w:val="auto"/>
                <w:spacing w:val="-3"/>
                <w:sz w:val="21"/>
                <w:szCs w:val="21"/>
                <w:highlight w:val="none"/>
                <w:lang w:val="en-US" w:eastAsia="zh-CN"/>
              </w:rPr>
              <w:t>培训、售后服务、配送产品以及所有的不定因素的风险等。</w:t>
            </w:r>
          </w:p>
          <w:p>
            <w:pPr>
              <w:keepNext w:val="0"/>
              <w:keepLines w:val="0"/>
              <w:pageBreakBefore w:val="0"/>
              <w:kinsoku/>
              <w:wordWrap/>
              <w:overflowPunct/>
              <w:topLinePunct w:val="0"/>
              <w:autoSpaceDE/>
              <w:autoSpaceDN/>
              <w:bidi w:val="0"/>
              <w:adjustRightInd/>
              <w:spacing w:line="360" w:lineRule="exact"/>
              <w:ind w:firstLine="402" w:firstLineChars="200"/>
              <w:rPr>
                <w:rFonts w:hint="eastAsia" w:ascii="宋体" w:hAnsi="宋体" w:eastAsia="宋体" w:cs="宋体"/>
                <w:color w:val="auto"/>
                <w:spacing w:val="-3"/>
                <w:sz w:val="21"/>
                <w:szCs w:val="21"/>
                <w:highlight w:val="none"/>
                <w:lang w:val="en-US" w:eastAsia="zh-CN"/>
              </w:rPr>
            </w:pPr>
            <w:r>
              <w:rPr>
                <w:rFonts w:hint="eastAsia" w:ascii="新宋体" w:hAnsi="新宋体" w:eastAsia="新宋体" w:cs="新宋体"/>
                <w:b/>
                <w:bCs/>
                <w:color w:val="000000"/>
                <w:sz w:val="20"/>
                <w:szCs w:val="20"/>
                <w:lang w:val="en-US" w:eastAsia="zh-CN"/>
              </w:rPr>
              <w:t>2.</w:t>
            </w:r>
            <w:r>
              <w:rPr>
                <w:rFonts w:ascii="新宋体" w:hAnsi="新宋体" w:eastAsia="新宋体" w:cs="新宋体"/>
                <w:b/>
                <w:bCs/>
                <w:color w:val="000000"/>
                <w:sz w:val="20"/>
                <w:szCs w:val="20"/>
              </w:rPr>
              <w:t>竞标报价</w:t>
            </w:r>
            <w:r>
              <w:rPr>
                <w:rFonts w:hint="eastAsia" w:ascii="新宋体" w:hAnsi="新宋体" w:eastAsia="新宋体" w:cs="新宋体"/>
                <w:b/>
                <w:bCs/>
                <w:color w:val="000000"/>
                <w:sz w:val="20"/>
                <w:szCs w:val="20"/>
                <w:lang w:val="en-US" w:eastAsia="zh-CN"/>
              </w:rPr>
              <w:t>不得</w:t>
            </w:r>
            <w:r>
              <w:rPr>
                <w:rFonts w:ascii="新宋体" w:hAnsi="新宋体" w:eastAsia="新宋体" w:cs="新宋体"/>
                <w:b/>
                <w:bCs/>
                <w:color w:val="000000"/>
                <w:sz w:val="20"/>
                <w:szCs w:val="20"/>
              </w:rPr>
              <w:t>超过采购预算金额或采购预算单价</w:t>
            </w:r>
            <w:r>
              <w:rPr>
                <w:rFonts w:hint="eastAsia" w:ascii="新宋体" w:hAnsi="新宋体" w:eastAsia="新宋体" w:cs="新宋体"/>
                <w:b/>
                <w:bCs/>
                <w:color w:val="000000"/>
                <w:sz w:val="20"/>
                <w:szCs w:val="20"/>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0" w:author="c" w:date="2025-08-27T09:30:02Z"/>
        </w:trPr>
        <w:tc>
          <w:tcPr>
            <w:tcW w:w="1647" w:type="dxa"/>
            <w:gridSpan w:val="3"/>
            <w:shd w:val="clear" w:color="auto" w:fill="auto"/>
            <w:noWrap w:val="0"/>
            <w:vAlign w:val="center"/>
          </w:tcPr>
          <w:p>
            <w:pPr>
              <w:widowControl/>
              <w:wordWrap w:val="0"/>
              <w:spacing w:line="400" w:lineRule="exact"/>
              <w:rPr>
                <w:rFonts w:ascii="宋体" w:hAnsi="宋体" w:cs="宋体"/>
                <w:bCs/>
                <w:color w:val="000000"/>
                <w:kern w:val="0"/>
              </w:rPr>
            </w:pPr>
            <w:r>
              <w:rPr>
                <w:rFonts w:hint="eastAsia" w:ascii="宋体" w:hAnsi="宋体" w:cs="宋体"/>
                <w:bCs/>
                <w:color w:val="000000"/>
                <w:kern w:val="0"/>
              </w:rPr>
              <w:t>售后服务要求</w:t>
            </w:r>
          </w:p>
        </w:tc>
        <w:tc>
          <w:tcPr>
            <w:tcW w:w="7076" w:type="dxa"/>
            <w:gridSpan w:val="6"/>
            <w:shd w:val="clear" w:color="auto" w:fill="auto"/>
            <w:noWrap w:val="0"/>
            <w:vAlign w:val="center"/>
          </w:tcPr>
          <w:p>
            <w:pPr>
              <w:pStyle w:val="10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1.无条件送货上门，成交供应商应根据用户使用需求无条件培训操作人员掌握货物正确使用及结果分析并提供相关技术资料（如技术规格和指标、操作使用说明手册等）及技术答疑；</w:t>
            </w:r>
          </w:p>
          <w:p>
            <w:pPr>
              <w:pStyle w:val="10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2.竞标人应提出可行的售后服务承诺书；</w:t>
            </w:r>
          </w:p>
          <w:p>
            <w:pPr>
              <w:numPr>
                <w:ilvl w:val="0"/>
                <w:numId w:val="0"/>
              </w:num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3.属于国家规定“三包”范围的，其质量保证期按国家规定的厂家承诺实行“三包”规定。成交供应商承诺质量保证期优于国家“三包”规定的，或优于谈判文件规定的，按</w:t>
            </w:r>
            <w:r>
              <w:t>成交供应商</w:t>
            </w:r>
            <w:r>
              <w:rPr>
                <w:rFonts w:hint="eastAsia" w:ascii="宋体" w:hAnsi="宋体" w:eastAsia="宋体"/>
                <w:szCs w:val="21"/>
                <w:lang w:val="en-US" w:eastAsia="zh-CN"/>
              </w:rPr>
              <w:t>实际承诺执行；</w:t>
            </w:r>
          </w:p>
          <w:p>
            <w:p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zh-CN" w:eastAsia="zh-CN"/>
              </w:rPr>
              <w:t>4</w:t>
            </w:r>
            <w:r>
              <w:rPr>
                <w:rFonts w:hint="eastAsia" w:ascii="宋体" w:hAnsi="宋体" w:eastAsia="宋体"/>
                <w:szCs w:val="21"/>
                <w:lang w:val="en-US" w:eastAsia="zh-CN"/>
              </w:rPr>
              <w:t>.交货时须保证产品必须是全新、完好无损，若产品在运输及安装过程中损坏须调换同样产品，期间发生的费用由供应商负责；</w:t>
            </w:r>
            <w:r>
              <w:rPr>
                <w:rFonts w:hint="eastAsia" w:ascii="宋体" w:hAnsi="宋体" w:eastAsia="宋体"/>
                <w:szCs w:val="21"/>
                <w:lang w:val="zh-CN" w:eastAsia="zh-CN"/>
              </w:rPr>
              <w:t>确定有质量问题，</w:t>
            </w:r>
            <w:r>
              <w:rPr>
                <w:rFonts w:hint="eastAsia" w:ascii="宋体" w:hAnsi="宋体" w:eastAsia="宋体"/>
                <w:szCs w:val="21"/>
                <w:lang w:val="en-US" w:eastAsia="zh-CN"/>
              </w:rPr>
              <w:t>一律无条件退换；如产品在实验检测中发现</w:t>
            </w:r>
            <w:r>
              <w:rPr>
                <w:rFonts w:hint="eastAsia" w:ascii="宋体" w:hAnsi="宋体"/>
                <w:szCs w:val="21"/>
                <w:lang w:val="en-US" w:eastAsia="zh-CN"/>
              </w:rPr>
              <w:t>质量问题</w:t>
            </w:r>
            <w:r>
              <w:rPr>
                <w:rFonts w:hint="eastAsia" w:ascii="宋体" w:hAnsi="宋体" w:eastAsia="宋体"/>
                <w:szCs w:val="21"/>
                <w:lang w:val="en-US" w:eastAsia="zh-CN"/>
              </w:rPr>
              <w:t>等现象，</w:t>
            </w:r>
            <w:r>
              <w:rPr>
                <w:rFonts w:hint="eastAsia" w:ascii="宋体" w:hAnsi="宋体"/>
                <w:szCs w:val="21"/>
              </w:rPr>
              <w:t>采购人</w:t>
            </w:r>
            <w:r>
              <w:rPr>
                <w:rFonts w:hint="eastAsia" w:ascii="宋体" w:hAnsi="宋体"/>
                <w:szCs w:val="21"/>
                <w:lang w:val="en-US" w:eastAsia="zh-CN"/>
              </w:rPr>
              <w:t>2</w:t>
            </w:r>
            <w:r>
              <w:rPr>
                <w:rFonts w:hint="eastAsia" w:ascii="宋体" w:hAnsi="宋体"/>
                <w:szCs w:val="21"/>
              </w:rPr>
              <w:t>次反复试验后</w:t>
            </w:r>
            <w:r>
              <w:rPr>
                <w:rFonts w:hint="eastAsia" w:ascii="宋体" w:hAnsi="宋体"/>
                <w:szCs w:val="21"/>
                <w:lang w:eastAsia="zh-CN"/>
              </w:rPr>
              <w:t>仍</w:t>
            </w:r>
            <w:r>
              <w:rPr>
                <w:rFonts w:hint="eastAsia" w:ascii="宋体" w:hAnsi="宋体"/>
                <w:szCs w:val="21"/>
              </w:rPr>
              <w:t>不满足采购人实验需求时，成交供应商必须</w:t>
            </w:r>
            <w:r>
              <w:rPr>
                <w:rFonts w:hint="eastAsia" w:ascii="宋体" w:hAnsi="宋体"/>
                <w:szCs w:val="21"/>
                <w:lang w:eastAsia="zh-CN"/>
              </w:rPr>
              <w:t>无条件</w:t>
            </w:r>
            <w:r>
              <w:rPr>
                <w:rFonts w:hint="eastAsia" w:ascii="宋体" w:hAnsi="宋体"/>
                <w:szCs w:val="21"/>
              </w:rPr>
              <w:t>更换品质更好的同类产品，价格不变</w:t>
            </w:r>
            <w:r>
              <w:rPr>
                <w:rFonts w:hint="eastAsia" w:ascii="宋体" w:hAnsi="宋体" w:eastAsia="宋体"/>
                <w:szCs w:val="21"/>
                <w:lang w:val="en-US" w:eastAsia="zh-CN"/>
              </w:rPr>
              <w:t>；</w:t>
            </w:r>
          </w:p>
          <w:p>
            <w:pPr>
              <w:widowControl/>
              <w:numPr>
                <w:ilvl w:val="0"/>
                <w:numId w:val="0"/>
              </w:numPr>
              <w:wordWrap w:val="0"/>
              <w:spacing w:line="400" w:lineRule="exact"/>
              <w:ind w:firstLine="408" w:firstLineChars="200"/>
              <w:rPr>
                <w:rFonts w:ascii="新宋体" w:hAnsi="新宋体" w:eastAsia="新宋体" w:cs="新宋体"/>
                <w:b w:val="0"/>
                <w:bCs w:val="0"/>
                <w:color w:val="000000"/>
                <w:sz w:val="20"/>
                <w:szCs w:val="20"/>
              </w:rPr>
            </w:pPr>
            <w:r>
              <w:rPr>
                <w:rFonts w:hint="eastAsia" w:ascii="宋体" w:hAnsi="宋体" w:eastAsia="宋体" w:cs="宋体"/>
                <w:color w:val="auto"/>
                <w:spacing w:val="-3"/>
                <w:kern w:val="2"/>
                <w:sz w:val="21"/>
                <w:szCs w:val="21"/>
                <w:highlight w:val="none"/>
                <w:lang w:val="en-US" w:eastAsia="zh-CN" w:bidi="ar-SA"/>
              </w:rPr>
              <w:t>5.试剂在使用过程中，如有任何质量问题，竞标人承诺于3小时内答复，12小时内到达采购人现场，排除故障直至保证试剂能够正常使用（各分项有特殊要求的按各分项要求执行）</w:t>
            </w:r>
            <w:r>
              <w:rPr>
                <w:rFonts w:hint="eastAsia" w:ascii="宋体" w:hAnsi="宋体" w:cs="宋体"/>
                <w:color w:val="auto"/>
                <w:spacing w:val="-3"/>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1" w:author="c" w:date="2025-08-27T09:33:00Z"/>
        </w:trPr>
        <w:tc>
          <w:tcPr>
            <w:tcW w:w="1647" w:type="dxa"/>
            <w:gridSpan w:val="3"/>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Cs w:val="21"/>
                <w:lang w:val="en-US" w:eastAsia="zh-CN"/>
              </w:rPr>
            </w:pPr>
            <w:r>
              <w:rPr>
                <w:rFonts w:hint="eastAsia" w:ascii="宋体" w:hAnsi="宋体" w:eastAsia="宋体" w:cs="宋体"/>
                <w:b w:val="0"/>
                <w:bCs w:val="0"/>
                <w:color w:val="000000"/>
                <w:sz w:val="20"/>
                <w:szCs w:val="20"/>
              </w:rPr>
              <w:t>付款条件（进度和方式）</w:t>
            </w:r>
          </w:p>
        </w:tc>
        <w:tc>
          <w:tcPr>
            <w:tcW w:w="7076" w:type="dxa"/>
            <w:gridSpan w:val="6"/>
            <w:shd w:val="clear" w:color="auto" w:fill="auto"/>
            <w:noWrap w:val="0"/>
            <w:vAlign w:val="center"/>
          </w:tcPr>
          <w:p>
            <w:pPr>
              <w:keepNext w:val="0"/>
              <w:keepLines w:val="0"/>
              <w:pageBreakBefore w:val="0"/>
              <w:numPr>
                <w:ilvl w:val="0"/>
                <w:numId w:val="0"/>
              </w:numPr>
              <w:tabs>
                <w:tab w:val="left" w:pos="180"/>
                <w:tab w:val="left" w:pos="1620"/>
              </w:tabs>
              <w:kinsoku/>
              <w:wordWrap/>
              <w:overflowPunct/>
              <w:topLinePunct w:val="0"/>
              <w:autoSpaceDE/>
              <w:autoSpaceDN/>
              <w:bidi w:val="0"/>
              <w:adjustRightInd/>
              <w:snapToGrid/>
              <w:spacing w:line="440" w:lineRule="exact"/>
              <w:ind w:left="0" w:leftChars="0" w:firstLine="408" w:firstLineChars="200"/>
              <w:rPr>
                <w:rFonts w:hint="eastAsia" w:ascii="宋体" w:hAnsi="宋体"/>
                <w:color w:val="000000"/>
              </w:rPr>
            </w:pPr>
            <w:r>
              <w:rPr>
                <w:rFonts w:hint="eastAsia" w:ascii="宋体" w:hAnsi="宋体" w:eastAsia="宋体" w:cs="宋体"/>
                <w:color w:val="auto"/>
                <w:spacing w:val="-3"/>
                <w:kern w:val="2"/>
                <w:sz w:val="21"/>
                <w:szCs w:val="21"/>
                <w:highlight w:val="none"/>
                <w:lang w:val="en-US" w:eastAsia="zh-CN" w:bidi="ar-SA"/>
              </w:rPr>
              <w:t>本项目无预付款。供应交货完成经采购人验收合格后并收到成交人开具合法的发票后 30个日历日支付全部的货款。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47"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宋体" w:hAnsi="宋体" w:cs="宋体"/>
                <w:bCs/>
                <w:color w:val="000000"/>
                <w:kern w:val="0"/>
                <w:lang w:val="en-US" w:eastAsia="zh-CN"/>
              </w:rPr>
            </w:pPr>
            <w:r>
              <w:rPr>
                <w:rFonts w:hint="eastAsia" w:ascii="宋体" w:hAnsi="宋体" w:cs="宋体"/>
                <w:color w:val="auto"/>
                <w:sz w:val="21"/>
                <w:szCs w:val="21"/>
                <w:highlight w:val="none"/>
                <w:lang w:val="en-US" w:eastAsia="zh-CN"/>
              </w:rPr>
              <w:t>验收标准</w:t>
            </w:r>
          </w:p>
        </w:tc>
        <w:tc>
          <w:tcPr>
            <w:tcW w:w="7076" w:type="dxa"/>
            <w:gridSpan w:val="6"/>
            <w:shd w:val="clear" w:color="auto" w:fill="auto"/>
            <w:noWrap w:val="0"/>
            <w:vAlign w:val="top"/>
          </w:tcPr>
          <w:p>
            <w:pPr>
              <w:numPr>
                <w:ilvl w:val="0"/>
                <w:numId w:val="0"/>
              </w:num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1.供货验收时，要求供应产品须符合谈判文件的要求，供货时出示对应产品的出厂合格证，第三方检验合格报告或其他相关证明等文件材料，按采购文件要求、响应文件的响应标准验收；</w:t>
            </w:r>
          </w:p>
          <w:p>
            <w:pPr>
              <w:spacing w:line="36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.成交人按采购人需求清单进行供货，货物交到指定地点后，双方现场进行货品清点。</w:t>
            </w:r>
            <w:r>
              <w:rPr>
                <w:rFonts w:hint="eastAsia" w:ascii="宋体" w:hAnsi="宋体" w:eastAsia="宋体"/>
                <w:szCs w:val="21"/>
                <w:lang w:val="en-US" w:eastAsia="zh-CN"/>
              </w:rPr>
              <w:t>验收包括数量、规格、外观、质量、性能等，所供货物应符合其规定的性能或满足其参数要求，</w:t>
            </w:r>
            <w:r>
              <w:rPr>
                <w:rFonts w:hint="eastAsia" w:ascii="宋体" w:hAnsi="宋体"/>
                <w:szCs w:val="21"/>
              </w:rPr>
              <w:t>成交人交付的产品符合有效期要求。</w:t>
            </w:r>
          </w:p>
          <w:p>
            <w:pPr>
              <w:spacing w:line="360" w:lineRule="exact"/>
              <w:ind w:right="-57" w:rightChars="-27" w:firstLine="420" w:firstLineChars="200"/>
              <w:jc w:val="left"/>
              <w:rPr>
                <w:rFonts w:ascii="宋体" w:hAnsi="宋体"/>
                <w:szCs w:val="21"/>
              </w:rPr>
            </w:pPr>
            <w:r>
              <w:rPr>
                <w:rFonts w:hint="eastAsia" w:ascii="宋体" w:hAnsi="宋体"/>
                <w:szCs w:val="21"/>
                <w:lang w:val="en-US" w:eastAsia="zh-CN"/>
              </w:rPr>
              <w:t>3</w:t>
            </w:r>
            <w:r>
              <w:rPr>
                <w:rFonts w:hint="eastAsia" w:ascii="宋体" w:hAnsi="宋体"/>
                <w:szCs w:val="21"/>
              </w:rPr>
              <w:t>.成交人必须按响应文件和合同约定的品牌、规格供货，验收不合格时，成交人必须在采购人指定的时间内</w:t>
            </w:r>
            <w:r>
              <w:rPr>
                <w:rFonts w:hint="eastAsia" w:ascii="宋体" w:hAnsi="宋体"/>
                <w:szCs w:val="21"/>
                <w:lang w:eastAsia="zh-CN"/>
              </w:rPr>
              <w:t>（</w:t>
            </w:r>
            <w:r>
              <w:rPr>
                <w:rFonts w:hint="eastAsia" w:ascii="宋体" w:hAnsi="宋体"/>
                <w:szCs w:val="21"/>
                <w:lang w:val="en-US" w:eastAsia="zh-CN"/>
              </w:rPr>
              <w:t>7个工作日）</w:t>
            </w:r>
            <w:r>
              <w:rPr>
                <w:rFonts w:hint="eastAsia" w:ascii="宋体" w:hAnsi="宋体"/>
                <w:szCs w:val="21"/>
              </w:rPr>
              <w:t>无条件更换，由此造成的损失和责任由成交人承担。货物交付并验收合格，双方签署验收单，作为合同款结算依据。如出现停产</w:t>
            </w:r>
            <w:r>
              <w:rPr>
                <w:rFonts w:hint="eastAsia" w:ascii="宋体" w:hAnsi="宋体"/>
                <w:szCs w:val="21"/>
                <w:lang w:eastAsia="zh-CN"/>
              </w:rPr>
              <w:t>或质量</w:t>
            </w:r>
            <w:r>
              <w:rPr>
                <w:rFonts w:hint="eastAsia" w:ascii="宋体" w:hAnsi="宋体"/>
                <w:szCs w:val="21"/>
              </w:rPr>
              <w:t>问题，成交人在获得厂家说明和承诺的前提下，经采购人同意可以用</w:t>
            </w:r>
            <w:r>
              <w:rPr>
                <w:rFonts w:hint="eastAsia" w:ascii="宋体" w:hAnsi="宋体"/>
                <w:szCs w:val="21"/>
                <w:lang w:eastAsia="zh-CN"/>
              </w:rPr>
              <w:t>符合采购需求且</w:t>
            </w:r>
            <w:r>
              <w:rPr>
                <w:rFonts w:hint="eastAsia" w:ascii="宋体" w:hAnsi="宋体"/>
                <w:szCs w:val="21"/>
              </w:rPr>
              <w:t>质量更优于合同约定的产品进行替代交付，价格不变。</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szCs w:val="21"/>
                <w:lang w:val="en-US" w:eastAsia="zh-CN"/>
              </w:rPr>
            </w:pPr>
            <w:r>
              <w:rPr>
                <w:rFonts w:hint="eastAsia" w:ascii="宋体" w:hAnsi="宋体"/>
                <w:szCs w:val="21"/>
              </w:rPr>
              <w:t>4.所供货产品，产品实行强制标准认证制度、生产许可证制度、销售备案或经营许可证制度、注册证制度的，成交供应商均应提供相关有效的证书查验。</w:t>
            </w:r>
            <w:r>
              <w:rPr>
                <w:rFonts w:hint="eastAsia" w:ascii="宋体" w:hAnsi="宋体"/>
                <w:szCs w:val="21"/>
                <w:lang w:val="en-US" w:eastAsia="zh-CN"/>
              </w:rPr>
              <w:t xml:space="preserve">  </w:t>
            </w:r>
          </w:p>
          <w:p>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b w:val="0"/>
                <w:bCs w:val="0"/>
                <w:color w:val="000000"/>
                <w:sz w:val="22"/>
                <w:szCs w:val="22"/>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 xml:space="preserve">其他未尽事宜应严格按照《关于印发广西壮族自治区政府采购项目履约验收管理办法的通知》[桂财采〔2015〕22 号]以及《财政部关于进一步加强政府采购需求和履约验收管理的指导意见》[财库〔2016〕205 号]规定执行。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47"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bCs/>
                <w:color w:val="000000"/>
                <w:kern w:val="0"/>
                <w:highlight w:val="yellow"/>
                <w:lang w:val="en-US" w:eastAsia="zh-CN"/>
              </w:rPr>
            </w:pPr>
            <w:r>
              <w:rPr>
                <w:rFonts w:hint="eastAsia" w:ascii="宋体" w:hAnsi="宋体" w:eastAsia="宋体" w:cs="宋体"/>
                <w:color w:val="auto"/>
                <w:sz w:val="21"/>
                <w:szCs w:val="21"/>
                <w:highlight w:val="none"/>
              </w:rPr>
              <w:t>其他要求</w:t>
            </w:r>
          </w:p>
        </w:tc>
        <w:tc>
          <w:tcPr>
            <w:tcW w:w="7076" w:type="dxa"/>
            <w:gridSpan w:val="6"/>
            <w:shd w:val="clear" w:color="auto" w:fill="auto"/>
            <w:noWrap w:val="0"/>
            <w:vAlign w:val="top"/>
          </w:tcPr>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保证向采购人提供的货物是全新、完整、未使用过的。</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新宋体" w:hAnsi="新宋体" w:eastAsia="新宋体" w:cs="新宋体"/>
                <w:b w:val="0"/>
                <w:bCs w:val="0"/>
                <w:color w:val="000000"/>
                <w:sz w:val="20"/>
                <w:szCs w:val="20"/>
                <w:highlight w:val="yellow"/>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如国家对</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产品实行注册证登记管理制度的，则</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标人应在响应文件中提供</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标产品的注册证复印件等证明文件，并提供相关的经营许可证复印件。</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pStyle w:val="2"/>
        <w:spacing w:line="400" w:lineRule="exact"/>
        <w:rPr>
          <w:rFonts w:hint="eastAsia" w:ascii="方正小标宋简体" w:eastAsia="方正小标宋简体"/>
        </w:rPr>
      </w:pPr>
    </w:p>
    <w:p>
      <w:pPr>
        <w:pStyle w:val="2"/>
        <w:spacing w:line="400" w:lineRule="exact"/>
        <w:rPr>
          <w:rFonts w:hint="eastAsia" w:ascii="方正小标宋简体" w:eastAsia="方正小标宋简体"/>
        </w:rPr>
      </w:pPr>
    </w:p>
    <w:p>
      <w:pPr>
        <w:pStyle w:val="2"/>
        <w:spacing w:line="400" w:lineRule="exact"/>
        <w:rPr>
          <w:rFonts w:hint="eastAsia" w:ascii="方正小标宋简体" w:eastAsia="方正小标宋简体"/>
        </w:rPr>
      </w:pPr>
    </w:p>
    <w:p>
      <w:pPr>
        <w:pStyle w:val="2"/>
        <w:spacing w:line="400" w:lineRule="exact"/>
        <w:rPr>
          <w:rFonts w:ascii="方正小标宋简体" w:eastAsia="方正小标宋简体"/>
        </w:rPr>
      </w:pPr>
      <w:r>
        <w:rPr>
          <w:rFonts w:hint="eastAsia" w:ascii="方正小标宋简体" w:eastAsia="方正小标宋简体"/>
        </w:rPr>
        <w:t>第三章  供应商须知</w:t>
      </w:r>
      <w:bookmarkEnd w:id="38"/>
      <w:bookmarkEnd w:id="39"/>
      <w:bookmarkEnd w:id="40"/>
    </w:p>
    <w:p>
      <w:pPr>
        <w:jc w:val="center"/>
      </w:pPr>
      <w:bookmarkStart w:id="41" w:name="_Toc350325671"/>
      <w:bookmarkStart w:id="42" w:name="_Toc354479499"/>
      <w:bookmarkStart w:id="43" w:name="_Toc357157408"/>
      <w:bookmarkStart w:id="44" w:name="_Toc358477281"/>
      <w:r>
        <w:rPr>
          <w:rFonts w:ascii="仿宋_GB2312" w:hAnsi="宋体" w:eastAsia="仿宋_GB2312"/>
          <w:b/>
          <w:sz w:val="32"/>
          <w:szCs w:val="32"/>
        </w:rPr>
        <w:br w:type="page"/>
      </w:r>
    </w:p>
    <w:p>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7"/>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7"/>
                <w:rFonts w:hint="eastAsia" w:ascii="宋体" w:hAnsi="宋体" w:cs="宋体"/>
                <w:color w:val="auto"/>
                <w:kern w:val="0"/>
                <w:szCs w:val="21"/>
                <w:u w:val="none"/>
              </w:rPr>
              <w:t>项目名称：</w:t>
            </w:r>
            <w:r>
              <w:rPr>
                <w:rFonts w:hint="eastAsia"/>
                <w:lang w:eastAsia="zh-CN"/>
              </w:rPr>
              <w:t>钦州市疾病预防控制中心重点传染病试剂耗材采购项目</w:t>
            </w:r>
          </w:p>
          <w:p>
            <w:pPr>
              <w:widowControl/>
              <w:spacing w:line="440" w:lineRule="exact"/>
              <w:rPr>
                <w:rFonts w:hint="eastAsia" w:ascii="宋体" w:hAnsi="宋体" w:eastAsia="宋体"/>
                <w:szCs w:val="21"/>
                <w:lang w:eastAsia="zh-CN"/>
              </w:rPr>
            </w:pPr>
            <w:r>
              <w:rPr>
                <w:rStyle w:val="47"/>
                <w:rFonts w:hint="eastAsia" w:ascii="宋体" w:hAnsi="宋体"/>
                <w:color w:val="auto"/>
                <w:szCs w:val="21"/>
                <w:u w:val="none"/>
              </w:rPr>
              <w:t>项目编号：</w:t>
            </w:r>
            <w:r>
              <w:rPr>
                <w:rFonts w:ascii="宋体" w:hAnsi="宋体" w:cs="宋体"/>
                <w:kern w:val="0"/>
                <w:szCs w:val="21"/>
              </w:rPr>
              <w:fldChar w:fldCharType="end"/>
            </w:r>
            <w:r>
              <w:rPr>
                <w:rFonts w:hint="eastAsia"/>
                <w:lang w:eastAsia="zh-CN"/>
              </w:rPr>
              <w:t>QZZC2026-J1-990054-QZSZ</w:t>
            </w:r>
          </w:p>
        </w:tc>
      </w:tr>
      <w:tr>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00" w:lineRule="exact"/>
              <w:ind w:firstLine="420"/>
              <w:rPr>
                <w:rFonts w:hint="eastAsia" w:ascii="Times New Roman" w:hAnsi="Times New Roman"/>
                <w:u w:val="none"/>
              </w:rPr>
            </w:pPr>
            <w:r>
              <w:rPr>
                <w:rFonts w:hint="eastAsia" w:ascii="Times New Roman" w:hAnsi="Times New Roman"/>
              </w:rPr>
              <w:fldChar w:fldCharType="begin"/>
            </w:r>
            <w:r>
              <w:rPr>
                <w:rFonts w:hint="eastAsia" w:ascii="Times New Roman" w:hAnsi="Times New Roman"/>
              </w:rPr>
              <w:instrText xml:space="preserve"> HYPERLINK  \l "_一、总_则" </w:instrText>
            </w:r>
            <w:r>
              <w:rPr>
                <w:rFonts w:hint="eastAsia" w:ascii="Times New Roman" w:hAnsi="Times New Roman"/>
              </w:rPr>
              <w:fldChar w:fldCharType="separate"/>
            </w:r>
            <w:r>
              <w:rPr>
                <w:rFonts w:hint="eastAsia" w:ascii="Times New Roman" w:hAnsi="Times New Roman"/>
                <w:u w:val="none"/>
              </w:rPr>
              <w:t>供应商资格：</w:t>
            </w:r>
          </w:p>
          <w:p>
            <w:pPr>
              <w:spacing w:line="400" w:lineRule="exact"/>
              <w:ind w:firstLine="420"/>
              <w:rPr>
                <w:b/>
                <w:highlight w:val="none"/>
              </w:rPr>
            </w:pPr>
            <w:r>
              <w:rPr>
                <w:rFonts w:hint="eastAsia" w:ascii="Times New Roman" w:hAnsi="Times New Roman"/>
              </w:rPr>
              <w:fldChar w:fldCharType="end"/>
            </w:r>
            <w:r>
              <w:rPr>
                <w:rFonts w:hint="eastAsia"/>
                <w:highlight w:val="none"/>
              </w:rPr>
              <w:t>1.满足《中华人民共和国政府采购法》第二十二条规定</w:t>
            </w:r>
          </w:p>
          <w:p>
            <w:pPr>
              <w:spacing w:line="400" w:lineRule="exact"/>
              <w:ind w:firstLine="420"/>
              <w:rPr>
                <w:highlight w:val="none"/>
              </w:rPr>
            </w:pPr>
            <w:r>
              <w:rPr>
                <w:rFonts w:hint="eastAsia"/>
                <w:highlight w:val="none"/>
              </w:rPr>
              <w:t>2.落实政府采购政策需满足的资格要求：</w:t>
            </w:r>
            <w:r>
              <w:rPr>
                <w:rFonts w:hint="eastAsia"/>
                <w:highlight w:val="none"/>
                <w:lang w:val="en-US" w:eastAsia="zh-CN"/>
              </w:rPr>
              <w:t>本项目属于</w:t>
            </w:r>
            <w:r>
              <w:rPr>
                <w:rFonts w:hint="eastAsia" w:ascii="宋体" w:hAnsi="宋体" w:eastAsia="宋体" w:cs="宋体"/>
                <w:b w:val="0"/>
                <w:bCs w:val="0"/>
                <w:color w:val="000000"/>
                <w:sz w:val="20"/>
                <w:szCs w:val="20"/>
              </w:rPr>
              <w:t>专门面向中小企业采购的项目，货物制造商应为中小微企业或监狱企业或残疾人福利性单位。</w:t>
            </w:r>
            <w:r>
              <w:rPr>
                <w:rFonts w:hint="eastAsia"/>
                <w:highlight w:val="none"/>
              </w:rPr>
              <w:t> </w:t>
            </w:r>
          </w:p>
          <w:p>
            <w:pPr>
              <w:spacing w:line="400" w:lineRule="exact"/>
              <w:ind w:firstLine="435"/>
              <w:rPr>
                <w:rFonts w:hint="eastAsia" w:ascii="Times New Roman" w:hAnsi="Times New Roman" w:eastAsia="宋体"/>
                <w:lang w:eastAsia="zh-CN"/>
              </w:rPr>
            </w:pPr>
            <w:r>
              <w:rPr>
                <w:rFonts w:hint="eastAsia"/>
                <w:highlight w:val="none"/>
              </w:rPr>
              <w:t>3.本项目的特定资格要求：供应商须具备有效的医疗器械经营许可证（或医疗器械生产许可证）</w:t>
            </w:r>
            <w:r>
              <w:rPr>
                <w:rFonts w:hint="eastAsia"/>
                <w:highlight w:val="none"/>
                <w:lang w:eastAsia="zh-CN"/>
              </w:rPr>
              <w:t>，</w:t>
            </w:r>
            <w:r>
              <w:rPr>
                <w:rFonts w:hint="eastAsia"/>
                <w:highlight w:val="none"/>
                <w:lang w:val="en-US" w:eastAsia="zh-CN"/>
              </w:rPr>
              <w:t>如</w:t>
            </w:r>
            <w:r>
              <w:rPr>
                <w:rFonts w:hint="eastAsia"/>
                <w:highlight w:val="none"/>
              </w:rPr>
              <w:t>供应商符合《医疗器械监督管理条例》（国务院令第 739 号）第四十三条规定的，</w:t>
            </w:r>
            <w:r>
              <w:rPr>
                <w:rFonts w:hint="eastAsia"/>
                <w:highlight w:val="none"/>
                <w:lang w:val="en-US" w:eastAsia="zh-CN"/>
              </w:rPr>
              <w:t>仅需提供</w:t>
            </w:r>
            <w:r>
              <w:rPr>
                <w:rFonts w:hint="eastAsia"/>
                <w:highlight w:val="none"/>
              </w:rPr>
              <w:t>与采购标的对应的医疗器械注册证。</w:t>
            </w:r>
          </w:p>
        </w:tc>
      </w:tr>
      <w:tr>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rPr>
            </w:pPr>
            <w:r>
              <w:fldChar w:fldCharType="begin"/>
            </w:r>
            <w:r>
              <w:instrText xml:space="preserve"> HYPERLINK \l "_（五）报价" </w:instrText>
            </w:r>
            <w:r>
              <w:fldChar w:fldCharType="separate"/>
            </w:r>
            <w:r>
              <w:rPr>
                <w:rStyle w:val="47"/>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7"/>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7"/>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pPr>
              <w:widowControl/>
              <w:spacing w:line="440" w:lineRule="exact"/>
            </w:pPr>
            <w:r>
              <w:rPr>
                <w:rStyle w:val="47"/>
                <w:rFonts w:hint="eastAsia"/>
                <w:b/>
                <w:color w:val="auto"/>
                <w:szCs w:val="21"/>
                <w:u w:val="none"/>
              </w:rPr>
              <w:t>注意事项：</w:t>
            </w:r>
            <w:r>
              <w:rPr>
                <w:rStyle w:val="47"/>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7"/>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7"/>
                <w:color w:val="auto"/>
                <w:u w:val="none"/>
              </w:rPr>
              <w:t>评审及谈判：</w:t>
            </w:r>
          </w:p>
          <w:p>
            <w:pPr>
              <w:spacing w:line="440" w:lineRule="exact"/>
            </w:pPr>
            <w:r>
              <w:rPr>
                <w:rStyle w:val="47"/>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pPr>
        <w:pStyle w:val="3"/>
        <w:jc w:val="center"/>
      </w:pPr>
      <w:bookmarkStart w:id="45" w:name="_Toc420505403"/>
      <w:r>
        <w:br w:type="page"/>
      </w:r>
    </w:p>
    <w:p>
      <w:pPr>
        <w:jc w:val="center"/>
        <w:rPr>
          <w:rFonts w:ascii="黑体" w:hAnsi="黑体" w:eastAsia="黑体"/>
          <w:b/>
          <w:bCs/>
          <w:sz w:val="32"/>
          <w:szCs w:val="32"/>
        </w:rPr>
      </w:pPr>
      <w:r>
        <w:rPr>
          <w:rFonts w:hint="eastAsia" w:ascii="黑体" w:hAnsi="黑体" w:eastAsia="黑体"/>
          <w:b/>
          <w:bCs/>
          <w:sz w:val="32"/>
          <w:szCs w:val="32"/>
        </w:rPr>
        <w:t>二、供应商须知</w:t>
      </w:r>
      <w:bookmarkEnd w:id="45"/>
    </w:p>
    <w:p>
      <w:pPr>
        <w:pStyle w:val="3"/>
        <w:spacing w:line="420" w:lineRule="exact"/>
      </w:pPr>
      <w:bookmarkStart w:id="46" w:name="_一、总_则"/>
      <w:bookmarkEnd w:id="46"/>
      <w:r>
        <w:rPr>
          <w:rFonts w:hint="eastAsia"/>
        </w:rPr>
        <w:t>一、总　则</w:t>
      </w:r>
    </w:p>
    <w:p>
      <w:pPr>
        <w:spacing w:line="420" w:lineRule="exact"/>
        <w:ind w:firstLine="210" w:firstLineChars="100"/>
        <w:rPr>
          <w:rFonts w:ascii="宋体" w:hAnsi="宋体"/>
          <w:szCs w:val="21"/>
        </w:rPr>
      </w:pPr>
      <w:r>
        <w:rPr>
          <w:rFonts w:hint="eastAsia" w:ascii="宋体" w:hAnsi="宋体"/>
          <w:szCs w:val="21"/>
        </w:rPr>
        <w:t>（一）适用范围</w:t>
      </w:r>
    </w:p>
    <w:p>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lang w:eastAsia="zh-CN"/>
        </w:rPr>
        <w:t>钦州市疾病预防控制中心重点传染病试剂耗材采购项目</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QZZC2026-J1-990054-QZSZ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ascii="宋体" w:hAnsi="宋体"/>
          <w:szCs w:val="21"/>
        </w:rPr>
      </w:pPr>
      <w:r>
        <w:rPr>
          <w:rFonts w:hint="eastAsia" w:ascii="宋体" w:hAnsi="宋体"/>
          <w:szCs w:val="21"/>
        </w:rPr>
        <w:t>（二）定义</w:t>
      </w:r>
    </w:p>
    <w:p>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w:t>
      </w:r>
      <w:r>
        <w:rPr>
          <w:rFonts w:hint="eastAsia" w:ascii="宋体" w:hAnsi="宋体"/>
          <w:szCs w:val="21"/>
          <w:lang w:eastAsia="zh-CN"/>
        </w:rPr>
        <w:t>，</w:t>
      </w:r>
      <w:r>
        <w:rPr>
          <w:rFonts w:hint="eastAsia" w:ascii="宋体" w:hAnsi="宋体"/>
          <w:szCs w:val="21"/>
        </w:rPr>
        <w:t>即成为“成交供应商”。</w:t>
      </w:r>
    </w:p>
    <w:p>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供应商的资格要求详见“供应商须知前附表”。</w:t>
      </w:r>
    </w:p>
    <w:p>
      <w:pPr>
        <w:spacing w:line="420" w:lineRule="exact"/>
        <w:ind w:firstLine="211" w:firstLineChars="100"/>
        <w:rPr>
          <w:b/>
          <w:bCs/>
        </w:rPr>
      </w:pPr>
      <w:r>
        <w:rPr>
          <w:rFonts w:hint="eastAsia"/>
          <w:b/>
          <w:bCs/>
        </w:rPr>
        <w:t>（四）采购方式</w:t>
      </w:r>
    </w:p>
    <w:p>
      <w:pPr>
        <w:snapToGrid w:val="0"/>
        <w:spacing w:line="420" w:lineRule="exact"/>
        <w:ind w:firstLine="420" w:firstLineChars="200"/>
        <w:rPr>
          <w:rFonts w:ascii="宋体" w:hAnsi="宋体"/>
          <w:szCs w:val="21"/>
        </w:rPr>
      </w:pPr>
      <w:r>
        <w:rPr>
          <w:rFonts w:hint="eastAsia" w:ascii="宋体" w:hAnsi="宋体"/>
          <w:szCs w:val="21"/>
        </w:rPr>
        <w:t>竞争性谈判</w:t>
      </w:r>
    </w:p>
    <w:p>
      <w:pPr>
        <w:spacing w:line="420" w:lineRule="exact"/>
        <w:ind w:firstLine="211" w:firstLineChars="100"/>
        <w:rPr>
          <w:b/>
          <w:bCs/>
        </w:rPr>
      </w:pPr>
      <w:bookmarkStart w:id="47" w:name="_Toc352700410"/>
      <w:bookmarkStart w:id="48" w:name="_Toc254970671"/>
      <w:bookmarkStart w:id="49" w:name="_Toc353785281"/>
      <w:bookmarkStart w:id="50" w:name="_Toc254970530"/>
      <w:r>
        <w:rPr>
          <w:rFonts w:hint="eastAsia"/>
          <w:b/>
          <w:bCs/>
        </w:rPr>
        <w:t>（五）代理委托</w:t>
      </w:r>
      <w:bookmarkEnd w:id="47"/>
      <w:bookmarkEnd w:id="48"/>
      <w:bookmarkEnd w:id="49"/>
      <w:bookmarkEnd w:id="50"/>
    </w:p>
    <w:p>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51" w:name="_Toc254970531"/>
      <w:bookmarkStart w:id="52" w:name="_Toc353785282"/>
      <w:bookmarkStart w:id="53" w:name="_Toc352700411"/>
      <w:bookmarkStart w:id="54" w:name="_Toc254970672"/>
      <w:r>
        <w:rPr>
          <w:rFonts w:hint="eastAsia"/>
          <w:b/>
          <w:bCs/>
        </w:rPr>
        <w:t>（</w:t>
      </w:r>
      <w:r>
        <w:rPr>
          <w:rFonts w:hint="eastAsia"/>
          <w:b/>
          <w:bCs/>
          <w:lang w:val="en-US" w:eastAsia="zh-CN"/>
        </w:rPr>
        <w:t>六</w:t>
      </w:r>
      <w:r>
        <w:rPr>
          <w:rFonts w:hint="eastAsia"/>
          <w:b/>
          <w:bCs/>
        </w:rPr>
        <w:t>）谈判费用</w:t>
      </w:r>
      <w:bookmarkEnd w:id="51"/>
      <w:bookmarkEnd w:id="52"/>
      <w:bookmarkEnd w:id="53"/>
      <w:bookmarkEnd w:id="54"/>
    </w:p>
    <w:p>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55" w:name="_Toc352700413"/>
      <w:bookmarkStart w:id="56" w:name="_Toc353785283"/>
      <w:r>
        <w:rPr>
          <w:rFonts w:hint="eastAsia"/>
          <w:b/>
          <w:bCs/>
        </w:rPr>
        <w:t>（</w:t>
      </w:r>
      <w:r>
        <w:rPr>
          <w:rFonts w:hint="eastAsia"/>
          <w:b/>
          <w:bCs/>
          <w:lang w:val="en-US" w:eastAsia="zh-CN"/>
        </w:rPr>
        <w:t>七</w:t>
      </w:r>
      <w:r>
        <w:rPr>
          <w:rFonts w:hint="eastAsia"/>
          <w:b/>
          <w:bCs/>
        </w:rPr>
        <w:t>）转包与分包</w:t>
      </w:r>
      <w:bookmarkEnd w:id="55"/>
      <w:bookmarkEnd w:id="56"/>
    </w:p>
    <w:p>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57" w:name="_Toc254970673"/>
      <w:bookmarkStart w:id="58" w:name="_Toc352700414"/>
      <w:bookmarkStart w:id="59" w:name="_Toc254970532"/>
      <w:bookmarkStart w:id="60" w:name="_Toc353785284"/>
      <w:r>
        <w:rPr>
          <w:rFonts w:hint="eastAsia"/>
          <w:b/>
          <w:bCs/>
        </w:rPr>
        <w:t>（</w:t>
      </w:r>
      <w:r>
        <w:rPr>
          <w:rFonts w:hint="eastAsia"/>
          <w:b/>
          <w:bCs/>
          <w:lang w:val="en-US" w:eastAsia="zh-CN"/>
        </w:rPr>
        <w:t>八</w:t>
      </w:r>
      <w:r>
        <w:rPr>
          <w:rFonts w:hint="eastAsia"/>
          <w:b/>
          <w:bCs/>
        </w:rPr>
        <w:t>）特别说明</w:t>
      </w:r>
      <w:bookmarkEnd w:id="57"/>
      <w:bookmarkEnd w:id="58"/>
      <w:bookmarkEnd w:id="59"/>
      <w:bookmarkEnd w:id="60"/>
    </w:p>
    <w:p>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61" w:name="_Toc254970533"/>
      <w:bookmarkStart w:id="62" w:name="_Toc353785285"/>
      <w:bookmarkStart w:id="63" w:name="_Toc254970674"/>
      <w:bookmarkStart w:id="64" w:name="_Toc352700415"/>
      <w:r>
        <w:rPr>
          <w:rFonts w:hint="eastAsia"/>
          <w:b/>
          <w:bCs/>
        </w:rPr>
        <w:t>（</w:t>
      </w:r>
      <w:r>
        <w:rPr>
          <w:rFonts w:hint="eastAsia"/>
          <w:b/>
          <w:bCs/>
          <w:lang w:val="en-US" w:eastAsia="zh-CN"/>
        </w:rPr>
        <w:t>九</w:t>
      </w:r>
      <w:r>
        <w:rPr>
          <w:rFonts w:hint="eastAsia"/>
          <w:b/>
          <w:bCs/>
        </w:rPr>
        <w:t>）询问、质疑和投诉</w:t>
      </w:r>
      <w:bookmarkEnd w:id="61"/>
      <w:bookmarkEnd w:id="62"/>
      <w:bookmarkEnd w:id="63"/>
      <w:bookmarkEnd w:id="64"/>
    </w:p>
    <w:p>
      <w:pPr>
        <w:pStyle w:val="21"/>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w:t>
      </w:r>
      <w:r>
        <w:rPr>
          <w:rFonts w:hint="eastAsia" w:ascii="Arial" w:hAnsi="Arial" w:cs="Arial"/>
          <w:kern w:val="0"/>
        </w:rPr>
        <w:t>或本中心</w:t>
      </w:r>
      <w:r>
        <w:rPr>
          <w:rFonts w:ascii="Arial" w:hAnsi="Arial" w:cs="Arial"/>
          <w:kern w:val="0"/>
        </w:rPr>
        <w:t>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pPr>
        <w:pStyle w:val="21"/>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w:t>
      </w:r>
      <w:r>
        <w:rPr>
          <w:rFonts w:hint="eastAsia" w:cs="Arial"/>
        </w:rPr>
        <w:t>（广西政采云平台）</w:t>
      </w:r>
      <w:r>
        <w:rPr>
          <w:rFonts w:cs="Arial"/>
        </w:rPr>
        <w:t>向采购人、</w:t>
      </w:r>
      <w:r>
        <w:rPr>
          <w:rFonts w:hint="eastAsia" w:cs="Arial"/>
        </w:rPr>
        <w:t>本中心</w:t>
      </w:r>
      <w:r>
        <w:rPr>
          <w:rFonts w:cs="Arial"/>
        </w:rPr>
        <w:t>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pPr>
        <w:pStyle w:val="21"/>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pPr>
        <w:pStyle w:val="21"/>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供应商对采购人、本中心质疑答复不满意或者采购人、本中心未在规定时间内作出答复的，可以在答复期满后十五个工作日内向同级采购监管部门投诉。</w:t>
      </w:r>
    </w:p>
    <w:p>
      <w:pPr>
        <w:pStyle w:val="21"/>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pStyle w:val="21"/>
        <w:snapToGrid w:val="0"/>
        <w:spacing w:line="420" w:lineRule="exact"/>
        <w:ind w:firstLine="420"/>
        <w:rPr>
          <w:rFonts w:hAnsi="宋体"/>
          <w:bCs/>
        </w:rPr>
      </w:pPr>
      <w:r>
        <w:rPr>
          <w:rFonts w:hint="eastAsia" w:hAnsi="宋体"/>
          <w:bCs/>
        </w:rPr>
        <w:t>质疑部门联系方式：钦州市政府采购中心    0777-2886002</w:t>
      </w:r>
    </w:p>
    <w:p>
      <w:pPr>
        <w:pStyle w:val="21"/>
        <w:snapToGrid w:val="0"/>
        <w:spacing w:line="420" w:lineRule="exact"/>
        <w:ind w:firstLine="420"/>
        <w:rPr>
          <w:rFonts w:hint="default" w:hAnsi="宋体" w:eastAsia="宋体"/>
          <w:bCs/>
          <w:color w:val="auto"/>
          <w:lang w:val="en-US" w:eastAsia="zh-CN"/>
        </w:rPr>
      </w:pPr>
      <w:r>
        <w:rPr>
          <w:rFonts w:hint="eastAsia" w:hAnsi="宋体"/>
          <w:bCs/>
        </w:rPr>
        <w:t>采购监管部门联系</w:t>
      </w:r>
      <w:r>
        <w:rPr>
          <w:rFonts w:hint="eastAsia" w:hAnsi="宋体"/>
          <w:bCs/>
          <w:color w:val="auto"/>
        </w:rPr>
        <w:t>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pPr>
        <w:pStyle w:val="3"/>
        <w:spacing w:line="420" w:lineRule="exact"/>
      </w:pPr>
      <w:bookmarkStart w:id="65" w:name="_Toc352700416"/>
      <w:bookmarkStart w:id="66" w:name="_Toc353785286"/>
      <w:r>
        <w:rPr>
          <w:rFonts w:hint="eastAsia"/>
        </w:rPr>
        <w:t>二、竞争性谈判采购文件</w:t>
      </w:r>
      <w:bookmarkEnd w:id="65"/>
      <w:bookmarkEnd w:id="66"/>
    </w:p>
    <w:p>
      <w:pPr>
        <w:spacing w:line="420" w:lineRule="exact"/>
        <w:ind w:firstLine="211" w:firstLineChars="100"/>
        <w:rPr>
          <w:b/>
          <w:bCs/>
        </w:rPr>
      </w:pPr>
      <w:bookmarkStart w:id="67" w:name="_Toc352700417"/>
      <w:bookmarkStart w:id="68" w:name="_Toc353785287"/>
      <w:r>
        <w:rPr>
          <w:rFonts w:hint="eastAsia"/>
          <w:b/>
          <w:bCs/>
        </w:rPr>
        <w:t>（一）竞争性谈判采购文件的组成</w:t>
      </w:r>
      <w:bookmarkEnd w:id="67"/>
      <w:bookmarkEnd w:id="68"/>
    </w:p>
    <w:p>
      <w:pPr>
        <w:pStyle w:val="21"/>
        <w:snapToGrid w:val="0"/>
        <w:spacing w:line="420" w:lineRule="exact"/>
        <w:ind w:firstLine="420" w:firstLineChars="200"/>
        <w:rPr>
          <w:rFonts w:hAnsi="宋体"/>
        </w:rPr>
      </w:pPr>
      <w:r>
        <w:rPr>
          <w:rFonts w:hint="eastAsia" w:hAnsi="宋体"/>
        </w:rPr>
        <w:t>第一章 竞争性谈判公告</w:t>
      </w:r>
    </w:p>
    <w:p>
      <w:pPr>
        <w:pStyle w:val="21"/>
        <w:snapToGrid w:val="0"/>
        <w:spacing w:line="420" w:lineRule="exact"/>
        <w:ind w:firstLine="420" w:firstLineChars="200"/>
        <w:rPr>
          <w:rFonts w:hAnsi="宋体"/>
        </w:rPr>
      </w:pPr>
      <w:r>
        <w:rPr>
          <w:rFonts w:hint="eastAsia" w:hAnsi="宋体"/>
        </w:rPr>
        <w:t>第二章 项目需求</w:t>
      </w:r>
    </w:p>
    <w:p>
      <w:pPr>
        <w:pStyle w:val="21"/>
        <w:snapToGrid w:val="0"/>
        <w:spacing w:line="420" w:lineRule="exact"/>
        <w:ind w:firstLine="420" w:firstLineChars="200"/>
        <w:rPr>
          <w:rFonts w:hAnsi="宋体"/>
        </w:rPr>
      </w:pPr>
      <w:r>
        <w:rPr>
          <w:rFonts w:hint="eastAsia" w:hAnsi="宋体"/>
        </w:rPr>
        <w:t>第三章 供应商须知</w:t>
      </w:r>
    </w:p>
    <w:p>
      <w:pPr>
        <w:pStyle w:val="21"/>
        <w:snapToGrid w:val="0"/>
        <w:spacing w:line="420" w:lineRule="exact"/>
        <w:ind w:firstLine="420" w:firstLineChars="200"/>
        <w:rPr>
          <w:rFonts w:hAnsi="宋体"/>
        </w:rPr>
      </w:pPr>
      <w:r>
        <w:rPr>
          <w:rFonts w:hint="eastAsia" w:hAnsi="宋体"/>
        </w:rPr>
        <w:t>第四章 评定标准及推荐原则</w:t>
      </w:r>
    </w:p>
    <w:p>
      <w:pPr>
        <w:pStyle w:val="21"/>
        <w:snapToGrid w:val="0"/>
        <w:spacing w:line="420" w:lineRule="exact"/>
        <w:ind w:firstLine="420" w:firstLineChars="200"/>
        <w:rPr>
          <w:rFonts w:hAnsi="宋体"/>
        </w:rPr>
      </w:pPr>
      <w:r>
        <w:rPr>
          <w:rFonts w:hint="eastAsia" w:hAnsi="宋体"/>
        </w:rPr>
        <w:t>第五章 合同文本</w:t>
      </w:r>
    </w:p>
    <w:p>
      <w:pPr>
        <w:pStyle w:val="21"/>
        <w:snapToGrid w:val="0"/>
        <w:spacing w:line="420" w:lineRule="exact"/>
        <w:ind w:firstLine="420" w:firstLineChars="200"/>
        <w:rPr>
          <w:rFonts w:hAnsi="宋体"/>
        </w:rPr>
      </w:pPr>
      <w:r>
        <w:rPr>
          <w:rFonts w:hint="eastAsia" w:hAnsi="宋体"/>
        </w:rPr>
        <w:t>第六章 响应文件格式</w:t>
      </w:r>
    </w:p>
    <w:p>
      <w:pPr>
        <w:spacing w:line="420" w:lineRule="exact"/>
        <w:ind w:firstLine="211" w:firstLineChars="100"/>
        <w:rPr>
          <w:b/>
          <w:bCs/>
        </w:rPr>
      </w:pPr>
      <w:bookmarkStart w:id="69" w:name="_Toc352700419"/>
      <w:bookmarkStart w:id="70" w:name="_Toc353785289"/>
      <w:r>
        <w:rPr>
          <w:rFonts w:hint="eastAsia"/>
          <w:b/>
          <w:bCs/>
        </w:rPr>
        <w:t>（二）竞争性谈判采购文件的澄清与修改</w:t>
      </w:r>
      <w:bookmarkEnd w:id="69"/>
      <w:bookmarkEnd w:id="70"/>
    </w:p>
    <w:p>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3"/>
        <w:spacing w:line="420" w:lineRule="exact"/>
      </w:pPr>
      <w:r>
        <w:rPr>
          <w:rFonts w:hint="eastAsia"/>
        </w:rPr>
        <w:t>三、响应文件</w:t>
      </w:r>
    </w:p>
    <w:p>
      <w:pPr>
        <w:spacing w:line="420" w:lineRule="exact"/>
        <w:ind w:firstLine="211" w:firstLineChars="100"/>
        <w:rPr>
          <w:rFonts w:hAnsi="宋体"/>
          <w:b/>
          <w:bCs/>
        </w:rPr>
      </w:pPr>
      <w:r>
        <w:rPr>
          <w:rFonts w:hint="eastAsia" w:hAnsi="宋体"/>
          <w:b/>
          <w:bCs/>
        </w:rPr>
        <w:t>（一）供应商的风险</w:t>
      </w:r>
    </w:p>
    <w:p>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ascii="宋体" w:hAnsi="宋体"/>
          <w:b/>
          <w:szCs w:val="21"/>
        </w:rPr>
      </w:pPr>
      <w:bookmarkStart w:id="71"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2"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2"/>
    <w:p>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3"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3"/>
    </w:p>
    <w:p>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tabs>
          <w:tab w:val="left" w:pos="3870"/>
          <w:tab w:val="left" w:pos="4085"/>
        </w:tabs>
        <w:snapToGrid w:val="0"/>
        <w:spacing w:line="420" w:lineRule="exact"/>
        <w:ind w:firstLine="420"/>
        <w:rPr>
          <w:rFonts w:hint="eastAsia" w:ascii="宋体" w:hAnsi="宋体"/>
          <w:szCs w:val="21"/>
        </w:rPr>
      </w:pPr>
      <w:r>
        <w:rPr>
          <w:rFonts w:hint="eastAsia" w:ascii="宋体" w:hAnsi="宋体"/>
          <w:szCs w:val="21"/>
        </w:rPr>
        <w:t>★(4)《中小企业声明函》（属于残疾人福利性单位的提供残疾人福利性单位声明函，属于监狱企业的提供由省级以上监狱管理局、戒毒管理局（含新疆生产建设兵团）出具的属于监狱企业的证明文件）(格式见第六章)</w:t>
      </w:r>
    </w:p>
    <w:p>
      <w:pPr>
        <w:spacing w:line="400" w:lineRule="exact"/>
        <w:ind w:firstLine="435"/>
        <w:rPr>
          <w:rFonts w:hint="eastAsia" w:ascii="宋体" w:hAnsi="宋体"/>
          <w:b w:val="0"/>
          <w:bCs w:val="0"/>
          <w:szCs w:val="21"/>
          <w:highlight w:val="none"/>
        </w:rPr>
      </w:pPr>
      <w:r>
        <w:rPr>
          <w:rFonts w:hint="eastAsia" w:ascii="宋体" w:hAnsi="宋体"/>
          <w:b w:val="0"/>
          <w:bCs w:val="0"/>
          <w:szCs w:val="21"/>
          <w:highlight w:val="none"/>
        </w:rPr>
        <w:t>★(</w:t>
      </w:r>
      <w:r>
        <w:rPr>
          <w:rFonts w:hint="eastAsia" w:ascii="宋体" w:hAnsi="宋体"/>
          <w:b w:val="0"/>
          <w:bCs w:val="0"/>
          <w:szCs w:val="21"/>
          <w:highlight w:val="none"/>
          <w:lang w:val="en-US" w:eastAsia="zh-CN"/>
        </w:rPr>
        <w:t>5</w:t>
      </w:r>
      <w:r>
        <w:rPr>
          <w:rFonts w:hint="eastAsia" w:ascii="宋体" w:hAnsi="宋体"/>
          <w:b w:val="0"/>
          <w:bCs w:val="0"/>
          <w:szCs w:val="21"/>
          <w:highlight w:val="none"/>
        </w:rPr>
        <w:t>)</w:t>
      </w:r>
      <w:r>
        <w:rPr>
          <w:rFonts w:hint="eastAsia"/>
          <w:highlight w:val="none"/>
        </w:rPr>
        <w:t>供应商须具备有效的医疗器械经营许可证（或医疗器械生产许可证）</w:t>
      </w:r>
      <w:r>
        <w:rPr>
          <w:rFonts w:hint="eastAsia"/>
          <w:highlight w:val="none"/>
          <w:lang w:eastAsia="zh-CN"/>
        </w:rPr>
        <w:t>，</w:t>
      </w:r>
      <w:r>
        <w:rPr>
          <w:rFonts w:hint="eastAsia"/>
          <w:highlight w:val="none"/>
          <w:lang w:val="en-US" w:eastAsia="zh-CN"/>
        </w:rPr>
        <w:t>如</w:t>
      </w:r>
      <w:r>
        <w:rPr>
          <w:rFonts w:hint="eastAsia"/>
          <w:highlight w:val="none"/>
        </w:rPr>
        <w:t>供应商符合《医疗器械监督管理条例》（国务院令第 739 号）第四十三条规定的，</w:t>
      </w:r>
      <w:r>
        <w:rPr>
          <w:rFonts w:hint="eastAsia"/>
          <w:highlight w:val="none"/>
          <w:lang w:val="en-US" w:eastAsia="zh-CN"/>
        </w:rPr>
        <w:t>仅需提供</w:t>
      </w:r>
      <w:r>
        <w:rPr>
          <w:rFonts w:hint="eastAsia"/>
          <w:highlight w:val="none"/>
        </w:rPr>
        <w:t>与采购标的对应的医疗器械注册证。</w:t>
      </w:r>
    </w:p>
    <w:p>
      <w:pPr>
        <w:snapToGrid w:val="0"/>
        <w:spacing w:line="420" w:lineRule="exact"/>
        <w:ind w:firstLine="422"/>
        <w:rPr>
          <w:rFonts w:ascii="宋体" w:hAnsi="宋体"/>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ascii="宋体" w:hAnsi="宋体"/>
        </w:rPr>
      </w:pPr>
      <w:bookmarkStart w:id="74"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5" w:name="_Hlk92285954"/>
      <w:r>
        <w:rPr>
          <w:rFonts w:ascii="宋体" w:hAnsi="宋体"/>
        </w:rPr>
        <w:t>(格式见第六章)</w:t>
      </w:r>
      <w:bookmarkEnd w:id="75"/>
    </w:p>
    <w:p>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p>
      <w:pPr>
        <w:snapToGrid w:val="0"/>
        <w:spacing w:line="420" w:lineRule="exact"/>
        <w:ind w:firstLine="422" w:firstLineChars="200"/>
      </w:pPr>
      <w:r>
        <w:rPr>
          <w:rFonts w:hint="eastAsia" w:ascii="宋体" w:hAnsi="宋体"/>
          <w:b/>
          <w:szCs w:val="21"/>
        </w:rPr>
        <w:t>★</w:t>
      </w:r>
      <w:r>
        <w:rPr>
          <w:rFonts w:hint="eastAsia" w:ascii="宋体" w:cs="宋体"/>
          <w:bCs/>
          <w:kern w:val="0"/>
          <w:szCs w:val="21"/>
        </w:rPr>
        <w:t>(7</w:t>
      </w:r>
      <w:r>
        <w:rPr>
          <w:rFonts w:ascii="宋体" w:cs="宋体"/>
          <w:bCs/>
          <w:kern w:val="0"/>
          <w:szCs w:val="21"/>
        </w:rPr>
        <w:t>)</w:t>
      </w:r>
      <w:r>
        <w:rPr>
          <w:rFonts w:hint="eastAsia" w:ascii="宋体" w:hAnsi="宋体"/>
          <w:color w:val="000000"/>
          <w:szCs w:val="21"/>
        </w:rPr>
        <w:t>《项目需求》中要求必须提供的材料（如有，必须提供）</w:t>
      </w:r>
    </w:p>
    <w:bookmarkEnd w:id="74"/>
    <w:p>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ind w:firstLine="421"/>
        <w:rPr>
          <w:rFonts w:hint="eastAsia" w:ascii="宋体" w:hAnsi="宋体"/>
          <w:bCs/>
          <w:szCs w:val="21"/>
        </w:rPr>
      </w:pPr>
      <w:bookmarkStart w:id="76" w:name="_Hlk92265738"/>
      <w:r>
        <w:rPr>
          <w:rFonts w:hint="eastAsia" w:ascii="宋体" w:hAnsi="宋体"/>
          <w:b/>
          <w:szCs w:val="21"/>
        </w:rPr>
        <w:t>★</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1</w:t>
      </w:r>
      <w:r>
        <w:rPr>
          <w:rFonts w:hint="eastAsia" w:ascii="宋体" w:hAnsi="宋体" w:eastAsia="宋体" w:cs="Times New Roman"/>
          <w:bCs/>
          <w:szCs w:val="21"/>
          <w:lang w:eastAsia="zh-CN"/>
        </w:rPr>
        <w:t>）</w:t>
      </w:r>
      <w:r>
        <w:rPr>
          <w:rFonts w:hint="eastAsia" w:ascii="宋体" w:hAnsi="宋体" w:eastAsia="宋体" w:cs="Times New Roman"/>
          <w:bCs/>
          <w:szCs w:val="21"/>
        </w:rPr>
        <w:t>报</w:t>
      </w:r>
      <w:r>
        <w:rPr>
          <w:rFonts w:hint="eastAsia" w:ascii="宋体" w:hAnsi="宋体"/>
          <w:bCs/>
          <w:szCs w:val="21"/>
        </w:rPr>
        <w:t>价明细表</w:t>
      </w:r>
      <w:bookmarkEnd w:id="76"/>
      <w:r>
        <w:rPr>
          <w:rFonts w:hint="eastAsia" w:ascii="宋体" w:hAnsi="宋体"/>
          <w:bCs/>
          <w:szCs w:val="21"/>
        </w:rPr>
        <w:t>(格式见第六章)。</w:t>
      </w:r>
    </w:p>
    <w:p>
      <w:pPr>
        <w:snapToGrid w:val="0"/>
        <w:spacing w:line="420" w:lineRule="exact"/>
        <w:ind w:firstLine="421"/>
        <w:rPr>
          <w:rFonts w:hint="eastAsia" w:ascii="宋体" w:hAnsi="宋体"/>
          <w:bCs/>
          <w:szCs w:val="21"/>
          <w:highlight w:val="none"/>
        </w:rPr>
      </w:pPr>
      <w:r>
        <w:rPr>
          <w:rFonts w:hint="eastAsia" w:ascii="宋体" w:hAnsi="宋体" w:eastAsia="宋体" w:cs="宋体"/>
          <w:b w:val="0"/>
          <w:bCs w:val="0"/>
          <w:color w:val="000000"/>
          <w:sz w:val="20"/>
          <w:szCs w:val="20"/>
          <w:highlight w:val="none"/>
          <w:lang w:eastAsia="zh-CN"/>
        </w:rPr>
        <w:t>（</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lang w:eastAsia="zh-CN"/>
        </w:rPr>
        <w:t>）</w:t>
      </w:r>
      <w:r>
        <w:rPr>
          <w:rFonts w:hint="eastAsia" w:ascii="宋体" w:hAnsi="宋体" w:eastAsia="宋体" w:cs="宋体"/>
          <w:b w:val="0"/>
          <w:bCs w:val="0"/>
          <w:color w:val="000000"/>
          <w:sz w:val="20"/>
          <w:szCs w:val="20"/>
          <w:highlight w:val="none"/>
        </w:rPr>
        <w:t>《关于符合本国产品标准的声明函》或者财政部会同有关部门规定的有关证明文件； （供应商根据自身响应情况出具）</w:t>
      </w:r>
    </w:p>
    <w:bookmarkEnd w:id="71"/>
    <w:p>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ascii="宋体" w:hAnsi="宋体"/>
          <w:b/>
          <w:bCs/>
          <w:szCs w:val="21"/>
        </w:rPr>
      </w:pPr>
      <w:bookmarkStart w:id="77" w:name="_Hlk90906323"/>
      <w:r>
        <w:rPr>
          <w:rFonts w:hint="eastAsia" w:ascii="宋体" w:hAnsi="宋体"/>
          <w:b/>
          <w:szCs w:val="21"/>
        </w:rPr>
        <w:t>（三）</w:t>
      </w:r>
      <w:bookmarkStart w:id="78" w:name="_Toc254970678"/>
      <w:bookmarkStart w:id="79" w:name="_Toc353785292"/>
      <w:bookmarkStart w:id="80" w:name="_Toc254970537"/>
      <w:bookmarkStart w:id="81" w:name="_Toc352700422"/>
      <w:r>
        <w:rPr>
          <w:rFonts w:hint="eastAsia" w:ascii="宋体" w:hAnsi="宋体"/>
          <w:b/>
          <w:bCs/>
          <w:szCs w:val="21"/>
        </w:rPr>
        <w:t>响应文件的编制、签署及加密</w:t>
      </w:r>
    </w:p>
    <w:p>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ascii="宋体" w:hAnsi="宋体"/>
          <w:b/>
          <w:bCs/>
          <w:szCs w:val="21"/>
        </w:rPr>
      </w:pPr>
      <w:r>
        <w:rPr>
          <w:rFonts w:ascii="宋体" w:hAnsi="宋体"/>
          <w:szCs w:val="21"/>
        </w:rPr>
        <w:tab/>
      </w:r>
      <w:r>
        <w:rPr>
          <w:rFonts w:ascii="宋体" w:hAnsi="宋体"/>
          <w:b/>
          <w:bCs/>
          <w:szCs w:val="21"/>
        </w:rPr>
        <w:t>4.</w:t>
      </w:r>
      <w:bookmarkStart w:id="82"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2"/>
    </w:p>
    <w:p>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7"/>
    <w:p>
      <w:pPr>
        <w:spacing w:line="420" w:lineRule="exact"/>
        <w:ind w:firstLine="211" w:firstLineChars="100"/>
      </w:pPr>
      <w:r>
        <w:rPr>
          <w:rFonts w:hint="eastAsia"/>
          <w:b/>
          <w:bCs/>
        </w:rPr>
        <w:t>（四）响应文件的语言及计量</w:t>
      </w:r>
      <w:bookmarkEnd w:id="78"/>
      <w:bookmarkEnd w:id="79"/>
      <w:bookmarkEnd w:id="80"/>
      <w:bookmarkEnd w:id="81"/>
    </w:p>
    <w:p>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3"/>
        <w:spacing w:before="0" w:after="0" w:line="440" w:lineRule="exact"/>
        <w:ind w:firstLine="211" w:firstLineChars="100"/>
        <w:rPr>
          <w:rFonts w:ascii="宋体" w:hAnsi="宋体" w:eastAsia="宋体"/>
          <w:sz w:val="21"/>
          <w:szCs w:val="21"/>
        </w:rPr>
      </w:pPr>
      <w:bookmarkStart w:id="83" w:name="_（五）报价"/>
      <w:bookmarkEnd w:id="83"/>
      <w:bookmarkStart w:id="84" w:name="_Toc254970679"/>
      <w:bookmarkStart w:id="85" w:name="_Toc352700423"/>
      <w:bookmarkStart w:id="86" w:name="_Toc353785293"/>
      <w:bookmarkStart w:id="87" w:name="_Toc254970538"/>
      <w:r>
        <w:rPr>
          <w:rFonts w:hint="eastAsia" w:ascii="宋体" w:hAnsi="宋体" w:eastAsia="宋体"/>
          <w:sz w:val="21"/>
          <w:szCs w:val="21"/>
        </w:rPr>
        <w:t>（五）报价</w:t>
      </w:r>
      <w:bookmarkEnd w:id="84"/>
      <w:bookmarkEnd w:id="85"/>
      <w:bookmarkEnd w:id="86"/>
      <w:bookmarkEnd w:id="87"/>
    </w:p>
    <w:p>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pPr>
        <w:spacing w:line="420" w:lineRule="exact"/>
        <w:ind w:firstLine="211" w:firstLineChars="100"/>
        <w:rPr>
          <w:b/>
          <w:bCs/>
        </w:rPr>
      </w:pPr>
      <w:bookmarkStart w:id="88" w:name="_（六）谈判保证金"/>
      <w:bookmarkEnd w:id="88"/>
      <w:r>
        <w:rPr>
          <w:rFonts w:hint="eastAsia"/>
          <w:b/>
          <w:bCs/>
        </w:rPr>
        <w:t>（六）响应文件的上传、提交、修改、撤回</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3"/>
        <w:spacing w:line="420" w:lineRule="exact"/>
      </w:pPr>
      <w:bookmarkStart w:id="89" w:name="_四、响应文件开启"/>
      <w:bookmarkEnd w:id="89"/>
      <w:r>
        <w:rPr>
          <w:rFonts w:hint="eastAsia"/>
        </w:rPr>
        <w:t>四、</w:t>
      </w:r>
      <w:bookmarkStart w:id="90" w:name="_Toc353785300"/>
      <w:bookmarkStart w:id="91" w:name="_Toc352700430"/>
      <w:r>
        <w:rPr>
          <w:rFonts w:hint="eastAsia"/>
        </w:rPr>
        <w:t>响应文件开启</w:t>
      </w:r>
    </w:p>
    <w:bookmarkEnd w:id="90"/>
    <w:bookmarkEnd w:id="91"/>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2" w:name="_Hlk90300735"/>
      <w:r>
        <w:rPr>
          <w:rFonts w:hint="eastAsia"/>
        </w:rPr>
        <w:t>广西政采云远程开标大厅</w:t>
      </w:r>
      <w:bookmarkEnd w:id="92"/>
      <w:r>
        <w:rPr>
          <w:rFonts w:hint="eastAsia"/>
        </w:rPr>
        <w:t>进行响应文件开启，供应商法定代表人或委托代理人须按时登录</w:t>
      </w:r>
      <w:bookmarkStart w:id="93" w:name="_Hlk90300780"/>
      <w:r>
        <w:rPr>
          <w:rFonts w:hint="eastAsia"/>
        </w:rPr>
        <w:t>广西政采云远程开标大厅</w:t>
      </w:r>
      <w:bookmarkEnd w:id="93"/>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4" w:name="_Toc352700431"/>
      <w:bookmarkStart w:id="95" w:name="_Toc353785301"/>
    </w:p>
    <w:p>
      <w:pPr>
        <w:spacing w:line="420" w:lineRule="exact"/>
        <w:ind w:firstLine="210" w:firstLineChars="100"/>
        <w:rPr>
          <w:rFonts w:ascii="方正小标宋_GBK" w:hAnsi="Arial" w:eastAsia="方正小标宋_GBK"/>
          <w:bCs/>
          <w:sz w:val="24"/>
        </w:rPr>
      </w:pPr>
      <w:r>
        <w:rPr>
          <w:rFonts w:hint="eastAsia"/>
        </w:rPr>
        <w:t>（二）</w:t>
      </w:r>
      <w:bookmarkEnd w:id="94"/>
      <w:bookmarkEnd w:id="95"/>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3"/>
        <w:spacing w:line="420" w:lineRule="exact"/>
        <w:rPr>
          <w:rFonts w:ascii="宋体" w:hAnsi="宋体"/>
          <w:szCs w:val="21"/>
        </w:rPr>
      </w:pPr>
      <w:bookmarkStart w:id="96" w:name="_五、评审与谈判"/>
      <w:bookmarkEnd w:id="96"/>
      <w:bookmarkStart w:id="97" w:name="_Toc254970686"/>
      <w:bookmarkStart w:id="98" w:name="_Toc352700432"/>
      <w:bookmarkStart w:id="99" w:name="_Toc353785302"/>
      <w:bookmarkStart w:id="100" w:name="_Toc254970545"/>
      <w:r>
        <w:rPr>
          <w:rFonts w:hint="eastAsia"/>
        </w:rPr>
        <w:t>五、</w:t>
      </w:r>
      <w:bookmarkEnd w:id="97"/>
      <w:bookmarkEnd w:id="98"/>
      <w:bookmarkEnd w:id="99"/>
      <w:bookmarkEnd w:id="100"/>
      <w:r>
        <w:rPr>
          <w:rFonts w:hint="eastAsia" w:ascii="宋体" w:hAnsi="宋体"/>
          <w:szCs w:val="21"/>
        </w:rPr>
        <w:t>评审与谈判</w:t>
      </w:r>
    </w:p>
    <w:p>
      <w:pPr>
        <w:snapToGrid w:val="0"/>
        <w:spacing w:line="420" w:lineRule="exact"/>
        <w:ind w:firstLine="211" w:firstLineChars="100"/>
        <w:rPr>
          <w:rFonts w:ascii="宋体" w:hAnsi="宋体"/>
          <w:b/>
          <w:bCs/>
          <w:szCs w:val="21"/>
        </w:rPr>
      </w:pPr>
      <w:bookmarkStart w:id="101" w:name="_Toc353785303"/>
      <w:bookmarkStart w:id="102" w:name="_Toc352700433"/>
      <w:r>
        <w:rPr>
          <w:rFonts w:hint="eastAsia" w:ascii="宋体" w:hAnsi="宋体"/>
          <w:b/>
          <w:bCs/>
          <w:szCs w:val="21"/>
        </w:rPr>
        <w:t>（一）评审原则：</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ascii="宋体" w:hAnsi="宋体"/>
          <w:b/>
          <w:bCs/>
          <w:szCs w:val="21"/>
        </w:rPr>
      </w:pPr>
      <w:r>
        <w:rPr>
          <w:rFonts w:hint="eastAsia"/>
          <w:b/>
          <w:bCs/>
        </w:rPr>
        <w:t>（二）成立谈判小组</w:t>
      </w:r>
    </w:p>
    <w:p>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1"/>
      <w:bookmarkEnd w:id="102"/>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ascii="宋体" w:hAnsi="宋体"/>
          <w:b/>
          <w:bCs/>
          <w:szCs w:val="21"/>
        </w:rPr>
      </w:pPr>
      <w:r>
        <w:rPr>
          <w:rFonts w:hint="eastAsia" w:ascii="宋体" w:hAnsi="宋体"/>
          <w:b/>
          <w:bCs/>
          <w:szCs w:val="21"/>
        </w:rPr>
        <w:t>（三）确认谈判文件</w:t>
      </w:r>
    </w:p>
    <w:p>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ascii="宋体" w:hAnsi="宋体"/>
          <w:szCs w:val="21"/>
        </w:rPr>
      </w:pPr>
      <w:bookmarkStart w:id="103" w:name="_Hlk112311783"/>
      <w:r>
        <w:rPr>
          <w:rFonts w:hint="eastAsia" w:ascii="宋体" w:hAnsi="宋体"/>
          <w:szCs w:val="21"/>
        </w:rPr>
        <w:t>①应交未交谈判保证金的；</w:t>
      </w:r>
    </w:p>
    <w:p>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3"/>
    <w:p>
      <w:pPr>
        <w:spacing w:line="420" w:lineRule="exact"/>
        <w:ind w:firstLine="211" w:firstLineChars="100"/>
        <w:rPr>
          <w:b/>
          <w:bCs/>
        </w:rPr>
      </w:pPr>
      <w:r>
        <w:rPr>
          <w:rFonts w:hint="eastAsia"/>
          <w:b/>
          <w:bCs/>
        </w:rPr>
        <w:t>（五）谈判</w:t>
      </w:r>
    </w:p>
    <w:p>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4" w:name="_Hlk92985140"/>
      <w:r>
        <w:rPr>
          <w:rFonts w:hint="eastAsia" w:hAnsi="宋体"/>
          <w:bCs/>
        </w:rPr>
        <w:t>供应商为自然人的，应当由本人签名并附身份证明。</w:t>
      </w:r>
      <w:bookmarkEnd w:id="104"/>
      <w:r>
        <w:rPr>
          <w:rFonts w:hint="eastAsia" w:hAnsi="宋体"/>
          <w:bCs/>
        </w:rPr>
        <w:t>逾时不提交的，视同放弃谈判。</w:t>
      </w:r>
    </w:p>
    <w:p>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w:t>
      </w:r>
      <w:r>
        <w:rPr>
          <w:rFonts w:hint="eastAsia"/>
          <w:lang w:eastAsia="zh-CN"/>
        </w:rPr>
        <w:t>响应报价（竞标报价）</w:t>
      </w:r>
      <w:r>
        <w:rPr>
          <w:rFonts w:hint="eastAsia"/>
        </w:rPr>
        <w:t>。</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ascii="宋体" w:hAnsi="宋体"/>
          <w:szCs w:val="21"/>
        </w:rPr>
      </w:pPr>
      <w:bookmarkStart w:id="105"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5"/>
    <w:p>
      <w:pPr>
        <w:spacing w:line="420" w:lineRule="exact"/>
        <w:ind w:firstLine="211" w:firstLineChars="100"/>
        <w:rPr>
          <w:b/>
          <w:bCs/>
        </w:rPr>
      </w:pPr>
      <w:r>
        <w:rPr>
          <w:rFonts w:hint="eastAsia"/>
          <w:b/>
          <w:bCs/>
        </w:rPr>
        <w:t>（八）澄清、说明或者更正的形式</w:t>
      </w:r>
    </w:p>
    <w:p>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6" w:name="_Hlk92462362"/>
      <w:r>
        <w:rPr>
          <w:rFonts w:hint="eastAsia" w:hAnsi="宋体"/>
          <w:bCs/>
        </w:rPr>
        <w:t>澄清、说明或者更正</w:t>
      </w:r>
      <w:bookmarkEnd w:id="106"/>
      <w:r>
        <w:rPr>
          <w:rFonts w:hint="eastAsia" w:hAnsi="宋体"/>
          <w:bCs/>
        </w:rPr>
        <w:t>。供应商的澄清、说明或者更正不得超出响应文件的范围或者改变响应文件的实质性内容。</w:t>
      </w:r>
    </w:p>
    <w:p>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（九）评定标准及推荐原则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1"/>
        <w:spacing w:line="420" w:lineRule="exact"/>
        <w:ind w:firstLine="211" w:firstLineChars="100"/>
        <w:rPr>
          <w:rFonts w:hAnsi="宋体"/>
          <w:b/>
        </w:rPr>
      </w:pPr>
      <w:r>
        <w:rPr>
          <w:rFonts w:hint="eastAsia" w:hAnsi="宋体"/>
          <w:b/>
        </w:rPr>
        <w:t>（十）供应商有下列情形之一的，属于恶意串通：</w:t>
      </w:r>
    </w:p>
    <w:p>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1"/>
        <w:spacing w:line="420" w:lineRule="exact"/>
        <w:ind w:firstLine="211" w:firstLineChars="100"/>
        <w:rPr>
          <w:rFonts w:hAnsi="宋体"/>
          <w:b/>
        </w:rPr>
      </w:pPr>
      <w:r>
        <w:rPr>
          <w:rFonts w:hint="eastAsia" w:hAnsi="宋体"/>
          <w:b/>
        </w:rPr>
        <w:t>（十一）评审报告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pPr>
        <w:widowControl/>
        <w:tabs>
          <w:tab w:val="left" w:pos="540"/>
        </w:tabs>
        <w:spacing w:line="420" w:lineRule="exact"/>
        <w:ind w:firstLine="420" w:firstLineChars="200"/>
        <w:jc w:val="left"/>
        <w:rPr>
          <w:szCs w:val="21"/>
        </w:rPr>
      </w:pP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1"/>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3"/>
        <w:spacing w:line="420" w:lineRule="exact"/>
      </w:pPr>
      <w:r>
        <w:rPr>
          <w:rFonts w:hint="eastAsia"/>
        </w:rPr>
        <w:t>六、确定成交供应商</w:t>
      </w:r>
    </w:p>
    <w:p>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
        <w:spacing w:line="420" w:lineRule="exact"/>
      </w:pPr>
      <w:r>
        <w:rPr>
          <w:rFonts w:hint="eastAsia"/>
        </w:rPr>
        <w:t>七、结果公告</w:t>
      </w:r>
    </w:p>
    <w:p>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3"/>
        <w:spacing w:line="420" w:lineRule="exact"/>
      </w:pPr>
      <w:r>
        <w:rPr>
          <w:rFonts w:hint="eastAsia"/>
        </w:rPr>
        <w:t>八、签订合同</w:t>
      </w:r>
    </w:p>
    <w:p>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日内，按照谈判文件确定的合同文本以及采购标的、规格型号、采购金额、采购数量、技术和服务要求等确定的事项签订政府采购合同。</w:t>
      </w:r>
    </w:p>
    <w:p>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3"/>
        <w:spacing w:line="420" w:lineRule="exact"/>
      </w:pPr>
      <w:r>
        <w:rPr>
          <w:rFonts w:hint="eastAsia"/>
        </w:rPr>
        <w:t>九、适用法律</w:t>
      </w:r>
    </w:p>
    <w:p>
      <w:pPr>
        <w:spacing w:line="420" w:lineRule="exact"/>
        <w:ind w:firstLine="420" w:firstLineChars="200"/>
        <w:rPr>
          <w:rFonts w:ascii="宋体" w:hAnsi="宋体"/>
          <w:szCs w:val="21"/>
        </w:rPr>
      </w:pPr>
      <w:bookmarkStart w:id="107" w:name="_Hlk92794186"/>
      <w:r>
        <w:rPr>
          <w:rFonts w:hint="eastAsia" w:ascii="宋体" w:hAnsi="宋体"/>
          <w:szCs w:val="21"/>
        </w:rPr>
        <w:t>本项目采购活动适用于《中华人民共和国政府采购法》及其实施条例、《政府采购非招标采购方式管理办法》等规定。</w:t>
      </w:r>
    </w:p>
    <w:bookmarkEnd w:id="107"/>
    <w:p>
      <w:pPr>
        <w:pStyle w:val="3"/>
        <w:spacing w:line="420" w:lineRule="exact"/>
      </w:pPr>
      <w:bookmarkStart w:id="108" w:name="_十、其他事项"/>
      <w:bookmarkEnd w:id="108"/>
      <w:r>
        <w:rPr>
          <w:rFonts w:hint="eastAsia"/>
        </w:rPr>
        <w:t>十、其他事项</w:t>
      </w:r>
    </w:p>
    <w:p>
      <w:pPr>
        <w:spacing w:line="420" w:lineRule="exact"/>
        <w:ind w:firstLine="210" w:firstLineChars="100"/>
        <w:rPr>
          <w:rFonts w:hAnsi="宋体"/>
        </w:rPr>
      </w:pPr>
      <w:r>
        <w:rPr>
          <w:rFonts w:hint="eastAsia" w:hAnsi="宋体"/>
        </w:rPr>
        <w:t>（一）代理服务费</w:t>
      </w:r>
    </w:p>
    <w:p>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2540" t="3810" r="15875" b="1841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3810" t="3175" r="1460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Ansi="宋体"/>
              </w:rPr>
            </w:pPr>
          </w:p>
          <w:p>
            <w:pPr>
              <w:spacing w:line="330" w:lineRule="exact"/>
              <w:ind w:firstLine="1575" w:firstLineChars="750"/>
              <w:jc w:val="left"/>
              <w:rPr>
                <w:rFonts w:hAnsi="宋体"/>
              </w:rPr>
            </w:pPr>
            <w:r>
              <w:rPr>
                <w:rFonts w:hint="eastAsia" w:hAnsi="宋体"/>
              </w:rPr>
              <w:t>费率</w:t>
            </w:r>
          </w:p>
          <w:p>
            <w:pPr>
              <w:spacing w:line="330" w:lineRule="exact"/>
              <w:ind w:leftChars="-1" w:hanging="2" w:hangingChars="1"/>
              <w:jc w:val="left"/>
              <w:rPr>
                <w:rFonts w:hAnsi="宋体"/>
              </w:rPr>
            </w:pPr>
          </w:p>
          <w:p>
            <w:pPr>
              <w:spacing w:line="330" w:lineRule="exact"/>
              <w:ind w:leftChars="-1" w:hanging="2" w:hangingChars="1"/>
              <w:jc w:val="left"/>
              <w:rPr>
                <w:rFonts w:hAnsi="宋体"/>
              </w:rPr>
            </w:pPr>
          </w:p>
          <w:p>
            <w:pPr>
              <w:spacing w:line="330" w:lineRule="exact"/>
              <w:jc w:val="left"/>
              <w:rPr>
                <w:rFonts w:hAnsi="宋体"/>
              </w:rPr>
            </w:pPr>
            <w:r>
              <w:rPr>
                <w:rFonts w:hint="eastAsia" w:hAnsi="宋体"/>
              </w:rPr>
              <w:t>成交金额（万元）</w:t>
            </w:r>
          </w:p>
        </w:tc>
        <w:tc>
          <w:tcPr>
            <w:tcW w:w="5708" w:type="dxa"/>
            <w:gridSpan w:val="3"/>
            <w:vAlign w:val="center"/>
          </w:tcPr>
          <w:p>
            <w:pPr>
              <w:spacing w:line="330" w:lineRule="exact"/>
              <w:rPr>
                <w:rFonts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rPr>
            </w:pPr>
          </w:p>
        </w:tc>
        <w:tc>
          <w:tcPr>
            <w:tcW w:w="1932" w:type="dxa"/>
            <w:vAlign w:val="center"/>
          </w:tcPr>
          <w:p>
            <w:pPr>
              <w:spacing w:line="330" w:lineRule="exact"/>
              <w:jc w:val="center"/>
              <w:rPr>
                <w:rFonts w:hAnsi="宋体"/>
              </w:rPr>
            </w:pPr>
            <w:r>
              <w:rPr>
                <w:rFonts w:hint="eastAsia" w:hAnsi="宋体"/>
              </w:rPr>
              <w:t>货物类</w:t>
            </w:r>
          </w:p>
        </w:tc>
        <w:tc>
          <w:tcPr>
            <w:tcW w:w="1800" w:type="dxa"/>
            <w:vAlign w:val="center"/>
          </w:tcPr>
          <w:p>
            <w:pPr>
              <w:spacing w:line="330" w:lineRule="exact"/>
              <w:jc w:val="center"/>
              <w:rPr>
                <w:rFonts w:hAnsi="宋体"/>
              </w:rPr>
            </w:pPr>
            <w:r>
              <w:rPr>
                <w:rFonts w:hint="eastAsia" w:hAnsi="宋体"/>
              </w:rPr>
              <w:t>服务类</w:t>
            </w:r>
          </w:p>
        </w:tc>
        <w:tc>
          <w:tcPr>
            <w:tcW w:w="1976" w:type="dxa"/>
            <w:vAlign w:val="center"/>
          </w:tcPr>
          <w:p>
            <w:pPr>
              <w:widowControl/>
              <w:spacing w:line="330" w:lineRule="exact"/>
              <w:jc w:val="center"/>
              <w:rPr>
                <w:rFonts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rPr>
            </w:pPr>
            <w:r>
              <w:rPr>
                <w:rFonts w:hint="eastAsia" w:hAnsi="宋体"/>
              </w:rPr>
              <w:t>100以下</w:t>
            </w:r>
          </w:p>
        </w:tc>
        <w:tc>
          <w:tcPr>
            <w:tcW w:w="1932" w:type="dxa"/>
            <w:vAlign w:val="center"/>
          </w:tcPr>
          <w:p>
            <w:pPr>
              <w:spacing w:line="330" w:lineRule="exact"/>
              <w:jc w:val="center"/>
              <w:rPr>
                <w:rFonts w:hAnsi="宋体"/>
              </w:rPr>
            </w:pPr>
            <w:r>
              <w:rPr>
                <w:rFonts w:hint="eastAsia" w:hAnsi="宋体"/>
              </w:rPr>
              <w:t>1.2%</w:t>
            </w:r>
          </w:p>
        </w:tc>
        <w:tc>
          <w:tcPr>
            <w:tcW w:w="1800" w:type="dxa"/>
            <w:vAlign w:val="center"/>
          </w:tcPr>
          <w:p>
            <w:pPr>
              <w:spacing w:line="330" w:lineRule="exact"/>
              <w:jc w:val="center"/>
              <w:rPr>
                <w:rFonts w:hAnsi="宋体"/>
              </w:rPr>
            </w:pPr>
            <w:r>
              <w:rPr>
                <w:rFonts w:hint="eastAsia" w:hAnsi="宋体"/>
              </w:rPr>
              <w:t>1.2%</w:t>
            </w:r>
          </w:p>
        </w:tc>
        <w:tc>
          <w:tcPr>
            <w:tcW w:w="1976" w:type="dxa"/>
            <w:vAlign w:val="center"/>
          </w:tcPr>
          <w:p>
            <w:pPr>
              <w:spacing w:line="330" w:lineRule="exact"/>
              <w:jc w:val="center"/>
              <w:rPr>
                <w:rFonts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rPr>
            </w:pPr>
            <w:r>
              <w:rPr>
                <w:rFonts w:hint="eastAsia" w:hAnsi="宋体"/>
              </w:rPr>
              <w:t>100-500</w:t>
            </w:r>
          </w:p>
        </w:tc>
        <w:tc>
          <w:tcPr>
            <w:tcW w:w="1932" w:type="dxa"/>
            <w:vAlign w:val="center"/>
          </w:tcPr>
          <w:p>
            <w:pPr>
              <w:spacing w:line="330" w:lineRule="exact"/>
              <w:jc w:val="center"/>
              <w:rPr>
                <w:rFonts w:hAnsi="宋体"/>
              </w:rPr>
            </w:pPr>
            <w:r>
              <w:rPr>
                <w:rFonts w:hint="eastAsia" w:hAnsi="宋体"/>
              </w:rPr>
              <w:t>0.88%</w:t>
            </w:r>
          </w:p>
        </w:tc>
        <w:tc>
          <w:tcPr>
            <w:tcW w:w="1800" w:type="dxa"/>
            <w:vAlign w:val="center"/>
          </w:tcPr>
          <w:p>
            <w:pPr>
              <w:spacing w:line="330" w:lineRule="exact"/>
              <w:jc w:val="center"/>
              <w:rPr>
                <w:rFonts w:hAnsi="宋体"/>
              </w:rPr>
            </w:pPr>
            <w:r>
              <w:rPr>
                <w:rFonts w:hint="eastAsia" w:hAnsi="宋体"/>
              </w:rPr>
              <w:t>0.64%</w:t>
            </w:r>
          </w:p>
        </w:tc>
        <w:tc>
          <w:tcPr>
            <w:tcW w:w="1976" w:type="dxa"/>
            <w:vAlign w:val="center"/>
          </w:tcPr>
          <w:p>
            <w:pPr>
              <w:spacing w:line="330" w:lineRule="exact"/>
              <w:jc w:val="center"/>
              <w:rPr>
                <w:rFonts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rPr>
            </w:pPr>
            <w:r>
              <w:rPr>
                <w:rFonts w:hint="eastAsia" w:hAnsi="宋体"/>
              </w:rPr>
              <w:t>500-1000</w:t>
            </w:r>
          </w:p>
        </w:tc>
        <w:tc>
          <w:tcPr>
            <w:tcW w:w="1932" w:type="dxa"/>
            <w:vAlign w:val="center"/>
          </w:tcPr>
          <w:p>
            <w:pPr>
              <w:spacing w:line="330" w:lineRule="exact"/>
              <w:jc w:val="center"/>
              <w:rPr>
                <w:rFonts w:hAnsi="宋体"/>
              </w:rPr>
            </w:pPr>
            <w:r>
              <w:rPr>
                <w:rFonts w:hint="eastAsia" w:hAnsi="宋体"/>
              </w:rPr>
              <w:t>0.64%</w:t>
            </w:r>
          </w:p>
        </w:tc>
        <w:tc>
          <w:tcPr>
            <w:tcW w:w="1800" w:type="dxa"/>
            <w:vAlign w:val="center"/>
          </w:tcPr>
          <w:p>
            <w:pPr>
              <w:spacing w:line="330" w:lineRule="exact"/>
              <w:jc w:val="center"/>
              <w:rPr>
                <w:rFonts w:hAnsi="宋体"/>
              </w:rPr>
            </w:pPr>
            <w:r>
              <w:rPr>
                <w:rFonts w:hint="eastAsia" w:hAnsi="宋体"/>
              </w:rPr>
              <w:t>0.36%</w:t>
            </w:r>
          </w:p>
        </w:tc>
        <w:tc>
          <w:tcPr>
            <w:tcW w:w="1976" w:type="dxa"/>
            <w:vAlign w:val="center"/>
          </w:tcPr>
          <w:p>
            <w:pPr>
              <w:spacing w:line="330" w:lineRule="exact"/>
              <w:jc w:val="center"/>
              <w:rPr>
                <w:rFonts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rPr>
            </w:pPr>
            <w:r>
              <w:rPr>
                <w:rFonts w:hint="eastAsia" w:hAnsi="宋体"/>
              </w:rPr>
              <w:t>1000-5000</w:t>
            </w:r>
          </w:p>
        </w:tc>
        <w:tc>
          <w:tcPr>
            <w:tcW w:w="1932" w:type="dxa"/>
            <w:vAlign w:val="center"/>
          </w:tcPr>
          <w:p>
            <w:pPr>
              <w:spacing w:line="330" w:lineRule="exact"/>
              <w:jc w:val="center"/>
              <w:rPr>
                <w:rFonts w:hAnsi="宋体"/>
              </w:rPr>
            </w:pPr>
            <w:r>
              <w:rPr>
                <w:rFonts w:hint="eastAsia" w:hAnsi="宋体"/>
              </w:rPr>
              <w:t>0.4%</w:t>
            </w:r>
          </w:p>
        </w:tc>
        <w:tc>
          <w:tcPr>
            <w:tcW w:w="1800" w:type="dxa"/>
            <w:vAlign w:val="center"/>
          </w:tcPr>
          <w:p>
            <w:pPr>
              <w:spacing w:line="330" w:lineRule="exact"/>
              <w:jc w:val="center"/>
              <w:rPr>
                <w:rFonts w:hAnsi="宋体"/>
              </w:rPr>
            </w:pPr>
            <w:r>
              <w:rPr>
                <w:rFonts w:hint="eastAsia" w:hAnsi="宋体"/>
              </w:rPr>
              <w:t>0.2%</w:t>
            </w:r>
          </w:p>
        </w:tc>
        <w:tc>
          <w:tcPr>
            <w:tcW w:w="1976" w:type="dxa"/>
            <w:vAlign w:val="center"/>
          </w:tcPr>
          <w:p>
            <w:pPr>
              <w:spacing w:line="330" w:lineRule="exact"/>
              <w:jc w:val="center"/>
              <w:rPr>
                <w:rFonts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rPr>
            </w:pPr>
            <w:r>
              <w:rPr>
                <w:rFonts w:hint="eastAsia" w:hAnsi="宋体"/>
              </w:rPr>
              <w:t>5000-10000</w:t>
            </w:r>
          </w:p>
        </w:tc>
        <w:tc>
          <w:tcPr>
            <w:tcW w:w="1932" w:type="dxa"/>
            <w:vAlign w:val="center"/>
          </w:tcPr>
          <w:p>
            <w:pPr>
              <w:spacing w:line="330" w:lineRule="exact"/>
              <w:jc w:val="center"/>
              <w:rPr>
                <w:rFonts w:hAnsi="宋体"/>
              </w:rPr>
            </w:pPr>
            <w:r>
              <w:rPr>
                <w:rFonts w:hint="eastAsia" w:hAnsi="宋体"/>
              </w:rPr>
              <w:t>0.2%</w:t>
            </w:r>
          </w:p>
        </w:tc>
        <w:tc>
          <w:tcPr>
            <w:tcW w:w="1800" w:type="dxa"/>
            <w:vAlign w:val="center"/>
          </w:tcPr>
          <w:p>
            <w:pPr>
              <w:spacing w:line="330" w:lineRule="exact"/>
              <w:jc w:val="center"/>
              <w:rPr>
                <w:rFonts w:hAnsi="宋体"/>
              </w:rPr>
            </w:pPr>
            <w:r>
              <w:rPr>
                <w:rFonts w:hint="eastAsia" w:hAnsi="宋体"/>
              </w:rPr>
              <w:t>0.08%</w:t>
            </w:r>
          </w:p>
        </w:tc>
        <w:tc>
          <w:tcPr>
            <w:tcW w:w="1976" w:type="dxa"/>
            <w:vAlign w:val="center"/>
          </w:tcPr>
          <w:p>
            <w:pPr>
              <w:spacing w:line="330" w:lineRule="exact"/>
              <w:jc w:val="center"/>
              <w:rPr>
                <w:rFonts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rPr>
            </w:pPr>
            <w:r>
              <w:rPr>
                <w:rFonts w:hint="eastAsia" w:hAnsi="宋体"/>
              </w:rPr>
              <w:t>10000-100000</w:t>
            </w:r>
          </w:p>
        </w:tc>
        <w:tc>
          <w:tcPr>
            <w:tcW w:w="1932" w:type="dxa"/>
            <w:vAlign w:val="center"/>
          </w:tcPr>
          <w:p>
            <w:pPr>
              <w:spacing w:line="330" w:lineRule="exact"/>
              <w:jc w:val="center"/>
              <w:rPr>
                <w:rFonts w:hAnsi="宋体"/>
              </w:rPr>
            </w:pPr>
            <w:r>
              <w:rPr>
                <w:rFonts w:hint="eastAsia" w:hAnsi="宋体"/>
              </w:rPr>
              <w:t>0.04%</w:t>
            </w:r>
          </w:p>
        </w:tc>
        <w:tc>
          <w:tcPr>
            <w:tcW w:w="1800" w:type="dxa"/>
            <w:vAlign w:val="center"/>
          </w:tcPr>
          <w:p>
            <w:pPr>
              <w:spacing w:line="330" w:lineRule="exact"/>
              <w:jc w:val="center"/>
              <w:rPr>
                <w:rFonts w:hAnsi="宋体"/>
              </w:rPr>
            </w:pPr>
            <w:r>
              <w:rPr>
                <w:rFonts w:hint="eastAsia" w:hAnsi="宋体"/>
              </w:rPr>
              <w:t>0.04%</w:t>
            </w:r>
          </w:p>
        </w:tc>
        <w:tc>
          <w:tcPr>
            <w:tcW w:w="1976" w:type="dxa"/>
            <w:vAlign w:val="center"/>
          </w:tcPr>
          <w:p>
            <w:pPr>
              <w:spacing w:line="330" w:lineRule="exact"/>
              <w:jc w:val="center"/>
              <w:rPr>
                <w:rFonts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rPr>
            </w:pPr>
            <w:r>
              <w:rPr>
                <w:rFonts w:hint="eastAsia" w:hAnsi="宋体"/>
              </w:rPr>
              <w:t>100000以上</w:t>
            </w:r>
          </w:p>
        </w:tc>
        <w:tc>
          <w:tcPr>
            <w:tcW w:w="1932" w:type="dxa"/>
            <w:vAlign w:val="center"/>
          </w:tcPr>
          <w:p>
            <w:pPr>
              <w:spacing w:line="330" w:lineRule="exact"/>
              <w:jc w:val="center"/>
              <w:rPr>
                <w:rFonts w:hAnsi="宋体"/>
              </w:rPr>
            </w:pPr>
            <w:r>
              <w:rPr>
                <w:rFonts w:hint="eastAsia" w:hAnsi="宋体"/>
              </w:rPr>
              <w:t>0.008%</w:t>
            </w:r>
          </w:p>
        </w:tc>
        <w:tc>
          <w:tcPr>
            <w:tcW w:w="1800" w:type="dxa"/>
            <w:vAlign w:val="center"/>
          </w:tcPr>
          <w:p>
            <w:pPr>
              <w:spacing w:line="330" w:lineRule="exact"/>
              <w:jc w:val="center"/>
              <w:rPr>
                <w:rFonts w:hAnsi="宋体"/>
              </w:rPr>
            </w:pPr>
            <w:r>
              <w:rPr>
                <w:rFonts w:hint="eastAsia" w:hAnsi="宋体"/>
              </w:rPr>
              <w:t>0.008%</w:t>
            </w:r>
          </w:p>
        </w:tc>
        <w:tc>
          <w:tcPr>
            <w:tcW w:w="1976" w:type="dxa"/>
            <w:vAlign w:val="center"/>
          </w:tcPr>
          <w:p>
            <w:pPr>
              <w:spacing w:line="330" w:lineRule="exact"/>
              <w:jc w:val="center"/>
              <w:rPr>
                <w:rFonts w:hAnsi="宋体"/>
              </w:rPr>
            </w:pPr>
            <w:r>
              <w:rPr>
                <w:rFonts w:hint="eastAsia" w:hAnsi="宋体"/>
              </w:rPr>
              <w:t>0.008%</w:t>
            </w:r>
          </w:p>
        </w:tc>
      </w:tr>
    </w:tbl>
    <w:p>
      <w:pPr>
        <w:pStyle w:val="21"/>
        <w:spacing w:line="400" w:lineRule="exact"/>
        <w:ind w:firstLine="420" w:firstLineChars="200"/>
        <w:rPr>
          <w:rFonts w:hAnsi="宋体"/>
        </w:rPr>
      </w:pPr>
      <w:r>
        <w:rPr>
          <w:rFonts w:hint="eastAsia" w:hAnsi="宋体"/>
        </w:rPr>
        <w:t>注：代理服务收费按差额定率累进法计算</w:t>
      </w:r>
    </w:p>
    <w:p>
      <w:pPr>
        <w:pStyle w:val="21"/>
        <w:spacing w:line="400" w:lineRule="exact"/>
        <w:ind w:firstLine="420" w:firstLineChars="200"/>
        <w:rPr>
          <w:rFonts w:hAnsi="宋体"/>
          <w:bCs/>
        </w:rPr>
      </w:pPr>
      <w:r>
        <w:rPr>
          <w:rFonts w:hint="eastAsia" w:hAnsi="宋体"/>
          <w:bCs/>
        </w:rPr>
        <w:t>3.缴纳代理服务费银行账户信息：</w:t>
      </w:r>
    </w:p>
    <w:p>
      <w:pPr>
        <w:pStyle w:val="21"/>
        <w:spacing w:line="400" w:lineRule="exact"/>
        <w:ind w:firstLine="420" w:firstLineChars="200"/>
        <w:rPr>
          <w:rFonts w:hAnsi="宋体"/>
          <w:bCs/>
        </w:rPr>
      </w:pPr>
      <w:r>
        <w:rPr>
          <w:rFonts w:hint="eastAsia" w:hAnsi="宋体"/>
          <w:bCs/>
        </w:rPr>
        <w:t>开户名称:钦州市政府采购中心</w:t>
      </w:r>
    </w:p>
    <w:p>
      <w:pPr>
        <w:pStyle w:val="21"/>
        <w:spacing w:line="400" w:lineRule="exact"/>
        <w:ind w:firstLine="420" w:firstLineChars="200"/>
        <w:rPr>
          <w:rFonts w:hAnsi="宋体"/>
          <w:bCs/>
        </w:rPr>
      </w:pPr>
      <w:r>
        <w:rPr>
          <w:rFonts w:hint="eastAsia" w:hAnsi="宋体"/>
          <w:bCs/>
        </w:rPr>
        <w:t>开户银行:兴业银行钦州支行</w:t>
      </w:r>
    </w:p>
    <w:p>
      <w:pPr>
        <w:pStyle w:val="21"/>
        <w:spacing w:line="400" w:lineRule="exact"/>
        <w:ind w:firstLine="420" w:firstLineChars="200"/>
        <w:rPr>
          <w:rFonts w:hAnsi="宋体"/>
        </w:rPr>
      </w:pPr>
      <w:r>
        <w:rPr>
          <w:rFonts w:hint="eastAsia" w:hAnsi="宋体"/>
          <w:bCs/>
        </w:rPr>
        <w:t>银行账号:554010100100129709</w:t>
      </w:r>
    </w:p>
    <w:p>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pPr>
        <w:pStyle w:val="21"/>
        <w:spacing w:line="400" w:lineRule="exact"/>
        <w:ind w:firstLine="210" w:firstLineChars="100"/>
        <w:rPr>
          <w:rFonts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联系人：陈侃</w:t>
      </w:r>
      <w:r>
        <w:rPr>
          <w:rFonts w:hint="eastAsia"/>
          <w:lang w:eastAsia="zh-CN"/>
        </w:rPr>
        <w:t>、</w:t>
      </w:r>
      <w:r>
        <w:rPr>
          <w:rFonts w:hint="eastAsia"/>
        </w:rPr>
        <w:t xml:space="preserve">陈启梅 </w:t>
      </w:r>
      <w:r>
        <w:t xml:space="preserve">  </w:t>
      </w:r>
      <w:r>
        <w:rPr>
          <w:rFonts w:hint="eastAsia"/>
        </w:rPr>
        <w:t>联系方式：0777-2886006</w:t>
      </w:r>
    </w:p>
    <w:p>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pPr>
        <w:widowControl/>
        <w:spacing w:line="400" w:lineRule="exact"/>
        <w:jc w:val="left"/>
      </w:pPr>
    </w:p>
    <w:p/>
    <w:p/>
    <w:p/>
    <w:p/>
    <w:p/>
    <w:p/>
    <w:p/>
    <w:p/>
    <w:p/>
    <w:p/>
    <w:p/>
    <w:p/>
    <w:p>
      <w:pPr>
        <w:pStyle w:val="5"/>
      </w:pPr>
    </w:p>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
      <w:pPr>
        <w:pStyle w:val="5"/>
      </w:pPr>
    </w:p>
    <w:p/>
    <w:p/>
    <w:p>
      <w:pPr>
        <w:pStyle w:val="2"/>
        <w:spacing w:line="400" w:lineRule="exact"/>
        <w:rPr>
          <w:rFonts w:ascii="方正小标宋_GBK" w:hAnsi="宋体" w:eastAsia="方正小标宋_GBK"/>
        </w:rPr>
      </w:pPr>
      <w:bookmarkStart w:id="109" w:name="_第四章__评定标准及推荐原则"/>
      <w:bookmarkEnd w:id="109"/>
      <w:bookmarkStart w:id="110" w:name="_Toc92355026"/>
      <w:r>
        <w:rPr>
          <w:rFonts w:hint="eastAsia" w:ascii="方正小标宋_GBK" w:hAnsi="宋体" w:eastAsia="方正小标宋_GBK"/>
        </w:rPr>
        <w:t>第四章  评定标准及推荐原则</w:t>
      </w:r>
      <w:bookmarkEnd w:id="110"/>
    </w:p>
    <w:p>
      <w:pPr>
        <w:pStyle w:val="21"/>
        <w:spacing w:line="280" w:lineRule="exact"/>
        <w:jc w:val="center"/>
      </w:pPr>
      <w:r>
        <w:rPr>
          <w:rFonts w:hAnsi="宋体"/>
          <w:b/>
          <w:bCs/>
        </w:rPr>
        <w:br w:type="page"/>
      </w:r>
    </w:p>
    <w:p>
      <w:pPr>
        <w:pStyle w:val="21"/>
        <w:spacing w:line="500" w:lineRule="exact"/>
        <w:jc w:val="center"/>
        <w:rPr>
          <w:rFonts w:hAnsi="宋体"/>
          <w:b/>
          <w:bCs/>
          <w:sz w:val="44"/>
          <w:szCs w:val="44"/>
        </w:rPr>
      </w:pPr>
      <w:bookmarkStart w:id="111" w:name="_Hlk92463826"/>
      <w:r>
        <w:rPr>
          <w:rFonts w:hint="eastAsia" w:hAnsi="宋体"/>
          <w:b/>
          <w:bCs/>
          <w:sz w:val="44"/>
          <w:szCs w:val="44"/>
        </w:rPr>
        <w:t>评定标准及推荐原则</w:t>
      </w:r>
    </w:p>
    <w:bookmarkEnd w:id="111"/>
    <w:p/>
    <w:p>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2" w:name="_Hlk89353643"/>
      <w:r>
        <w:rPr>
          <w:rFonts w:hint="eastAsia" w:hAnsi="宋体"/>
          <w:bCs/>
        </w:rPr>
        <w:t>谈判小组由采购人代表和评审专家共3人以上单数组成，其中评审专家人数不得少于谈判小组成员总数的2/3。</w:t>
      </w:r>
      <w:bookmarkEnd w:id="112"/>
    </w:p>
    <w:p>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一</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评审价为供应商的最后报价进行政策性扣除后的价格，评审价只是作为评审时使用。最终成交供应商的成交金额等于最后报价。</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二</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异常低价响应审查</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（1）谈判小组在评审中发现下列情形之一的，应当启动异常低价响应审查程序：</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①</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低于全部通过符合性审查供应商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平均值50%的，即</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＜全部通过符合性审查供应商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平均值×50%；</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②</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低于通过符合性审查的次低报价供应商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50%的，即</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＜通过符合性审查的次低报价供应商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×50%；</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③</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低于采购项目最高限价45%的，即</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＜采购项目最高限价×45%；</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④谈判小组基于专业判断，认为供应商报价过低，有可能影响产品质量或者不能诚信履约的其他情形。</w:t>
      </w:r>
    </w:p>
    <w:p>
      <w:pPr>
        <w:widowControl/>
        <w:numPr>
          <w:ilvl w:val="0"/>
          <w:numId w:val="68"/>
        </w:numPr>
        <w:spacing w:line="540" w:lineRule="exact"/>
        <w:ind w:firstLine="400" w:firstLineChars="200"/>
        <w:jc w:val="left"/>
        <w:rPr>
          <w:rFonts w:hint="eastAsia" w:ascii="宋体" w:hAnsi="宋体" w:eastAsia="宋体" w:cs="宋体"/>
          <w:b/>
          <w:bCs/>
          <w:color w:val="000000"/>
          <w:sz w:val="20"/>
          <w:szCs w:val="20"/>
        </w:rPr>
      </w:pPr>
      <w:r>
        <w:rPr>
          <w:rFonts w:hint="eastAsia" w:ascii="宋体" w:hAnsi="宋体" w:eastAsia="宋体" w:cs="宋体"/>
          <w:b w:val="0"/>
          <w:bCs w:val="0"/>
          <w:color w:val="000000"/>
          <w:sz w:val="20"/>
          <w:szCs w:val="20"/>
        </w:rPr>
        <w:t>谈判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pPr>
        <w:widowControl/>
        <w:numPr>
          <w:ilvl w:val="0"/>
          <w:numId w:val="0"/>
        </w:numPr>
        <w:spacing w:line="540" w:lineRule="exact"/>
        <w:ind w:firstLine="400" w:firstLineChars="200"/>
        <w:jc w:val="left"/>
        <w:rPr>
          <w:rFonts w:hint="eastAsia" w:ascii="宋体" w:hAnsi="宋体" w:eastAsia="宋体" w:cs="宋体"/>
          <w:b/>
          <w:bCs/>
          <w:color w:val="000000"/>
          <w:sz w:val="20"/>
          <w:szCs w:val="20"/>
        </w:rPr>
      </w:pPr>
      <w:r>
        <w:rPr>
          <w:rFonts w:hint="eastAsia" w:ascii="宋体" w:hAnsi="宋体" w:eastAsia="宋体" w:cs="宋体"/>
          <w:b w:val="0"/>
          <w:bCs w:val="0"/>
          <w:color w:val="000000"/>
          <w:sz w:val="20"/>
          <w:szCs w:val="20"/>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pPr>
        <w:widowControl/>
        <w:numPr>
          <w:ilvl w:val="0"/>
          <w:numId w:val="0"/>
        </w:numPr>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widowControl/>
        <w:numPr>
          <w:ilvl w:val="0"/>
          <w:numId w:val="0"/>
        </w:numPr>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异常低价响应审查的启动原因、审查意见和审查结果应当在评审报告中记录，并随供应商提供的相关书面说明及证明材料，以及谈判小组有关互联网浏览、查询历史一并归档。</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三</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本国产品政策性扣除计算方法。</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pPr>
        <w:widowControl/>
        <w:spacing w:line="540" w:lineRule="exact"/>
        <w:ind w:firstLine="400" w:firstLineChars="200"/>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供应商在其响应文件中提供《关于符合本国产品标准的声明函》或财政部会同有关部门规定的有关证明文件，出具符合要求的《声明函》或有关证明文件的，该产品视为本国产品。</w:t>
      </w:r>
    </w:p>
    <w:p>
      <w:pPr>
        <w:widowControl/>
        <w:spacing w:line="540" w:lineRule="exact"/>
        <w:ind w:firstLine="400" w:firstLineChars="200"/>
        <w:jc w:val="left"/>
        <w:rPr>
          <w:rFonts w:hint="eastAsia" w:ascii="宋体" w:hAnsi="宋体" w:eastAsia="宋体" w:cs="宋体"/>
          <w:b w:val="0"/>
          <w:bCs w:val="0"/>
          <w:color w:val="000000"/>
          <w:sz w:val="20"/>
          <w:szCs w:val="20"/>
          <w:highlight w:val="none"/>
        </w:rPr>
      </w:pPr>
      <w:r>
        <w:rPr>
          <w:rFonts w:hint="eastAsia" w:ascii="宋体" w:hAnsi="宋体" w:cs="宋体"/>
          <w:b w:val="0"/>
          <w:bCs w:val="0"/>
          <w:color w:val="000000"/>
          <w:sz w:val="20"/>
          <w:szCs w:val="20"/>
          <w:highlight w:val="none"/>
          <w:lang w:eastAsia="zh-CN"/>
        </w:rPr>
        <w:t>（</w:t>
      </w:r>
      <w:r>
        <w:rPr>
          <w:rFonts w:hint="eastAsia" w:ascii="宋体" w:hAnsi="宋体" w:cs="宋体"/>
          <w:b w:val="0"/>
          <w:bCs w:val="0"/>
          <w:color w:val="000000"/>
          <w:sz w:val="20"/>
          <w:szCs w:val="20"/>
          <w:highlight w:val="none"/>
          <w:lang w:val="en-US" w:eastAsia="zh-CN"/>
        </w:rPr>
        <w:t>四</w:t>
      </w:r>
      <w:r>
        <w:rPr>
          <w:rFonts w:hint="eastAsia" w:ascii="宋体" w:hAnsi="宋体" w:cs="宋体"/>
          <w:b w:val="0"/>
          <w:bCs w:val="0"/>
          <w:color w:val="000000"/>
          <w:sz w:val="20"/>
          <w:szCs w:val="20"/>
          <w:highlight w:val="none"/>
          <w:lang w:eastAsia="zh-CN"/>
        </w:rPr>
        <w:t>）</w:t>
      </w:r>
      <w:r>
        <w:rPr>
          <w:rFonts w:hint="eastAsia" w:ascii="宋体" w:hAnsi="宋体" w:eastAsia="宋体" w:cs="宋体"/>
          <w:b w:val="0"/>
          <w:bCs w:val="0"/>
          <w:color w:val="000000"/>
          <w:sz w:val="20"/>
          <w:szCs w:val="20"/>
          <w:highlight w:val="none"/>
        </w:rPr>
        <w:t>评审价=竞标报价-本国产品折扣，除上述情况外，评审价=竞标报价。</w:t>
      </w:r>
    </w:p>
    <w:p>
      <w:pPr>
        <w:pStyle w:val="21"/>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b/>
          <w:bCs/>
        </w:rPr>
      </w:pPr>
      <w:r>
        <w:rPr>
          <w:rFonts w:hint="eastAsia"/>
          <w:b/>
          <w:bCs/>
        </w:rPr>
        <w:t>（</w:t>
      </w:r>
      <w:r>
        <w:rPr>
          <w:rFonts w:hint="eastAsia"/>
          <w:b/>
          <w:bCs/>
          <w:lang w:val="en-US" w:eastAsia="zh-CN"/>
        </w:rPr>
        <w:t>二</w:t>
      </w:r>
      <w:r>
        <w:rPr>
          <w:rFonts w:hint="eastAsia"/>
          <w:b/>
          <w:bCs/>
        </w:rPr>
        <w:t>）成交候选人的推荐原则：</w:t>
      </w:r>
    </w:p>
    <w:p>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w:t>
      </w:r>
      <w:r>
        <w:rPr>
          <w:rFonts w:hint="eastAsia"/>
          <w:lang w:val="en-US" w:eastAsia="zh-CN"/>
        </w:rPr>
        <w:t>评审价</w:t>
      </w:r>
      <w:r>
        <w:rPr>
          <w:rFonts w:hint="eastAsia"/>
        </w:rPr>
        <w:t>由低到高的顺序提出3名以上成交候选人（最后报价相同的，由谈判小组集体讨论确定排序）。</w:t>
      </w:r>
    </w:p>
    <w:p>
      <w:pPr>
        <w:widowControl/>
        <w:spacing w:line="540" w:lineRule="exact"/>
        <w:ind w:firstLine="420" w:firstLineChars="200"/>
        <w:jc w:val="left"/>
      </w:pPr>
      <w:r>
        <w:br w:type="page"/>
      </w:r>
    </w:p>
    <w:p/>
    <w:p/>
    <w:p/>
    <w:p/>
    <w:p/>
    <w:p/>
    <w:p/>
    <w:p/>
    <w:p/>
    <w:p/>
    <w:p/>
    <w:p/>
    <w:p>
      <w:pPr>
        <w:pStyle w:val="2"/>
        <w:spacing w:line="400" w:lineRule="exact"/>
        <w:rPr>
          <w:rFonts w:ascii="方正小标宋_GBK" w:eastAsia="方正小标宋_GBK"/>
        </w:rPr>
      </w:pPr>
      <w:bookmarkStart w:id="113" w:name="_Toc92355027"/>
      <w:r>
        <w:rPr>
          <w:rFonts w:hint="eastAsia" w:ascii="方正小标宋_GBK" w:eastAsia="方正小标宋_GBK"/>
        </w:rPr>
        <w:t>第五章  合同文本</w:t>
      </w:r>
      <w:bookmarkEnd w:id="113"/>
    </w:p>
    <w:p>
      <w:pPr>
        <w:pStyle w:val="21"/>
        <w:jc w:val="center"/>
        <w:rPr>
          <w:rFonts w:ascii="Times New Roman" w:hAnsi="宋体"/>
          <w:b/>
          <w:bCs/>
          <w:sz w:val="28"/>
          <w:szCs w:val="28"/>
        </w:rPr>
      </w:pPr>
      <w:r>
        <w:rPr>
          <w:rFonts w:hint="eastAsia" w:ascii="Times New Roman" w:hAnsi="宋体"/>
          <w:b/>
          <w:bCs/>
          <w:sz w:val="28"/>
          <w:szCs w:val="28"/>
        </w:rPr>
        <w:t>（参考格式）</w:t>
      </w:r>
    </w:p>
    <w:p>
      <w:pPr>
        <w:pStyle w:val="21"/>
        <w:spacing w:line="500" w:lineRule="exact"/>
        <w:rPr>
          <w:rFonts w:hAnsi="宋体" w:cs="宋体"/>
          <w:b/>
          <w:bCs/>
          <w:spacing w:val="-20"/>
          <w:kern w:val="44"/>
          <w:sz w:val="48"/>
          <w:szCs w:val="48"/>
        </w:rPr>
      </w:pPr>
      <w:r>
        <w:br w:type="page"/>
      </w:r>
      <w:bookmarkStart w:id="114" w:name="_Toc3995"/>
    </w:p>
    <w:p>
      <w:pPr>
        <w:pStyle w:val="17"/>
        <w:jc w:val="center"/>
        <w:rPr>
          <w:rFonts w:ascii="宋体" w:hAnsi="宋体" w:cs="宋体"/>
          <w:b/>
          <w:bCs/>
          <w:spacing w:val="-20"/>
          <w:kern w:val="44"/>
          <w:sz w:val="48"/>
          <w:szCs w:val="48"/>
        </w:rPr>
      </w:pPr>
    </w:p>
    <w:p>
      <w:pPr>
        <w:pStyle w:val="17"/>
        <w:jc w:val="center"/>
        <w:rPr>
          <w:rFonts w:ascii="宋体" w:hAnsi="宋体" w:cs="宋体"/>
          <w:b/>
          <w:bCs/>
          <w:spacing w:val="-20"/>
          <w:kern w:val="44"/>
          <w:sz w:val="48"/>
          <w:szCs w:val="48"/>
        </w:rPr>
      </w:pPr>
    </w:p>
    <w:p>
      <w:pPr>
        <w:pStyle w:val="17"/>
        <w:jc w:val="center"/>
        <w:rPr>
          <w:rFonts w:ascii="宋体" w:hAnsi="宋体" w:cs="宋体"/>
          <w:b/>
          <w:bCs/>
          <w:spacing w:val="-20"/>
          <w:kern w:val="44"/>
          <w:sz w:val="48"/>
          <w:szCs w:val="48"/>
        </w:rPr>
      </w:pPr>
    </w:p>
    <w:p>
      <w:pPr>
        <w:pStyle w:val="17"/>
        <w:spacing w:line="500" w:lineRule="exact"/>
        <w:jc w:val="center"/>
        <w:rPr>
          <w:rFonts w:ascii="宋体" w:hAnsi="宋体" w:cs="宋体"/>
          <w:b/>
          <w:bCs/>
          <w:spacing w:val="-20"/>
          <w:kern w:val="44"/>
          <w:sz w:val="48"/>
          <w:szCs w:val="48"/>
        </w:rPr>
      </w:pPr>
    </w:p>
    <w:p>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114"/>
    <w:p>
      <w:pPr>
        <w:pStyle w:val="3"/>
        <w:adjustRightInd w:val="0"/>
        <w:snapToGrid w:val="0"/>
        <w:jc w:val="center"/>
        <w:rPr>
          <w:rFonts w:ascii="黑体" w:hAnsi="黑体"/>
          <w:sz w:val="28"/>
          <w:szCs w:val="28"/>
        </w:rPr>
      </w:pPr>
      <w:bookmarkStart w:id="115" w:name="_Toc22209"/>
    </w:p>
    <w:p>
      <w:pPr>
        <w:pStyle w:val="3"/>
        <w:adjustRightInd w:val="0"/>
        <w:snapToGrid w:val="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5"/>
    </w:p>
    <w:p>
      <w:pPr>
        <w:pStyle w:val="3"/>
        <w:adjustRightInd w:val="0"/>
        <w:snapToGrid w:val="0"/>
        <w:jc w:val="center"/>
        <w:rPr>
          <w:rFonts w:ascii="黑体" w:hAnsi="华文中宋"/>
          <w:b w:val="0"/>
          <w:bCs w:val="0"/>
          <w:sz w:val="28"/>
          <w:szCs w:val="28"/>
        </w:rPr>
      </w:pPr>
    </w:p>
    <w:p>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00" w:lineRule="exact"/>
        <w:rPr>
          <w:rFonts w:ascii="宋体" w:hAnsi="宋体" w:cs="宋体"/>
          <w:szCs w:val="21"/>
        </w:rPr>
      </w:pPr>
    </w:p>
    <w:p>
      <w:pPr>
        <w:pStyle w:val="18"/>
        <w:adjustRightInd w:val="0"/>
        <w:snapToGrid w:val="0"/>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69"/>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pPr>
        <w:pStyle w:val="18"/>
        <w:numPr>
          <w:ilvl w:val="0"/>
          <w:numId w:val="70"/>
        </w:numPr>
        <w:adjustRightInd w:val="0"/>
        <w:snapToGrid w:val="0"/>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pPr>
        <w:pStyle w:val="18"/>
        <w:numPr>
          <w:ilvl w:val="255"/>
          <w:numId w:val="0"/>
        </w:numPr>
        <w:tabs>
          <w:tab w:val="left" w:pos="999"/>
        </w:tabs>
        <w:adjustRightInd w:val="0"/>
        <w:snapToGrid w:val="0"/>
        <w:spacing w:line="400" w:lineRule="exact"/>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pPr>
        <w:pStyle w:val="18"/>
        <w:adjustRightInd w:val="0"/>
        <w:snapToGrid w:val="0"/>
        <w:spacing w:line="400" w:lineRule="exact"/>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pPr>
        <w:pStyle w:val="1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1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pPr>
        <w:pStyle w:val="1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pPr>
        <w:pStyle w:val="1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pPr>
        <w:pStyle w:val="1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pPr>
        <w:pStyle w:val="1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pStyle w:val="1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pStyle w:val="1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pPr>
        <w:pStyle w:val="1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pStyle w:val="1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pStyle w:val="94"/>
        <w:spacing w:line="400" w:lineRule="exact"/>
      </w:pPr>
      <w:r>
        <w:rPr>
          <w:rFonts w:hint="eastAsia" w:ascii="宋体" w:hAnsi="宋体"/>
        </w:rPr>
        <w:t>（3）付款方式（按项目实际勾选填写）：</w:t>
      </w:r>
    </w:p>
    <w:p>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69"/>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pStyle w:val="144"/>
        <w:ind w:firstLine="46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pPr>
        <w:pStyle w:val="1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pPr>
        <w:numPr>
          <w:ilvl w:val="0"/>
          <w:numId w:val="71"/>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pStyle w:val="1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pPr>
        <w:pStyle w:val="1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pPr>
        <w:pStyle w:val="94"/>
        <w:spacing w:line="400" w:lineRule="exact"/>
      </w:pPr>
    </w:p>
    <w:p>
      <w:pPr>
        <w:pStyle w:val="3"/>
        <w:rPr>
          <w:rFonts w:ascii="宋体" w:hAnsi="宋体"/>
          <w:b w:val="0"/>
          <w:bCs w:val="0"/>
          <w:sz w:val="21"/>
          <w:szCs w:val="21"/>
        </w:rPr>
      </w:pPr>
      <w:r>
        <w:t xml:space="preserve">   </w:t>
      </w:r>
    </w:p>
    <w:p>
      <w:r>
        <w:rPr>
          <w:rFonts w:hint="eastAsia"/>
        </w:rPr>
        <w:br w:type="page"/>
      </w:r>
    </w:p>
    <w:p>
      <w:pPr>
        <w:pStyle w:val="94"/>
      </w:pPr>
    </w:p>
    <w:tbl>
      <w:tblPr>
        <w:tblStyle w:val="40"/>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pPr>
              <w:pStyle w:val="18"/>
              <w:adjustRightInd w:val="0"/>
              <w:snapToGrid w:val="0"/>
              <w:spacing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pPr>
        <w:pStyle w:val="3"/>
        <w:adjustRightInd w:val="0"/>
        <w:snapToGrid w:val="0"/>
        <w:spacing w:beforeLines="50"/>
        <w:jc w:val="center"/>
        <w:rPr>
          <w:rFonts w:ascii="黑体" w:hAnsi="黑体"/>
          <w:sz w:val="28"/>
          <w:szCs w:val="28"/>
        </w:rPr>
      </w:pPr>
      <w:r>
        <w:rPr>
          <w:rFonts w:ascii="宋体" w:hAnsi="宋体"/>
          <w:sz w:val="21"/>
          <w:szCs w:val="21"/>
          <w:u w:val="single"/>
        </w:rPr>
        <w:br w:type="page"/>
      </w:r>
      <w:bookmarkStart w:id="116" w:name="_Toc27624"/>
      <w:r>
        <w:rPr>
          <w:rFonts w:hint="eastAsia" w:ascii="黑体" w:hAnsi="黑体"/>
          <w:b w:val="0"/>
          <w:bCs w:val="0"/>
          <w:sz w:val="28"/>
          <w:szCs w:val="28"/>
        </w:rPr>
        <w:t>第二节 政府采购合同通用条款</w:t>
      </w:r>
      <w:bookmarkEnd w:id="116"/>
    </w:p>
    <w:p>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72"/>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73"/>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pStyle w:val="144"/>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ascii="宋体" w:hAnsi="宋体"/>
          <w:b/>
          <w:sz w:val="24"/>
        </w:rPr>
      </w:pPr>
      <w:r>
        <w:rPr>
          <w:rFonts w:hint="eastAsia" w:ascii="宋体" w:hAnsi="宋体"/>
          <w:b/>
          <w:sz w:val="24"/>
        </w:rPr>
        <w:t>8. 质量标准和保证</w:t>
      </w:r>
    </w:p>
    <w:p>
      <w:pPr>
        <w:pStyle w:val="21"/>
        <w:adjustRightInd w:val="0"/>
        <w:snapToGrid w:val="0"/>
        <w:spacing w:line="400" w:lineRule="exact"/>
        <w:ind w:firstLine="420" w:firstLineChars="200"/>
        <w:jc w:val="left"/>
        <w:rPr>
          <w:rFonts w:hAnsi="宋体"/>
          <w:b/>
        </w:rPr>
      </w:pPr>
      <w:r>
        <w:rPr>
          <w:rFonts w:hint="eastAsia" w:hAnsi="宋体"/>
        </w:rPr>
        <w:t>8.1 质量标准</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1"/>
        <w:adjustRightInd w:val="0"/>
        <w:snapToGrid w:val="0"/>
        <w:spacing w:line="400" w:lineRule="exact"/>
        <w:ind w:firstLine="420" w:firstLineChars="200"/>
        <w:jc w:val="left"/>
        <w:rPr>
          <w:rFonts w:hAnsi="宋体"/>
        </w:rPr>
      </w:pPr>
      <w:r>
        <w:rPr>
          <w:rFonts w:hint="eastAsia" w:hAnsi="宋体"/>
        </w:rPr>
        <w:t>（2）采用中华人民共和国法定计量单位。</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sz w:val="24"/>
        </w:rPr>
      </w:pPr>
      <w:r>
        <w:rPr>
          <w:rFonts w:hint="eastAsia" w:ascii="宋体" w:hAnsi="宋体"/>
          <w:b/>
          <w:bCs/>
          <w:sz w:val="24"/>
        </w:rPr>
        <w:t>9. 权利瑕疵担保</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7"/>
      <w:r>
        <w:rPr>
          <w:rFonts w:hint="eastAsia" w:ascii="宋体" w:hAnsi="宋体"/>
          <w:szCs w:val="21"/>
        </w:rPr>
        <w:t>。</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pStyle w:val="3"/>
        <w:ind w:firstLine="420"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pPr>
        <w:pStyle w:val="17"/>
        <w:spacing w:line="400" w:lineRule="exact"/>
        <w:rPr>
          <w:rFonts w:ascii="宋体" w:hAnsi="宋体"/>
          <w:b/>
          <w:bCs/>
        </w:rPr>
      </w:pPr>
      <w:r>
        <w:rPr>
          <w:rFonts w:hint="eastAsia" w:ascii="宋体" w:hAnsi="宋体"/>
          <w:b/>
          <w:bCs/>
        </w:rPr>
        <w:t>13. 履约保证金</w:t>
      </w:r>
    </w:p>
    <w:p>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pStyle w:val="144"/>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0" w:lineRule="exact"/>
        <w:jc w:val="left"/>
        <w:rPr>
          <w:rFonts w:ascii="宋体" w:hAnsi="宋体"/>
          <w:b/>
          <w:bCs/>
          <w:sz w:val="24"/>
        </w:rPr>
      </w:pPr>
      <w:r>
        <w:rPr>
          <w:rFonts w:hint="eastAsia" w:ascii="宋体" w:hAnsi="宋体"/>
          <w:b/>
          <w:bCs/>
          <w:sz w:val="24"/>
        </w:rPr>
        <w:t>15. 违约责任</w:t>
      </w:r>
    </w:p>
    <w:p>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74"/>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pPr>
        <w:adjustRightInd w:val="0"/>
        <w:snapToGrid w:val="0"/>
        <w:spacing w:line="400"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44"/>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pStyle w:val="144"/>
        <w:ind w:firstLine="46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pPr>
        <w:pStyle w:val="144"/>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pPr>
        <w:pStyle w:val="144"/>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pPr>
        <w:pStyle w:val="144"/>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144"/>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pStyle w:val="17"/>
        <w:spacing w:line="400" w:lineRule="exact"/>
        <w:ind w:firstLine="48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pPr>
        <w:pStyle w:val="144"/>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pPr>
        <w:pStyle w:val="144"/>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pPr>
        <w:pStyle w:val="144"/>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pPr>
        <w:pStyle w:val="144"/>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75"/>
        </w:numPr>
        <w:adjustRightInd w:val="0"/>
        <w:snapToGrid w:val="0"/>
        <w:spacing w:line="400" w:lineRule="exact"/>
        <w:jc w:val="left"/>
        <w:rPr>
          <w:rFonts w:ascii="宋体" w:hAnsi="宋体"/>
          <w:b/>
          <w:bCs/>
          <w:sz w:val="24"/>
        </w:rPr>
      </w:pPr>
      <w:r>
        <w:rPr>
          <w:rFonts w:hint="eastAsia" w:ascii="宋体" w:hAnsi="宋体"/>
          <w:b/>
          <w:bCs/>
          <w:sz w:val="24"/>
        </w:rPr>
        <w:t>合同未尽事项</w:t>
      </w:r>
    </w:p>
    <w:p>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18"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1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174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174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szCs w:val="21"/>
              </w:rPr>
            </w:pPr>
          </w:p>
        </w:tc>
        <w:tc>
          <w:tcPr>
            <w:tcW w:w="1742" w:type="dxa"/>
            <w:vAlign w:val="center"/>
          </w:tcPr>
          <w:p>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szCs w:val="21"/>
              </w:rPr>
            </w:pPr>
            <w:r>
              <w:rPr>
                <w:rFonts w:hint="eastAsia" w:ascii="宋体" w:hAnsi="宋体" w:cs="宋体"/>
                <w:szCs w:val="21"/>
              </w:rPr>
              <w:t>第二节</w:t>
            </w:r>
          </w:p>
          <w:p>
            <w:pPr>
              <w:pStyle w:val="144"/>
              <w:ind w:firstLine="0" w:firstLineChars="0"/>
              <w:jc w:val="center"/>
            </w:pPr>
            <w:r>
              <w:rPr>
                <w:rFonts w:hint="eastAsia" w:ascii="宋体" w:hAnsi="宋体" w:eastAsia="宋体" w:cs="宋体"/>
              </w:rPr>
              <w:t>第11.1款</w:t>
            </w:r>
          </w:p>
        </w:tc>
        <w:tc>
          <w:tcPr>
            <w:tcW w:w="174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pPr>
              <w:adjustRightInd w:val="0"/>
              <w:snapToGrid w:val="0"/>
              <w:jc w:val="left"/>
              <w:rPr>
                <w:rFonts w:ascii="宋体" w:hAnsi="宋体"/>
                <w:szCs w:val="21"/>
              </w:rPr>
            </w:pPr>
          </w:p>
        </w:tc>
      </w:tr>
    </w:tbl>
    <w:p/>
    <w:p/>
    <w:p/>
    <w:p>
      <w:pPr>
        <w:pStyle w:val="21"/>
        <w:jc w:val="left"/>
      </w:pPr>
    </w:p>
    <w:p/>
    <w:p/>
    <w:p/>
    <w:p/>
    <w:p/>
    <w:p/>
    <w:p/>
    <w:p/>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
    <w:p/>
    <w:p/>
    <w:p>
      <w:pPr>
        <w:pStyle w:val="2"/>
        <w:spacing w:line="400" w:lineRule="exact"/>
        <w:rPr>
          <w:rFonts w:ascii="方正小标宋_GBK" w:hAnsi="方正小标宋_GBK" w:eastAsia="方正小标宋_GBK"/>
        </w:rPr>
      </w:pPr>
      <w:bookmarkStart w:id="119" w:name="_Toc397585460"/>
      <w:bookmarkStart w:id="120" w:name="_Toc92355028"/>
      <w:r>
        <w:rPr>
          <w:rFonts w:hint="eastAsia" w:ascii="方正小标宋_GBK" w:hAnsi="方正小标宋_GBK" w:eastAsia="方正小标宋_GBK"/>
        </w:rPr>
        <w:t>第六章  响应文件格式</w:t>
      </w:r>
      <w:bookmarkEnd w:id="119"/>
      <w:bookmarkEnd w:id="120"/>
    </w:p>
    <w:p>
      <w:pPr>
        <w:jc w:val="left"/>
        <w:rPr>
          <w:rFonts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ascii="仿宋_GB2312" w:hAnsi="Adobe 仿宋 Std R" w:eastAsia="仿宋_GB2312"/>
          <w:b/>
          <w:spacing w:val="10"/>
          <w:sz w:val="32"/>
          <w:szCs w:val="32"/>
        </w:rPr>
      </w:pPr>
      <w:bookmarkStart w:id="121"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ascii="仿宋_GB2312" w:hAnsi="仿宋" w:eastAsia="仿宋_GB2312"/>
          <w:b/>
          <w:spacing w:val="10"/>
          <w:szCs w:val="21"/>
        </w:rPr>
      </w:pPr>
    </w:p>
    <w:p>
      <w:pPr>
        <w:spacing w:line="520" w:lineRule="exact"/>
        <w:rPr>
          <w:rFonts w:ascii="宋体" w:hAnsi="宋体"/>
          <w:bCs/>
          <w:szCs w:val="22"/>
        </w:rPr>
      </w:pPr>
      <w:r>
        <w:rPr>
          <w:rFonts w:hint="eastAsia" w:ascii="宋体" w:hAnsi="宋体"/>
          <w:bCs/>
          <w:szCs w:val="22"/>
        </w:rPr>
        <w:t>钦州市政府采购中心：</w:t>
      </w:r>
    </w:p>
    <w:p>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ascii="宋体" w:hAnsi="宋体"/>
          <w:bCs/>
          <w:szCs w:val="22"/>
        </w:rPr>
      </w:pPr>
      <w:r>
        <w:rPr>
          <w:rFonts w:hint="eastAsia" w:ascii="宋体" w:hAnsi="宋体"/>
          <w:bCs/>
          <w:szCs w:val="22"/>
        </w:rPr>
        <w:t>特此承诺。</w:t>
      </w:r>
    </w:p>
    <w:p>
      <w:pPr>
        <w:ind w:firstLine="420"/>
        <w:rPr>
          <w:rFonts w:ascii="宋体" w:hAnsi="宋体"/>
          <w:bCs/>
          <w:szCs w:val="22"/>
        </w:rPr>
      </w:pPr>
    </w:p>
    <w:p>
      <w:pPr>
        <w:ind w:firstLine="420"/>
        <w:rPr>
          <w:rFonts w:ascii="宋体" w:hAnsi="宋体"/>
          <w:bCs/>
          <w:szCs w:val="22"/>
        </w:rPr>
      </w:pPr>
    </w:p>
    <w:p>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1"/>
    <w:p/>
    <w:p/>
    <w:p/>
    <w:p/>
    <w:p/>
    <w:p>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ascii="宋体" w:hAnsi="宋体"/>
          <w:b/>
        </w:rPr>
      </w:pPr>
    </w:p>
    <w:p>
      <w:pPr>
        <w:spacing w:line="520" w:lineRule="exact"/>
        <w:rPr>
          <w:rFonts w:ascii="宋体" w:hAnsi="宋体"/>
          <w:bCs/>
        </w:rPr>
      </w:pPr>
      <w:r>
        <w:rPr>
          <w:rFonts w:hint="eastAsia" w:ascii="宋体" w:hAnsi="宋体"/>
          <w:bCs/>
        </w:rPr>
        <w:t>钦州市政府采购中心：</w:t>
      </w:r>
    </w:p>
    <w:p>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ascii="宋体" w:hAnsi="宋体"/>
          <w:bCs/>
        </w:rPr>
      </w:pPr>
      <w:r>
        <w:rPr>
          <w:rFonts w:hint="eastAsia" w:ascii="宋体" w:hAnsi="宋体"/>
          <w:bCs/>
        </w:rPr>
        <w:t>特此声明。</w:t>
      </w:r>
    </w:p>
    <w:p>
      <w:pPr>
        <w:rPr>
          <w:rFonts w:ascii="宋体" w:hAnsi="宋体"/>
          <w:bCs/>
          <w:szCs w:val="22"/>
        </w:rPr>
      </w:pPr>
    </w:p>
    <w:p>
      <w:pPr>
        <w:rPr>
          <w:rFonts w:ascii="宋体" w:hAnsi="宋体"/>
          <w:bCs/>
          <w:szCs w:val="22"/>
        </w:rPr>
      </w:pPr>
    </w:p>
    <w:p>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40" w:lineRule="exact"/>
        <w:ind w:right="420"/>
        <w:jc w:val="center"/>
        <w:rPr>
          <w:rFonts w:hint="eastAsia" w:ascii="宋体" w:hAnsi="宋体"/>
          <w:bCs/>
        </w:rPr>
      </w:pPr>
    </w:p>
    <w:p>
      <w:pPr>
        <w:spacing w:line="440" w:lineRule="exact"/>
        <w:ind w:right="420"/>
        <w:jc w:val="center"/>
        <w:rPr>
          <w:rFonts w:hint="eastAsia" w:ascii="宋体" w:hAnsi="宋体"/>
          <w:bCs/>
        </w:rPr>
      </w:pPr>
    </w:p>
    <w:p>
      <w:pPr>
        <w:spacing w:line="440" w:lineRule="exact"/>
        <w:ind w:right="420"/>
        <w:jc w:val="center"/>
        <w:rPr>
          <w:rFonts w:hint="eastAsia" w:ascii="宋体" w:hAnsi="宋体"/>
          <w:bCs/>
        </w:rPr>
      </w:pPr>
    </w:p>
    <w:p>
      <w:pPr>
        <w:spacing w:line="440" w:lineRule="exact"/>
        <w:ind w:left="420" w:hanging="420"/>
        <w:jc w:val="center"/>
        <w:rPr>
          <w:rFonts w:ascii="仿宋" w:hAnsi="仿宋" w:eastAsia="仿宋"/>
          <w:b/>
          <w:sz w:val="32"/>
          <w:szCs w:val="32"/>
        </w:rPr>
      </w:pPr>
      <w:bookmarkStart w:id="122"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p>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23"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7"/>
          <w:rFonts w:hint="eastAsia" w:ascii="宋体" w:hAnsi="宋体"/>
          <w:bCs/>
          <w:color w:val="auto"/>
          <w:szCs w:val="21"/>
          <w:u w:val="none"/>
        </w:rPr>
        <w:t>《政府采购促进中小企业发展管理办法》</w:t>
      </w:r>
      <w:bookmarkStart w:id="124" w:name="_Hlk60836554"/>
      <w:r>
        <w:rPr>
          <w:rStyle w:val="47"/>
          <w:rFonts w:hint="eastAsia" w:ascii="宋体" w:hAnsi="宋体"/>
          <w:bCs/>
          <w:color w:val="auto"/>
          <w:szCs w:val="21"/>
          <w:u w:val="none"/>
        </w:rPr>
        <w:t>（财库﹝2020﹞46号）</w:t>
      </w:r>
      <w:bookmarkEnd w:id="123"/>
      <w:bookmarkEnd w:id="124"/>
      <w:r>
        <w:rPr>
          <w:rFonts w:ascii="宋体" w:hAnsi="宋体"/>
          <w:bCs/>
          <w:szCs w:val="21"/>
        </w:rPr>
        <w:fldChar w:fldCharType="end"/>
      </w:r>
      <w:r>
        <w:rPr>
          <w:rFonts w:hint="eastAsia" w:ascii="宋体" w:hAnsi="宋体"/>
          <w:bCs/>
          <w:szCs w:val="21"/>
        </w:rPr>
        <w:t>的规定，本公司参加</w:t>
      </w:r>
      <w:bookmarkStart w:id="125"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25"/>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ascii="宋体" w:hAnsi="宋体"/>
          <w:bCs/>
          <w:szCs w:val="21"/>
        </w:rPr>
      </w:pPr>
      <w:r>
        <w:rPr>
          <w:rFonts w:hint="eastAsia" w:ascii="宋体" w:hAnsi="宋体"/>
          <w:bCs/>
          <w:szCs w:val="21"/>
        </w:rPr>
        <w:t>1.</w:t>
      </w:r>
      <w:bookmarkStart w:id="126"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26"/>
    </w:p>
    <w:p>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p/>
    <w:p/>
    <w:p/>
    <w:p/>
    <w:p/>
    <w:p/>
    <w:p/>
    <w:p/>
    <w:p/>
    <w:p>
      <w:pPr>
        <w:spacing w:line="320" w:lineRule="exact"/>
        <w:jc w:val="left"/>
        <w:rPr>
          <w:rFonts w:hAnsi="宋体"/>
          <w:bCs/>
          <w:sz w:val="18"/>
          <w:szCs w:val="18"/>
        </w:rPr>
      </w:pPr>
      <w:bookmarkStart w:id="127"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27"/>
      <w:r>
        <w:rPr>
          <w:rFonts w:hint="eastAsia" w:hAnsi="宋体"/>
          <w:bCs/>
          <w:sz w:val="18"/>
          <w:szCs w:val="18"/>
        </w:rPr>
        <w:t>上一年度数据，无上一年度数据的新成立企业可不填报。</w:t>
      </w:r>
    </w:p>
    <w:p>
      <w:pPr>
        <w:spacing w:line="320" w:lineRule="exact"/>
        <w:jc w:val="left"/>
        <w:rPr>
          <w:rFonts w:hAnsi="宋体"/>
          <w:bCs/>
          <w:sz w:val="18"/>
          <w:szCs w:val="18"/>
        </w:rPr>
      </w:pPr>
    </w:p>
    <w:p>
      <w:pPr>
        <w:spacing w:line="320" w:lineRule="exact"/>
        <w:jc w:val="left"/>
        <w:rPr>
          <w:rFonts w:hAnsi="宋体"/>
          <w:bCs/>
          <w:sz w:val="18"/>
          <w:szCs w:val="18"/>
        </w:rPr>
      </w:pPr>
    </w:p>
    <w:p>
      <w:pPr>
        <w:spacing w:line="320" w:lineRule="exact"/>
        <w:jc w:val="left"/>
        <w:rPr>
          <w:rFonts w:hAnsi="宋体"/>
          <w:bCs/>
          <w:sz w:val="18"/>
          <w:szCs w:val="18"/>
        </w:rPr>
      </w:pPr>
    </w:p>
    <w:tbl>
      <w:tblPr>
        <w:tblStyle w:val="40"/>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工业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交通运输业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仓储业</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信息传输业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其他未列明行业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jc w:val="left"/>
      </w:pPr>
    </w:p>
    <w:p>
      <w:pPr>
        <w:widowControl/>
        <w:shd w:val="clear" w:color="auto" w:fill="FFFFFF"/>
        <w:spacing w:line="360" w:lineRule="atLeast"/>
        <w:jc w:val="left"/>
        <w:rPr>
          <w:rFonts w:ascii="Helvetica" w:hAnsi="Helvetica" w:cs="Helvetica"/>
          <w:kern w:val="0"/>
          <w:sz w:val="18"/>
          <w:szCs w:val="18"/>
        </w:rPr>
      </w:pP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w:t>
      </w:r>
      <w:r>
        <w:rPr>
          <w:rFonts w:hint="eastAsia" w:ascii="Helvetica" w:hAnsi="Helvetica" w:cs="Helvetica"/>
          <w:kern w:val="0"/>
          <w:sz w:val="18"/>
          <w:szCs w:val="18"/>
          <w:lang w:eastAsia="zh-CN"/>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rPr>
          <w:rFonts w:hint="eastAsia" w:ascii="Helvetica" w:hAnsi="Helvetica" w:cs="Helvetica"/>
          <w:kern w:val="0"/>
          <w:sz w:val="18"/>
          <w:szCs w:val="18"/>
          <w:lang w:eastAsia="zh-CN"/>
        </w:rPr>
        <w:t>；</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Ansi="宋体"/>
          <w:bCs/>
          <w:sz w:val="18"/>
          <w:szCs w:val="18"/>
        </w:rPr>
      </w:pPr>
      <w:r>
        <w:rPr>
          <w:rFonts w:hAnsi="宋体"/>
          <w:bCs/>
          <w:sz w:val="18"/>
          <w:szCs w:val="18"/>
        </w:rPr>
        <w:br w:type="page"/>
      </w:r>
    </w:p>
    <w:p>
      <w:pPr>
        <w:spacing w:line="320" w:lineRule="exact"/>
        <w:jc w:val="left"/>
        <w:rPr>
          <w:rFonts w:hAnsi="宋体"/>
          <w:bCs/>
          <w:sz w:val="18"/>
          <w:szCs w:val="18"/>
        </w:rPr>
      </w:pPr>
    </w:p>
    <w:p>
      <w:pPr>
        <w:pStyle w:val="21"/>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28"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28"/>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2"/>
    <w:p>
      <w:pPr>
        <w:spacing w:line="440" w:lineRule="exact"/>
        <w:ind w:right="420"/>
        <w:jc w:val="center"/>
        <w:rPr>
          <w:rFonts w:hint="eastAsia" w:ascii="宋体" w:hAnsi="宋体"/>
          <w:bCs/>
        </w:rPr>
      </w:pPr>
    </w:p>
    <w:p>
      <w:pPr>
        <w:spacing w:line="400" w:lineRule="exact"/>
        <w:ind w:right="1050" w:rightChars="500"/>
        <w:jc w:val="right"/>
        <w:rPr>
          <w:rFonts w:ascii="黑体" w:hAnsi="黑体" w:eastAsia="黑体" w:cs="黑体"/>
          <w:b/>
          <w:sz w:val="32"/>
          <w:szCs w:val="32"/>
        </w:rPr>
      </w:pPr>
    </w:p>
    <w:p>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ascii="仿宋" w:hAnsi="仿宋" w:eastAsia="仿宋" w:cs="黑体"/>
          <w:b/>
          <w:sz w:val="32"/>
          <w:szCs w:val="32"/>
        </w:rPr>
      </w:pPr>
      <w:bookmarkStart w:id="129" w:name="_Hlk92702324"/>
      <w:r>
        <w:rPr>
          <w:rFonts w:hint="eastAsia" w:ascii="仿宋" w:hAnsi="仿宋" w:eastAsia="仿宋" w:cs="黑体"/>
          <w:b/>
          <w:sz w:val="32"/>
          <w:szCs w:val="32"/>
        </w:rPr>
        <w:t>谈 判 函</w:t>
      </w:r>
      <w:bookmarkEnd w:id="129"/>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ascii="宋体" w:hAnsi="宋体"/>
          <w:b/>
          <w:szCs w:val="21"/>
        </w:rPr>
      </w:pPr>
    </w:p>
    <w:p>
      <w:pPr>
        <w:spacing w:line="400" w:lineRule="exact"/>
        <w:rPr>
          <w:rFonts w:ascii="宋体" w:hAnsi="宋体"/>
          <w:szCs w:val="21"/>
        </w:rPr>
      </w:pPr>
      <w:r>
        <w:rPr>
          <w:rFonts w:hint="eastAsia" w:ascii="宋体" w:hAnsi="宋体"/>
          <w:szCs w:val="21"/>
        </w:rPr>
        <w:t>致：钦州市政府采购中心：</w:t>
      </w:r>
    </w:p>
    <w:p>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ascii="宋体" w:hAnsi="宋体"/>
          <w:szCs w:val="21"/>
        </w:rPr>
      </w:pPr>
    </w:p>
    <w:p>
      <w:pPr>
        <w:spacing w:line="400" w:lineRule="exact"/>
        <w:ind w:firstLine="426"/>
        <w:rPr>
          <w:rFonts w:ascii="宋体" w:hAnsi="宋体"/>
          <w:szCs w:val="21"/>
        </w:rPr>
      </w:pPr>
      <w:r>
        <w:rPr>
          <w:rFonts w:hint="eastAsia" w:ascii="宋体" w:hAnsi="宋体"/>
          <w:szCs w:val="21"/>
        </w:rPr>
        <w:t>与我公司有关的正式通讯方式：</w:t>
      </w:r>
    </w:p>
    <w:p>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ascii="仿宋" w:hAnsi="仿宋" w:eastAsia="仿宋"/>
          <w:sz w:val="32"/>
          <w:szCs w:val="32"/>
        </w:rPr>
      </w:pPr>
      <w:r>
        <w:rPr>
          <w:rFonts w:hint="eastAsia" w:ascii="仿宋" w:hAnsi="仿宋" w:eastAsia="仿宋"/>
          <w:b/>
          <w:sz w:val="32"/>
          <w:szCs w:val="32"/>
        </w:rPr>
        <w:t>授权委托书</w:t>
      </w:r>
      <w:bookmarkStart w:id="130" w:name="_Hlk92703623"/>
      <w:r>
        <w:rPr>
          <w:rFonts w:hint="eastAsia" w:ascii="仿宋" w:hAnsi="仿宋" w:eastAsia="仿宋"/>
          <w:sz w:val="24"/>
        </w:rPr>
        <w:t>(格式</w:t>
      </w:r>
      <w:r>
        <w:rPr>
          <w:rFonts w:ascii="仿宋" w:hAnsi="仿宋" w:eastAsia="仿宋"/>
          <w:sz w:val="24"/>
        </w:rPr>
        <w:t>)</w:t>
      </w:r>
      <w:bookmarkEnd w:id="130"/>
    </w:p>
    <w:p>
      <w:pPr>
        <w:snapToGrid w:val="0"/>
        <w:spacing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pPr>
        <w:snapToGrid w:val="0"/>
        <w:spacing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pPr>
        <w:snapToGrid w:val="0"/>
        <w:spacing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Lines="50" w:after="50" w:line="500" w:lineRule="exact"/>
        <w:ind w:firstLine="420" w:firstLineChars="200"/>
        <w:rPr>
          <w:rFonts w:ascii="宋体" w:hAnsi="宋体"/>
          <w:szCs w:val="21"/>
        </w:rPr>
      </w:pPr>
      <w:r>
        <w:rPr>
          <w:rFonts w:hint="eastAsia" w:ascii="宋体" w:hAnsi="宋体"/>
          <w:szCs w:val="21"/>
        </w:rPr>
        <w:t>被授权人无转委托权，特此委托。</w:t>
      </w:r>
    </w:p>
    <w:p>
      <w:pPr>
        <w:snapToGrid w:val="0"/>
        <w:spacing w:beforeLines="50" w:after="50" w:line="300" w:lineRule="exact"/>
        <w:ind w:firstLine="525" w:firstLineChars="250"/>
        <w:rPr>
          <w:rFonts w:ascii="宋体" w:hAnsi="宋体"/>
          <w:szCs w:val="21"/>
        </w:rPr>
      </w:pPr>
    </w:p>
    <w:p>
      <w:pPr>
        <w:snapToGrid w:val="0"/>
        <w:spacing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pPr>
        <w:snapToGrid w:val="0"/>
        <w:spacing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pPr>
        <w:snapToGrid w:val="0"/>
        <w:spacing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Lines="50" w:after="50" w:line="300" w:lineRule="exact"/>
        <w:ind w:firstLine="420" w:firstLineChars="200"/>
        <w:rPr>
          <w:rFonts w:hAnsi="宋体"/>
        </w:rPr>
      </w:pPr>
      <w:r>
        <w:rPr>
          <w:rFonts w:hint="eastAsia" w:hAnsi="宋体"/>
        </w:rPr>
        <w:t>附：委托代理人身份证(正反面</w:t>
      </w:r>
      <w:r>
        <w:rPr>
          <w:rFonts w:hAnsi="宋体"/>
        </w:rPr>
        <w:t>)</w:t>
      </w:r>
    </w:p>
    <w:p/>
    <w:p/>
    <w:p>
      <w:pPr>
        <w:snapToGrid w:val="0"/>
        <w:spacing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ind w:left="4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bl>
    <w:p>
      <w:pPr>
        <w:tabs>
          <w:tab w:val="left" w:pos="3870"/>
          <w:tab w:val="left" w:pos="4085"/>
        </w:tabs>
        <w:snapToGrid w:val="0"/>
        <w:spacing w:line="400" w:lineRule="exact"/>
        <w:rPr>
          <w:rFonts w:ascii="宋体" w:hAnsi="宋体"/>
          <w:b/>
          <w:szCs w:val="21"/>
        </w:rPr>
      </w:pPr>
    </w:p>
    <w:p>
      <w:pPr>
        <w:pStyle w:val="16"/>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pPr>
        <w:tabs>
          <w:tab w:val="left" w:pos="3870"/>
          <w:tab w:val="left" w:pos="4085"/>
        </w:tabs>
        <w:snapToGrid w:val="0"/>
        <w:spacing w:line="400" w:lineRule="exact"/>
        <w:rPr>
          <w:rFonts w:ascii="宋体" w:hAnsi="宋体"/>
          <w:b/>
          <w:szCs w:val="21"/>
        </w:rPr>
      </w:pP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ascii="宋体" w:hAnsi="宋体"/>
          <w:szCs w:val="21"/>
        </w:rPr>
      </w:pPr>
    </w:p>
    <w:p>
      <w:pPr>
        <w:snapToGrid w:val="0"/>
        <w:spacing w:before="50" w:after="50" w:line="350" w:lineRule="exact"/>
        <w:ind w:right="-817" w:rightChars="-389"/>
        <w:rPr>
          <w:rFonts w:ascii="宋体" w:hAnsi="宋体"/>
          <w:szCs w:val="21"/>
        </w:rPr>
      </w:pPr>
    </w:p>
    <w:p>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40"/>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31" w:name="_Hlk92703260"/>
      <w:r>
        <w:rPr>
          <w:rFonts w:hint="eastAsia" w:ascii="宋体" w:hAnsi="宋体" w:eastAsia="宋体"/>
          <w:sz w:val="21"/>
          <w:szCs w:val="21"/>
        </w:rPr>
        <w:t>技术参数及其性能（规格）</w:t>
      </w:r>
      <w:bookmarkEnd w:id="131"/>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21"/>
        <w:spacing w:line="300" w:lineRule="auto"/>
        <w:rPr>
          <w:rFonts w:hAnsi="宋体"/>
        </w:rPr>
      </w:pPr>
    </w:p>
    <w:p>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1"/>
    <w:bookmarkEnd w:id="42"/>
    <w:bookmarkEnd w:id="43"/>
    <w:bookmarkEnd w:id="44"/>
    <w:p/>
    <w:p>
      <w:pPr>
        <w:jc w:val="left"/>
        <w:rPr>
          <w:rFonts w:ascii="宋体" w:hAnsi="宋体"/>
          <w:b/>
          <w:bCs/>
          <w:sz w:val="36"/>
          <w:szCs w:val="36"/>
        </w:rPr>
      </w:pPr>
      <w:r>
        <w:rPr>
          <w:rFonts w:hint="eastAsia" w:ascii="宋体" w:hAnsi="宋体"/>
          <w:b/>
          <w:bCs/>
          <w:sz w:val="36"/>
          <w:szCs w:val="36"/>
        </w:rPr>
        <w:t>三、报价文件</w:t>
      </w:r>
    </w:p>
    <w:p>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ascii="宋体" w:hAnsi="宋体" w:cs="Courier New"/>
                <w:szCs w:val="21"/>
              </w:rPr>
            </w:pPr>
            <w:bookmarkStart w:id="132"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pPr>
              <w:spacing w:line="300" w:lineRule="exact"/>
              <w:jc w:val="center"/>
              <w:rPr>
                <w:rFonts w:ascii="宋体" w:hAnsi="宋体" w:cs="Courier New"/>
                <w:szCs w:val="21"/>
              </w:rPr>
            </w:pPr>
            <w:r>
              <w:rPr>
                <w:rFonts w:hint="eastAsia" w:ascii="宋体" w:hAnsi="宋体" w:cs="Courier New"/>
                <w:szCs w:val="21"/>
              </w:rPr>
              <w:t>单项合价</w:t>
            </w:r>
          </w:p>
          <w:p>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32"/>
    </w:tbl>
    <w:p>
      <w:pPr>
        <w:spacing w:line="440" w:lineRule="exact"/>
        <w:rPr>
          <w:rFonts w:ascii="宋体" w:hAnsi="宋体"/>
          <w:szCs w:val="21"/>
        </w:rPr>
      </w:pPr>
      <w:r>
        <w:rPr>
          <w:rFonts w:hint="eastAsia" w:ascii="宋体" w:hAnsi="宋体"/>
          <w:szCs w:val="21"/>
        </w:rPr>
        <w:t>注：所有价格均用人民币表示，单位为元，精确到个数位。</w:t>
      </w:r>
    </w:p>
    <w:p>
      <w:pPr>
        <w:spacing w:line="440" w:lineRule="exact"/>
        <w:rPr>
          <w:rFonts w:ascii="宋体" w:hAnsi="宋体"/>
          <w:szCs w:val="21"/>
        </w:rPr>
      </w:pPr>
      <w:r>
        <w:rPr>
          <w:rFonts w:hint="eastAsia" w:ascii="宋体" w:hAnsi="宋体"/>
          <w:szCs w:val="21"/>
        </w:rPr>
        <w:t xml:space="preserve">   </w:t>
      </w:r>
    </w:p>
    <w:p/>
    <w:p/>
    <w:p>
      <w:pPr>
        <w:pStyle w:val="21"/>
        <w:spacing w:line="440" w:lineRule="exact"/>
        <w:ind w:firstLine="3675" w:firstLineChars="1750"/>
        <w:rPr>
          <w:rFonts w:hAnsi="宋体"/>
          <w:u w:val="single"/>
        </w:rPr>
      </w:pPr>
    </w:p>
    <w:p>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hint="eastAsia"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color w:val="auto"/>
        </w:rPr>
      </w:pPr>
    </w:p>
    <w:p>
      <w:pPr>
        <w:spacing w:line="440" w:lineRule="exact"/>
        <w:jc w:val="center"/>
        <w:rPr>
          <w:rFonts w:hint="eastAsia" w:ascii="仿宋_GB2312" w:hAnsi="宋体" w:eastAsia="仿宋_GB2312" w:cs="Courier New"/>
          <w:b/>
          <w:color w:val="auto"/>
          <w:kern w:val="0"/>
          <w:sz w:val="32"/>
          <w:szCs w:val="32"/>
        </w:rPr>
      </w:pPr>
      <w:r>
        <w:rPr>
          <w:rFonts w:hint="eastAsia" w:ascii="仿宋_GB2312" w:hAnsi="宋体" w:eastAsia="仿宋_GB2312" w:cs="Courier New"/>
          <w:b/>
          <w:color w:val="auto"/>
          <w:kern w:val="0"/>
          <w:sz w:val="32"/>
          <w:szCs w:val="32"/>
        </w:rPr>
        <w:t>关于符合本国产品标准的声明函</w:t>
      </w:r>
      <w:r>
        <w:rPr>
          <w:rFonts w:hint="eastAsia" w:ascii="仿宋_GB2312" w:hAnsi="Times New Roman" w:eastAsia="仿宋_GB2312" w:cs="Times New Roman"/>
          <w:bCs/>
          <w:color w:val="auto"/>
          <w:sz w:val="24"/>
          <w:szCs w:val="24"/>
        </w:rPr>
        <w:t>（格式）</w:t>
      </w:r>
    </w:p>
    <w:p>
      <w:pPr>
        <w:spacing w:line="400" w:lineRule="exact"/>
        <w:rPr>
          <w:rFonts w:ascii="Times New Roman" w:hAnsi="Times New Roman" w:eastAsia="宋体" w:cs="Times New Roman"/>
          <w:color w:val="auto"/>
          <w:szCs w:val="24"/>
        </w:rPr>
      </w:pPr>
    </w:p>
    <w:p>
      <w:pPr>
        <w:widowControl/>
        <w:shd w:val="clear" w:color="auto" w:fill="FFFFFF"/>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w:t>
      </w:r>
      <w:r>
        <w:rPr>
          <w:rFonts w:hint="eastAsia" w:ascii="宋体" w:hAnsi="宋体" w:eastAsia="宋体" w:cs="宋体"/>
          <w:color w:val="auto"/>
          <w:kern w:val="0"/>
          <w:szCs w:val="21"/>
          <w:u w:val="single"/>
        </w:rPr>
        <w:t>（单位）</w:t>
      </w:r>
      <w:r>
        <w:rPr>
          <w:rFonts w:hint="eastAsia" w:ascii="宋体" w:hAnsi="宋体" w:eastAsia="宋体" w:cs="宋体"/>
          <w:color w:val="auto"/>
          <w:kern w:val="0"/>
          <w:szCs w:val="21"/>
        </w:rPr>
        <w:t>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i/>
          <w:iCs/>
          <w:color w:val="auto"/>
          <w:kern w:val="0"/>
          <w:szCs w:val="21"/>
          <w:u w:val="single"/>
        </w:rPr>
        <w:t>（产品名称1）</w:t>
      </w:r>
      <w:r>
        <w:rPr>
          <w:rFonts w:hint="eastAsia" w:ascii="宋体" w:hAnsi="宋体" w:eastAsia="宋体" w:cs="宋体"/>
          <w:i/>
          <w:iCs/>
          <w:color w:val="auto"/>
          <w:kern w:val="0"/>
          <w:szCs w:val="21"/>
          <w:vertAlign w:val="superscript"/>
        </w:rPr>
        <w:t>1</w:t>
      </w:r>
      <w:r>
        <w:rPr>
          <w:rFonts w:hint="eastAsia" w:ascii="宋体" w:hAnsi="宋体" w:eastAsia="宋体" w:cs="宋体"/>
          <w:color w:val="auto"/>
          <w:kern w:val="0"/>
          <w:szCs w:val="21"/>
        </w:rPr>
        <w:t>，生产厂为</w:t>
      </w:r>
      <w:r>
        <w:rPr>
          <w:rFonts w:hint="eastAsia" w:ascii="宋体" w:hAnsi="宋体" w:eastAsia="宋体" w:cs="宋体"/>
          <w:i/>
          <w:iCs/>
          <w:color w:val="auto"/>
          <w:kern w:val="0"/>
          <w:szCs w:val="21"/>
          <w:u w:val="single"/>
        </w:rPr>
        <w:t>（厂名）</w:t>
      </w:r>
      <w:r>
        <w:rPr>
          <w:rFonts w:hint="eastAsia" w:ascii="宋体" w:hAnsi="宋体" w:eastAsia="宋体" w:cs="宋体"/>
          <w:i/>
          <w:iCs/>
          <w:color w:val="auto"/>
          <w:kern w:val="0"/>
          <w:szCs w:val="21"/>
          <w:vertAlign w:val="superscript"/>
        </w:rPr>
        <w:t>2</w:t>
      </w:r>
      <w:r>
        <w:rPr>
          <w:rFonts w:hint="eastAsia" w:ascii="宋体" w:hAnsi="宋体" w:eastAsia="宋体" w:cs="宋体"/>
          <w:color w:val="auto"/>
          <w:kern w:val="0"/>
          <w:szCs w:val="21"/>
        </w:rPr>
        <w:t>，厂址为</w:t>
      </w:r>
      <w:r>
        <w:rPr>
          <w:rFonts w:hint="eastAsia" w:ascii="宋体" w:hAnsi="宋体" w:eastAsia="宋体" w:cs="宋体"/>
          <w:i/>
          <w:iCs/>
          <w:color w:val="auto"/>
          <w:kern w:val="0"/>
          <w:szCs w:val="21"/>
          <w:u w:val="single"/>
        </w:rPr>
        <w:t>（生产厂址）</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的中国境内生产的组件成本占比≥</w:t>
      </w:r>
      <w:r>
        <w:rPr>
          <w:rFonts w:hint="eastAsia" w:ascii="宋体" w:hAnsi="宋体" w:eastAsia="宋体" w:cs="宋体"/>
          <w:i/>
          <w:iCs/>
          <w:color w:val="auto"/>
          <w:kern w:val="0"/>
          <w:szCs w:val="21"/>
          <w:u w:val="single"/>
        </w:rPr>
        <w:t>（规定比例）</w:t>
      </w:r>
      <w:r>
        <w:rPr>
          <w:rFonts w:hint="eastAsia" w:ascii="宋体" w:hAnsi="宋体" w:eastAsia="宋体" w:cs="宋体"/>
          <w:i/>
          <w:iCs/>
          <w:color w:val="auto"/>
          <w:kern w:val="0"/>
          <w:szCs w:val="21"/>
          <w:vertAlign w:val="superscript"/>
        </w:rPr>
        <w:t>3</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（关键组件）</w:t>
      </w:r>
      <w:r>
        <w:rPr>
          <w:rFonts w:hint="eastAsia" w:ascii="宋体" w:hAnsi="宋体" w:eastAsia="宋体" w:cs="宋体"/>
          <w:i/>
          <w:iCs/>
          <w:color w:val="auto"/>
          <w:kern w:val="0"/>
          <w:szCs w:val="21"/>
          <w:vertAlign w:val="superscript"/>
        </w:rPr>
        <w:t>4</w:t>
      </w:r>
      <w:r>
        <w:rPr>
          <w:rFonts w:hint="eastAsia" w:ascii="宋体" w:hAnsi="宋体" w:eastAsia="宋体" w:cs="宋体"/>
          <w:color w:val="auto"/>
          <w:kern w:val="0"/>
          <w:szCs w:val="21"/>
        </w:rPr>
        <w:t>在中国境内生产。</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（关键工序）</w:t>
      </w:r>
      <w:r>
        <w:rPr>
          <w:rFonts w:hint="eastAsia" w:ascii="宋体" w:hAnsi="宋体" w:eastAsia="宋体" w:cs="宋体"/>
          <w:i/>
          <w:iCs/>
          <w:color w:val="auto"/>
          <w:kern w:val="0"/>
          <w:szCs w:val="21"/>
          <w:vertAlign w:val="superscript"/>
        </w:rPr>
        <w:t>5</w:t>
      </w:r>
      <w:r>
        <w:rPr>
          <w:rFonts w:hint="eastAsia" w:ascii="宋体" w:hAnsi="宋体" w:eastAsia="宋体" w:cs="宋体"/>
          <w:color w:val="auto"/>
          <w:kern w:val="0"/>
          <w:szCs w:val="21"/>
        </w:rPr>
        <w:t>在中国境内完成。</w:t>
      </w:r>
    </w:p>
    <w:p>
      <w:pPr>
        <w:widowControl/>
        <w:shd w:val="clear" w:color="auto" w:fill="FFFFFF"/>
        <w:spacing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，生产厂为</w:t>
      </w:r>
      <w:r>
        <w:rPr>
          <w:rFonts w:hint="eastAsia" w:ascii="宋体" w:hAnsi="宋体" w:eastAsia="宋体" w:cs="宋体"/>
          <w:i/>
          <w:iCs/>
          <w:color w:val="auto"/>
          <w:kern w:val="0"/>
          <w:szCs w:val="21"/>
          <w:u w:val="single"/>
        </w:rPr>
        <w:t>（厂名）</w:t>
      </w:r>
      <w:r>
        <w:rPr>
          <w:rFonts w:hint="eastAsia" w:ascii="宋体" w:hAnsi="宋体" w:eastAsia="宋体" w:cs="宋体"/>
          <w:color w:val="auto"/>
          <w:kern w:val="0"/>
          <w:szCs w:val="21"/>
        </w:rPr>
        <w:t>，厂址为</w:t>
      </w:r>
      <w:r>
        <w:rPr>
          <w:rFonts w:hint="eastAsia" w:ascii="宋体" w:hAnsi="宋体" w:eastAsia="宋体" w:cs="宋体"/>
          <w:i/>
          <w:iCs/>
          <w:color w:val="auto"/>
          <w:kern w:val="0"/>
          <w:szCs w:val="21"/>
          <w:u w:val="single"/>
        </w:rPr>
        <w:t>（生产厂址）</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的中国境内生产的组件成本占比≥</w:t>
      </w:r>
      <w:r>
        <w:rPr>
          <w:rFonts w:hint="eastAsia" w:ascii="宋体" w:hAnsi="宋体" w:eastAsia="宋体" w:cs="宋体"/>
          <w:i/>
          <w:iCs/>
          <w:color w:val="auto"/>
          <w:kern w:val="0"/>
          <w:szCs w:val="21"/>
          <w:u w:val="single"/>
        </w:rPr>
        <w:t>（规定比例）</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（关键组件）</w:t>
      </w:r>
      <w:r>
        <w:rPr>
          <w:rFonts w:hint="eastAsia" w:ascii="宋体" w:hAnsi="宋体" w:eastAsia="宋体" w:cs="宋体"/>
          <w:color w:val="auto"/>
          <w:kern w:val="0"/>
          <w:szCs w:val="21"/>
        </w:rPr>
        <w:t>在中国境内生产。</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（关键工序）</w:t>
      </w:r>
      <w:r>
        <w:rPr>
          <w:rFonts w:hint="eastAsia" w:ascii="宋体" w:hAnsi="宋体" w:eastAsia="宋体" w:cs="宋体"/>
          <w:color w:val="auto"/>
          <w:kern w:val="0"/>
          <w:szCs w:val="21"/>
        </w:rPr>
        <w:t>在中国境内完成。</w:t>
      </w:r>
    </w:p>
    <w:p>
      <w:pPr>
        <w:widowControl/>
        <w:shd w:val="clear" w:color="auto" w:fill="FFFFFF"/>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p>
      <w:pPr>
        <w:widowControl/>
        <w:shd w:val="clear" w:color="auto" w:fill="FFFFFF"/>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本公司（单位）对上述声明内容的真实性负责。如有虚假，愿承担相应法律责任。</w:t>
      </w:r>
    </w:p>
    <w:p>
      <w:pPr>
        <w:widowControl/>
        <w:shd w:val="clear" w:color="auto" w:fill="FFFFFF"/>
        <w:spacing w:before="30" w:after="30" w:line="660" w:lineRule="exact"/>
        <w:jc w:val="left"/>
        <w:rPr>
          <w:rFonts w:hint="eastAsia" w:ascii="宋体" w:hAnsi="宋体" w:eastAsia="宋体" w:cs="宋体"/>
          <w:color w:val="auto"/>
          <w:kern w:val="0"/>
          <w:sz w:val="24"/>
          <w:szCs w:val="24"/>
        </w:rPr>
      </w:pPr>
    </w:p>
    <w:p>
      <w:pPr>
        <w:widowControl/>
        <w:shd w:val="clear" w:color="auto" w:fill="FFFFFF"/>
        <w:spacing w:before="30" w:after="30" w:line="660" w:lineRule="exact"/>
        <w:ind w:right="420" w:rightChars="200" w:firstLine="4920" w:firstLineChars="20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公司(单位)名称(盖章)：</w:t>
      </w:r>
      <w:r>
        <w:rPr>
          <w:rFonts w:hint="eastAsia" w:ascii="宋体" w:hAnsi="宋体" w:eastAsia="宋体" w:cs="宋体"/>
          <w:color w:val="auto"/>
          <w:kern w:val="0"/>
          <w:sz w:val="24"/>
          <w:szCs w:val="24"/>
          <w:u w:val="single"/>
        </w:rPr>
        <w:t>　        </w:t>
      </w:r>
    </w:p>
    <w:p>
      <w:pPr>
        <w:widowControl/>
        <w:shd w:val="clear" w:color="auto" w:fill="FFFFFF"/>
        <w:spacing w:line="660" w:lineRule="exact"/>
        <w:ind w:right="420" w:rightChars="200" w:firstLine="5280" w:firstLineChars="2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日</w:t>
      </w: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1.产品如有型号，请在“产品名称”栏一并填写。</w:t>
      </w: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2.生产厂名与厂址应与生产厂营业执照载明的相关信息保持一致。</w:t>
      </w: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3.该产品的中国境内生产的组件成本占比相关要求实施前，“规定比例”栏可不填，下同。</w:t>
      </w: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4.该产品的关键组件要求实施前，“关键组件”栏可不填，下同。</w:t>
      </w:r>
    </w:p>
    <w:p>
      <w:pPr>
        <w:snapToGrid w:val="0"/>
        <w:spacing w:before="50" w:after="50" w:line="360" w:lineRule="exact"/>
        <w:ind w:right="-817" w:rightChars="-389"/>
        <w:rPr>
          <w:rFonts w:hint="eastAsia" w:hAnsi="宋体"/>
          <w:color w:val="auto"/>
        </w:rPr>
      </w:pPr>
      <w:r>
        <w:rPr>
          <w:rFonts w:hint="eastAsia" w:ascii="宋体" w:hAnsi="宋体" w:eastAsia="宋体" w:cs="Times New Roman"/>
          <w:color w:val="auto"/>
          <w:szCs w:val="21"/>
        </w:rPr>
        <w:t>5.该产品的关键工序要求实施前，“关键工序”栏可不填，下同。</w:t>
      </w:r>
    </w:p>
    <w:sectPr>
      <w:headerReference r:id="rId10" w:type="default"/>
      <w:footerReference r:id="rId11"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p>
    <w:pPr>
      <w:pStyle w:val="25"/>
    </w:pPr>
  </w:p>
  <w:p>
    <w:pPr>
      <w:pStyle w:val="25"/>
    </w:pPr>
  </w:p>
  <w:p>
    <w:pPr>
      <w:pStyle w:val="25"/>
    </w:pPr>
  </w:p>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pPr>
                                <w:pStyle w:val="25"/>
                                <w:jc w:val="center"/>
                              </w:pPr>
                              <w:r>
                                <w:fldChar w:fldCharType="begin"/>
                              </w:r>
                              <w:r>
                                <w:instrText xml:space="preserve">PAGE   \* MERGEFORMAT</w:instrText>
                              </w:r>
                              <w:r>
                                <w:fldChar w:fldCharType="separate"/>
                              </w:r>
                              <w:r>
                                <w:t>64</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
                    </w:sdtPr>
                    <w:sdtContent>
                      <w:p>
                        <w:pPr>
                          <w:pStyle w:val="25"/>
                          <w:jc w:val="center"/>
                        </w:pPr>
                        <w:r>
                          <w:fldChar w:fldCharType="begin"/>
                        </w:r>
                        <w:r>
                          <w:instrText xml:space="preserve">PAGE   \* MERGEFORMAT</w:instrText>
                        </w:r>
                        <w:r>
                          <w:fldChar w:fldCharType="separate"/>
                        </w:r>
                        <w:r>
                          <w:t>64</w:t>
                        </w:r>
                        <w:r>
                          <w:fldChar w:fldCharType="end"/>
                        </w:r>
                      </w:p>
                    </w:sdtContent>
                  </w:sdt>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2160" w:firstLineChars="12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QZZC2026-J1-990054-QZSZ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2160" w:firstLineChars="12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QZZC2026-J1-990054-QZSZ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260" w:firstLineChars="7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QZZC2026-J1-990054-QZSZ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080" w:firstLineChars="6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QZZC2026-J1-990054-QZSZ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0403"/>
    <w:multiLevelType w:val="singleLevel"/>
    <w:tmpl w:val="814D0403"/>
    <w:lvl w:ilvl="0" w:tentative="0">
      <w:start w:val="1"/>
      <w:numFmt w:val="decimal"/>
      <w:lvlText w:val="%1."/>
      <w:lvlJc w:val="left"/>
      <w:pPr>
        <w:tabs>
          <w:tab w:val="left" w:pos="312"/>
        </w:tabs>
      </w:pPr>
    </w:lvl>
  </w:abstractNum>
  <w:abstractNum w:abstractNumId="1">
    <w:nsid w:val="8A1302CF"/>
    <w:multiLevelType w:val="singleLevel"/>
    <w:tmpl w:val="8A1302CF"/>
    <w:lvl w:ilvl="0" w:tentative="0">
      <w:start w:val="2"/>
      <w:numFmt w:val="decimal"/>
      <w:suff w:val="nothing"/>
      <w:lvlText w:val="（%1）"/>
      <w:lvlJc w:val="left"/>
    </w:lvl>
  </w:abstractNum>
  <w:abstractNum w:abstractNumId="2">
    <w:nsid w:val="9DA401CA"/>
    <w:multiLevelType w:val="singleLevel"/>
    <w:tmpl w:val="9DA401CA"/>
    <w:lvl w:ilvl="0" w:tentative="0">
      <w:start w:val="1"/>
      <w:numFmt w:val="decimal"/>
      <w:lvlText w:val="%1."/>
      <w:lvlJc w:val="left"/>
      <w:pPr>
        <w:tabs>
          <w:tab w:val="left" w:pos="312"/>
        </w:tabs>
      </w:pPr>
    </w:lvl>
  </w:abstractNum>
  <w:abstractNum w:abstractNumId="3">
    <w:nsid w:val="A4195B44"/>
    <w:multiLevelType w:val="singleLevel"/>
    <w:tmpl w:val="A4195B44"/>
    <w:lvl w:ilvl="0" w:tentative="0">
      <w:start w:val="1"/>
      <w:numFmt w:val="decimal"/>
      <w:lvlText w:val="%1."/>
      <w:lvlJc w:val="left"/>
      <w:pPr>
        <w:tabs>
          <w:tab w:val="left" w:pos="312"/>
        </w:tabs>
      </w:pPr>
    </w:lvl>
  </w:abstractNum>
  <w:abstractNum w:abstractNumId="4">
    <w:nsid w:val="A52CDA0C"/>
    <w:multiLevelType w:val="singleLevel"/>
    <w:tmpl w:val="A52CDA0C"/>
    <w:lvl w:ilvl="0" w:tentative="0">
      <w:start w:val="1"/>
      <w:numFmt w:val="decimal"/>
      <w:lvlText w:val="%1."/>
      <w:lvlJc w:val="left"/>
      <w:pPr>
        <w:tabs>
          <w:tab w:val="left" w:pos="312"/>
        </w:tabs>
      </w:pPr>
    </w:lvl>
  </w:abstractNum>
  <w:abstractNum w:abstractNumId="5">
    <w:nsid w:val="A90F6C19"/>
    <w:multiLevelType w:val="singleLevel"/>
    <w:tmpl w:val="A90F6C19"/>
    <w:lvl w:ilvl="0" w:tentative="0">
      <w:start w:val="1"/>
      <w:numFmt w:val="decimal"/>
      <w:lvlText w:val="%1."/>
      <w:lvlJc w:val="left"/>
      <w:pPr>
        <w:tabs>
          <w:tab w:val="left" w:pos="312"/>
        </w:tabs>
      </w:pPr>
    </w:lvl>
  </w:abstractNum>
  <w:abstractNum w:abstractNumId="6">
    <w:nsid w:val="AC94F01B"/>
    <w:multiLevelType w:val="singleLevel"/>
    <w:tmpl w:val="AC94F01B"/>
    <w:lvl w:ilvl="0" w:tentative="0">
      <w:start w:val="1"/>
      <w:numFmt w:val="decimal"/>
      <w:lvlText w:val="%1."/>
      <w:lvlJc w:val="left"/>
      <w:pPr>
        <w:tabs>
          <w:tab w:val="left" w:pos="312"/>
        </w:tabs>
      </w:pPr>
    </w:lvl>
  </w:abstractNum>
  <w:abstractNum w:abstractNumId="7">
    <w:nsid w:val="B022DE17"/>
    <w:multiLevelType w:val="singleLevel"/>
    <w:tmpl w:val="B022DE17"/>
    <w:lvl w:ilvl="0" w:tentative="0">
      <w:start w:val="1"/>
      <w:numFmt w:val="decimal"/>
      <w:lvlText w:val="%1."/>
      <w:lvlJc w:val="left"/>
      <w:pPr>
        <w:tabs>
          <w:tab w:val="left" w:pos="312"/>
        </w:tabs>
      </w:pPr>
    </w:lvl>
  </w:abstractNum>
  <w:abstractNum w:abstractNumId="8">
    <w:nsid w:val="B4CB3252"/>
    <w:multiLevelType w:val="singleLevel"/>
    <w:tmpl w:val="B4CB3252"/>
    <w:lvl w:ilvl="0" w:tentative="0">
      <w:start w:val="1"/>
      <w:numFmt w:val="decimal"/>
      <w:lvlText w:val="%1."/>
      <w:lvlJc w:val="left"/>
      <w:pPr>
        <w:tabs>
          <w:tab w:val="left" w:pos="312"/>
        </w:tabs>
      </w:pPr>
    </w:lvl>
  </w:abstractNum>
  <w:abstractNum w:abstractNumId="9">
    <w:nsid w:val="B810E6DB"/>
    <w:multiLevelType w:val="singleLevel"/>
    <w:tmpl w:val="B810E6DB"/>
    <w:lvl w:ilvl="0" w:tentative="0">
      <w:start w:val="1"/>
      <w:numFmt w:val="decimal"/>
      <w:lvlText w:val="%1."/>
      <w:lvlJc w:val="left"/>
      <w:pPr>
        <w:tabs>
          <w:tab w:val="left" w:pos="312"/>
        </w:tabs>
      </w:pPr>
    </w:lvl>
  </w:abstractNum>
  <w:abstractNum w:abstractNumId="10">
    <w:nsid w:val="BC8C957E"/>
    <w:multiLevelType w:val="singleLevel"/>
    <w:tmpl w:val="BC8C957E"/>
    <w:lvl w:ilvl="0" w:tentative="0">
      <w:start w:val="1"/>
      <w:numFmt w:val="decimal"/>
      <w:lvlText w:val="%1."/>
      <w:lvlJc w:val="left"/>
      <w:pPr>
        <w:tabs>
          <w:tab w:val="left" w:pos="312"/>
        </w:tabs>
      </w:pPr>
    </w:lvl>
  </w:abstractNum>
  <w:abstractNum w:abstractNumId="11">
    <w:nsid w:val="BD56D38D"/>
    <w:multiLevelType w:val="singleLevel"/>
    <w:tmpl w:val="BD56D38D"/>
    <w:lvl w:ilvl="0" w:tentative="0">
      <w:start w:val="1"/>
      <w:numFmt w:val="decimal"/>
      <w:lvlText w:val="%1."/>
      <w:lvlJc w:val="left"/>
      <w:pPr>
        <w:tabs>
          <w:tab w:val="left" w:pos="312"/>
        </w:tabs>
      </w:pPr>
    </w:lvl>
  </w:abstractNum>
  <w:abstractNum w:abstractNumId="12">
    <w:nsid w:val="BF6BC116"/>
    <w:multiLevelType w:val="singleLevel"/>
    <w:tmpl w:val="BF6BC116"/>
    <w:lvl w:ilvl="0" w:tentative="0">
      <w:start w:val="16"/>
      <w:numFmt w:val="decimal"/>
      <w:suff w:val="space"/>
      <w:lvlText w:val="%1."/>
      <w:lvlJc w:val="left"/>
    </w:lvl>
  </w:abstractNum>
  <w:abstractNum w:abstractNumId="13">
    <w:nsid w:val="CA400715"/>
    <w:multiLevelType w:val="singleLevel"/>
    <w:tmpl w:val="CA400715"/>
    <w:lvl w:ilvl="0" w:tentative="0">
      <w:start w:val="1"/>
      <w:numFmt w:val="decimal"/>
      <w:lvlText w:val="%1."/>
      <w:lvlJc w:val="left"/>
      <w:pPr>
        <w:tabs>
          <w:tab w:val="left" w:pos="312"/>
        </w:tabs>
      </w:pPr>
    </w:lvl>
  </w:abstractNum>
  <w:abstractNum w:abstractNumId="14">
    <w:nsid w:val="CDCE89DF"/>
    <w:multiLevelType w:val="singleLevel"/>
    <w:tmpl w:val="CDCE89DF"/>
    <w:lvl w:ilvl="0" w:tentative="0">
      <w:start w:val="1"/>
      <w:numFmt w:val="decimal"/>
      <w:lvlText w:val="%1."/>
      <w:lvlJc w:val="left"/>
      <w:pPr>
        <w:tabs>
          <w:tab w:val="left" w:pos="312"/>
        </w:tabs>
      </w:pPr>
    </w:lvl>
  </w:abstractNum>
  <w:abstractNum w:abstractNumId="15">
    <w:nsid w:val="CFE7C3F8"/>
    <w:multiLevelType w:val="singleLevel"/>
    <w:tmpl w:val="CFE7C3F8"/>
    <w:lvl w:ilvl="0" w:tentative="0">
      <w:start w:val="1"/>
      <w:numFmt w:val="decimal"/>
      <w:suff w:val="nothing"/>
      <w:lvlText w:val="（%1）"/>
      <w:lvlJc w:val="left"/>
    </w:lvl>
  </w:abstractNum>
  <w:abstractNum w:abstractNumId="16">
    <w:nsid w:val="D1511204"/>
    <w:multiLevelType w:val="singleLevel"/>
    <w:tmpl w:val="D1511204"/>
    <w:lvl w:ilvl="0" w:tentative="0">
      <w:start w:val="1"/>
      <w:numFmt w:val="decimal"/>
      <w:lvlText w:val="%1."/>
      <w:lvlJc w:val="left"/>
      <w:pPr>
        <w:tabs>
          <w:tab w:val="left" w:pos="312"/>
        </w:tabs>
      </w:pPr>
    </w:lvl>
  </w:abstractNum>
  <w:abstractNum w:abstractNumId="17">
    <w:nsid w:val="D1ACDF13"/>
    <w:multiLevelType w:val="singleLevel"/>
    <w:tmpl w:val="D1ACDF13"/>
    <w:lvl w:ilvl="0" w:tentative="0">
      <w:start w:val="1"/>
      <w:numFmt w:val="decimal"/>
      <w:lvlText w:val="%1."/>
      <w:lvlJc w:val="left"/>
      <w:pPr>
        <w:tabs>
          <w:tab w:val="left" w:pos="312"/>
        </w:tabs>
      </w:pPr>
    </w:lvl>
  </w:abstractNum>
  <w:abstractNum w:abstractNumId="18">
    <w:nsid w:val="DCE39EE6"/>
    <w:multiLevelType w:val="singleLevel"/>
    <w:tmpl w:val="DCE39EE6"/>
    <w:lvl w:ilvl="0" w:tentative="0">
      <w:start w:val="1"/>
      <w:numFmt w:val="decimal"/>
      <w:lvlText w:val="%1."/>
      <w:lvlJc w:val="left"/>
      <w:pPr>
        <w:tabs>
          <w:tab w:val="left" w:pos="312"/>
        </w:tabs>
      </w:pPr>
    </w:lvl>
  </w:abstractNum>
  <w:abstractNum w:abstractNumId="19">
    <w:nsid w:val="DDECD3BC"/>
    <w:multiLevelType w:val="singleLevel"/>
    <w:tmpl w:val="DDECD3BC"/>
    <w:lvl w:ilvl="0" w:tentative="0">
      <w:start w:val="6"/>
      <w:numFmt w:val="decimal"/>
      <w:suff w:val="space"/>
      <w:lvlText w:val="%1."/>
      <w:lvlJc w:val="left"/>
    </w:lvl>
  </w:abstractNum>
  <w:abstractNum w:abstractNumId="20">
    <w:nsid w:val="DE759F4B"/>
    <w:multiLevelType w:val="singleLevel"/>
    <w:tmpl w:val="DE759F4B"/>
    <w:lvl w:ilvl="0" w:tentative="0">
      <w:start w:val="2"/>
      <w:numFmt w:val="decimal"/>
      <w:suff w:val="space"/>
      <w:lvlText w:val="%1."/>
      <w:lvlJc w:val="left"/>
    </w:lvl>
  </w:abstractNum>
  <w:abstractNum w:abstractNumId="21">
    <w:nsid w:val="DEABE1DB"/>
    <w:multiLevelType w:val="singleLevel"/>
    <w:tmpl w:val="DEABE1DB"/>
    <w:lvl w:ilvl="0" w:tentative="0">
      <w:start w:val="23"/>
      <w:numFmt w:val="decimal"/>
      <w:suff w:val="space"/>
      <w:lvlText w:val="%1."/>
      <w:lvlJc w:val="left"/>
    </w:lvl>
  </w:abstractNum>
  <w:abstractNum w:abstractNumId="22">
    <w:nsid w:val="EAFE5AB3"/>
    <w:multiLevelType w:val="singleLevel"/>
    <w:tmpl w:val="EAFE5AB3"/>
    <w:lvl w:ilvl="0" w:tentative="0">
      <w:start w:val="1"/>
      <w:numFmt w:val="decimal"/>
      <w:lvlText w:val="%1."/>
      <w:lvlJc w:val="left"/>
      <w:pPr>
        <w:tabs>
          <w:tab w:val="left" w:pos="312"/>
        </w:tabs>
      </w:pPr>
    </w:lvl>
  </w:abstractNum>
  <w:abstractNum w:abstractNumId="23">
    <w:nsid w:val="EB9B8A0B"/>
    <w:multiLevelType w:val="singleLevel"/>
    <w:tmpl w:val="EB9B8A0B"/>
    <w:lvl w:ilvl="0" w:tentative="0">
      <w:start w:val="1"/>
      <w:numFmt w:val="decimal"/>
      <w:lvlText w:val="%1."/>
      <w:lvlJc w:val="left"/>
      <w:pPr>
        <w:tabs>
          <w:tab w:val="left" w:pos="312"/>
        </w:tabs>
      </w:pPr>
    </w:lvl>
  </w:abstractNum>
  <w:abstractNum w:abstractNumId="24">
    <w:nsid w:val="EBF4BD26"/>
    <w:multiLevelType w:val="singleLevel"/>
    <w:tmpl w:val="EBF4BD26"/>
    <w:lvl w:ilvl="0" w:tentative="0">
      <w:start w:val="1"/>
      <w:numFmt w:val="decimal"/>
      <w:lvlText w:val="%1."/>
      <w:lvlJc w:val="left"/>
      <w:pPr>
        <w:tabs>
          <w:tab w:val="left" w:pos="312"/>
        </w:tabs>
      </w:pPr>
    </w:lvl>
  </w:abstractNum>
  <w:abstractNum w:abstractNumId="25">
    <w:nsid w:val="F0CD0960"/>
    <w:multiLevelType w:val="singleLevel"/>
    <w:tmpl w:val="F0CD0960"/>
    <w:lvl w:ilvl="0" w:tentative="0">
      <w:start w:val="1"/>
      <w:numFmt w:val="decimal"/>
      <w:lvlText w:val="%1."/>
      <w:lvlJc w:val="left"/>
      <w:pPr>
        <w:tabs>
          <w:tab w:val="left" w:pos="312"/>
        </w:tabs>
      </w:pPr>
    </w:lvl>
  </w:abstractNum>
  <w:abstractNum w:abstractNumId="26">
    <w:nsid w:val="FB923A58"/>
    <w:multiLevelType w:val="singleLevel"/>
    <w:tmpl w:val="FB923A58"/>
    <w:lvl w:ilvl="0" w:tentative="0">
      <w:start w:val="1"/>
      <w:numFmt w:val="decimal"/>
      <w:lvlText w:val="%1."/>
      <w:lvlJc w:val="left"/>
      <w:pPr>
        <w:tabs>
          <w:tab w:val="left" w:pos="312"/>
        </w:tabs>
      </w:pPr>
    </w:lvl>
  </w:abstractNum>
  <w:abstractNum w:abstractNumId="27">
    <w:nsid w:val="FF470297"/>
    <w:multiLevelType w:val="singleLevel"/>
    <w:tmpl w:val="FF470297"/>
    <w:lvl w:ilvl="0" w:tentative="0">
      <w:start w:val="1"/>
      <w:numFmt w:val="decimal"/>
      <w:lvlText w:val="%1."/>
      <w:lvlJc w:val="left"/>
      <w:pPr>
        <w:tabs>
          <w:tab w:val="left" w:pos="312"/>
        </w:tabs>
      </w:pPr>
    </w:lvl>
  </w:abstractNum>
  <w:abstractNum w:abstractNumId="28">
    <w:nsid w:val="FFEFC674"/>
    <w:multiLevelType w:val="singleLevel"/>
    <w:tmpl w:val="FFEFC674"/>
    <w:lvl w:ilvl="0" w:tentative="0">
      <w:start w:val="1"/>
      <w:numFmt w:val="decimal"/>
      <w:suff w:val="nothing"/>
      <w:lvlText w:val="（%1）"/>
      <w:lvlJc w:val="left"/>
    </w:lvl>
  </w:abstractNum>
  <w:abstractNum w:abstractNumId="29">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0">
    <w:nsid w:val="02EEC54C"/>
    <w:multiLevelType w:val="singleLevel"/>
    <w:tmpl w:val="02EEC54C"/>
    <w:lvl w:ilvl="0" w:tentative="0">
      <w:start w:val="1"/>
      <w:numFmt w:val="decimal"/>
      <w:lvlText w:val="%1."/>
      <w:lvlJc w:val="left"/>
      <w:pPr>
        <w:tabs>
          <w:tab w:val="left" w:pos="312"/>
        </w:tabs>
      </w:pPr>
    </w:lvl>
  </w:abstractNum>
  <w:abstractNum w:abstractNumId="31">
    <w:nsid w:val="04992973"/>
    <w:multiLevelType w:val="singleLevel"/>
    <w:tmpl w:val="04992973"/>
    <w:lvl w:ilvl="0" w:tentative="0">
      <w:start w:val="1"/>
      <w:numFmt w:val="decimal"/>
      <w:lvlText w:val="%1."/>
      <w:lvlJc w:val="left"/>
      <w:pPr>
        <w:tabs>
          <w:tab w:val="left" w:pos="312"/>
        </w:tabs>
      </w:pPr>
    </w:lvl>
  </w:abstractNum>
  <w:abstractNum w:abstractNumId="32">
    <w:nsid w:val="07D36FDB"/>
    <w:multiLevelType w:val="singleLevel"/>
    <w:tmpl w:val="07D36FDB"/>
    <w:lvl w:ilvl="0" w:tentative="0">
      <w:start w:val="1"/>
      <w:numFmt w:val="decimal"/>
      <w:lvlText w:val="%1."/>
      <w:lvlJc w:val="left"/>
      <w:pPr>
        <w:tabs>
          <w:tab w:val="left" w:pos="312"/>
        </w:tabs>
      </w:pPr>
    </w:lvl>
  </w:abstractNum>
  <w:abstractNum w:abstractNumId="33">
    <w:nsid w:val="0AA3E832"/>
    <w:multiLevelType w:val="singleLevel"/>
    <w:tmpl w:val="0AA3E832"/>
    <w:lvl w:ilvl="0" w:tentative="0">
      <w:start w:val="1"/>
      <w:numFmt w:val="decimal"/>
      <w:lvlText w:val="%1."/>
      <w:lvlJc w:val="left"/>
      <w:pPr>
        <w:tabs>
          <w:tab w:val="left" w:pos="312"/>
        </w:tabs>
      </w:pPr>
    </w:lvl>
  </w:abstractNum>
  <w:abstractNum w:abstractNumId="34">
    <w:nsid w:val="0DC12885"/>
    <w:multiLevelType w:val="singleLevel"/>
    <w:tmpl w:val="0DC12885"/>
    <w:lvl w:ilvl="0" w:tentative="0">
      <w:start w:val="1"/>
      <w:numFmt w:val="decimal"/>
      <w:lvlText w:val="%1."/>
      <w:lvlJc w:val="left"/>
      <w:pPr>
        <w:tabs>
          <w:tab w:val="left" w:pos="312"/>
        </w:tabs>
      </w:pPr>
    </w:lvl>
  </w:abstractNum>
  <w:abstractNum w:abstractNumId="35">
    <w:nsid w:val="18DDC845"/>
    <w:multiLevelType w:val="singleLevel"/>
    <w:tmpl w:val="18DDC845"/>
    <w:lvl w:ilvl="0" w:tentative="0">
      <w:start w:val="1"/>
      <w:numFmt w:val="decimal"/>
      <w:lvlText w:val="%1."/>
      <w:lvlJc w:val="left"/>
      <w:pPr>
        <w:tabs>
          <w:tab w:val="left" w:pos="312"/>
        </w:tabs>
      </w:pPr>
    </w:lvl>
  </w:abstractNum>
  <w:abstractNum w:abstractNumId="36">
    <w:nsid w:val="22643F6D"/>
    <w:multiLevelType w:val="singleLevel"/>
    <w:tmpl w:val="22643F6D"/>
    <w:lvl w:ilvl="0" w:tentative="0">
      <w:start w:val="1"/>
      <w:numFmt w:val="decimal"/>
      <w:lvlText w:val="%1."/>
      <w:lvlJc w:val="left"/>
      <w:pPr>
        <w:tabs>
          <w:tab w:val="left" w:pos="312"/>
        </w:tabs>
      </w:pPr>
    </w:lvl>
  </w:abstractNum>
  <w:abstractNum w:abstractNumId="37">
    <w:nsid w:val="26B39879"/>
    <w:multiLevelType w:val="singleLevel"/>
    <w:tmpl w:val="26B39879"/>
    <w:lvl w:ilvl="0" w:tentative="0">
      <w:start w:val="1"/>
      <w:numFmt w:val="decimal"/>
      <w:lvlText w:val="%1."/>
      <w:lvlJc w:val="left"/>
      <w:pPr>
        <w:tabs>
          <w:tab w:val="left" w:pos="312"/>
        </w:tabs>
      </w:pPr>
    </w:lvl>
  </w:abstractNum>
  <w:abstractNum w:abstractNumId="38">
    <w:nsid w:val="281D1172"/>
    <w:multiLevelType w:val="singleLevel"/>
    <w:tmpl w:val="281D1172"/>
    <w:lvl w:ilvl="0" w:tentative="0">
      <w:start w:val="1"/>
      <w:numFmt w:val="decimal"/>
      <w:lvlText w:val="%1."/>
      <w:lvlJc w:val="left"/>
      <w:pPr>
        <w:tabs>
          <w:tab w:val="left" w:pos="312"/>
        </w:tabs>
      </w:pPr>
    </w:lvl>
  </w:abstractNum>
  <w:abstractNum w:abstractNumId="39">
    <w:nsid w:val="29824055"/>
    <w:multiLevelType w:val="singleLevel"/>
    <w:tmpl w:val="29824055"/>
    <w:lvl w:ilvl="0" w:tentative="0">
      <w:start w:val="1"/>
      <w:numFmt w:val="decimal"/>
      <w:lvlText w:val="%1."/>
      <w:lvlJc w:val="left"/>
      <w:pPr>
        <w:tabs>
          <w:tab w:val="left" w:pos="312"/>
        </w:tabs>
      </w:pPr>
    </w:lvl>
  </w:abstractNum>
  <w:abstractNum w:abstractNumId="40">
    <w:nsid w:val="2B2D70B2"/>
    <w:multiLevelType w:val="singleLevel"/>
    <w:tmpl w:val="2B2D70B2"/>
    <w:lvl w:ilvl="0" w:tentative="0">
      <w:start w:val="1"/>
      <w:numFmt w:val="decimal"/>
      <w:lvlText w:val="%1."/>
      <w:lvlJc w:val="left"/>
      <w:pPr>
        <w:tabs>
          <w:tab w:val="left" w:pos="312"/>
        </w:tabs>
      </w:pPr>
    </w:lvl>
  </w:abstractNum>
  <w:abstractNum w:abstractNumId="41">
    <w:nsid w:val="2B471D0B"/>
    <w:multiLevelType w:val="singleLevel"/>
    <w:tmpl w:val="2B471D0B"/>
    <w:lvl w:ilvl="0" w:tentative="0">
      <w:start w:val="1"/>
      <w:numFmt w:val="decimal"/>
      <w:lvlText w:val="%1."/>
      <w:lvlJc w:val="left"/>
      <w:pPr>
        <w:tabs>
          <w:tab w:val="left" w:pos="312"/>
        </w:tabs>
      </w:pPr>
    </w:lvl>
  </w:abstractNum>
  <w:abstractNum w:abstractNumId="42">
    <w:nsid w:val="322FF143"/>
    <w:multiLevelType w:val="singleLevel"/>
    <w:tmpl w:val="322FF143"/>
    <w:lvl w:ilvl="0" w:tentative="0">
      <w:start w:val="1"/>
      <w:numFmt w:val="decimal"/>
      <w:lvlText w:val="%1."/>
      <w:lvlJc w:val="left"/>
      <w:pPr>
        <w:tabs>
          <w:tab w:val="left" w:pos="312"/>
        </w:tabs>
      </w:pPr>
    </w:lvl>
  </w:abstractNum>
  <w:abstractNum w:abstractNumId="43">
    <w:nsid w:val="34A37D14"/>
    <w:multiLevelType w:val="singleLevel"/>
    <w:tmpl w:val="34A37D14"/>
    <w:lvl w:ilvl="0" w:tentative="0">
      <w:start w:val="1"/>
      <w:numFmt w:val="decimal"/>
      <w:lvlText w:val="%1."/>
      <w:lvlJc w:val="left"/>
      <w:pPr>
        <w:tabs>
          <w:tab w:val="left" w:pos="312"/>
        </w:tabs>
      </w:pPr>
    </w:lvl>
  </w:abstractNum>
  <w:abstractNum w:abstractNumId="44">
    <w:nsid w:val="36D89370"/>
    <w:multiLevelType w:val="singleLevel"/>
    <w:tmpl w:val="36D89370"/>
    <w:lvl w:ilvl="0" w:tentative="0">
      <w:start w:val="1"/>
      <w:numFmt w:val="decimal"/>
      <w:lvlText w:val="%1."/>
      <w:lvlJc w:val="left"/>
      <w:pPr>
        <w:tabs>
          <w:tab w:val="left" w:pos="312"/>
        </w:tabs>
      </w:pPr>
    </w:lvl>
  </w:abstractNum>
  <w:abstractNum w:abstractNumId="45">
    <w:nsid w:val="371C2E4D"/>
    <w:multiLevelType w:val="singleLevel"/>
    <w:tmpl w:val="371C2E4D"/>
    <w:lvl w:ilvl="0" w:tentative="0">
      <w:start w:val="1"/>
      <w:numFmt w:val="decimal"/>
      <w:lvlText w:val="%1."/>
      <w:lvlJc w:val="left"/>
      <w:pPr>
        <w:tabs>
          <w:tab w:val="left" w:pos="312"/>
        </w:tabs>
      </w:pPr>
    </w:lvl>
  </w:abstractNum>
  <w:abstractNum w:abstractNumId="46">
    <w:nsid w:val="383AA1FF"/>
    <w:multiLevelType w:val="singleLevel"/>
    <w:tmpl w:val="383AA1FF"/>
    <w:lvl w:ilvl="0" w:tentative="0">
      <w:start w:val="1"/>
      <w:numFmt w:val="decimal"/>
      <w:lvlText w:val="%1."/>
      <w:lvlJc w:val="left"/>
      <w:pPr>
        <w:tabs>
          <w:tab w:val="left" w:pos="312"/>
        </w:tabs>
      </w:pPr>
    </w:lvl>
  </w:abstractNum>
  <w:abstractNum w:abstractNumId="47">
    <w:nsid w:val="39903ADC"/>
    <w:multiLevelType w:val="singleLevel"/>
    <w:tmpl w:val="39903ADC"/>
    <w:lvl w:ilvl="0" w:tentative="0">
      <w:start w:val="1"/>
      <w:numFmt w:val="decimal"/>
      <w:lvlText w:val="%1."/>
      <w:lvlJc w:val="left"/>
      <w:pPr>
        <w:tabs>
          <w:tab w:val="left" w:pos="312"/>
        </w:tabs>
      </w:pPr>
    </w:lvl>
  </w:abstractNum>
  <w:abstractNum w:abstractNumId="48">
    <w:nsid w:val="3B4FC0B3"/>
    <w:multiLevelType w:val="singleLevel"/>
    <w:tmpl w:val="3B4FC0B3"/>
    <w:lvl w:ilvl="0" w:tentative="0">
      <w:start w:val="1"/>
      <w:numFmt w:val="decimal"/>
      <w:lvlText w:val="%1."/>
      <w:lvlJc w:val="left"/>
      <w:pPr>
        <w:tabs>
          <w:tab w:val="left" w:pos="312"/>
        </w:tabs>
      </w:pPr>
    </w:lvl>
  </w:abstractNum>
  <w:abstractNum w:abstractNumId="49">
    <w:nsid w:val="3C43FF9F"/>
    <w:multiLevelType w:val="singleLevel"/>
    <w:tmpl w:val="3C43FF9F"/>
    <w:lvl w:ilvl="0" w:tentative="0">
      <w:start w:val="1"/>
      <w:numFmt w:val="decimal"/>
      <w:lvlText w:val="%1."/>
      <w:lvlJc w:val="left"/>
      <w:pPr>
        <w:tabs>
          <w:tab w:val="left" w:pos="312"/>
        </w:tabs>
      </w:pPr>
    </w:lvl>
  </w:abstractNum>
  <w:abstractNum w:abstractNumId="50">
    <w:nsid w:val="3DE6F6A8"/>
    <w:multiLevelType w:val="singleLevel"/>
    <w:tmpl w:val="3DE6F6A8"/>
    <w:lvl w:ilvl="0" w:tentative="0">
      <w:start w:val="1"/>
      <w:numFmt w:val="decimal"/>
      <w:lvlText w:val="%1."/>
      <w:lvlJc w:val="left"/>
      <w:pPr>
        <w:tabs>
          <w:tab w:val="left" w:pos="312"/>
        </w:tabs>
      </w:pPr>
    </w:lvl>
  </w:abstractNum>
  <w:abstractNum w:abstractNumId="51">
    <w:nsid w:val="44AF848F"/>
    <w:multiLevelType w:val="singleLevel"/>
    <w:tmpl w:val="44AF848F"/>
    <w:lvl w:ilvl="0" w:tentative="0">
      <w:start w:val="1"/>
      <w:numFmt w:val="decimal"/>
      <w:lvlText w:val="%1."/>
      <w:lvlJc w:val="left"/>
      <w:pPr>
        <w:tabs>
          <w:tab w:val="left" w:pos="312"/>
        </w:tabs>
      </w:pPr>
    </w:lvl>
  </w:abstractNum>
  <w:abstractNum w:abstractNumId="52">
    <w:nsid w:val="4556B375"/>
    <w:multiLevelType w:val="singleLevel"/>
    <w:tmpl w:val="4556B375"/>
    <w:lvl w:ilvl="0" w:tentative="0">
      <w:start w:val="1"/>
      <w:numFmt w:val="decimal"/>
      <w:lvlText w:val="%1."/>
      <w:lvlJc w:val="left"/>
      <w:pPr>
        <w:tabs>
          <w:tab w:val="left" w:pos="312"/>
        </w:tabs>
      </w:pPr>
    </w:lvl>
  </w:abstractNum>
  <w:abstractNum w:abstractNumId="53">
    <w:nsid w:val="4569080B"/>
    <w:multiLevelType w:val="singleLevel"/>
    <w:tmpl w:val="4569080B"/>
    <w:lvl w:ilvl="0" w:tentative="0">
      <w:start w:val="1"/>
      <w:numFmt w:val="decimal"/>
      <w:lvlText w:val="%1."/>
      <w:lvlJc w:val="left"/>
      <w:pPr>
        <w:tabs>
          <w:tab w:val="left" w:pos="312"/>
        </w:tabs>
      </w:pPr>
    </w:lvl>
  </w:abstractNum>
  <w:abstractNum w:abstractNumId="54">
    <w:nsid w:val="4A834AB3"/>
    <w:multiLevelType w:val="singleLevel"/>
    <w:tmpl w:val="4A834AB3"/>
    <w:lvl w:ilvl="0" w:tentative="0">
      <w:start w:val="1"/>
      <w:numFmt w:val="decimal"/>
      <w:lvlText w:val="%1."/>
      <w:lvlJc w:val="left"/>
      <w:pPr>
        <w:tabs>
          <w:tab w:val="left" w:pos="312"/>
        </w:tabs>
      </w:pPr>
    </w:lvl>
  </w:abstractNum>
  <w:abstractNum w:abstractNumId="55">
    <w:nsid w:val="4CE07B57"/>
    <w:multiLevelType w:val="singleLevel"/>
    <w:tmpl w:val="4CE07B57"/>
    <w:lvl w:ilvl="0" w:tentative="0">
      <w:start w:val="1"/>
      <w:numFmt w:val="decimal"/>
      <w:lvlText w:val="%1."/>
      <w:lvlJc w:val="left"/>
      <w:pPr>
        <w:tabs>
          <w:tab w:val="left" w:pos="312"/>
        </w:tabs>
      </w:pPr>
    </w:lvl>
  </w:abstractNum>
  <w:abstractNum w:abstractNumId="56">
    <w:nsid w:val="50FCCE23"/>
    <w:multiLevelType w:val="singleLevel"/>
    <w:tmpl w:val="50FCCE23"/>
    <w:lvl w:ilvl="0" w:tentative="0">
      <w:start w:val="1"/>
      <w:numFmt w:val="decimal"/>
      <w:lvlText w:val="%1."/>
      <w:lvlJc w:val="left"/>
      <w:pPr>
        <w:tabs>
          <w:tab w:val="left" w:pos="312"/>
        </w:tabs>
      </w:pPr>
    </w:lvl>
  </w:abstractNum>
  <w:abstractNum w:abstractNumId="57">
    <w:nsid w:val="565ABE05"/>
    <w:multiLevelType w:val="singleLevel"/>
    <w:tmpl w:val="565ABE05"/>
    <w:lvl w:ilvl="0" w:tentative="0">
      <w:start w:val="1"/>
      <w:numFmt w:val="decimal"/>
      <w:lvlText w:val="%1."/>
      <w:lvlJc w:val="left"/>
      <w:pPr>
        <w:tabs>
          <w:tab w:val="left" w:pos="312"/>
        </w:tabs>
      </w:pPr>
    </w:lvl>
  </w:abstractNum>
  <w:abstractNum w:abstractNumId="58">
    <w:nsid w:val="580B8ACC"/>
    <w:multiLevelType w:val="singleLevel"/>
    <w:tmpl w:val="580B8ACC"/>
    <w:lvl w:ilvl="0" w:tentative="0">
      <w:start w:val="1"/>
      <w:numFmt w:val="decimal"/>
      <w:lvlText w:val="%1."/>
      <w:lvlJc w:val="left"/>
      <w:pPr>
        <w:tabs>
          <w:tab w:val="left" w:pos="312"/>
        </w:tabs>
      </w:pPr>
    </w:lvl>
  </w:abstractNum>
  <w:abstractNum w:abstractNumId="59">
    <w:nsid w:val="58991B64"/>
    <w:multiLevelType w:val="singleLevel"/>
    <w:tmpl w:val="58991B64"/>
    <w:lvl w:ilvl="0" w:tentative="0">
      <w:start w:val="1"/>
      <w:numFmt w:val="decimal"/>
      <w:lvlText w:val="%1."/>
      <w:lvlJc w:val="left"/>
      <w:pPr>
        <w:tabs>
          <w:tab w:val="left" w:pos="312"/>
        </w:tabs>
      </w:pPr>
    </w:lvl>
  </w:abstractNum>
  <w:abstractNum w:abstractNumId="60">
    <w:nsid w:val="5B23C5A9"/>
    <w:multiLevelType w:val="singleLevel"/>
    <w:tmpl w:val="5B23C5A9"/>
    <w:lvl w:ilvl="0" w:tentative="0">
      <w:start w:val="1"/>
      <w:numFmt w:val="decimal"/>
      <w:lvlText w:val="%1."/>
      <w:lvlJc w:val="left"/>
      <w:pPr>
        <w:tabs>
          <w:tab w:val="left" w:pos="312"/>
        </w:tabs>
      </w:pPr>
    </w:lvl>
  </w:abstractNum>
  <w:abstractNum w:abstractNumId="61">
    <w:nsid w:val="5E730C6A"/>
    <w:multiLevelType w:val="singleLevel"/>
    <w:tmpl w:val="5E730C6A"/>
    <w:lvl w:ilvl="0" w:tentative="0">
      <w:start w:val="1"/>
      <w:numFmt w:val="decimal"/>
      <w:lvlText w:val="%1."/>
      <w:lvlJc w:val="left"/>
      <w:pPr>
        <w:tabs>
          <w:tab w:val="left" w:pos="312"/>
        </w:tabs>
      </w:pPr>
    </w:lvl>
  </w:abstractNum>
  <w:abstractNum w:abstractNumId="62">
    <w:nsid w:val="6319FE8D"/>
    <w:multiLevelType w:val="singleLevel"/>
    <w:tmpl w:val="6319FE8D"/>
    <w:lvl w:ilvl="0" w:tentative="0">
      <w:start w:val="1"/>
      <w:numFmt w:val="decimal"/>
      <w:lvlText w:val="%1."/>
      <w:lvlJc w:val="left"/>
      <w:pPr>
        <w:tabs>
          <w:tab w:val="left" w:pos="312"/>
        </w:tabs>
      </w:pPr>
    </w:lvl>
  </w:abstractNum>
  <w:abstractNum w:abstractNumId="63">
    <w:nsid w:val="6628B8EC"/>
    <w:multiLevelType w:val="singleLevel"/>
    <w:tmpl w:val="6628B8EC"/>
    <w:lvl w:ilvl="0" w:tentative="0">
      <w:start w:val="1"/>
      <w:numFmt w:val="decimal"/>
      <w:lvlText w:val="%1."/>
      <w:lvlJc w:val="left"/>
      <w:pPr>
        <w:tabs>
          <w:tab w:val="left" w:pos="312"/>
        </w:tabs>
      </w:pPr>
    </w:lvl>
  </w:abstractNum>
  <w:abstractNum w:abstractNumId="64">
    <w:nsid w:val="66F8D8A2"/>
    <w:multiLevelType w:val="singleLevel"/>
    <w:tmpl w:val="66F8D8A2"/>
    <w:lvl w:ilvl="0" w:tentative="0">
      <w:start w:val="1"/>
      <w:numFmt w:val="decimal"/>
      <w:lvlText w:val="%1."/>
      <w:lvlJc w:val="left"/>
      <w:pPr>
        <w:tabs>
          <w:tab w:val="left" w:pos="312"/>
        </w:tabs>
      </w:pPr>
    </w:lvl>
  </w:abstractNum>
  <w:abstractNum w:abstractNumId="65">
    <w:nsid w:val="691C3F55"/>
    <w:multiLevelType w:val="singleLevel"/>
    <w:tmpl w:val="691C3F55"/>
    <w:lvl w:ilvl="0" w:tentative="0">
      <w:start w:val="1"/>
      <w:numFmt w:val="decimal"/>
      <w:lvlText w:val="%1."/>
      <w:lvlJc w:val="left"/>
      <w:pPr>
        <w:tabs>
          <w:tab w:val="left" w:pos="312"/>
        </w:tabs>
      </w:pPr>
    </w:lvl>
  </w:abstractNum>
  <w:abstractNum w:abstractNumId="66">
    <w:nsid w:val="69DE25FE"/>
    <w:multiLevelType w:val="singleLevel"/>
    <w:tmpl w:val="69DE25FE"/>
    <w:lvl w:ilvl="0" w:tentative="0">
      <w:start w:val="1"/>
      <w:numFmt w:val="decimal"/>
      <w:lvlText w:val="%1."/>
      <w:lvlJc w:val="left"/>
      <w:pPr>
        <w:tabs>
          <w:tab w:val="left" w:pos="312"/>
        </w:tabs>
      </w:pPr>
    </w:lvl>
  </w:abstractNum>
  <w:abstractNum w:abstractNumId="67">
    <w:nsid w:val="6CD538F9"/>
    <w:multiLevelType w:val="singleLevel"/>
    <w:tmpl w:val="6CD538F9"/>
    <w:lvl w:ilvl="0" w:tentative="0">
      <w:start w:val="1"/>
      <w:numFmt w:val="decimal"/>
      <w:lvlText w:val="%1."/>
      <w:lvlJc w:val="left"/>
      <w:pPr>
        <w:tabs>
          <w:tab w:val="left" w:pos="312"/>
        </w:tabs>
      </w:pPr>
    </w:lvl>
  </w:abstractNum>
  <w:abstractNum w:abstractNumId="68">
    <w:nsid w:val="6E4365AE"/>
    <w:multiLevelType w:val="singleLevel"/>
    <w:tmpl w:val="6E4365AE"/>
    <w:lvl w:ilvl="0" w:tentative="0">
      <w:start w:val="1"/>
      <w:numFmt w:val="decimal"/>
      <w:lvlText w:val="%1."/>
      <w:lvlJc w:val="left"/>
      <w:pPr>
        <w:tabs>
          <w:tab w:val="left" w:pos="312"/>
        </w:tabs>
      </w:pPr>
    </w:lvl>
  </w:abstractNum>
  <w:abstractNum w:abstractNumId="69">
    <w:nsid w:val="6E7B422E"/>
    <w:multiLevelType w:val="singleLevel"/>
    <w:tmpl w:val="6E7B422E"/>
    <w:lvl w:ilvl="0" w:tentative="0">
      <w:start w:val="1"/>
      <w:numFmt w:val="decimal"/>
      <w:lvlText w:val="%1."/>
      <w:lvlJc w:val="left"/>
      <w:pPr>
        <w:tabs>
          <w:tab w:val="left" w:pos="312"/>
        </w:tabs>
      </w:pPr>
    </w:lvl>
  </w:abstractNum>
  <w:abstractNum w:abstractNumId="70">
    <w:nsid w:val="7407ECC3"/>
    <w:multiLevelType w:val="singleLevel"/>
    <w:tmpl w:val="7407ECC3"/>
    <w:lvl w:ilvl="0" w:tentative="0">
      <w:start w:val="1"/>
      <w:numFmt w:val="decimal"/>
      <w:lvlText w:val="%1."/>
      <w:lvlJc w:val="left"/>
      <w:pPr>
        <w:tabs>
          <w:tab w:val="left" w:pos="312"/>
        </w:tabs>
      </w:pPr>
    </w:lvl>
  </w:abstractNum>
  <w:abstractNum w:abstractNumId="71">
    <w:nsid w:val="7A0F6431"/>
    <w:multiLevelType w:val="singleLevel"/>
    <w:tmpl w:val="7A0F6431"/>
    <w:lvl w:ilvl="0" w:tentative="0">
      <w:start w:val="1"/>
      <w:numFmt w:val="decimal"/>
      <w:suff w:val="space"/>
      <w:lvlText w:val="%1."/>
      <w:lvlJc w:val="left"/>
    </w:lvl>
  </w:abstractNum>
  <w:abstractNum w:abstractNumId="72">
    <w:nsid w:val="7C287792"/>
    <w:multiLevelType w:val="singleLevel"/>
    <w:tmpl w:val="7C287792"/>
    <w:lvl w:ilvl="0" w:tentative="0">
      <w:start w:val="1"/>
      <w:numFmt w:val="decimal"/>
      <w:lvlText w:val="%1."/>
      <w:lvlJc w:val="left"/>
      <w:pPr>
        <w:tabs>
          <w:tab w:val="left" w:pos="312"/>
        </w:tabs>
      </w:pPr>
    </w:lvl>
  </w:abstractNum>
  <w:abstractNum w:abstractNumId="73">
    <w:nsid w:val="7D05B533"/>
    <w:multiLevelType w:val="singleLevel"/>
    <w:tmpl w:val="7D05B533"/>
    <w:lvl w:ilvl="0" w:tentative="0">
      <w:start w:val="1"/>
      <w:numFmt w:val="decimal"/>
      <w:lvlText w:val="%1."/>
      <w:lvlJc w:val="left"/>
      <w:pPr>
        <w:tabs>
          <w:tab w:val="left" w:pos="312"/>
        </w:tabs>
      </w:pPr>
    </w:lvl>
  </w:abstractNum>
  <w:abstractNum w:abstractNumId="74">
    <w:nsid w:val="7FCF169A"/>
    <w:multiLevelType w:val="singleLevel"/>
    <w:tmpl w:val="7FCF169A"/>
    <w:lvl w:ilvl="0" w:tentative="0">
      <w:start w:val="1"/>
      <w:numFmt w:val="decimal"/>
      <w:lvlText w:val="%1."/>
      <w:lvlJc w:val="left"/>
      <w:pPr>
        <w:tabs>
          <w:tab w:val="left" w:pos="312"/>
        </w:tabs>
      </w:pPr>
    </w:lvl>
  </w:abstractNum>
  <w:num w:numId="1">
    <w:abstractNumId w:val="29"/>
  </w:num>
  <w:num w:numId="2">
    <w:abstractNumId w:val="24"/>
  </w:num>
  <w:num w:numId="3">
    <w:abstractNumId w:val="18"/>
  </w:num>
  <w:num w:numId="4">
    <w:abstractNumId w:val="64"/>
  </w:num>
  <w:num w:numId="5">
    <w:abstractNumId w:val="38"/>
  </w:num>
  <w:num w:numId="6">
    <w:abstractNumId w:val="61"/>
  </w:num>
  <w:num w:numId="7">
    <w:abstractNumId w:val="7"/>
  </w:num>
  <w:num w:numId="8">
    <w:abstractNumId w:val="41"/>
  </w:num>
  <w:num w:numId="9">
    <w:abstractNumId w:val="39"/>
  </w:num>
  <w:num w:numId="10">
    <w:abstractNumId w:val="25"/>
  </w:num>
  <w:num w:numId="11">
    <w:abstractNumId w:val="51"/>
  </w:num>
  <w:num w:numId="12">
    <w:abstractNumId w:val="72"/>
  </w:num>
  <w:num w:numId="13">
    <w:abstractNumId w:val="23"/>
  </w:num>
  <w:num w:numId="14">
    <w:abstractNumId w:val="58"/>
  </w:num>
  <w:num w:numId="15">
    <w:abstractNumId w:val="2"/>
  </w:num>
  <w:num w:numId="16">
    <w:abstractNumId w:val="60"/>
  </w:num>
  <w:num w:numId="17">
    <w:abstractNumId w:val="53"/>
  </w:num>
  <w:num w:numId="18">
    <w:abstractNumId w:val="46"/>
  </w:num>
  <w:num w:numId="19">
    <w:abstractNumId w:val="9"/>
  </w:num>
  <w:num w:numId="20">
    <w:abstractNumId w:val="45"/>
  </w:num>
  <w:num w:numId="21">
    <w:abstractNumId w:val="59"/>
  </w:num>
  <w:num w:numId="22">
    <w:abstractNumId w:val="17"/>
  </w:num>
  <w:num w:numId="23">
    <w:abstractNumId w:val="22"/>
  </w:num>
  <w:num w:numId="24">
    <w:abstractNumId w:val="73"/>
  </w:num>
  <w:num w:numId="25">
    <w:abstractNumId w:val="57"/>
  </w:num>
  <w:num w:numId="26">
    <w:abstractNumId w:val="54"/>
  </w:num>
  <w:num w:numId="27">
    <w:abstractNumId w:val="55"/>
  </w:num>
  <w:num w:numId="28">
    <w:abstractNumId w:val="32"/>
  </w:num>
  <w:num w:numId="29">
    <w:abstractNumId w:val="40"/>
  </w:num>
  <w:num w:numId="30">
    <w:abstractNumId w:val="10"/>
  </w:num>
  <w:num w:numId="31">
    <w:abstractNumId w:val="63"/>
  </w:num>
  <w:num w:numId="32">
    <w:abstractNumId w:val="31"/>
  </w:num>
  <w:num w:numId="33">
    <w:abstractNumId w:val="52"/>
  </w:num>
  <w:num w:numId="34">
    <w:abstractNumId w:val="69"/>
  </w:num>
  <w:num w:numId="35">
    <w:abstractNumId w:val="48"/>
  </w:num>
  <w:num w:numId="36">
    <w:abstractNumId w:val="37"/>
  </w:num>
  <w:num w:numId="37">
    <w:abstractNumId w:val="26"/>
  </w:num>
  <w:num w:numId="38">
    <w:abstractNumId w:val="56"/>
  </w:num>
  <w:num w:numId="39">
    <w:abstractNumId w:val="11"/>
  </w:num>
  <w:num w:numId="40">
    <w:abstractNumId w:val="4"/>
  </w:num>
  <w:num w:numId="41">
    <w:abstractNumId w:val="5"/>
  </w:num>
  <w:num w:numId="42">
    <w:abstractNumId w:val="8"/>
  </w:num>
  <w:num w:numId="43">
    <w:abstractNumId w:val="14"/>
  </w:num>
  <w:num w:numId="44">
    <w:abstractNumId w:val="70"/>
  </w:num>
  <w:num w:numId="45">
    <w:abstractNumId w:val="3"/>
  </w:num>
  <w:num w:numId="46">
    <w:abstractNumId w:val="62"/>
  </w:num>
  <w:num w:numId="47">
    <w:abstractNumId w:val="34"/>
  </w:num>
  <w:num w:numId="48">
    <w:abstractNumId w:val="67"/>
  </w:num>
  <w:num w:numId="49">
    <w:abstractNumId w:val="66"/>
  </w:num>
  <w:num w:numId="50">
    <w:abstractNumId w:val="16"/>
  </w:num>
  <w:num w:numId="51">
    <w:abstractNumId w:val="50"/>
  </w:num>
  <w:num w:numId="52">
    <w:abstractNumId w:val="65"/>
  </w:num>
  <w:num w:numId="53">
    <w:abstractNumId w:val="49"/>
  </w:num>
  <w:num w:numId="54">
    <w:abstractNumId w:val="68"/>
  </w:num>
  <w:num w:numId="55">
    <w:abstractNumId w:val="0"/>
  </w:num>
  <w:num w:numId="56">
    <w:abstractNumId w:val="35"/>
  </w:num>
  <w:num w:numId="57">
    <w:abstractNumId w:val="43"/>
  </w:num>
  <w:num w:numId="58">
    <w:abstractNumId w:val="27"/>
  </w:num>
  <w:num w:numId="59">
    <w:abstractNumId w:val="33"/>
  </w:num>
  <w:num w:numId="60">
    <w:abstractNumId w:val="13"/>
  </w:num>
  <w:num w:numId="61">
    <w:abstractNumId w:val="36"/>
  </w:num>
  <w:num w:numId="62">
    <w:abstractNumId w:val="30"/>
  </w:num>
  <w:num w:numId="63">
    <w:abstractNumId w:val="42"/>
  </w:num>
  <w:num w:numId="64">
    <w:abstractNumId w:val="47"/>
  </w:num>
  <w:num w:numId="65">
    <w:abstractNumId w:val="6"/>
  </w:num>
  <w:num w:numId="66">
    <w:abstractNumId w:val="44"/>
  </w:num>
  <w:num w:numId="67">
    <w:abstractNumId w:val="74"/>
  </w:num>
  <w:num w:numId="68">
    <w:abstractNumId w:val="1"/>
  </w:num>
  <w:num w:numId="69">
    <w:abstractNumId w:val="71"/>
  </w:num>
  <w:num w:numId="70">
    <w:abstractNumId w:val="15"/>
  </w:num>
  <w:num w:numId="71">
    <w:abstractNumId w:val="28"/>
  </w:num>
  <w:num w:numId="72">
    <w:abstractNumId w:val="20"/>
  </w:num>
  <w:num w:numId="73">
    <w:abstractNumId w:val="19"/>
  </w:num>
  <w:num w:numId="74">
    <w:abstractNumId w:val="12"/>
  </w:num>
  <w:num w:numId="7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
    <w15:presenceInfo w15:providerId="None" w15:user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GFlOTE5YzM3NmI1Mjk3MTU1YWRiMjQ4ZDZiNGU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5913"/>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2F32"/>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2F9"/>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195FD9"/>
    <w:rsid w:val="01255330"/>
    <w:rsid w:val="01301ECB"/>
    <w:rsid w:val="01985B95"/>
    <w:rsid w:val="01F42E2D"/>
    <w:rsid w:val="01FB5C4F"/>
    <w:rsid w:val="0256548E"/>
    <w:rsid w:val="02657094"/>
    <w:rsid w:val="02890D36"/>
    <w:rsid w:val="029370C7"/>
    <w:rsid w:val="02960963"/>
    <w:rsid w:val="02BD78CB"/>
    <w:rsid w:val="02D05017"/>
    <w:rsid w:val="02DE1725"/>
    <w:rsid w:val="02FF41F8"/>
    <w:rsid w:val="0314419D"/>
    <w:rsid w:val="0315776F"/>
    <w:rsid w:val="03265180"/>
    <w:rsid w:val="04691FC5"/>
    <w:rsid w:val="04A12FC1"/>
    <w:rsid w:val="04E24159"/>
    <w:rsid w:val="04E81B1A"/>
    <w:rsid w:val="04EE6171"/>
    <w:rsid w:val="05097AD0"/>
    <w:rsid w:val="05187985"/>
    <w:rsid w:val="056D3AD0"/>
    <w:rsid w:val="05CC0E93"/>
    <w:rsid w:val="05CD58B2"/>
    <w:rsid w:val="05F306FA"/>
    <w:rsid w:val="06443FD4"/>
    <w:rsid w:val="066C1DBB"/>
    <w:rsid w:val="069471B1"/>
    <w:rsid w:val="06BD225B"/>
    <w:rsid w:val="07277E4A"/>
    <w:rsid w:val="073F1CAD"/>
    <w:rsid w:val="07402F73"/>
    <w:rsid w:val="07B16AC6"/>
    <w:rsid w:val="08073E22"/>
    <w:rsid w:val="081437C9"/>
    <w:rsid w:val="087424D8"/>
    <w:rsid w:val="08822685"/>
    <w:rsid w:val="08D46F0F"/>
    <w:rsid w:val="08FA104A"/>
    <w:rsid w:val="08FA57C7"/>
    <w:rsid w:val="09403420"/>
    <w:rsid w:val="09AA1547"/>
    <w:rsid w:val="09E3201C"/>
    <w:rsid w:val="0A18470E"/>
    <w:rsid w:val="0A765FB8"/>
    <w:rsid w:val="0A814349"/>
    <w:rsid w:val="0AF8308E"/>
    <w:rsid w:val="0B077F8D"/>
    <w:rsid w:val="0B581C7A"/>
    <w:rsid w:val="0B733CEA"/>
    <w:rsid w:val="0B832C72"/>
    <w:rsid w:val="0C483CB5"/>
    <w:rsid w:val="0C5F0057"/>
    <w:rsid w:val="0CA926F0"/>
    <w:rsid w:val="0CAF268A"/>
    <w:rsid w:val="0D38584D"/>
    <w:rsid w:val="0D6126DC"/>
    <w:rsid w:val="0D8D654B"/>
    <w:rsid w:val="0DA914DF"/>
    <w:rsid w:val="0E263246"/>
    <w:rsid w:val="0E26741D"/>
    <w:rsid w:val="0E3015D7"/>
    <w:rsid w:val="0E6A02CB"/>
    <w:rsid w:val="0F195CD1"/>
    <w:rsid w:val="0F1C5B09"/>
    <w:rsid w:val="0F2446FC"/>
    <w:rsid w:val="0FB177F3"/>
    <w:rsid w:val="101500B2"/>
    <w:rsid w:val="10507C42"/>
    <w:rsid w:val="105A7962"/>
    <w:rsid w:val="109C3C4F"/>
    <w:rsid w:val="10E45C0D"/>
    <w:rsid w:val="115C57C9"/>
    <w:rsid w:val="11BC2E71"/>
    <w:rsid w:val="11F62C07"/>
    <w:rsid w:val="124F3295"/>
    <w:rsid w:val="1319100A"/>
    <w:rsid w:val="13737B75"/>
    <w:rsid w:val="13894B8D"/>
    <w:rsid w:val="13B43E61"/>
    <w:rsid w:val="13EC5F71"/>
    <w:rsid w:val="147719A1"/>
    <w:rsid w:val="148C1946"/>
    <w:rsid w:val="149C7709"/>
    <w:rsid w:val="14A4244E"/>
    <w:rsid w:val="14AD2260"/>
    <w:rsid w:val="14B8240A"/>
    <w:rsid w:val="14F0383F"/>
    <w:rsid w:val="1534142B"/>
    <w:rsid w:val="15392D4C"/>
    <w:rsid w:val="154C7218"/>
    <w:rsid w:val="155557E1"/>
    <w:rsid w:val="1559560C"/>
    <w:rsid w:val="156D5FF4"/>
    <w:rsid w:val="15F333DA"/>
    <w:rsid w:val="160D7DF3"/>
    <w:rsid w:val="169317A6"/>
    <w:rsid w:val="16AE3114"/>
    <w:rsid w:val="17385FEC"/>
    <w:rsid w:val="17707100"/>
    <w:rsid w:val="17853822"/>
    <w:rsid w:val="179A1B6A"/>
    <w:rsid w:val="17E06C0C"/>
    <w:rsid w:val="182C2A5B"/>
    <w:rsid w:val="1868584B"/>
    <w:rsid w:val="18947263"/>
    <w:rsid w:val="189E2345"/>
    <w:rsid w:val="18B50E83"/>
    <w:rsid w:val="194C23DB"/>
    <w:rsid w:val="196C5A40"/>
    <w:rsid w:val="19C2556A"/>
    <w:rsid w:val="19C41B53"/>
    <w:rsid w:val="1A2608F3"/>
    <w:rsid w:val="1A2A3350"/>
    <w:rsid w:val="1A336B23"/>
    <w:rsid w:val="1A750A6F"/>
    <w:rsid w:val="1AAD645B"/>
    <w:rsid w:val="1AB00CD7"/>
    <w:rsid w:val="1B087B35"/>
    <w:rsid w:val="1B143072"/>
    <w:rsid w:val="1B28788F"/>
    <w:rsid w:val="1B686DBB"/>
    <w:rsid w:val="1B824877"/>
    <w:rsid w:val="1BCD57AB"/>
    <w:rsid w:val="1BDE43F2"/>
    <w:rsid w:val="1C0E1A98"/>
    <w:rsid w:val="1C1E3533"/>
    <w:rsid w:val="1C2078F3"/>
    <w:rsid w:val="1C2428E7"/>
    <w:rsid w:val="1C490289"/>
    <w:rsid w:val="1C6F4FB4"/>
    <w:rsid w:val="1CA6768D"/>
    <w:rsid w:val="1CDB5968"/>
    <w:rsid w:val="1CFE635D"/>
    <w:rsid w:val="1D1F6145"/>
    <w:rsid w:val="1D501E57"/>
    <w:rsid w:val="1D54432D"/>
    <w:rsid w:val="1D651739"/>
    <w:rsid w:val="1DA63635"/>
    <w:rsid w:val="1DA82A10"/>
    <w:rsid w:val="1DAF569C"/>
    <w:rsid w:val="1DC86030"/>
    <w:rsid w:val="1E2D620F"/>
    <w:rsid w:val="1E422931"/>
    <w:rsid w:val="1E98574D"/>
    <w:rsid w:val="1EA615BB"/>
    <w:rsid w:val="1ED10ED1"/>
    <w:rsid w:val="1F210622"/>
    <w:rsid w:val="1F306401"/>
    <w:rsid w:val="1F3D4ADB"/>
    <w:rsid w:val="1F4277F5"/>
    <w:rsid w:val="1F5E4382"/>
    <w:rsid w:val="1FC3020C"/>
    <w:rsid w:val="1FF258FC"/>
    <w:rsid w:val="201812D5"/>
    <w:rsid w:val="20515ADA"/>
    <w:rsid w:val="205737C2"/>
    <w:rsid w:val="20621846"/>
    <w:rsid w:val="2066678B"/>
    <w:rsid w:val="206F32C6"/>
    <w:rsid w:val="208244E5"/>
    <w:rsid w:val="208337BA"/>
    <w:rsid w:val="21221E77"/>
    <w:rsid w:val="217E06CB"/>
    <w:rsid w:val="21907648"/>
    <w:rsid w:val="21AE27C3"/>
    <w:rsid w:val="21BD09EA"/>
    <w:rsid w:val="21C734F7"/>
    <w:rsid w:val="21D2510C"/>
    <w:rsid w:val="220D5256"/>
    <w:rsid w:val="22112672"/>
    <w:rsid w:val="2216360C"/>
    <w:rsid w:val="22352E85"/>
    <w:rsid w:val="22550749"/>
    <w:rsid w:val="22823F04"/>
    <w:rsid w:val="22B60C01"/>
    <w:rsid w:val="231879A1"/>
    <w:rsid w:val="2322375E"/>
    <w:rsid w:val="23242793"/>
    <w:rsid w:val="237D1557"/>
    <w:rsid w:val="239A46F7"/>
    <w:rsid w:val="23D5257E"/>
    <w:rsid w:val="2411343C"/>
    <w:rsid w:val="2425741B"/>
    <w:rsid w:val="247174BF"/>
    <w:rsid w:val="24855F40"/>
    <w:rsid w:val="249E6E14"/>
    <w:rsid w:val="249F6523"/>
    <w:rsid w:val="24A54BEC"/>
    <w:rsid w:val="24EE61B2"/>
    <w:rsid w:val="2593314B"/>
    <w:rsid w:val="25AD1ED4"/>
    <w:rsid w:val="25B84A72"/>
    <w:rsid w:val="25F52A65"/>
    <w:rsid w:val="25FA34AB"/>
    <w:rsid w:val="262249B0"/>
    <w:rsid w:val="26824AC6"/>
    <w:rsid w:val="26B71A66"/>
    <w:rsid w:val="26CA35AD"/>
    <w:rsid w:val="2749366C"/>
    <w:rsid w:val="275F40AE"/>
    <w:rsid w:val="28145A17"/>
    <w:rsid w:val="28377363"/>
    <w:rsid w:val="289D572F"/>
    <w:rsid w:val="28B1694E"/>
    <w:rsid w:val="28BC0562"/>
    <w:rsid w:val="28D33785"/>
    <w:rsid w:val="290877C9"/>
    <w:rsid w:val="29254FDF"/>
    <w:rsid w:val="29747D10"/>
    <w:rsid w:val="298635F5"/>
    <w:rsid w:val="29EA739F"/>
    <w:rsid w:val="29F96A50"/>
    <w:rsid w:val="2A1F2738"/>
    <w:rsid w:val="2A2D713F"/>
    <w:rsid w:val="2A3C699D"/>
    <w:rsid w:val="2A423861"/>
    <w:rsid w:val="2A5C0462"/>
    <w:rsid w:val="2A63541A"/>
    <w:rsid w:val="2A7964DB"/>
    <w:rsid w:val="2A8F5EDF"/>
    <w:rsid w:val="2AA84B6D"/>
    <w:rsid w:val="2AAB11ED"/>
    <w:rsid w:val="2ABA4466"/>
    <w:rsid w:val="2ABF0192"/>
    <w:rsid w:val="2AFB6893"/>
    <w:rsid w:val="2B937D0B"/>
    <w:rsid w:val="2BB521F8"/>
    <w:rsid w:val="2C0262C1"/>
    <w:rsid w:val="2C773E97"/>
    <w:rsid w:val="2CC54020"/>
    <w:rsid w:val="2D094EA9"/>
    <w:rsid w:val="2D2F5194"/>
    <w:rsid w:val="2D566901"/>
    <w:rsid w:val="2D7D2E49"/>
    <w:rsid w:val="2D966AB6"/>
    <w:rsid w:val="2DCA0C7A"/>
    <w:rsid w:val="2E0B1B47"/>
    <w:rsid w:val="2E144A59"/>
    <w:rsid w:val="2E1E06B9"/>
    <w:rsid w:val="2E2C3E41"/>
    <w:rsid w:val="2E3704AF"/>
    <w:rsid w:val="2E5A3DAC"/>
    <w:rsid w:val="2EB61B31"/>
    <w:rsid w:val="2EDE1D07"/>
    <w:rsid w:val="2EF8259B"/>
    <w:rsid w:val="2EF835AC"/>
    <w:rsid w:val="2EF8398F"/>
    <w:rsid w:val="2F2537C4"/>
    <w:rsid w:val="2F2954D5"/>
    <w:rsid w:val="2F312813"/>
    <w:rsid w:val="2F6F09B3"/>
    <w:rsid w:val="2F8F3DC0"/>
    <w:rsid w:val="2F9959A7"/>
    <w:rsid w:val="2FDE4A00"/>
    <w:rsid w:val="302000BC"/>
    <w:rsid w:val="30251807"/>
    <w:rsid w:val="30332B06"/>
    <w:rsid w:val="30575FA2"/>
    <w:rsid w:val="30A957E4"/>
    <w:rsid w:val="30C56DD2"/>
    <w:rsid w:val="30E177A7"/>
    <w:rsid w:val="314225B0"/>
    <w:rsid w:val="31511AD6"/>
    <w:rsid w:val="3198766B"/>
    <w:rsid w:val="319D0DD6"/>
    <w:rsid w:val="31AA329C"/>
    <w:rsid w:val="323B7E0F"/>
    <w:rsid w:val="325D1392"/>
    <w:rsid w:val="328966D0"/>
    <w:rsid w:val="328E3A30"/>
    <w:rsid w:val="32CA15BD"/>
    <w:rsid w:val="32DE1F01"/>
    <w:rsid w:val="32FD564D"/>
    <w:rsid w:val="331630E9"/>
    <w:rsid w:val="335F6FD7"/>
    <w:rsid w:val="33C22678"/>
    <w:rsid w:val="34227F73"/>
    <w:rsid w:val="3430230D"/>
    <w:rsid w:val="34377FF9"/>
    <w:rsid w:val="343B6470"/>
    <w:rsid w:val="343E4844"/>
    <w:rsid w:val="34C131AF"/>
    <w:rsid w:val="34CA3577"/>
    <w:rsid w:val="34E87C04"/>
    <w:rsid w:val="35476355"/>
    <w:rsid w:val="35681C92"/>
    <w:rsid w:val="356928AF"/>
    <w:rsid w:val="358C0256"/>
    <w:rsid w:val="35AA0C3E"/>
    <w:rsid w:val="35CF7321"/>
    <w:rsid w:val="35D579E0"/>
    <w:rsid w:val="35E84393"/>
    <w:rsid w:val="36013D27"/>
    <w:rsid w:val="36025D97"/>
    <w:rsid w:val="36B45A08"/>
    <w:rsid w:val="36C9251E"/>
    <w:rsid w:val="36E47B9D"/>
    <w:rsid w:val="370928C0"/>
    <w:rsid w:val="3747231F"/>
    <w:rsid w:val="37645C9B"/>
    <w:rsid w:val="376C2F19"/>
    <w:rsid w:val="376E015B"/>
    <w:rsid w:val="37A23B04"/>
    <w:rsid w:val="37B81B43"/>
    <w:rsid w:val="38095130"/>
    <w:rsid w:val="38733E42"/>
    <w:rsid w:val="38C2712E"/>
    <w:rsid w:val="38EB4DDC"/>
    <w:rsid w:val="3925521E"/>
    <w:rsid w:val="39A62C24"/>
    <w:rsid w:val="39CB790F"/>
    <w:rsid w:val="39CF05D0"/>
    <w:rsid w:val="39F45841"/>
    <w:rsid w:val="3A0749A0"/>
    <w:rsid w:val="3A29797A"/>
    <w:rsid w:val="3A3E409C"/>
    <w:rsid w:val="3A5B7D04"/>
    <w:rsid w:val="3AB30E95"/>
    <w:rsid w:val="3AF15396"/>
    <w:rsid w:val="3B045C51"/>
    <w:rsid w:val="3B1D351E"/>
    <w:rsid w:val="3B2575DE"/>
    <w:rsid w:val="3B2F5F58"/>
    <w:rsid w:val="3B863442"/>
    <w:rsid w:val="3BA95E0D"/>
    <w:rsid w:val="3C682428"/>
    <w:rsid w:val="3C9402BA"/>
    <w:rsid w:val="3CB51561"/>
    <w:rsid w:val="3CF66AB4"/>
    <w:rsid w:val="3D0B7466"/>
    <w:rsid w:val="3D417B8C"/>
    <w:rsid w:val="3D4C5F1D"/>
    <w:rsid w:val="3DB712D8"/>
    <w:rsid w:val="3E1A5671"/>
    <w:rsid w:val="3E667CEF"/>
    <w:rsid w:val="3E6809D1"/>
    <w:rsid w:val="3E780B78"/>
    <w:rsid w:val="3E8C73DD"/>
    <w:rsid w:val="3E9779B7"/>
    <w:rsid w:val="3ED34AA0"/>
    <w:rsid w:val="3EEC5C83"/>
    <w:rsid w:val="3F1C4C99"/>
    <w:rsid w:val="3F2A54AE"/>
    <w:rsid w:val="3F375A43"/>
    <w:rsid w:val="3F6E789D"/>
    <w:rsid w:val="3FE04FF8"/>
    <w:rsid w:val="3FED2FEE"/>
    <w:rsid w:val="406A624F"/>
    <w:rsid w:val="406A6AFE"/>
    <w:rsid w:val="40A91E62"/>
    <w:rsid w:val="40B118C6"/>
    <w:rsid w:val="40CE78E8"/>
    <w:rsid w:val="40ED414F"/>
    <w:rsid w:val="40FE0BC1"/>
    <w:rsid w:val="412874F2"/>
    <w:rsid w:val="41664225"/>
    <w:rsid w:val="419701EC"/>
    <w:rsid w:val="42014C57"/>
    <w:rsid w:val="42161379"/>
    <w:rsid w:val="42AF6075"/>
    <w:rsid w:val="42CC520C"/>
    <w:rsid w:val="42CF43AB"/>
    <w:rsid w:val="42E12969"/>
    <w:rsid w:val="42EE6E5E"/>
    <w:rsid w:val="430F4AB3"/>
    <w:rsid w:val="43204EC2"/>
    <w:rsid w:val="43C845C3"/>
    <w:rsid w:val="44001485"/>
    <w:rsid w:val="447B4624"/>
    <w:rsid w:val="44A479C5"/>
    <w:rsid w:val="44A553F2"/>
    <w:rsid w:val="44AB5BB5"/>
    <w:rsid w:val="44D74953"/>
    <w:rsid w:val="44ED7546"/>
    <w:rsid w:val="44FF51C4"/>
    <w:rsid w:val="452A70C4"/>
    <w:rsid w:val="45AA6F6F"/>
    <w:rsid w:val="45EE038E"/>
    <w:rsid w:val="4673796C"/>
    <w:rsid w:val="46737A24"/>
    <w:rsid w:val="4674666E"/>
    <w:rsid w:val="46CA0433"/>
    <w:rsid w:val="46E44703"/>
    <w:rsid w:val="471E0126"/>
    <w:rsid w:val="47287FB8"/>
    <w:rsid w:val="47530F1F"/>
    <w:rsid w:val="47772728"/>
    <w:rsid w:val="47C876CB"/>
    <w:rsid w:val="47D73A93"/>
    <w:rsid w:val="48034366"/>
    <w:rsid w:val="481B4154"/>
    <w:rsid w:val="48516FB5"/>
    <w:rsid w:val="4860425D"/>
    <w:rsid w:val="488E0B7F"/>
    <w:rsid w:val="48910A08"/>
    <w:rsid w:val="48B459D5"/>
    <w:rsid w:val="48F416EC"/>
    <w:rsid w:val="49497D40"/>
    <w:rsid w:val="4A3A6E9E"/>
    <w:rsid w:val="4A4E3578"/>
    <w:rsid w:val="4A5E657A"/>
    <w:rsid w:val="4A9216E3"/>
    <w:rsid w:val="4AE820F1"/>
    <w:rsid w:val="4B5C51AF"/>
    <w:rsid w:val="4BA62F67"/>
    <w:rsid w:val="4C3677AE"/>
    <w:rsid w:val="4C3E19EB"/>
    <w:rsid w:val="4C6B2F56"/>
    <w:rsid w:val="4CAA52F9"/>
    <w:rsid w:val="4D2211DC"/>
    <w:rsid w:val="4D560717"/>
    <w:rsid w:val="4D9066EF"/>
    <w:rsid w:val="4DAB5852"/>
    <w:rsid w:val="4DB217E7"/>
    <w:rsid w:val="4E6241F5"/>
    <w:rsid w:val="4E634927"/>
    <w:rsid w:val="4E6D0038"/>
    <w:rsid w:val="4E751CC3"/>
    <w:rsid w:val="4EAD1E2E"/>
    <w:rsid w:val="4EB73815"/>
    <w:rsid w:val="4F105D44"/>
    <w:rsid w:val="4F132029"/>
    <w:rsid w:val="4F355850"/>
    <w:rsid w:val="4F437C01"/>
    <w:rsid w:val="4F5C4B3F"/>
    <w:rsid w:val="4F645657"/>
    <w:rsid w:val="4F8B14B0"/>
    <w:rsid w:val="4FB671CF"/>
    <w:rsid w:val="4FEFB9BD"/>
    <w:rsid w:val="4FFD7F4B"/>
    <w:rsid w:val="501F5F01"/>
    <w:rsid w:val="50275F90"/>
    <w:rsid w:val="505521CD"/>
    <w:rsid w:val="5063360F"/>
    <w:rsid w:val="5079308D"/>
    <w:rsid w:val="50BF05A8"/>
    <w:rsid w:val="50D93451"/>
    <w:rsid w:val="50E74F74"/>
    <w:rsid w:val="516223FD"/>
    <w:rsid w:val="519F5DF6"/>
    <w:rsid w:val="51A04A97"/>
    <w:rsid w:val="51C63383"/>
    <w:rsid w:val="51DF1D99"/>
    <w:rsid w:val="52077FA0"/>
    <w:rsid w:val="523E6CC9"/>
    <w:rsid w:val="524E473C"/>
    <w:rsid w:val="52B03DCF"/>
    <w:rsid w:val="52E361B6"/>
    <w:rsid w:val="52F61E27"/>
    <w:rsid w:val="530B34BA"/>
    <w:rsid w:val="5346701B"/>
    <w:rsid w:val="535951CF"/>
    <w:rsid w:val="53920459"/>
    <w:rsid w:val="539D3912"/>
    <w:rsid w:val="541D3002"/>
    <w:rsid w:val="545C6276"/>
    <w:rsid w:val="54674E8E"/>
    <w:rsid w:val="556C60B3"/>
    <w:rsid w:val="55EF7972"/>
    <w:rsid w:val="561A74D1"/>
    <w:rsid w:val="565A7F33"/>
    <w:rsid w:val="568850AA"/>
    <w:rsid w:val="57283E0B"/>
    <w:rsid w:val="574A1DC1"/>
    <w:rsid w:val="57A16150"/>
    <w:rsid w:val="57C00B06"/>
    <w:rsid w:val="58021570"/>
    <w:rsid w:val="580E5197"/>
    <w:rsid w:val="582C16A6"/>
    <w:rsid w:val="582F247B"/>
    <w:rsid w:val="5831455A"/>
    <w:rsid w:val="5863030F"/>
    <w:rsid w:val="589A3B73"/>
    <w:rsid w:val="58E93DFA"/>
    <w:rsid w:val="58F52B38"/>
    <w:rsid w:val="5906339C"/>
    <w:rsid w:val="592616D2"/>
    <w:rsid w:val="59341B00"/>
    <w:rsid w:val="598D0A35"/>
    <w:rsid w:val="59DE0E81"/>
    <w:rsid w:val="59F55223"/>
    <w:rsid w:val="59FF35B4"/>
    <w:rsid w:val="5A3971B1"/>
    <w:rsid w:val="5A9E4C3C"/>
    <w:rsid w:val="5AE470AA"/>
    <w:rsid w:val="5AF2051E"/>
    <w:rsid w:val="5AF57202"/>
    <w:rsid w:val="5B2B34B2"/>
    <w:rsid w:val="5B301727"/>
    <w:rsid w:val="5B5A5DEF"/>
    <w:rsid w:val="5BB41608"/>
    <w:rsid w:val="5BC56904"/>
    <w:rsid w:val="5C0A6E8C"/>
    <w:rsid w:val="5CA9096B"/>
    <w:rsid w:val="5CCE6D02"/>
    <w:rsid w:val="5CEC2D02"/>
    <w:rsid w:val="5D16383F"/>
    <w:rsid w:val="5D2353DA"/>
    <w:rsid w:val="5D2F1D61"/>
    <w:rsid w:val="5DA14B7B"/>
    <w:rsid w:val="5DDF7727"/>
    <w:rsid w:val="5E0D2DD9"/>
    <w:rsid w:val="5E2A2B5D"/>
    <w:rsid w:val="5E8E347A"/>
    <w:rsid w:val="5F2438BB"/>
    <w:rsid w:val="5F4257D5"/>
    <w:rsid w:val="5F6D531F"/>
    <w:rsid w:val="5FAE2505"/>
    <w:rsid w:val="5FB33563"/>
    <w:rsid w:val="5FBB7494"/>
    <w:rsid w:val="60056797"/>
    <w:rsid w:val="6027437A"/>
    <w:rsid w:val="60291EE3"/>
    <w:rsid w:val="60B453AD"/>
    <w:rsid w:val="61094D40"/>
    <w:rsid w:val="61271980"/>
    <w:rsid w:val="614172DE"/>
    <w:rsid w:val="6160574F"/>
    <w:rsid w:val="61893B26"/>
    <w:rsid w:val="621818DF"/>
    <w:rsid w:val="62214A74"/>
    <w:rsid w:val="62B40E40"/>
    <w:rsid w:val="630700DA"/>
    <w:rsid w:val="634A4FAD"/>
    <w:rsid w:val="64134CCE"/>
    <w:rsid w:val="64342372"/>
    <w:rsid w:val="643F6C0E"/>
    <w:rsid w:val="64453605"/>
    <w:rsid w:val="646B5BC7"/>
    <w:rsid w:val="646E0A8E"/>
    <w:rsid w:val="64770E73"/>
    <w:rsid w:val="648B18C9"/>
    <w:rsid w:val="64C161CD"/>
    <w:rsid w:val="64CD2937"/>
    <w:rsid w:val="6511265D"/>
    <w:rsid w:val="651C4271"/>
    <w:rsid w:val="655B398A"/>
    <w:rsid w:val="65A8181D"/>
    <w:rsid w:val="65A836AB"/>
    <w:rsid w:val="65A93AD5"/>
    <w:rsid w:val="65BB2FC6"/>
    <w:rsid w:val="66167FB6"/>
    <w:rsid w:val="662B3EC2"/>
    <w:rsid w:val="66636F9A"/>
    <w:rsid w:val="66786787"/>
    <w:rsid w:val="66A15D14"/>
    <w:rsid w:val="66A4629C"/>
    <w:rsid w:val="66B25BAB"/>
    <w:rsid w:val="679F4E53"/>
    <w:rsid w:val="6808013C"/>
    <w:rsid w:val="68490BA5"/>
    <w:rsid w:val="685305E5"/>
    <w:rsid w:val="6872092B"/>
    <w:rsid w:val="68A320F0"/>
    <w:rsid w:val="68B11D24"/>
    <w:rsid w:val="68C10A03"/>
    <w:rsid w:val="68FB5567"/>
    <w:rsid w:val="691702F9"/>
    <w:rsid w:val="692E7F1E"/>
    <w:rsid w:val="69430A4C"/>
    <w:rsid w:val="695A32F7"/>
    <w:rsid w:val="69625FE3"/>
    <w:rsid w:val="698C6D71"/>
    <w:rsid w:val="6A242849"/>
    <w:rsid w:val="6A496830"/>
    <w:rsid w:val="6A8F166B"/>
    <w:rsid w:val="6ADF78E5"/>
    <w:rsid w:val="6B0B3C2C"/>
    <w:rsid w:val="6B3A4BD0"/>
    <w:rsid w:val="6B57739A"/>
    <w:rsid w:val="6B596996"/>
    <w:rsid w:val="6B72636C"/>
    <w:rsid w:val="6B8D0D02"/>
    <w:rsid w:val="6BBB152F"/>
    <w:rsid w:val="6C35079A"/>
    <w:rsid w:val="6C7C2B89"/>
    <w:rsid w:val="6C8143AB"/>
    <w:rsid w:val="6C9003BD"/>
    <w:rsid w:val="6CB30AE5"/>
    <w:rsid w:val="6CE20953"/>
    <w:rsid w:val="6D6F3466"/>
    <w:rsid w:val="6E10608E"/>
    <w:rsid w:val="6E3147D9"/>
    <w:rsid w:val="6E625BD5"/>
    <w:rsid w:val="6E92338D"/>
    <w:rsid w:val="6EA50F15"/>
    <w:rsid w:val="6EDA4A7D"/>
    <w:rsid w:val="6EFA3169"/>
    <w:rsid w:val="6F1218C9"/>
    <w:rsid w:val="6F35142D"/>
    <w:rsid w:val="6F563453"/>
    <w:rsid w:val="6F737876"/>
    <w:rsid w:val="6FE10C9C"/>
    <w:rsid w:val="6FE11054"/>
    <w:rsid w:val="70157CF8"/>
    <w:rsid w:val="70257F20"/>
    <w:rsid w:val="70375E28"/>
    <w:rsid w:val="70593DDE"/>
    <w:rsid w:val="707375B2"/>
    <w:rsid w:val="70A81A46"/>
    <w:rsid w:val="70CE3BAA"/>
    <w:rsid w:val="70E24D98"/>
    <w:rsid w:val="7105681E"/>
    <w:rsid w:val="71080E6A"/>
    <w:rsid w:val="71103748"/>
    <w:rsid w:val="713F3812"/>
    <w:rsid w:val="717C1858"/>
    <w:rsid w:val="71900D99"/>
    <w:rsid w:val="72401A80"/>
    <w:rsid w:val="726603B7"/>
    <w:rsid w:val="7298562B"/>
    <w:rsid w:val="73047240"/>
    <w:rsid w:val="7306587D"/>
    <w:rsid w:val="73403E28"/>
    <w:rsid w:val="73577E87"/>
    <w:rsid w:val="737C78ED"/>
    <w:rsid w:val="74025A20"/>
    <w:rsid w:val="74125278"/>
    <w:rsid w:val="742D6B8B"/>
    <w:rsid w:val="7474619D"/>
    <w:rsid w:val="74DD7D93"/>
    <w:rsid w:val="750300CE"/>
    <w:rsid w:val="75063D16"/>
    <w:rsid w:val="75435570"/>
    <w:rsid w:val="7596318B"/>
    <w:rsid w:val="75F145C2"/>
    <w:rsid w:val="763E2D8B"/>
    <w:rsid w:val="764146E0"/>
    <w:rsid w:val="76444DA6"/>
    <w:rsid w:val="765E373E"/>
    <w:rsid w:val="76642619"/>
    <w:rsid w:val="767D7332"/>
    <w:rsid w:val="76912AA8"/>
    <w:rsid w:val="76936197"/>
    <w:rsid w:val="76B352E5"/>
    <w:rsid w:val="76BB5179"/>
    <w:rsid w:val="77B42785"/>
    <w:rsid w:val="77F9738A"/>
    <w:rsid w:val="77FD0061"/>
    <w:rsid w:val="784A497A"/>
    <w:rsid w:val="786E73D3"/>
    <w:rsid w:val="78F00C0D"/>
    <w:rsid w:val="79015EE8"/>
    <w:rsid w:val="790C5439"/>
    <w:rsid w:val="79AB5AA7"/>
    <w:rsid w:val="7A2D6D03"/>
    <w:rsid w:val="7A926212"/>
    <w:rsid w:val="7AF15D92"/>
    <w:rsid w:val="7AF244C2"/>
    <w:rsid w:val="7B567BF2"/>
    <w:rsid w:val="7B7968C3"/>
    <w:rsid w:val="7C0D4B58"/>
    <w:rsid w:val="7C1F2672"/>
    <w:rsid w:val="7C32323F"/>
    <w:rsid w:val="7C492337"/>
    <w:rsid w:val="7C5D1F33"/>
    <w:rsid w:val="7C8313D5"/>
    <w:rsid w:val="7C9149ED"/>
    <w:rsid w:val="7C9D0A90"/>
    <w:rsid w:val="7CB1637A"/>
    <w:rsid w:val="7CD82311"/>
    <w:rsid w:val="7CEA6A35"/>
    <w:rsid w:val="7D040F8D"/>
    <w:rsid w:val="7D0564AB"/>
    <w:rsid w:val="7D4444CB"/>
    <w:rsid w:val="7D5052A6"/>
    <w:rsid w:val="7DA912DF"/>
    <w:rsid w:val="7DE50961"/>
    <w:rsid w:val="7DE62533"/>
    <w:rsid w:val="7E0E489F"/>
    <w:rsid w:val="7E1A6070"/>
    <w:rsid w:val="7E351938"/>
    <w:rsid w:val="7E3A462D"/>
    <w:rsid w:val="7E813419"/>
    <w:rsid w:val="7EC74BC9"/>
    <w:rsid w:val="7F0204F0"/>
    <w:rsid w:val="7F06137B"/>
    <w:rsid w:val="7F106C3A"/>
    <w:rsid w:val="7F6E6C48"/>
    <w:rsid w:val="7F8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49"/>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6"/>
    <w:qFormat/>
    <w:uiPriority w:val="0"/>
    <w:pPr>
      <w:shd w:val="clear" w:color="auto" w:fill="000080"/>
    </w:pPr>
  </w:style>
  <w:style w:type="paragraph" w:styleId="15">
    <w:name w:val="annotation text"/>
    <w:basedOn w:val="1"/>
    <w:link w:val="78"/>
    <w:qFormat/>
    <w:uiPriority w:val="0"/>
    <w:pPr>
      <w:jc w:val="left"/>
    </w:pPr>
  </w:style>
  <w:style w:type="paragraph" w:styleId="16">
    <w:name w:val="Body Text 3"/>
    <w:basedOn w:val="1"/>
    <w:link w:val="137"/>
    <w:qFormat/>
    <w:uiPriority w:val="0"/>
    <w:pPr>
      <w:spacing w:line="500" w:lineRule="exact"/>
    </w:pPr>
    <w:rPr>
      <w:b/>
      <w:bCs/>
      <w:sz w:val="24"/>
    </w:rPr>
  </w:style>
  <w:style w:type="paragraph" w:styleId="17">
    <w:name w:val="Body Text"/>
    <w:basedOn w:val="1"/>
    <w:link w:val="138"/>
    <w:qFormat/>
    <w:uiPriority w:val="0"/>
    <w:pPr>
      <w:spacing w:line="380" w:lineRule="exact"/>
    </w:pPr>
    <w:rPr>
      <w:sz w:val="24"/>
    </w:rPr>
  </w:style>
  <w:style w:type="paragraph" w:styleId="18">
    <w:name w:val="Body Text Indent"/>
    <w:basedOn w:val="1"/>
    <w:link w:val="71"/>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1"/>
    <w:link w:val="58"/>
    <w:qFormat/>
    <w:uiPriority w:val="0"/>
    <w:rPr>
      <w:rFonts w:ascii="宋体" w:hAnsi="Courier New" w:cs="Courier New"/>
      <w:szCs w:val="21"/>
    </w:rPr>
  </w:style>
  <w:style w:type="paragraph" w:styleId="22">
    <w:name w:val="Date"/>
    <w:basedOn w:val="1"/>
    <w:next w:val="1"/>
    <w:link w:val="139"/>
    <w:qFormat/>
    <w:uiPriority w:val="0"/>
    <w:pPr>
      <w:ind w:left="100" w:leftChars="2500"/>
    </w:pPr>
    <w:rPr>
      <w:rFonts w:ascii="宋体" w:hAnsi="Courier New" w:cs="Courier New"/>
      <w:szCs w:val="21"/>
    </w:rPr>
  </w:style>
  <w:style w:type="paragraph" w:styleId="23">
    <w:name w:val="Body Text Indent 2"/>
    <w:basedOn w:val="1"/>
    <w:link w:val="140"/>
    <w:qFormat/>
    <w:uiPriority w:val="0"/>
    <w:pPr>
      <w:ind w:firstLine="630"/>
    </w:pPr>
    <w:rPr>
      <w:sz w:val="32"/>
      <w:szCs w:val="20"/>
    </w:rPr>
  </w:style>
  <w:style w:type="paragraph" w:styleId="24">
    <w:name w:val="Balloon Text"/>
    <w:basedOn w:val="1"/>
    <w:link w:val="77"/>
    <w:qFormat/>
    <w:uiPriority w:val="0"/>
    <w:rPr>
      <w:sz w:val="18"/>
      <w:szCs w:val="18"/>
      <w:lang w:val="zh-CN"/>
    </w:rPr>
  </w:style>
  <w:style w:type="paragraph" w:styleId="25">
    <w:name w:val="footer"/>
    <w:basedOn w:val="1"/>
    <w:link w:val="73"/>
    <w:qFormat/>
    <w:uiPriority w:val="99"/>
    <w:pPr>
      <w:tabs>
        <w:tab w:val="center" w:pos="4153"/>
        <w:tab w:val="right" w:pos="8306"/>
      </w:tabs>
      <w:snapToGrid w:val="0"/>
      <w:jc w:val="left"/>
    </w:pPr>
    <w:rPr>
      <w:sz w:val="18"/>
      <w:szCs w:val="18"/>
      <w:lang w:val="zh-CN"/>
    </w:rPr>
  </w:style>
  <w:style w:type="paragraph" w:styleId="26">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76"/>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31">
    <w:name w:val="Body Text Indent 3"/>
    <w:basedOn w:val="1"/>
    <w:link w:val="141"/>
    <w:qFormat/>
    <w:uiPriority w:val="0"/>
    <w:pPr>
      <w:spacing w:after="120"/>
      <w:ind w:left="420" w:leftChars="200"/>
    </w:pPr>
    <w:rPr>
      <w:sz w:val="16"/>
      <w:szCs w:val="16"/>
    </w:rPr>
  </w:style>
  <w:style w:type="paragraph" w:styleId="32">
    <w:name w:val="toc 2"/>
    <w:basedOn w:val="1"/>
    <w:next w:val="1"/>
    <w:qFormat/>
    <w:uiPriority w:val="39"/>
    <w:pPr>
      <w:ind w:left="420" w:leftChars="200"/>
    </w:pPr>
    <w:rPr>
      <w:rFonts w:ascii="Times New Roman" w:hAnsi="Times New Roman" w:eastAsia="宋体" w:cs="Times New Roman"/>
    </w:rPr>
  </w:style>
  <w:style w:type="paragraph" w:styleId="33">
    <w:name w:val="Body Text 2"/>
    <w:basedOn w:val="1"/>
    <w:link w:val="142"/>
    <w:qFormat/>
    <w:uiPriority w:val="0"/>
    <w:pPr>
      <w:spacing w:after="120" w:line="480" w:lineRule="auto"/>
    </w:pPr>
  </w:style>
  <w:style w:type="paragraph" w:styleId="3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Title"/>
    <w:basedOn w:val="1"/>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8">
    <w:name w:val="annotation subject"/>
    <w:basedOn w:val="15"/>
    <w:next w:val="15"/>
    <w:link w:val="88"/>
    <w:qFormat/>
    <w:uiPriority w:val="0"/>
    <w:rPr>
      <w:b/>
      <w:bCs/>
    </w:rPr>
  </w:style>
  <w:style w:type="paragraph" w:styleId="39">
    <w:name w:val="Body Text First Indent"/>
    <w:basedOn w:val="17"/>
    <w:qFormat/>
    <w:uiPriority w:val="0"/>
    <w:pPr>
      <w:spacing w:after="120"/>
      <w:ind w:firstLine="420" w:firstLineChars="100"/>
    </w:pPr>
    <w:rPr>
      <w:rFonts w:ascii="宋体"/>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rFonts w:ascii="Times New Roman" w:hAnsi="Times New Roman" w:eastAsia="宋体" w:cs="Times New Roman"/>
      <w:b/>
      <w:bCs/>
    </w:rPr>
  </w:style>
  <w:style w:type="character" w:styleId="44">
    <w:name w:val="page number"/>
    <w:qFormat/>
    <w:uiPriority w:val="0"/>
    <w:rPr>
      <w:rFonts w:ascii="Times New Roman" w:hAnsi="Times New Roman" w:eastAsia="宋体" w:cs="Times New Roman"/>
    </w:rPr>
  </w:style>
  <w:style w:type="character" w:styleId="45">
    <w:name w:val="FollowedHyperlink"/>
    <w:basedOn w:val="42"/>
    <w:unhideWhenUsed/>
    <w:qFormat/>
    <w:uiPriority w:val="99"/>
    <w:rPr>
      <w:color w:val="954F72" w:themeColor="followedHyperlink"/>
      <w:u w:val="single"/>
      <w14:textFill>
        <w14:solidFill>
          <w14:schemeClr w14:val="folHlink"/>
        </w14:solidFill>
      </w14:textFill>
    </w:rPr>
  </w:style>
  <w:style w:type="character" w:styleId="46">
    <w:name w:val="Emphasis"/>
    <w:qFormat/>
    <w:uiPriority w:val="0"/>
    <w:rPr>
      <w:rFonts w:ascii="Times New Roman" w:hAnsi="Times New Roman" w:eastAsia="宋体" w:cs="Times New Roman"/>
      <w:color w:val="CC0033"/>
    </w:rPr>
  </w:style>
  <w:style w:type="character" w:styleId="47">
    <w:name w:val="Hyperlink"/>
    <w:qFormat/>
    <w:uiPriority w:val="99"/>
    <w:rPr>
      <w:rFonts w:ascii="Times New Roman" w:hAnsi="Times New Roman" w:eastAsia="宋体" w:cs="Times New Roman"/>
      <w:color w:val="0000FF"/>
      <w:u w:val="single"/>
    </w:rPr>
  </w:style>
  <w:style w:type="character" w:styleId="48">
    <w:name w:val="annotation reference"/>
    <w:basedOn w:val="42"/>
    <w:qFormat/>
    <w:uiPriority w:val="0"/>
    <w:rPr>
      <w:rFonts w:ascii="Times New Roman" w:hAnsi="Times New Roman" w:eastAsia="宋体" w:cs="Times New Roman"/>
      <w:sz w:val="21"/>
      <w:szCs w:val="21"/>
    </w:rPr>
  </w:style>
  <w:style w:type="character" w:customStyle="1" w:styleId="49">
    <w:name w:val="标题 2 Char"/>
    <w:link w:val="3"/>
    <w:qFormat/>
    <w:uiPriority w:val="9"/>
    <w:rPr>
      <w:rFonts w:ascii="Arial" w:hAnsi="Arial" w:eastAsia="黑体"/>
      <w:b/>
      <w:bCs/>
      <w:kern w:val="2"/>
      <w:sz w:val="24"/>
      <w:szCs w:val="32"/>
    </w:rPr>
  </w:style>
  <w:style w:type="character" w:customStyle="1" w:styleId="50">
    <w:name w:val="标题 1 字符"/>
    <w:link w:val="2"/>
    <w:qFormat/>
    <w:uiPriority w:val="9"/>
    <w:rPr>
      <w:rFonts w:ascii="Times New Roman" w:hAnsi="Times New Roman" w:eastAsia="仿宋_GB2312" w:cs="Times New Roman"/>
      <w:b/>
      <w:bCs/>
      <w:kern w:val="44"/>
      <w:sz w:val="44"/>
      <w:szCs w:val="44"/>
      <w:lang w:val="en-US" w:eastAsia="zh-CN" w:bidi="ar-SA"/>
    </w:rPr>
  </w:style>
  <w:style w:type="paragraph" w:customStyle="1" w:styleId="51">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2">
    <w:name w:val="font21"/>
    <w:basedOn w:val="42"/>
    <w:qFormat/>
    <w:uiPriority w:val="0"/>
    <w:rPr>
      <w:rFonts w:hint="eastAsia" w:ascii="宋体" w:hAnsi="宋体" w:eastAsia="宋体" w:cs="宋体"/>
      <w:color w:val="000000"/>
      <w:sz w:val="20"/>
      <w:szCs w:val="20"/>
    </w:rPr>
  </w:style>
  <w:style w:type="character" w:customStyle="1" w:styleId="53">
    <w:name w:val="st1"/>
    <w:qFormat/>
    <w:uiPriority w:val="0"/>
    <w:rPr>
      <w:rFonts w:ascii="Times New Roman" w:hAnsi="Times New Roman" w:eastAsia="宋体" w:cs="Times New Roman"/>
    </w:rPr>
  </w:style>
  <w:style w:type="character" w:customStyle="1" w:styleId="54">
    <w:name w:val="ca-2"/>
    <w:qFormat/>
    <w:uiPriority w:val="0"/>
    <w:rPr>
      <w:rFonts w:ascii="Times New Roman" w:hAnsi="Times New Roman" w:eastAsia="宋体" w:cs="Times New Roman"/>
    </w:rPr>
  </w:style>
  <w:style w:type="character" w:customStyle="1" w:styleId="55">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qFormat/>
    <w:uiPriority w:val="0"/>
    <w:rPr>
      <w:rFonts w:ascii="宋体" w:hAnsi="宋体" w:eastAsia="仿宋_GB2312" w:cs="Times New Roman"/>
      <w:b/>
      <w:bCs/>
      <w:kern w:val="44"/>
      <w:sz w:val="36"/>
      <w:szCs w:val="44"/>
      <w:lang w:val="en-US" w:eastAsia="zh-CN" w:bidi="ar-SA"/>
    </w:rPr>
  </w:style>
  <w:style w:type="paragraph" w:customStyle="1" w:styleId="57">
    <w:name w:val="1ji"/>
    <w:basedOn w:val="2"/>
    <w:link w:val="56"/>
    <w:qFormat/>
    <w:uiPriority w:val="0"/>
    <w:pPr>
      <w:keepLines w:val="0"/>
      <w:widowControl/>
      <w:spacing w:before="0" w:after="0" w:line="240" w:lineRule="auto"/>
    </w:pPr>
    <w:rPr>
      <w:rFonts w:ascii="宋体" w:hAnsi="宋体"/>
      <w:sz w:val="36"/>
    </w:rPr>
  </w:style>
  <w:style w:type="character" w:customStyle="1" w:styleId="58">
    <w:name w:val="纯文本 Char"/>
    <w:link w:val="21"/>
    <w:qFormat/>
    <w:uiPriority w:val="0"/>
    <w:rPr>
      <w:rFonts w:ascii="宋体" w:hAnsi="Courier New" w:eastAsia="宋体" w:cs="Courier New"/>
      <w:kern w:val="2"/>
      <w:sz w:val="21"/>
      <w:szCs w:val="21"/>
      <w:lang w:val="en-US" w:eastAsia="zh-CN" w:bidi="ar-SA"/>
    </w:rPr>
  </w:style>
  <w:style w:type="character" w:customStyle="1" w:styleId="59">
    <w:name w:val="font41"/>
    <w:basedOn w:val="42"/>
    <w:qFormat/>
    <w:uiPriority w:val="0"/>
    <w:rPr>
      <w:rFonts w:hint="default" w:ascii="Times New Roman" w:hAnsi="Times New Roman" w:eastAsia="宋体" w:cs="Times New Roman"/>
      <w:color w:val="000000"/>
      <w:sz w:val="20"/>
      <w:szCs w:val="20"/>
    </w:rPr>
  </w:style>
  <w:style w:type="character" w:customStyle="1" w:styleId="60">
    <w:name w:val="font31"/>
    <w:basedOn w:val="42"/>
    <w:qFormat/>
    <w:uiPriority w:val="0"/>
    <w:rPr>
      <w:rFonts w:hint="default" w:ascii="Times New Roman" w:hAnsi="Times New Roman" w:eastAsia="宋体" w:cs="Times New Roman"/>
      <w:color w:val="000000"/>
      <w:sz w:val="20"/>
      <w:szCs w:val="20"/>
    </w:rPr>
  </w:style>
  <w:style w:type="character" w:customStyle="1" w:styleId="61">
    <w:name w:val="apple-style-span"/>
    <w:qFormat/>
    <w:uiPriority w:val="0"/>
    <w:rPr>
      <w:rFonts w:ascii="Times New Roman" w:hAnsi="Times New Roman" w:eastAsia="宋体" w:cs="Times New Roman"/>
    </w:rPr>
  </w:style>
  <w:style w:type="character" w:customStyle="1" w:styleId="62">
    <w:name w:val="正文缩进 Char"/>
    <w:link w:val="7"/>
    <w:qFormat/>
    <w:uiPriority w:val="0"/>
    <w:rPr>
      <w:rFonts w:ascii="Times New Roman" w:hAnsi="Times New Roman" w:eastAsia="宋体" w:cs="Times New Roman"/>
      <w:kern w:val="2"/>
      <w:sz w:val="21"/>
      <w:lang w:val="en-US" w:eastAsia="zh-CN" w:bidi="ar-SA"/>
    </w:rPr>
  </w:style>
  <w:style w:type="character" w:customStyle="1" w:styleId="63">
    <w:name w:val="font51"/>
    <w:qFormat/>
    <w:uiPriority w:val="0"/>
    <w:rPr>
      <w:rFonts w:hint="default" w:ascii="Times New Roman" w:hAnsi="Times New Roman" w:eastAsia="宋体" w:cs="Times New Roman"/>
      <w:color w:val="000000"/>
      <w:sz w:val="20"/>
      <w:szCs w:val="20"/>
    </w:rPr>
  </w:style>
  <w:style w:type="character" w:customStyle="1" w:styleId="64">
    <w:name w:val="标题 3 Char"/>
    <w:link w:val="4"/>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qFormat/>
    <w:uiPriority w:val="0"/>
    <w:rPr>
      <w:rFonts w:ascii="Times New Roman" w:hAnsi="Times New Roman" w:eastAsia="宋体" w:cs="Times New Roman"/>
    </w:rPr>
  </w:style>
  <w:style w:type="character" w:customStyle="1" w:styleId="66">
    <w:name w:val="Header Char"/>
    <w:qFormat/>
    <w:uiPriority w:val="0"/>
    <w:rPr>
      <w:rFonts w:ascii="Calibri" w:hAnsi="Calibri" w:eastAsia="宋体" w:cs="Times New Roman"/>
      <w:kern w:val="2"/>
      <w:sz w:val="18"/>
      <w:szCs w:val="18"/>
      <w:lang w:val="en-US" w:eastAsia="zh-CN" w:bidi="ar-SA"/>
    </w:rPr>
  </w:style>
  <w:style w:type="character" w:customStyle="1" w:styleId="67">
    <w:name w:val="Footer Char"/>
    <w:qFormat/>
    <w:uiPriority w:val="0"/>
    <w:rPr>
      <w:rFonts w:ascii="Calibri" w:hAnsi="Calibri" w:eastAsia="宋体" w:cs="Times New Roman"/>
      <w:kern w:val="2"/>
      <w:sz w:val="18"/>
      <w:szCs w:val="18"/>
      <w:lang w:val="en-US" w:eastAsia="zh-CN" w:bidi="ar-SA"/>
    </w:rPr>
  </w:style>
  <w:style w:type="character" w:customStyle="1" w:styleId="68">
    <w:name w:val="Plain Text Char"/>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qFormat/>
    <w:uiPriority w:val="0"/>
    <w:rPr>
      <w:rFonts w:ascii="Times New Roman" w:hAnsi="Times New Roman" w:eastAsia="宋体" w:cs="Times New Roman"/>
      <w:kern w:val="0"/>
      <w:sz w:val="28"/>
    </w:rPr>
  </w:style>
  <w:style w:type="character" w:customStyle="1" w:styleId="71">
    <w:name w:val="正文文本缩进 Char"/>
    <w:link w:val="18"/>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qFormat/>
    <w:uiPriority w:val="0"/>
    <w:rPr>
      <w:rFonts w:ascii="宋体" w:hAnsi="Courier New" w:eastAsia="宋体" w:cs="Times New Roman"/>
      <w:kern w:val="2"/>
      <w:sz w:val="21"/>
      <w:lang w:val="en-US" w:eastAsia="zh-CN" w:bidi="ar-SA"/>
    </w:rPr>
  </w:style>
  <w:style w:type="character" w:customStyle="1" w:styleId="73">
    <w:name w:val="页脚 Char"/>
    <w:link w:val="25"/>
    <w:qFormat/>
    <w:uiPriority w:val="99"/>
    <w:rPr>
      <w:rFonts w:ascii="Times New Roman" w:hAnsi="Times New Roman" w:eastAsia="宋体" w:cs="Times New Roman"/>
      <w:kern w:val="2"/>
      <w:sz w:val="18"/>
      <w:szCs w:val="18"/>
    </w:rPr>
  </w:style>
  <w:style w:type="character" w:customStyle="1" w:styleId="74">
    <w:name w:val="样式 宋体 小四"/>
    <w:qFormat/>
    <w:uiPriority w:val="0"/>
    <w:rPr>
      <w:rFonts w:ascii="宋体" w:hAnsi="宋体" w:eastAsia="宋体" w:cs="Times New Roman"/>
      <w:sz w:val="24"/>
    </w:rPr>
  </w:style>
  <w:style w:type="character" w:customStyle="1" w:styleId="75">
    <w:name w:val="页眉 Char"/>
    <w:link w:val="26"/>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28"/>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4"/>
    <w:qFormat/>
    <w:uiPriority w:val="0"/>
    <w:rPr>
      <w:rFonts w:ascii="Times New Roman" w:hAnsi="Times New Roman" w:eastAsia="宋体" w:cs="Times New Roman"/>
      <w:kern w:val="2"/>
      <w:sz w:val="18"/>
      <w:szCs w:val="18"/>
    </w:rPr>
  </w:style>
  <w:style w:type="character" w:customStyle="1" w:styleId="78">
    <w:name w:val="批注文字 Char"/>
    <w:link w:val="15"/>
    <w:qFormat/>
    <w:uiPriority w:val="0"/>
    <w:rPr>
      <w:rFonts w:ascii="Times New Roman" w:hAnsi="Times New Roman" w:eastAsia="宋体" w:cs="Times New Roman"/>
      <w:kern w:val="2"/>
      <w:sz w:val="21"/>
      <w:szCs w:val="24"/>
      <w:lang w:val="en-US" w:eastAsia="zh-CN" w:bidi="ar-SA"/>
    </w:rPr>
  </w:style>
  <w:style w:type="character" w:customStyle="1" w:styleId="79">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qFormat/>
    <w:uiPriority w:val="0"/>
    <w:rPr>
      <w:rFonts w:ascii="Times New Roman" w:hAnsi="Times New Roman" w:eastAsia="宋体" w:cs="Times New Roman"/>
    </w:rPr>
  </w:style>
  <w:style w:type="character" w:customStyle="1" w:styleId="81">
    <w:name w:val="正文360首行缩进 Char"/>
    <w:link w:val="82"/>
    <w:qFormat/>
    <w:uiPriority w:val="0"/>
    <w:rPr>
      <w:rFonts w:ascii="Times New Roman" w:hAnsi="Times New Roman" w:eastAsia="宋体" w:cs="Times New Roman"/>
      <w:sz w:val="24"/>
      <w:szCs w:val="24"/>
    </w:rPr>
  </w:style>
  <w:style w:type="paragraph" w:customStyle="1" w:styleId="82">
    <w:name w:val="正文360首行缩进"/>
    <w:basedOn w:val="1"/>
    <w:link w:val="81"/>
    <w:qFormat/>
    <w:uiPriority w:val="0"/>
    <w:pPr>
      <w:widowControl/>
      <w:spacing w:before="120" w:line="300" w:lineRule="auto"/>
      <w:ind w:firstLine="200"/>
      <w:jc w:val="left"/>
    </w:pPr>
    <w:rPr>
      <w:kern w:val="0"/>
      <w:sz w:val="24"/>
    </w:rPr>
  </w:style>
  <w:style w:type="character" w:customStyle="1" w:styleId="83">
    <w:name w:val="List Paragraph Char"/>
    <w:link w:val="84"/>
    <w:qFormat/>
    <w:locked/>
    <w:uiPriority w:val="0"/>
    <w:rPr>
      <w:rFonts w:ascii="宋体" w:hAnsi="宋体" w:cs="宋体"/>
      <w:sz w:val="24"/>
      <w:szCs w:val="24"/>
    </w:rPr>
  </w:style>
  <w:style w:type="paragraph" w:customStyle="1" w:styleId="84">
    <w:name w:val="列表段落1"/>
    <w:basedOn w:val="1"/>
    <w:link w:val="83"/>
    <w:qFormat/>
    <w:uiPriority w:val="0"/>
    <w:pPr>
      <w:widowControl/>
      <w:ind w:firstLine="420" w:firstLineChars="200"/>
      <w:jc w:val="left"/>
    </w:pPr>
    <w:rPr>
      <w:rFonts w:ascii="宋体" w:hAnsi="宋体"/>
      <w:kern w:val="0"/>
      <w:sz w:val="24"/>
      <w:lang w:val="zh-CN"/>
    </w:rPr>
  </w:style>
  <w:style w:type="character" w:customStyle="1" w:styleId="85">
    <w:name w:val="yyii"/>
    <w:qFormat/>
    <w:uiPriority w:val="0"/>
    <w:rPr>
      <w:rFonts w:ascii="Times New Roman" w:hAnsi="Times New Roman" w:eastAsia="宋体" w:cs="Times New Roman"/>
    </w:rPr>
  </w:style>
  <w:style w:type="character" w:customStyle="1" w:styleId="86">
    <w:name w:val="纯文本 Char1"/>
    <w:qFormat/>
    <w:uiPriority w:val="0"/>
    <w:rPr>
      <w:rFonts w:ascii="宋体" w:hAnsi="Courier New" w:eastAsia="宋体" w:cs="Times New Roman"/>
      <w:kern w:val="2"/>
      <w:sz w:val="21"/>
    </w:rPr>
  </w:style>
  <w:style w:type="character" w:customStyle="1" w:styleId="87">
    <w:name w:val="标题 1 Char1"/>
    <w:qFormat/>
    <w:uiPriority w:val="0"/>
    <w:rPr>
      <w:rFonts w:ascii="Times New Roman" w:hAnsi="Times New Roman" w:eastAsia="宋体" w:cs="Times New Roman"/>
      <w:b/>
      <w:bCs/>
      <w:kern w:val="44"/>
      <w:sz w:val="44"/>
      <w:szCs w:val="44"/>
    </w:rPr>
  </w:style>
  <w:style w:type="character" w:customStyle="1" w:styleId="88">
    <w:name w:val="批注主题 Char"/>
    <w:link w:val="38"/>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qFormat/>
    <w:uiPriority w:val="39"/>
  </w:style>
  <w:style w:type="paragraph" w:customStyle="1" w:styleId="90">
    <w:name w:val="目录 21"/>
    <w:basedOn w:val="1"/>
    <w:next w:val="1"/>
    <w:qFormat/>
    <w:uiPriority w:val="39"/>
    <w:pPr>
      <w:tabs>
        <w:tab w:val="right" w:leader="dot" w:pos="9402"/>
      </w:tabs>
      <w:ind w:left="718" w:leftChars="200" w:hanging="298" w:hangingChars="142"/>
    </w:pPr>
  </w:style>
  <w:style w:type="paragraph" w:customStyle="1" w:styleId="91">
    <w:name w:val="目录 31"/>
    <w:basedOn w:val="1"/>
    <w:next w:val="1"/>
    <w:qFormat/>
    <w:uiPriority w:val="39"/>
    <w:pPr>
      <w:ind w:left="840" w:leftChars="400"/>
    </w:pPr>
  </w:style>
  <w:style w:type="paragraph" w:customStyle="1" w:styleId="92">
    <w:name w:val="正文首行缩进1"/>
    <w:basedOn w:val="17"/>
    <w:qFormat/>
    <w:uiPriority w:val="0"/>
    <w:pPr>
      <w:spacing w:after="120" w:line="240" w:lineRule="auto"/>
      <w:ind w:firstLine="420" w:firstLineChars="100"/>
    </w:pPr>
    <w:rPr>
      <w:sz w:val="21"/>
    </w:rPr>
  </w:style>
  <w:style w:type="paragraph" w:customStyle="1" w:styleId="93">
    <w:name w:val="Char Char1 Char Char Char Char"/>
    <w:basedOn w:val="14"/>
    <w:qFormat/>
    <w:uiPriority w:val="0"/>
    <w:rPr>
      <w:rFonts w:ascii="Tahoma" w:hAnsi="Tahoma"/>
      <w:sz w:val="24"/>
    </w:rPr>
  </w:style>
  <w:style w:type="paragraph" w:customStyle="1" w:styleId="94">
    <w:name w:val="列出段落1"/>
    <w:basedOn w:val="1"/>
    <w:qFormat/>
    <w:uiPriority w:val="99"/>
    <w:pPr>
      <w:ind w:firstLine="420" w:firstLineChars="200"/>
    </w:pPr>
    <w:rPr>
      <w:rFonts w:ascii="Calibri" w:hAnsi="Calibri"/>
    </w:rPr>
  </w:style>
  <w:style w:type="paragraph" w:customStyle="1" w:styleId="95">
    <w:name w:val="Char Char Char1 Char"/>
    <w:basedOn w:val="14"/>
    <w:qFormat/>
    <w:uiPriority w:val="0"/>
  </w:style>
  <w:style w:type="paragraph" w:customStyle="1" w:styleId="96">
    <w:name w:val="pa-5"/>
    <w:basedOn w:val="1"/>
    <w:qFormat/>
    <w:uiPriority w:val="0"/>
    <w:pPr>
      <w:widowControl/>
      <w:spacing w:before="150" w:after="150"/>
      <w:jc w:val="left"/>
    </w:pPr>
    <w:rPr>
      <w:rFonts w:ascii="宋体" w:hAnsi="宋体" w:cs="宋体"/>
      <w:kern w:val="0"/>
      <w:sz w:val="24"/>
    </w:rPr>
  </w:style>
  <w:style w:type="paragraph" w:customStyle="1" w:styleId="97">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4"/>
    <w:qFormat/>
    <w:uiPriority w:val="0"/>
    <w:rPr>
      <w:rFonts w:ascii="Tahoma" w:hAnsi="Tahoma"/>
      <w:sz w:val="24"/>
    </w:rPr>
  </w:style>
  <w:style w:type="paragraph" w:customStyle="1" w:styleId="99">
    <w:name w:val="_Style 35"/>
    <w:basedOn w:val="14"/>
    <w:qFormat/>
    <w:uiPriority w:val="0"/>
    <w:pPr>
      <w:widowControl/>
      <w:ind w:firstLine="454"/>
      <w:jc w:val="left"/>
    </w:pPr>
  </w:style>
  <w:style w:type="paragraph" w:customStyle="1" w:styleId="100">
    <w:name w:val="5 Char Char Char Char Char Char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3">
    <w:name w:val="默认段落字体 Para Char"/>
    <w:basedOn w:val="1"/>
    <w:qFormat/>
    <w:uiPriority w:val="0"/>
    <w:rPr>
      <w:szCs w:val="20"/>
    </w:rPr>
  </w:style>
  <w:style w:type="paragraph" w:customStyle="1" w:styleId="104">
    <w:name w:val="表格文字"/>
    <w:basedOn w:val="1"/>
    <w:qFormat/>
    <w:uiPriority w:val="0"/>
    <w:pPr>
      <w:spacing w:before="25" w:after="25"/>
      <w:jc w:val="left"/>
    </w:pPr>
    <w:rPr>
      <w:bCs/>
      <w:spacing w:val="10"/>
      <w:kern w:val="0"/>
      <w:sz w:val="24"/>
    </w:rPr>
  </w:style>
  <w:style w:type="paragraph" w:customStyle="1" w:styleId="105">
    <w:name w:val="_Style 7"/>
    <w:basedOn w:val="14"/>
    <w:qFormat/>
    <w:uiPriority w:val="0"/>
  </w:style>
  <w:style w:type="paragraph" w:customStyle="1" w:styleId="10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标题 1 + 居中 段前: 0 磅 段后: 0 磅 行距: 固定值 30 磅"/>
    <w:basedOn w:val="2"/>
    <w:qFormat/>
    <w:uiPriority w:val="0"/>
    <w:pPr>
      <w:spacing w:before="0" w:after="0" w:line="600" w:lineRule="exact"/>
    </w:pPr>
    <w:rPr>
      <w:rFonts w:eastAsia="宋体" w:cs="宋体"/>
      <w:szCs w:val="20"/>
    </w:rPr>
  </w:style>
  <w:style w:type="paragraph" w:customStyle="1" w:styleId="109">
    <w:name w:val="样式 小四 行距: 1.5 倍行距"/>
    <w:basedOn w:val="1"/>
    <w:qFormat/>
    <w:uiPriority w:val="0"/>
    <w:pPr>
      <w:spacing w:line="360" w:lineRule="auto"/>
      <w:ind w:firstLine="480" w:firstLineChars="200"/>
    </w:pPr>
    <w:rPr>
      <w:rFonts w:cs="宋体"/>
      <w:sz w:val="24"/>
      <w:szCs w:val="20"/>
    </w:rPr>
  </w:style>
  <w:style w:type="paragraph" w:customStyle="1" w:styleId="110">
    <w:name w:val="p0"/>
    <w:basedOn w:val="1"/>
    <w:qFormat/>
    <w:uiPriority w:val="0"/>
    <w:pPr>
      <w:widowControl/>
    </w:pPr>
    <w:rPr>
      <w:rFonts w:ascii="宋体" w:hAnsi="宋体" w:cs="宋体"/>
      <w:kern w:val="0"/>
      <w:szCs w:val="21"/>
    </w:rPr>
  </w:style>
  <w:style w:type="paragraph" w:customStyle="1" w:styleId="111">
    <w:name w:val="Char Char Char Char Char Char Char Char Char Char Char Char"/>
    <w:basedOn w:val="1"/>
    <w:qFormat/>
    <w:uiPriority w:val="0"/>
    <w:pPr>
      <w:widowControl/>
      <w:spacing w:after="160" w:line="240" w:lineRule="exact"/>
      <w:jc w:val="left"/>
    </w:pPr>
  </w:style>
  <w:style w:type="paragraph" w:customStyle="1" w:styleId="112">
    <w:name w:val="Char Char Char1 Char1"/>
    <w:basedOn w:val="1"/>
    <w:qFormat/>
    <w:uiPriority w:val="0"/>
    <w:rPr>
      <w:rFonts w:ascii="Calibri" w:hAnsi="Calibri"/>
      <w:szCs w:val="22"/>
    </w:rPr>
  </w:style>
  <w:style w:type="paragraph" w:customStyle="1" w:styleId="113">
    <w:name w:val="Char Char Char Char Char Char Char"/>
    <w:basedOn w:val="1"/>
    <w:qFormat/>
    <w:uiPriority w:val="0"/>
  </w:style>
  <w:style w:type="paragraph" w:customStyle="1" w:styleId="11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4"/>
    <w:qFormat/>
    <w:uiPriority w:val="0"/>
    <w:pPr>
      <w:widowControl/>
      <w:ind w:firstLine="454"/>
      <w:jc w:val="left"/>
    </w:pPr>
    <w:rPr>
      <w:rFonts w:ascii="Tahoma" w:hAnsi="Tahoma" w:cs="宋体"/>
      <w:kern w:val="0"/>
      <w:sz w:val="24"/>
      <w:szCs w:val="20"/>
    </w:rPr>
  </w:style>
  <w:style w:type="paragraph" w:customStyle="1" w:styleId="119">
    <w:name w:val="Char1"/>
    <w:basedOn w:val="14"/>
    <w:qFormat/>
    <w:uiPriority w:val="0"/>
    <w:pPr>
      <w:widowControl/>
      <w:ind w:firstLine="454"/>
      <w:jc w:val="left"/>
    </w:pPr>
    <w:rPr>
      <w:rFonts w:ascii="Tahoma" w:hAnsi="Tahoma" w:cs="宋体"/>
      <w:kern w:val="0"/>
      <w:sz w:val="24"/>
      <w:szCs w:val="20"/>
    </w:rPr>
  </w:style>
  <w:style w:type="paragraph" w:customStyle="1" w:styleId="120">
    <w:name w:val="1"/>
    <w:basedOn w:val="1"/>
    <w:next w:val="21"/>
    <w:qFormat/>
    <w:uiPriority w:val="0"/>
    <w:rPr>
      <w:rFonts w:ascii="宋体" w:hAnsi="Courier New"/>
      <w:szCs w:val="20"/>
    </w:rPr>
  </w:style>
  <w:style w:type="paragraph" w:customStyle="1" w:styleId="121">
    <w:name w:val="_Style 2"/>
    <w:basedOn w:val="1"/>
    <w:qFormat/>
    <w:uiPriority w:val="0"/>
    <w:pPr>
      <w:ind w:firstLine="420" w:firstLineChars="200"/>
    </w:pPr>
  </w:style>
  <w:style w:type="paragraph" w:customStyle="1" w:styleId="122">
    <w:name w:val="正文段"/>
    <w:basedOn w:val="1"/>
    <w:qFormat/>
    <w:uiPriority w:val="0"/>
    <w:pPr>
      <w:widowControl/>
      <w:snapToGrid w:val="0"/>
      <w:spacing w:afterLines="50"/>
      <w:ind w:firstLine="200" w:firstLineChars="200"/>
    </w:pPr>
    <w:rPr>
      <w:kern w:val="0"/>
      <w:sz w:val="24"/>
      <w:szCs w:val="20"/>
    </w:rPr>
  </w:style>
  <w:style w:type="paragraph" w:customStyle="1" w:styleId="123">
    <w:name w:val="列出段落2"/>
    <w:basedOn w:val="1"/>
    <w:qFormat/>
    <w:uiPriority w:val="34"/>
    <w:pPr>
      <w:ind w:firstLine="420" w:firstLineChars="200"/>
    </w:pPr>
    <w:rPr>
      <w:rFonts w:ascii="Calibri" w:hAnsi="Calibri"/>
      <w:szCs w:val="22"/>
    </w:rPr>
  </w:style>
  <w:style w:type="paragraph" w:customStyle="1" w:styleId="12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unhideWhenUsed/>
    <w:qFormat/>
    <w:uiPriority w:val="99"/>
    <w:rPr>
      <w:color w:val="605E5C"/>
      <w:shd w:val="clear" w:color="auto" w:fill="E1DFDD"/>
    </w:rPr>
  </w:style>
  <w:style w:type="character" w:customStyle="1" w:styleId="126">
    <w:name w:val="font81"/>
    <w:basedOn w:val="42"/>
    <w:qFormat/>
    <w:uiPriority w:val="0"/>
    <w:rPr>
      <w:rFonts w:hint="eastAsia" w:ascii="宋体" w:hAnsi="宋体" w:eastAsia="宋体" w:cs="宋体"/>
      <w:color w:val="000000"/>
      <w:sz w:val="18"/>
      <w:szCs w:val="18"/>
      <w:u w:val="none"/>
    </w:rPr>
  </w:style>
  <w:style w:type="paragraph" w:customStyle="1" w:styleId="127">
    <w:name w:val="List Paragraph"/>
    <w:basedOn w:val="1"/>
    <w:qFormat/>
    <w:uiPriority w:val="34"/>
    <w:pPr>
      <w:ind w:firstLine="420" w:firstLineChars="200"/>
    </w:pPr>
  </w:style>
  <w:style w:type="character" w:customStyle="1" w:styleId="128">
    <w:name w:val="未处理的提及2"/>
    <w:basedOn w:val="42"/>
    <w:unhideWhenUsed/>
    <w:qFormat/>
    <w:uiPriority w:val="99"/>
    <w:rPr>
      <w:color w:val="605E5C"/>
      <w:shd w:val="clear" w:color="auto" w:fill="E1DFDD"/>
    </w:rPr>
  </w:style>
  <w:style w:type="character" w:customStyle="1" w:styleId="129">
    <w:name w:val="纯文本 字符1"/>
    <w:qFormat/>
    <w:uiPriority w:val="0"/>
    <w:rPr>
      <w:rFonts w:ascii="宋体" w:hAnsi="Courier New" w:eastAsia="宋体" w:cs="Courier New"/>
      <w:kern w:val="2"/>
      <w:sz w:val="21"/>
      <w:szCs w:val="21"/>
      <w:lang w:val="en-US" w:eastAsia="zh-CN" w:bidi="ar-SA"/>
    </w:rPr>
  </w:style>
  <w:style w:type="paragraph" w:customStyle="1" w:styleId="13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1">
    <w:name w:val="标题 5 Char"/>
    <w:basedOn w:val="42"/>
    <w:link w:val="6"/>
    <w:qFormat/>
    <w:uiPriority w:val="0"/>
    <w:rPr>
      <w:b/>
      <w:kern w:val="2"/>
      <w:sz w:val="28"/>
      <w:szCs w:val="24"/>
    </w:rPr>
  </w:style>
  <w:style w:type="character" w:customStyle="1" w:styleId="132">
    <w:name w:val="标题 6 Char"/>
    <w:basedOn w:val="42"/>
    <w:link w:val="8"/>
    <w:qFormat/>
    <w:uiPriority w:val="0"/>
    <w:rPr>
      <w:rFonts w:ascii="Arial" w:hAnsi="Arial" w:eastAsia="黑体"/>
      <w:b/>
      <w:kern w:val="2"/>
      <w:sz w:val="24"/>
      <w:szCs w:val="24"/>
    </w:rPr>
  </w:style>
  <w:style w:type="character" w:customStyle="1" w:styleId="133">
    <w:name w:val="标题 7 Char"/>
    <w:basedOn w:val="42"/>
    <w:link w:val="9"/>
    <w:qFormat/>
    <w:uiPriority w:val="0"/>
    <w:rPr>
      <w:b/>
      <w:kern w:val="2"/>
      <w:sz w:val="24"/>
      <w:szCs w:val="24"/>
    </w:rPr>
  </w:style>
  <w:style w:type="character" w:customStyle="1" w:styleId="134">
    <w:name w:val="标题 8 Char"/>
    <w:basedOn w:val="42"/>
    <w:link w:val="10"/>
    <w:qFormat/>
    <w:uiPriority w:val="0"/>
    <w:rPr>
      <w:rFonts w:ascii="Arial" w:hAnsi="Arial" w:eastAsia="黑体"/>
      <w:kern w:val="2"/>
      <w:sz w:val="24"/>
      <w:szCs w:val="24"/>
    </w:rPr>
  </w:style>
  <w:style w:type="character" w:customStyle="1" w:styleId="135">
    <w:name w:val="标题 9 Char"/>
    <w:basedOn w:val="42"/>
    <w:link w:val="11"/>
    <w:qFormat/>
    <w:uiPriority w:val="0"/>
    <w:rPr>
      <w:rFonts w:ascii="Arial" w:hAnsi="Arial" w:eastAsia="黑体"/>
      <w:kern w:val="2"/>
      <w:sz w:val="21"/>
      <w:szCs w:val="24"/>
    </w:rPr>
  </w:style>
  <w:style w:type="character" w:customStyle="1" w:styleId="136">
    <w:name w:val="文档结构图 Char"/>
    <w:basedOn w:val="42"/>
    <w:link w:val="14"/>
    <w:qFormat/>
    <w:uiPriority w:val="0"/>
    <w:rPr>
      <w:kern w:val="2"/>
      <w:sz w:val="21"/>
      <w:szCs w:val="24"/>
      <w:shd w:val="clear" w:color="auto" w:fill="000080"/>
    </w:rPr>
  </w:style>
  <w:style w:type="character" w:customStyle="1" w:styleId="137">
    <w:name w:val="正文文本 3 Char"/>
    <w:basedOn w:val="42"/>
    <w:link w:val="16"/>
    <w:qFormat/>
    <w:uiPriority w:val="0"/>
    <w:rPr>
      <w:b/>
      <w:bCs/>
      <w:kern w:val="2"/>
      <w:sz w:val="24"/>
      <w:szCs w:val="24"/>
    </w:rPr>
  </w:style>
  <w:style w:type="character" w:customStyle="1" w:styleId="138">
    <w:name w:val="正文文本 Char"/>
    <w:basedOn w:val="42"/>
    <w:link w:val="17"/>
    <w:qFormat/>
    <w:uiPriority w:val="0"/>
    <w:rPr>
      <w:kern w:val="2"/>
      <w:sz w:val="24"/>
      <w:szCs w:val="24"/>
    </w:rPr>
  </w:style>
  <w:style w:type="character" w:customStyle="1" w:styleId="139">
    <w:name w:val="日期 Char"/>
    <w:basedOn w:val="42"/>
    <w:link w:val="22"/>
    <w:qFormat/>
    <w:uiPriority w:val="0"/>
    <w:rPr>
      <w:rFonts w:ascii="宋体" w:hAnsi="Courier New" w:cs="Courier New"/>
      <w:kern w:val="2"/>
      <w:sz w:val="21"/>
      <w:szCs w:val="21"/>
    </w:rPr>
  </w:style>
  <w:style w:type="character" w:customStyle="1" w:styleId="140">
    <w:name w:val="正文文本缩进 2 Char"/>
    <w:basedOn w:val="42"/>
    <w:link w:val="23"/>
    <w:qFormat/>
    <w:uiPriority w:val="0"/>
    <w:rPr>
      <w:kern w:val="2"/>
      <w:sz w:val="32"/>
    </w:rPr>
  </w:style>
  <w:style w:type="character" w:customStyle="1" w:styleId="141">
    <w:name w:val="正文文本缩进 3 Char"/>
    <w:basedOn w:val="42"/>
    <w:link w:val="31"/>
    <w:qFormat/>
    <w:uiPriority w:val="0"/>
    <w:rPr>
      <w:kern w:val="2"/>
      <w:sz w:val="16"/>
      <w:szCs w:val="16"/>
    </w:rPr>
  </w:style>
  <w:style w:type="character" w:customStyle="1" w:styleId="142">
    <w:name w:val="正文文本 2 Char"/>
    <w:basedOn w:val="42"/>
    <w:link w:val="33"/>
    <w:qFormat/>
    <w:uiPriority w:val="0"/>
    <w:rPr>
      <w:kern w:val="2"/>
      <w:sz w:val="21"/>
      <w:szCs w:val="24"/>
    </w:rPr>
  </w:style>
  <w:style w:type="character" w:customStyle="1" w:styleId="143">
    <w:name w:val="HTML 预设格式 Char"/>
    <w:basedOn w:val="42"/>
    <w:link w:val="34"/>
    <w:qFormat/>
    <w:uiPriority w:val="0"/>
    <w:rPr>
      <w:rFonts w:ascii="宋体" w:hAnsi="宋体" w:cs="宋体"/>
      <w:sz w:val="24"/>
      <w:szCs w:val="24"/>
    </w:rPr>
  </w:style>
  <w:style w:type="paragraph" w:customStyle="1" w:styleId="1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5">
    <w:name w:val="font122"/>
    <w:basedOn w:val="42"/>
    <w:qFormat/>
    <w:uiPriority w:val="0"/>
    <w:rPr>
      <w:rFonts w:hint="default" w:ascii="Times New Roman" w:hAnsi="Times New Roman" w:cs="Times New Roman"/>
      <w:color w:val="000000"/>
      <w:sz w:val="20"/>
      <w:szCs w:val="20"/>
      <w:u w:val="none"/>
    </w:rPr>
  </w:style>
  <w:style w:type="character" w:customStyle="1" w:styleId="146">
    <w:name w:val="font01"/>
    <w:basedOn w:val="42"/>
    <w:qFormat/>
    <w:uiPriority w:val="0"/>
    <w:rPr>
      <w:rFonts w:hint="eastAsia" w:ascii="宋体" w:hAnsi="宋体" w:eastAsia="宋体" w:cs="宋体"/>
      <w:color w:val="000000"/>
      <w:sz w:val="22"/>
      <w:szCs w:val="22"/>
      <w:u w:val="none"/>
    </w:rPr>
  </w:style>
  <w:style w:type="paragraph" w:customStyle="1" w:styleId="14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Table Paragraph_file_341_file_582"/>
    <w:basedOn w:val="150"/>
    <w:qFormat/>
    <w:uiPriority w:val="1"/>
    <w:pPr>
      <w:autoSpaceDE w:val="0"/>
      <w:autoSpaceDN w:val="0"/>
      <w:adjustRightInd w:val="0"/>
      <w:jc w:val="left"/>
    </w:pPr>
    <w:rPr>
      <w:rFonts w:ascii="黑体" w:eastAsia="黑体" w:cs="黑体"/>
      <w:kern w:val="0"/>
      <w:sz w:val="24"/>
    </w:rPr>
  </w:style>
  <w:style w:type="paragraph" w:customStyle="1" w:styleId="150">
    <w:name w:val="Normal_file_341_file_58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Table Paragraph_file_582"/>
    <w:basedOn w:val="152"/>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2">
    <w:name w:val="Normal_file_58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标题 1 Char"/>
    <w:link w:val="2"/>
    <w:qFormat/>
    <w:uiPriority w:val="0"/>
    <w:rPr>
      <w:rFonts w:ascii="Times New Roman" w:hAnsi="Times New Roman" w:eastAsia="宋体"/>
      <w:b/>
      <w:bCs/>
      <w:kern w:val="44"/>
      <w:sz w:val="44"/>
      <w:szCs w:val="44"/>
    </w:rPr>
  </w:style>
  <w:style w:type="character" w:customStyle="1" w:styleId="154">
    <w:name w:val="font71"/>
    <w:basedOn w:val="42"/>
    <w:qFormat/>
    <w:uiPriority w:val="0"/>
    <w:rPr>
      <w:rFonts w:hint="eastAsia" w:ascii="宋体" w:hAnsi="宋体" w:eastAsia="宋体" w:cs="宋体"/>
      <w:color w:val="000000"/>
      <w:sz w:val="21"/>
      <w:szCs w:val="21"/>
      <w:u w:val="none"/>
    </w:rPr>
  </w:style>
  <w:style w:type="character" w:customStyle="1" w:styleId="155">
    <w:name w:val="font61"/>
    <w:qFormat/>
    <w:uiPriority w:val="0"/>
    <w:rPr>
      <w:rFonts w:hint="default" w:ascii="Times New Roman" w:hAnsi="Times New Roman" w:cs="Times New Roman"/>
      <w:color w:val="000000"/>
      <w:sz w:val="21"/>
      <w:szCs w:val="21"/>
      <w:u w:val="none"/>
    </w:rPr>
  </w:style>
  <w:style w:type="character" w:customStyle="1" w:styleId="156">
    <w:name w:val="font11"/>
    <w:basedOn w:val="42"/>
    <w:qFormat/>
    <w:uiPriority w:val="0"/>
    <w:rPr>
      <w:rFonts w:hint="eastAsia" w:ascii="宋体" w:hAnsi="宋体" w:eastAsia="宋体" w:cs="宋体"/>
      <w:color w:val="000000"/>
      <w:sz w:val="22"/>
      <w:szCs w:val="22"/>
      <w:u w:val="none"/>
    </w:rPr>
  </w:style>
  <w:style w:type="paragraph" w:customStyle="1" w:styleId="157">
    <w:name w:val="表格正文"/>
    <w:basedOn w:val="1"/>
    <w:qFormat/>
    <w:uiPriority w:val="0"/>
    <w:pPr>
      <w:spacing w:beforeLines="0" w:line="276" w:lineRule="auto"/>
      <w:jc w:val="center"/>
    </w:pPr>
    <w:rPr>
      <w:sz w:val="18"/>
    </w:rPr>
  </w:style>
  <w:style w:type="character" w:customStyle="1" w:styleId="158">
    <w:name w:val="font141"/>
    <w:basedOn w:val="42"/>
    <w:qFormat/>
    <w:uiPriority w:val="0"/>
    <w:rPr>
      <w:rFonts w:hint="eastAsia" w:ascii="宋体" w:hAnsi="宋体" w:eastAsia="宋体" w:cs="宋体"/>
      <w:color w:val="000000"/>
      <w:sz w:val="22"/>
      <w:szCs w:val="22"/>
      <w:u w:val="none"/>
    </w:rPr>
  </w:style>
  <w:style w:type="character" w:customStyle="1" w:styleId="159">
    <w:name w:val="font151"/>
    <w:basedOn w:val="42"/>
    <w:qFormat/>
    <w:uiPriority w:val="0"/>
    <w:rPr>
      <w:rFonts w:ascii="Arial" w:hAnsi="Arial" w:cs="Arial"/>
      <w:color w:val="000000"/>
      <w:sz w:val="16"/>
      <w:szCs w:val="16"/>
      <w:u w:val="none"/>
    </w:rPr>
  </w:style>
  <w:style w:type="character" w:customStyle="1" w:styleId="160">
    <w:name w:val="font161"/>
    <w:basedOn w:val="42"/>
    <w:qFormat/>
    <w:uiPriority w:val="0"/>
    <w:rPr>
      <w:rFonts w:hint="eastAsia" w:ascii="宋体" w:hAnsi="宋体" w:eastAsia="宋体" w:cs="宋体"/>
      <w:color w:val="000000"/>
      <w:sz w:val="16"/>
      <w:szCs w:val="16"/>
      <w:u w:val="none"/>
      <w:vertAlign w:val="superscript"/>
    </w:rPr>
  </w:style>
  <w:style w:type="character" w:customStyle="1" w:styleId="161">
    <w:name w:val="font171"/>
    <w:basedOn w:val="42"/>
    <w:qFormat/>
    <w:uiPriority w:val="0"/>
    <w:rPr>
      <w:rFonts w:hint="default" w:ascii="Times New Roman" w:hAnsi="Times New Roman" w:cs="Times New Roman"/>
      <w:color w:val="000000"/>
      <w:sz w:val="22"/>
      <w:szCs w:val="22"/>
      <w:u w:val="none"/>
    </w:rPr>
  </w:style>
  <w:style w:type="character" w:customStyle="1" w:styleId="162">
    <w:name w:val="font181"/>
    <w:basedOn w:val="42"/>
    <w:qFormat/>
    <w:uiPriority w:val="0"/>
    <w:rPr>
      <w:rFonts w:hint="eastAsia" w:ascii="宋体" w:hAnsi="宋体" w:eastAsia="宋体" w:cs="宋体"/>
      <w:color w:val="000000"/>
      <w:sz w:val="22"/>
      <w:szCs w:val="22"/>
      <w:u w:val="none"/>
      <w:vertAlign w:val="subscript"/>
    </w:rPr>
  </w:style>
  <w:style w:type="character" w:customStyle="1" w:styleId="163">
    <w:name w:val="font191"/>
    <w:basedOn w:val="42"/>
    <w:qFormat/>
    <w:uiPriority w:val="0"/>
    <w:rPr>
      <w:rFonts w:ascii="宋体" w:hAnsi="宋体" w:eastAsia="宋体" w:cs="宋体"/>
      <w:color w:val="000000"/>
      <w:sz w:val="16"/>
      <w:szCs w:val="16"/>
      <w:u w:val="none"/>
    </w:rPr>
  </w:style>
  <w:style w:type="character" w:customStyle="1" w:styleId="164">
    <w:name w:val="font101"/>
    <w:basedOn w:val="42"/>
    <w:qFormat/>
    <w:uiPriority w:val="0"/>
    <w:rPr>
      <w:rFonts w:hint="eastAsia" w:ascii="宋体" w:hAnsi="宋体" w:eastAsia="宋体" w:cs="宋体"/>
      <w:color w:val="000000"/>
      <w:sz w:val="16"/>
      <w:szCs w:val="16"/>
      <w:u w:val="none"/>
    </w:rPr>
  </w:style>
  <w:style w:type="character" w:customStyle="1" w:styleId="165">
    <w:name w:val="font91"/>
    <w:basedOn w:val="4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26733</Words>
  <Characters>29026</Characters>
  <Lines>346</Lines>
  <Paragraphs>97</Paragraphs>
  <TotalTime>3</TotalTime>
  <ScaleCrop>false</ScaleCrop>
  <LinksUpToDate>false</LinksUpToDate>
  <CharactersWithSpaces>32484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Administrator</cp:lastModifiedBy>
  <cp:lastPrinted>2026-03-02T03:46:00Z</cp:lastPrinted>
  <dcterms:modified xsi:type="dcterms:W3CDTF">2026-03-06T03:00:33Z</dcterms:modified>
  <dc:title>竞争性谈判文件</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C66EFD9A82A5449B993FD2D14A221C29_13</vt:lpwstr>
  </property>
  <property fmtid="{D5CDD505-2E9C-101B-9397-08002B2CF9AE}" pid="4" name="KSOTemplateDocerSaveRecord">
    <vt:lpwstr>eyJoZGlkIjoiMTM0NGFlOTE5YzM3NmI1Mjk3MTU1YWRiMjQ4ZDZiNGUiLCJ1c2VySWQiOiIxMzM5Mjk0NDEwIn0=</vt:lpwstr>
  </property>
</Properties>
</file>