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08C8">
      <w:pPr>
        <w:widowControl/>
        <w:jc w:val="center"/>
        <w:textAlignment w:val="baseline"/>
        <w:rPr>
          <w:rFonts w:hint="eastAsia" w:ascii="黑体" w:hAnsi="黑体" w:eastAsia="黑体"/>
          <w:b/>
          <w:bCs/>
          <w:color w:val="auto"/>
          <w:sz w:val="72"/>
          <w:szCs w:val="72"/>
          <w:highlight w:val="none"/>
        </w:rPr>
      </w:pPr>
      <w:bookmarkStart w:id="0" w:name="_Toc434315322"/>
      <w:r>
        <w:rPr>
          <w:rFonts w:hint="eastAsia" w:ascii="宋体" w:hAnsi="宋体" w:eastAsia="黑体" w:cs="宋体"/>
          <w:b/>
          <w:bCs/>
          <w:color w:val="auto"/>
          <w:sz w:val="66"/>
          <w:szCs w:val="66"/>
          <w:highlight w:val="none"/>
          <w14:shadow w14:blurRad="50800" w14:dist="38100" w14:dir="2700000" w14:sx="100000" w14:sy="100000" w14:kx="0" w14:ky="0" w14:algn="tl">
            <w14:srgbClr w14:val="000000">
              <w14:alpha w14:val="60000"/>
            </w14:srgbClr>
          </w14:shadow>
        </w:rPr>
        <w:t>广西荣胜项目管理有限公司</w:t>
      </w:r>
    </w:p>
    <w:p w14:paraId="4F7EE08F">
      <w:pPr>
        <w:pStyle w:val="10"/>
        <w:jc w:val="center"/>
        <w:rPr>
          <w:rFonts w:hint="eastAsia" w:ascii="方正小标宋简体" w:hAnsi="方正小标宋简体" w:eastAsia="方正小标宋简体" w:cs="方正小标宋简体"/>
          <w:color w:val="auto"/>
          <w:sz w:val="32"/>
          <w:szCs w:val="32"/>
          <w:highlight w:val="none"/>
        </w:rPr>
      </w:pPr>
      <w:r>
        <w:rPr>
          <w:rFonts w:hint="eastAsia"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OJ0XZAAAACQEAAA8AAAAAAAAAAQAgAAAAIgAAAGRycy9kb3ducmV2LnhtbFBLAQIU&#10;ABQAAAAIAIdO4kDqljRY8gEAAN0DAAAOAAAAAAAAAAEAIAAAACgBAABkcnMvZTJvRG9jLnhtbFBL&#10;BQYAAAAABgAGAFkBAACMBQAAAAA=&#10;">
                <v:fill on="f" focussize="0,0"/>
                <v:stroke weight="2.25pt" color="#000000" joinstyle="round"/>
                <v:imagedata o:title=""/>
                <o:lock v:ext="edit" aspectratio="f"/>
              </v:line>
            </w:pict>
          </mc:Fallback>
        </mc:AlternateContent>
      </w:r>
    </w:p>
    <w:p w14:paraId="5179AA2F">
      <w:pPr>
        <w:pStyle w:val="10"/>
        <w:tabs>
          <w:tab w:val="left" w:pos="7854"/>
        </w:tabs>
        <w:rPr>
          <w:rFonts w:hint="eastAsia" w:ascii="方正小标宋简体" w:hAnsi="方正小标宋简体" w:eastAsia="方正小标宋简体" w:cs="方正小标宋简体"/>
          <w:color w:val="auto"/>
          <w:sz w:val="20"/>
          <w:highlight w:val="none"/>
        </w:rPr>
      </w:pPr>
    </w:p>
    <w:p w14:paraId="4382BDEB">
      <w:pPr>
        <w:tabs>
          <w:tab w:val="left" w:pos="1079"/>
          <w:tab w:val="left" w:pos="3240"/>
        </w:tabs>
        <w:spacing w:line="821" w:lineRule="exact"/>
        <w:ind w:right="138"/>
        <w:rPr>
          <w:rFonts w:hint="eastAsia" w:ascii="方正小标宋简体" w:hAnsi="方正小标宋简体" w:eastAsia="方正小标宋简体" w:cs="方正小标宋简体"/>
          <w:color w:val="auto"/>
          <w:sz w:val="72"/>
          <w:highlight w:val="none"/>
        </w:rPr>
      </w:pPr>
    </w:p>
    <w:p w14:paraId="09BCA8FB">
      <w:pPr>
        <w:pStyle w:val="46"/>
        <w:rPr>
          <w:rFonts w:hint="eastAsia" w:ascii="方正小标宋简体" w:hAnsi="方正小标宋简体" w:eastAsia="方正小标宋简体" w:cs="方正小标宋简体"/>
          <w:color w:val="auto"/>
          <w:sz w:val="72"/>
          <w:highlight w:val="none"/>
        </w:rPr>
      </w:pPr>
    </w:p>
    <w:p w14:paraId="25AB5909">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z w:val="72"/>
          <w:highlight w:val="none"/>
        </w:rPr>
      </w:pPr>
      <w:r>
        <w:rPr>
          <w:rFonts w:hint="eastAsia" w:ascii="方正小标宋简体" w:hAnsi="方正小标宋简体" w:eastAsia="方正小标宋简体" w:cs="方正小标宋简体"/>
          <w:color w:val="auto"/>
          <w:sz w:val="72"/>
          <w:highlight w:val="none"/>
        </w:rPr>
        <w:t>竞争性磋商采购文件</w:t>
      </w:r>
    </w:p>
    <w:p w14:paraId="39837C6C">
      <w:pPr>
        <w:pStyle w:val="10"/>
        <w:rPr>
          <w:rFonts w:hint="eastAsia" w:ascii="方正小标宋简体" w:hAnsi="方正小标宋简体" w:eastAsia="方正小标宋简体" w:cs="方正小标宋简体"/>
          <w:color w:val="auto"/>
          <w:sz w:val="68"/>
          <w:highlight w:val="none"/>
        </w:rPr>
      </w:pPr>
    </w:p>
    <w:p w14:paraId="04490006">
      <w:pPr>
        <w:pStyle w:val="26"/>
        <w:rPr>
          <w:rFonts w:hint="eastAsia" w:ascii="方正小标宋简体" w:hAnsi="方正小标宋简体" w:eastAsia="方正小标宋简体" w:cs="方正小标宋简体"/>
          <w:color w:val="auto"/>
          <w:sz w:val="68"/>
          <w:highlight w:val="none"/>
        </w:rPr>
      </w:pPr>
    </w:p>
    <w:p w14:paraId="7F928FE9">
      <w:pPr>
        <w:rPr>
          <w:color w:val="auto"/>
          <w:highlight w:val="none"/>
        </w:rPr>
      </w:pPr>
    </w:p>
    <w:p w14:paraId="34A7E484">
      <w:pPr>
        <w:pStyle w:val="10"/>
        <w:rPr>
          <w:rFonts w:hint="eastAsia" w:ascii="方正小标宋简体" w:hAnsi="方正小标宋简体" w:eastAsia="方正小标宋简体" w:cs="方正小标宋简体"/>
          <w:color w:val="auto"/>
          <w:sz w:val="20"/>
          <w:highlight w:val="none"/>
        </w:rPr>
      </w:pPr>
    </w:p>
    <w:p w14:paraId="27F673FF">
      <w:pPr>
        <w:spacing w:after="317" w:afterLines="100"/>
        <w:ind w:left="2238" w:leftChars="304" w:hanging="1600" w:hangingChars="500"/>
        <w:rPr>
          <w:rFonts w:hint="eastAsia" w:ascii="宋体" w:hAnsi="宋体" w:eastAsia="宋体" w:cs="宋体"/>
          <w:color w:val="auto"/>
          <w:sz w:val="32"/>
          <w:highlight w:val="none"/>
          <w:lang w:eastAsia="zh-CN"/>
        </w:rPr>
      </w:pPr>
      <w:r>
        <w:rPr>
          <w:rFonts w:hint="eastAsia" w:ascii="宋体" w:hAnsi="宋体" w:cs="宋体"/>
          <w:color w:val="auto"/>
          <w:sz w:val="32"/>
          <w:highlight w:val="none"/>
        </w:rPr>
        <w:t>项目名称：</w:t>
      </w:r>
      <w:r>
        <w:rPr>
          <w:rFonts w:hint="eastAsia" w:ascii="宋体" w:hAnsi="宋体" w:cs="宋体"/>
          <w:color w:val="auto"/>
          <w:sz w:val="32"/>
          <w:highlight w:val="none"/>
          <w:lang w:eastAsia="zh-CN"/>
        </w:rPr>
        <w:t>张黄镇农村养老服务中心土方</w:t>
      </w:r>
    </w:p>
    <w:p w14:paraId="34CCC186">
      <w:pPr>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项目编号：QZZC2026-C2-220003-GXRS</w:t>
      </w:r>
      <w:r>
        <w:rPr>
          <w:rFonts w:hint="eastAsia" w:ascii="宋体" w:hAnsi="宋体" w:cs="宋体"/>
          <w:color w:val="auto"/>
          <w:sz w:val="32"/>
          <w:szCs w:val="32"/>
          <w:highlight w:val="none"/>
          <w:lang w:val="en-US" w:eastAsia="zh-CN"/>
        </w:rPr>
        <w:t xml:space="preserve"> </w:t>
      </w:r>
    </w:p>
    <w:p w14:paraId="2E28FAE3">
      <w:pPr>
        <w:rPr>
          <w:color w:val="auto"/>
          <w:highlight w:val="none"/>
        </w:rPr>
      </w:pPr>
    </w:p>
    <w:p w14:paraId="752D9BB2">
      <w:pPr>
        <w:pStyle w:val="10"/>
        <w:rPr>
          <w:rFonts w:hint="eastAsia" w:ascii="方正小标宋简体" w:hAnsi="方正小标宋简体" w:eastAsia="方正小标宋简体" w:cs="方正小标宋简体"/>
          <w:color w:val="auto"/>
          <w:sz w:val="20"/>
          <w:highlight w:val="none"/>
        </w:rPr>
      </w:pPr>
      <w:r>
        <w:rPr>
          <w:rFonts w:hint="eastAsia" w:hAnsi="宋体" w:cs="宋体"/>
          <w:color w:val="auto"/>
          <w:sz w:val="20"/>
          <w:highlight w:val="none"/>
          <w:u w:val="single"/>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5.65pt;margin-top:4.45pt;height:2.85pt;width:500.3pt;z-index:251664384;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NKJf1gAAAAgBAAAPAAAAAAAAAAEAIAAAACIAAABkcnMvZG93bnJldi54bWxQSwEC&#10;FAAUAAAACACHTuJASvSSi/YBAADnAwAADgAAAAAAAAABACAAAAAlAQAAZHJzL2Uyb0RvYy54bWxQ&#10;SwUGAAAAAAYABgBZAQAAjQUAAAAA&#10;">
                <v:fill on="f" focussize="0,0"/>
                <v:stroke weight="2.25pt" color="#000000" joinstyle="round"/>
                <v:imagedata o:title=""/>
                <o:lock v:ext="edit" aspectratio="f"/>
              </v:line>
            </w:pict>
          </mc:Fallback>
        </mc:AlternateContent>
      </w:r>
    </w:p>
    <w:p w14:paraId="71BAF592">
      <w:pPr>
        <w:pStyle w:val="10"/>
        <w:rPr>
          <w:rFonts w:hint="eastAsia" w:hAnsi="宋体" w:eastAsia="宋体" w:cs="宋体"/>
          <w:bCs/>
          <w:color w:val="auto"/>
          <w:sz w:val="32"/>
          <w:szCs w:val="32"/>
          <w:highlight w:val="none"/>
          <w:lang w:eastAsia="zh-CN"/>
        </w:rPr>
      </w:pPr>
      <w:r>
        <w:rPr>
          <w:rFonts w:hint="eastAsia" w:hAnsi="宋体" w:cs="宋体"/>
          <w:color w:val="auto"/>
          <w:sz w:val="32"/>
          <w:szCs w:val="32"/>
          <w:highlight w:val="none"/>
          <w:u w:val="singl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3pt;margin-top:564.7pt;height:0.5pt;width:490.5pt;z-index:251663360;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6jqDZAAAADQEAAA8AAAAAAAAAAQAgAAAAIgAAAGRycy9kb3ducmV2LnhtbFBL&#10;AQIUABQAAAAIAIdO4kDxw1G69QEAAOYDAAAOAAAAAAAAAAEAIAAAACgBAABkcnMvZTJvRG9jLnht&#10;bFBLBQYAAAAABgAGAFkBAACPBQ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Fg22AAAAA0BAAAPAAAAAAAAAAEAIAAAACIAAABkcnMvZG93bnJldi54bWxQSwEC&#10;FAAUAAAACACHTuJABuWcePQBAADmAwAADgAAAAAAAAABACAAAAAnAQAAZHJzL2Uyb0RvYy54bWxQ&#10;SwUGAAAAAAYABgBZAQAAjQU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rPr>
        <w:t xml:space="preserve">            采购单位：</w:t>
      </w:r>
      <w:r>
        <w:rPr>
          <w:rFonts w:hint="eastAsia" w:hAnsi="宋体" w:cs="宋体"/>
          <w:color w:val="auto"/>
          <w:sz w:val="32"/>
          <w:szCs w:val="32"/>
          <w:highlight w:val="none"/>
          <w:lang w:eastAsia="zh-CN"/>
        </w:rPr>
        <w:t>浦北县民政局</w:t>
      </w:r>
    </w:p>
    <w:p w14:paraId="2C6BD043">
      <w:pPr>
        <w:spacing w:line="8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采购代理机构：广西荣胜项目管理有限公司</w:t>
      </w:r>
    </w:p>
    <w:p w14:paraId="3F21554F">
      <w:pPr>
        <w:spacing w:line="800" w:lineRule="exact"/>
        <w:jc w:val="center"/>
        <w:rPr>
          <w:rFonts w:hint="eastAsia" w:ascii="宋体" w:hAnsi="宋体" w:cs="宋体"/>
          <w:color w:val="auto"/>
          <w:highlight w:val="none"/>
        </w:rPr>
      </w:pPr>
      <w:r>
        <w:rPr>
          <w:rFonts w:hint="eastAsia" w:ascii="宋体" w:hAnsi="宋体" w:cs="宋体"/>
          <w:color w:val="auto"/>
          <w:sz w:val="32"/>
          <w:szCs w:val="32"/>
          <w:highlight w:val="none"/>
        </w:rPr>
        <w:t xml:space="preserve"> 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 xml:space="preserve"> 1</w:t>
      </w:r>
      <w:r>
        <w:rPr>
          <w:rFonts w:hint="eastAsia" w:ascii="宋体" w:hAnsi="宋体" w:cs="宋体"/>
          <w:color w:val="auto"/>
          <w:sz w:val="32"/>
          <w:szCs w:val="32"/>
          <w:highlight w:val="none"/>
        </w:rPr>
        <w:t>月</w:t>
      </w:r>
    </w:p>
    <w:p w14:paraId="7CD28FA9">
      <w:pPr>
        <w:spacing w:line="800" w:lineRule="exact"/>
        <w:rPr>
          <w:rFonts w:hint="eastAsia" w:ascii="宋体" w:hAnsi="宋体" w:cs="宋体"/>
          <w:color w:val="auto"/>
          <w:highlight w:val="none"/>
        </w:rPr>
        <w:sectPr>
          <w:pgSz w:w="11906" w:h="16838"/>
          <w:pgMar w:top="1134" w:right="1134" w:bottom="1134" w:left="1417" w:header="850" w:footer="992" w:gutter="0"/>
          <w:cols w:space="720" w:num="1"/>
          <w:docGrid w:type="lines" w:linePitch="317" w:charSpace="0"/>
        </w:sectPr>
      </w:pPr>
    </w:p>
    <w:p w14:paraId="34DE500A">
      <w:pPr>
        <w:pStyle w:val="46"/>
        <w:rPr>
          <w:rFonts w:hint="eastAsia"/>
          <w:color w:val="auto"/>
          <w:highlight w:val="none"/>
        </w:rPr>
      </w:pPr>
    </w:p>
    <w:sdt>
      <w:sdtPr>
        <w:rPr>
          <w:rFonts w:ascii="宋体" w:hAnsi="宋体"/>
          <w:color w:val="auto"/>
          <w:sz w:val="28"/>
          <w:szCs w:val="36"/>
          <w:highlight w:val="none"/>
        </w:rPr>
        <w:id w:val="147475717"/>
        <w15:color w:val="DBDBDB"/>
        <w:docPartObj>
          <w:docPartGallery w:val="Table of Contents"/>
          <w:docPartUnique/>
        </w:docPartObj>
      </w:sdtPr>
      <w:sdtEndPr>
        <w:rPr>
          <w:rFonts w:ascii="宋体" w:hAnsi="宋体" w:cs="宋体"/>
          <w:color w:val="auto"/>
          <w:sz w:val="28"/>
          <w:szCs w:val="40"/>
          <w:highlight w:val="none"/>
        </w:rPr>
      </w:sdtEndPr>
      <w:sdtContent>
        <w:p w14:paraId="4FB15D08">
          <w:pPr>
            <w:spacing w:line="360" w:lineRule="auto"/>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624AEE18">
          <w:pPr>
            <w:pStyle w:val="20"/>
            <w:tabs>
              <w:tab w:val="right" w:leader="dot" w:pos="9799"/>
            </w:tabs>
            <w:rPr>
              <w:rFonts w:hint="eastAsia"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6F9D0806">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649D14D">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kern w:val="0"/>
              <w:sz w:val="24"/>
              <w:highlight w:val="none"/>
            </w:rPr>
            <w:t>第二章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_Toc5416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8EF7262">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kern w:val="0"/>
              <w:sz w:val="24"/>
              <w:highlight w:val="none"/>
            </w:rPr>
            <w:t>第三章   项目基本情况及要求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03D35F">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4"/>
              <w:highlight w:val="none"/>
            </w:rPr>
            <w:t>第四章  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_Toc20069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D0BF13">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93F1465">
          <w:pPr>
            <w:pStyle w:val="20"/>
            <w:tabs>
              <w:tab w:val="right" w:leader="dot" w:pos="9799"/>
            </w:tabs>
            <w:spacing w:line="700" w:lineRule="exact"/>
            <w:ind w:left="315" w:leftChars="150" w:right="210" w:rightChars="100"/>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kern w:val="0"/>
              <w:sz w:val="24"/>
              <w:highlight w:val="none"/>
            </w:rPr>
            <w:t>第六章   合同主要条款（参考格式）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3FE2E06">
          <w:pPr>
            <w:pStyle w:val="20"/>
            <w:tabs>
              <w:tab w:val="right" w:leader="dot" w:pos="9799"/>
            </w:tabs>
            <w:spacing w:line="360" w:lineRule="auto"/>
            <w:rPr>
              <w:color w:val="auto"/>
              <w:sz w:val="20"/>
              <w:szCs w:val="22"/>
              <w:highlight w:val="none"/>
            </w:rPr>
          </w:pPr>
        </w:p>
        <w:p w14:paraId="59387305">
          <w:pPr>
            <w:pStyle w:val="20"/>
            <w:tabs>
              <w:tab w:val="center" w:pos="4899"/>
            </w:tabs>
            <w:spacing w:line="360" w:lineRule="auto"/>
            <w:rPr>
              <w:rFonts w:hint="eastAsia"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65A174A9">
      <w:pPr>
        <w:pStyle w:val="10"/>
        <w:tabs>
          <w:tab w:val="left" w:pos="4386"/>
        </w:tabs>
        <w:autoSpaceDE/>
        <w:autoSpaceDN/>
        <w:adjustRightInd/>
        <w:spacing w:line="320" w:lineRule="exact"/>
        <w:rPr>
          <w:rFonts w:hint="eastAsia" w:hAnsi="宋体" w:cs="宋体"/>
          <w:b/>
          <w:bCs/>
          <w:color w:val="auto"/>
          <w:sz w:val="36"/>
          <w:szCs w:val="36"/>
          <w:highlight w:val="none"/>
        </w:rPr>
      </w:pPr>
      <w:r>
        <w:rPr>
          <w:rFonts w:hint="eastAsia" w:hAnsi="宋体" w:cs="宋体"/>
          <w:b/>
          <w:bCs/>
          <w:color w:val="auto"/>
          <w:sz w:val="36"/>
          <w:szCs w:val="36"/>
          <w:highlight w:val="none"/>
        </w:rPr>
        <w:tab/>
      </w:r>
      <w:bookmarkStart w:id="574" w:name="_GoBack"/>
      <w:bookmarkEnd w:id="574"/>
    </w:p>
    <w:p w14:paraId="7E055C2B">
      <w:pPr>
        <w:tabs>
          <w:tab w:val="left" w:pos="6703"/>
        </w:tabs>
        <w:jc w:val="left"/>
        <w:rPr>
          <w:color w:val="auto"/>
          <w:highlight w:val="none"/>
        </w:rPr>
        <w:sectPr>
          <w:headerReference r:id="rId3" w:type="default"/>
          <w:footerReference r:id="rId4" w:type="default"/>
          <w:pgSz w:w="11906" w:h="16838"/>
          <w:pgMar w:top="1440" w:right="1080" w:bottom="1440" w:left="460" w:header="851" w:footer="794" w:gutter="567"/>
          <w:pgNumType w:start="1"/>
          <w:cols w:space="720" w:num="1"/>
        </w:sectPr>
      </w:pPr>
      <w:r>
        <w:rPr>
          <w:rFonts w:hint="eastAsia"/>
          <w:color w:val="auto"/>
          <w:highlight w:val="none"/>
        </w:rPr>
        <w:tab/>
      </w:r>
    </w:p>
    <w:p w14:paraId="2EADE997">
      <w:pPr>
        <w:pStyle w:val="3"/>
        <w:spacing w:before="0" w:after="156" w:afterLines="50" w:line="520" w:lineRule="exact"/>
        <w:jc w:val="center"/>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60E70505">
      <w:pPr>
        <w:spacing w:after="156" w:afterLines="50" w:line="460" w:lineRule="exact"/>
        <w:jc w:val="center"/>
        <w:rPr>
          <w:color w:val="auto"/>
          <w:sz w:val="30"/>
          <w:szCs w:val="30"/>
          <w:highlight w:val="none"/>
        </w:rPr>
      </w:pPr>
      <w:r>
        <w:rPr>
          <w:rFonts w:hint="eastAsia" w:ascii="宋体" w:hAnsi="宋体"/>
          <w:b/>
          <w:color w:val="auto"/>
          <w:sz w:val="30"/>
          <w:szCs w:val="30"/>
          <w:highlight w:val="none"/>
        </w:rPr>
        <w:t>广西荣胜项目管理有限公司关于</w:t>
      </w:r>
      <w:bookmarkStart w:id="3" w:name="_Toc2948"/>
      <w:r>
        <w:rPr>
          <w:rFonts w:hint="eastAsia" w:ascii="宋体" w:hAnsi="宋体"/>
          <w:b/>
          <w:color w:val="auto"/>
          <w:sz w:val="30"/>
          <w:szCs w:val="30"/>
          <w:highlight w:val="none"/>
          <w:lang w:eastAsia="zh-CN"/>
        </w:rPr>
        <w:t>张黄镇农村养老服务中心土方</w:t>
      </w:r>
      <w:r>
        <w:rPr>
          <w:rFonts w:hint="eastAsia" w:ascii="宋体" w:hAnsi="宋体"/>
          <w:b/>
          <w:color w:val="auto"/>
          <w:sz w:val="30"/>
          <w:szCs w:val="30"/>
          <w:highlight w:val="none"/>
        </w:rPr>
        <w:t>（</w:t>
      </w:r>
      <w:r>
        <w:rPr>
          <w:rFonts w:hint="eastAsia" w:ascii="宋体" w:hAnsi="宋体"/>
          <w:b/>
          <w:color w:val="auto"/>
          <w:sz w:val="30"/>
          <w:szCs w:val="30"/>
          <w:highlight w:val="none"/>
          <w:lang w:eastAsia="zh-CN"/>
        </w:rPr>
        <w:t>QZZC2026-C2-220003-GXRS</w:t>
      </w:r>
      <w:r>
        <w:rPr>
          <w:rFonts w:hint="eastAsia" w:ascii="宋体" w:hAnsi="宋体"/>
          <w:b/>
          <w:color w:val="auto"/>
          <w:sz w:val="30"/>
          <w:szCs w:val="30"/>
          <w:highlight w:val="none"/>
        </w:rPr>
        <w:t>）竞争性磋商公告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D0A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19B86F61">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5395988E">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张黄镇农村养老服务中心土方</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40"/>
                <w:rFonts w:hint="eastAsia" w:ascii="宋体" w:hAnsi="宋体" w:cs="宋体"/>
                <w:color w:val="auto"/>
                <w:szCs w:val="21"/>
                <w:highlight w:val="none"/>
              </w:rPr>
              <w:t>https://www.gcy.zfcg.gxzf.gov.cn/）获取</w:t>
            </w:r>
            <w:r>
              <w:rPr>
                <w:rStyle w:val="40"/>
                <w:rFonts w:hint="eastAsia" w:ascii="宋体" w:hAnsi="宋体" w:cs="宋体"/>
                <w:color w:val="auto"/>
                <w:highlight w:val="none"/>
              </w:rPr>
              <w:t>采购文件</w:t>
            </w:r>
            <w:r>
              <w:rPr>
                <w:rStyle w:val="40"/>
                <w:rFonts w:hint="eastAsia" w:ascii="宋体" w:hAnsi="宋体" w:cs="宋体"/>
                <w:color w:val="auto"/>
                <w:szCs w:val="21"/>
                <w:highlight w:val="none"/>
              </w:rPr>
              <w:t>，并于202</w:t>
            </w:r>
            <w:r>
              <w:rPr>
                <w:rStyle w:val="40"/>
                <w:rFonts w:hint="eastAsia" w:ascii="宋体" w:hAnsi="宋体" w:cs="宋体"/>
                <w:color w:val="auto"/>
                <w:szCs w:val="21"/>
                <w:highlight w:val="none"/>
                <w:lang w:val="en-US" w:eastAsia="zh-CN"/>
              </w:rPr>
              <w:t>6</w:t>
            </w:r>
            <w:r>
              <w:rPr>
                <w:rStyle w:val="40"/>
                <w:rFonts w:hint="eastAsia" w:ascii="宋体" w:hAnsi="宋体" w:cs="宋体"/>
                <w:color w:val="auto"/>
                <w:szCs w:val="21"/>
                <w:highlight w:val="none"/>
              </w:rPr>
              <w:t>年</w:t>
            </w:r>
            <w:r>
              <w:rPr>
                <w:rStyle w:val="40"/>
                <w:rFonts w:hint="eastAsia" w:ascii="宋体" w:hAnsi="宋体" w:cs="宋体"/>
                <w:color w:val="auto"/>
                <w:szCs w:val="21"/>
                <w:highlight w:val="none"/>
              </w:rPr>
              <w:fldChar w:fldCharType="end"/>
            </w:r>
            <w:r>
              <w:rPr>
                <w:rFonts w:hint="eastAsia" w:ascii="宋体" w:hAnsi="宋体" w:cs="宋体"/>
                <w:color w:val="auto"/>
                <w:szCs w:val="21"/>
                <w:highlight w:val="none"/>
                <w:u w:val="single"/>
                <w:lang w:val="en-US" w:eastAsia="zh-CN"/>
              </w:rPr>
              <w:t xml:space="preserve"> 1</w:t>
            </w:r>
            <w:r>
              <w:rPr>
                <w:rFonts w:hint="eastAsia" w:ascii="宋体" w:hAnsi="宋体" w:cs="宋体"/>
                <w:color w:val="auto"/>
                <w:szCs w:val="21"/>
                <w:highlight w:val="none"/>
                <w:u w:val="single"/>
              </w:rPr>
              <w:t xml:space="preserve"> 月</w:t>
            </w:r>
            <w:r>
              <w:rPr>
                <w:rFonts w:hint="eastAsia" w:ascii="宋体" w:hAnsi="宋体" w:cs="宋体"/>
                <w:color w:val="auto"/>
                <w:szCs w:val="21"/>
                <w:highlight w:val="none"/>
                <w:u w:val="single"/>
                <w:lang w:val="en-US" w:eastAsia="zh-CN"/>
              </w:rPr>
              <w:t xml:space="preserve"> 20 </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 xml:space="preserve"> 14</w:t>
            </w:r>
            <w:r>
              <w:rPr>
                <w:rFonts w:hint="eastAsia" w:ascii="宋体" w:hAnsi="宋体" w:cs="宋体"/>
                <w:color w:val="auto"/>
                <w:szCs w:val="21"/>
                <w:highlight w:val="none"/>
                <w:u w:val="single"/>
              </w:rPr>
              <w:t xml:space="preserve"> 时</w:t>
            </w:r>
            <w:r>
              <w:rPr>
                <w:rFonts w:hint="eastAsia" w:ascii="宋体" w:hAnsi="宋体" w:cs="宋体"/>
                <w:color w:val="auto"/>
                <w:szCs w:val="21"/>
                <w:highlight w:val="none"/>
                <w:u w:val="single"/>
                <w:lang w:val="en-US" w:eastAsia="zh-CN"/>
              </w:rPr>
              <w:t xml:space="preserve"> 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025A4DA9">
      <w:pPr>
        <w:pStyle w:val="2"/>
        <w:spacing w:line="360" w:lineRule="auto"/>
        <w:ind w:firstLine="422" w:firstLineChars="200"/>
        <w:rPr>
          <w:rFonts w:hint="eastAsia" w:ascii="宋体" w:hAnsi="宋体" w:eastAsia="宋体" w:cs="宋体"/>
          <w:bCs w:val="0"/>
          <w:color w:val="auto"/>
          <w:sz w:val="21"/>
          <w:szCs w:val="21"/>
          <w:highlight w:val="none"/>
        </w:rPr>
      </w:pPr>
      <w:bookmarkStart w:id="4" w:name="_Toc9324"/>
      <w:bookmarkStart w:id="5" w:name="_Toc28359012"/>
      <w:bookmarkStart w:id="6" w:name="_Toc35393798"/>
      <w:bookmarkStart w:id="7" w:name="_Toc35393629"/>
      <w:bookmarkStart w:id="8" w:name="_Toc31859"/>
      <w:bookmarkStart w:id="9" w:name="_Toc28359089"/>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5D61FA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QZZC2026-C2-220003-GXRS</w:t>
      </w:r>
      <w:r>
        <w:rPr>
          <w:rFonts w:hint="eastAsia" w:ascii="宋体" w:hAnsi="宋体" w:cs="宋体"/>
          <w:color w:val="auto"/>
          <w:szCs w:val="21"/>
          <w:highlight w:val="none"/>
        </w:rPr>
        <w:t xml:space="preserve"> </w:t>
      </w:r>
    </w:p>
    <w:p w14:paraId="12C489A6">
      <w:pPr>
        <w:spacing w:line="360" w:lineRule="auto"/>
        <w:ind w:left="1470" w:leftChars="200" w:hanging="1050" w:hangingChars="5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张黄镇农村养老服务中心土方</w:t>
      </w:r>
    </w:p>
    <w:p w14:paraId="18E153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1748C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816105.55</w:t>
      </w:r>
      <w:r>
        <w:rPr>
          <w:rFonts w:hint="eastAsia" w:ascii="宋体" w:hAnsi="宋体" w:cs="宋体"/>
          <w:color w:val="auto"/>
          <w:szCs w:val="21"/>
          <w:highlight w:val="none"/>
        </w:rPr>
        <w:t>元</w:t>
      </w:r>
    </w:p>
    <w:p w14:paraId="5EB921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51A8E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张黄镇农村养老服务中心土方</w:t>
      </w:r>
    </w:p>
    <w:p w14:paraId="7AC9AF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数量：不限</w:t>
      </w:r>
    </w:p>
    <w:p w14:paraId="265B3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816105.55</w:t>
      </w:r>
      <w:r>
        <w:rPr>
          <w:rFonts w:hint="eastAsia" w:ascii="宋体" w:hAnsi="宋体" w:cs="宋体"/>
          <w:color w:val="auto"/>
          <w:szCs w:val="21"/>
          <w:highlight w:val="none"/>
        </w:rPr>
        <w:t>元</w:t>
      </w:r>
    </w:p>
    <w:p w14:paraId="140C08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张黄镇农村养老服务中心土方</w:t>
      </w: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具体详见竞争性磋商文件、工程量清单及图纸。</w:t>
      </w:r>
    </w:p>
    <w:p w14:paraId="2CB2D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最高限价（元）：</w:t>
      </w:r>
      <w:r>
        <w:rPr>
          <w:rFonts w:hint="eastAsia" w:ascii="宋体" w:hAnsi="宋体" w:cs="宋体"/>
          <w:color w:val="auto"/>
          <w:szCs w:val="21"/>
          <w:highlight w:val="none"/>
          <w:lang w:val="en-US" w:eastAsia="zh-CN"/>
        </w:rPr>
        <w:t>816105.55</w:t>
      </w:r>
      <w:r>
        <w:rPr>
          <w:rFonts w:hint="eastAsia" w:ascii="宋体" w:hAnsi="宋体" w:cs="宋体"/>
          <w:color w:val="auto"/>
          <w:szCs w:val="21"/>
          <w:highlight w:val="none"/>
        </w:rPr>
        <w:t>元</w:t>
      </w:r>
    </w:p>
    <w:p w14:paraId="63A672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0日历天</w:t>
      </w:r>
    </w:p>
    <w:p w14:paraId="039113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本标项（否）接受联合体竞标</w:t>
      </w:r>
    </w:p>
    <w:p w14:paraId="6FAC9E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备注：无</w:t>
      </w:r>
    </w:p>
    <w:p w14:paraId="4C512479">
      <w:pPr>
        <w:pStyle w:val="2"/>
        <w:spacing w:line="360" w:lineRule="auto"/>
        <w:ind w:firstLine="422" w:firstLineChars="200"/>
        <w:rPr>
          <w:rFonts w:hint="eastAsia" w:ascii="宋体" w:hAnsi="宋体" w:eastAsia="宋体" w:cs="宋体"/>
          <w:bCs w:val="0"/>
          <w:color w:val="auto"/>
          <w:sz w:val="21"/>
          <w:szCs w:val="21"/>
          <w:highlight w:val="none"/>
        </w:rPr>
      </w:pPr>
      <w:bookmarkStart w:id="10" w:name="_Toc35393630"/>
      <w:bookmarkStart w:id="11" w:name="_Toc21513"/>
      <w:bookmarkStart w:id="12" w:name="_Toc28359013"/>
      <w:bookmarkStart w:id="13" w:name="_Toc35393799"/>
      <w:bookmarkStart w:id="14" w:name="_Toc28359090"/>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5FF122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40B537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w:t>
      </w:r>
      <w:r>
        <w:rPr>
          <w:rFonts w:hint="eastAsia" w:ascii="宋体" w:hAnsi="宋体" w:cs="宋体"/>
          <w:color w:val="auto"/>
          <w:szCs w:val="21"/>
          <w:highlight w:val="none"/>
          <w:lang w:eastAsia="zh-CN"/>
        </w:rPr>
        <w:t>微</w:t>
      </w:r>
      <w:r>
        <w:rPr>
          <w:rFonts w:hint="eastAsia" w:ascii="宋体" w:hAnsi="宋体" w:cs="宋体"/>
          <w:color w:val="auto"/>
          <w:szCs w:val="21"/>
          <w:highlight w:val="none"/>
        </w:rPr>
        <w:t>企业采购的项目，供应商须为中小</w:t>
      </w:r>
      <w:r>
        <w:rPr>
          <w:rFonts w:hint="eastAsia" w:ascii="宋体" w:hAnsi="宋体" w:cs="宋体"/>
          <w:color w:val="auto"/>
          <w:szCs w:val="21"/>
          <w:highlight w:val="none"/>
          <w:lang w:eastAsia="zh-CN"/>
        </w:rPr>
        <w:t>微</w:t>
      </w:r>
      <w:r>
        <w:rPr>
          <w:rFonts w:hint="eastAsia" w:ascii="宋体" w:hAnsi="宋体" w:cs="宋体"/>
          <w:color w:val="auto"/>
          <w:szCs w:val="21"/>
          <w:highlight w:val="none"/>
        </w:rPr>
        <w:t>企业或监狱企业或残疾人福利性单位。</w:t>
      </w:r>
    </w:p>
    <w:p w14:paraId="03147D5F">
      <w:pPr>
        <w:pStyle w:val="10"/>
        <w:autoSpaceDE/>
        <w:autoSpaceDN/>
        <w:adjustRightInd/>
        <w:spacing w:after="0" w:line="360" w:lineRule="auto"/>
        <w:ind w:firstLine="420" w:firstLineChars="200"/>
        <w:rPr>
          <w:rFonts w:hint="eastAsia"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p>
    <w:p w14:paraId="441A5C0F">
      <w:pPr>
        <w:pStyle w:val="10"/>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kern w:val="2"/>
          <w:sz w:val="21"/>
          <w:szCs w:val="21"/>
          <w:highlight w:val="none"/>
        </w:rPr>
        <w:t>（1）供应商</w:t>
      </w:r>
      <w:r>
        <w:rPr>
          <w:rFonts w:hint="eastAsia" w:hAnsi="宋体" w:cs="宋体"/>
          <w:color w:val="auto"/>
          <w:kern w:val="2"/>
          <w:sz w:val="21"/>
          <w:szCs w:val="21"/>
          <w:highlight w:val="none"/>
          <w:lang w:eastAsia="zh-CN"/>
        </w:rPr>
        <w:t>须具备土石方工程能力、</w:t>
      </w:r>
      <w:r>
        <w:rPr>
          <w:rFonts w:hint="eastAsia" w:hAnsi="宋体" w:cs="宋体"/>
          <w:color w:val="auto"/>
          <w:kern w:val="2"/>
          <w:sz w:val="21"/>
          <w:szCs w:val="21"/>
          <w:highlight w:val="none"/>
        </w:rPr>
        <w:t>管理能力且取得公司法人《营业执照》的企业；</w:t>
      </w:r>
      <w:r>
        <w:rPr>
          <w:rFonts w:hint="eastAsia" w:hAnsi="宋体" w:cs="宋体"/>
          <w:color w:val="auto"/>
          <w:kern w:val="2"/>
          <w:sz w:val="21"/>
          <w:szCs w:val="21"/>
          <w:highlight w:val="none"/>
        </w:rPr>
        <w:br w:type="textWrapping"/>
      </w:r>
      <w:r>
        <w:rPr>
          <w:rFonts w:hint="eastAsia" w:hAnsi="宋体" w:cs="宋体"/>
          <w:color w:val="auto"/>
          <w:kern w:val="2"/>
          <w:sz w:val="21"/>
          <w:szCs w:val="21"/>
          <w:highlight w:val="none"/>
        </w:rPr>
        <w:t xml:space="preserve">    （2）供应商拟派专职安全生产管理人员须具备有效的安全生产考核合格证书（C类），人数符合住房和城乡建设部《建筑施工企业安全生产管理机构设置及专职安全生产管理人员配备办法》（建质〔2008〕91号）的规定不少于1人</w:t>
      </w:r>
      <w:r>
        <w:rPr>
          <w:rFonts w:hint="eastAsia" w:hAnsi="宋体" w:cs="宋体"/>
          <w:color w:val="auto"/>
          <w:sz w:val="21"/>
          <w:szCs w:val="21"/>
          <w:highlight w:val="none"/>
        </w:rPr>
        <w:t>。</w:t>
      </w:r>
    </w:p>
    <w:p w14:paraId="424A8E48">
      <w:pPr>
        <w:pStyle w:val="2"/>
        <w:spacing w:line="360" w:lineRule="auto"/>
        <w:ind w:firstLine="422" w:firstLineChars="200"/>
        <w:rPr>
          <w:rFonts w:hint="eastAsia" w:ascii="宋体" w:hAnsi="宋体" w:eastAsia="宋体" w:cs="宋体"/>
          <w:bCs w:val="0"/>
          <w:color w:val="auto"/>
          <w:sz w:val="21"/>
          <w:szCs w:val="21"/>
          <w:highlight w:val="none"/>
        </w:rPr>
      </w:pPr>
      <w:bookmarkStart w:id="17" w:name="_Toc35393800"/>
      <w:bookmarkStart w:id="18" w:name="_Toc9125"/>
      <w:bookmarkStart w:id="19" w:name="_Toc35393631"/>
      <w:bookmarkStart w:id="20" w:name="_Toc13777"/>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414141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1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16</w:t>
      </w:r>
      <w:r>
        <w:rPr>
          <w:rFonts w:hint="eastAsia" w:ascii="宋体" w:hAnsi="宋体" w:cs="宋体"/>
          <w:color w:val="auto"/>
          <w:szCs w:val="21"/>
          <w:highlight w:val="none"/>
        </w:rPr>
        <w:t>日，每天上午</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：00至12：00，下午1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：00至</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cs="宋体"/>
          <w:color w:val="auto"/>
          <w:szCs w:val="21"/>
          <w:highlight w:val="none"/>
        </w:rPr>
        <w:t>（北京时间，法定节假日除外）。</w:t>
      </w:r>
    </w:p>
    <w:p w14:paraId="7F68F12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77F83ACF">
      <w:pPr>
        <w:spacing w:line="360" w:lineRule="auto"/>
        <w:ind w:firstLine="420" w:firstLineChars="200"/>
        <w:rPr>
          <w:color w:val="auto"/>
          <w:highlight w:val="none"/>
        </w:rPr>
      </w:pPr>
      <w:r>
        <w:rPr>
          <w:rFonts w:hint="eastAsia" w:ascii="宋体" w:hAnsi="宋体"/>
          <w:color w:val="auto"/>
          <w:szCs w:val="21"/>
          <w:highlight w:val="none"/>
        </w:rPr>
        <w:t>方式：供应商登录广西政府采购云平台（https://www.gcy.zfcg.gxzf.gov.cn/）在线申请获取采购文件（进入“项目采购”应用，在获取采购文件菜单中选择项目，申请获取采购文件）。</w:t>
      </w:r>
    </w:p>
    <w:p w14:paraId="08F508B8">
      <w:pPr>
        <w:pStyle w:val="2"/>
        <w:spacing w:line="360" w:lineRule="auto"/>
        <w:ind w:firstLine="422" w:firstLineChars="200"/>
        <w:rPr>
          <w:rFonts w:hint="eastAsia" w:ascii="宋体" w:hAnsi="宋体" w:eastAsia="宋体" w:cs="宋体"/>
          <w:bCs w:val="0"/>
          <w:color w:val="auto"/>
          <w:sz w:val="21"/>
          <w:szCs w:val="21"/>
          <w:highlight w:val="none"/>
        </w:rPr>
      </w:pPr>
      <w:bookmarkStart w:id="21" w:name="_Toc28359015"/>
      <w:bookmarkStart w:id="22" w:name="_Toc18110"/>
      <w:bookmarkStart w:id="23" w:name="_Toc35393632"/>
      <w:bookmarkStart w:id="24" w:name="_Toc28359092"/>
      <w:bookmarkStart w:id="25" w:name="_Toc35393801"/>
      <w:bookmarkStart w:id="26" w:name="_Toc28970"/>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3B5C3583">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1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20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5B7DC50B">
      <w:pPr>
        <w:spacing w:line="360" w:lineRule="auto"/>
        <w:ind w:firstLine="420" w:firstLineChars="200"/>
        <w:rPr>
          <w:rFonts w:hint="eastAsia" w:ascii="宋体" w:hAnsi="宋体" w:cs="宋体"/>
          <w:bCs/>
          <w:color w:val="auto"/>
          <w:szCs w:val="21"/>
          <w:highlight w:val="none"/>
        </w:rPr>
      </w:pPr>
      <w:r>
        <w:rPr>
          <w:rFonts w:hint="eastAsia" w:ascii="宋体" w:hAnsi="宋体"/>
          <w:color w:val="auto"/>
          <w:szCs w:val="21"/>
          <w:highlight w:val="none"/>
        </w:rPr>
        <w:t>地点（网址）：</w:t>
      </w:r>
      <w:r>
        <w:rPr>
          <w:rFonts w:hint="eastAsia" w:ascii="宋体" w:hAnsi="宋体" w:cs="宋体"/>
          <w:bCs/>
          <w:color w:val="auto"/>
          <w:szCs w:val="21"/>
          <w:highlight w:val="none"/>
        </w:rPr>
        <w:t>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上传响应文件，并在线竞标。</w:t>
      </w:r>
    </w:p>
    <w:p w14:paraId="02FD2AC4">
      <w:pPr>
        <w:pStyle w:val="2"/>
        <w:spacing w:line="360" w:lineRule="auto"/>
        <w:ind w:firstLine="422" w:firstLineChars="200"/>
        <w:rPr>
          <w:rFonts w:hint="eastAsia" w:ascii="宋体" w:hAnsi="宋体" w:eastAsia="宋体" w:cs="宋体"/>
          <w:bCs w:val="0"/>
          <w:color w:val="auto"/>
          <w:sz w:val="21"/>
          <w:szCs w:val="21"/>
          <w:highlight w:val="none"/>
        </w:rPr>
      </w:pPr>
      <w:bookmarkStart w:id="27" w:name="_Toc35393802"/>
      <w:bookmarkStart w:id="28" w:name="_Toc24973"/>
      <w:bookmarkStart w:id="29" w:name="_Toc28359093"/>
      <w:bookmarkStart w:id="30" w:name="_Toc35393633"/>
      <w:bookmarkStart w:id="31" w:name="_Toc28359016"/>
      <w:bookmarkStart w:id="32" w:name="_Toc3197"/>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455E46A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1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20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4CC9E112">
      <w:pPr>
        <w:spacing w:line="360" w:lineRule="auto"/>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地点：广西政府采购云平台电子开标大厅在线解密开启。</w:t>
      </w:r>
    </w:p>
    <w:p w14:paraId="77CC3CF0">
      <w:pPr>
        <w:pStyle w:val="2"/>
        <w:spacing w:line="360" w:lineRule="auto"/>
        <w:ind w:firstLine="422" w:firstLineChars="200"/>
        <w:rPr>
          <w:rFonts w:hint="eastAsia" w:ascii="宋体" w:hAnsi="宋体" w:eastAsia="宋体" w:cs="宋体"/>
          <w:bCs w:val="0"/>
          <w:color w:val="auto"/>
          <w:sz w:val="21"/>
          <w:szCs w:val="21"/>
          <w:highlight w:val="none"/>
        </w:rPr>
      </w:pPr>
      <w:bookmarkStart w:id="33" w:name="_Toc28359017"/>
      <w:bookmarkStart w:id="34" w:name="_Toc17419"/>
      <w:bookmarkStart w:id="35" w:name="_Toc35393634"/>
      <w:bookmarkStart w:id="36" w:name="_Toc28359094"/>
      <w:bookmarkStart w:id="37" w:name="_Toc5452"/>
      <w:bookmarkStart w:id="38" w:name="_Toc35393803"/>
      <w:r>
        <w:rPr>
          <w:rFonts w:hint="eastAsia" w:ascii="宋体" w:hAnsi="宋体" w:eastAsia="宋体" w:cs="宋体"/>
          <w:bCs w:val="0"/>
          <w:color w:val="auto"/>
          <w:sz w:val="21"/>
          <w:szCs w:val="21"/>
          <w:highlight w:val="none"/>
        </w:rPr>
        <w:t>六、公告期限</w:t>
      </w:r>
      <w:bookmarkEnd w:id="33"/>
      <w:bookmarkEnd w:id="34"/>
      <w:bookmarkEnd w:id="35"/>
      <w:bookmarkEnd w:id="36"/>
      <w:bookmarkEnd w:id="37"/>
      <w:bookmarkEnd w:id="38"/>
    </w:p>
    <w:p w14:paraId="714AB5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5A1D1D2F">
      <w:pPr>
        <w:pStyle w:val="2"/>
        <w:spacing w:line="360" w:lineRule="auto"/>
        <w:ind w:firstLine="422" w:firstLineChars="200"/>
        <w:rPr>
          <w:rFonts w:hint="eastAsia" w:ascii="宋体" w:hAnsi="宋体" w:eastAsia="宋体" w:cs="宋体"/>
          <w:bCs w:val="0"/>
          <w:color w:val="auto"/>
          <w:sz w:val="21"/>
          <w:szCs w:val="21"/>
          <w:highlight w:val="none"/>
        </w:rPr>
      </w:pPr>
      <w:bookmarkStart w:id="39" w:name="_Toc35393804"/>
      <w:bookmarkStart w:id="40" w:name="_Toc321"/>
      <w:bookmarkStart w:id="41" w:name="_Toc26297"/>
      <w:bookmarkStart w:id="42" w:name="_Toc35393635"/>
      <w:r>
        <w:rPr>
          <w:rFonts w:hint="eastAsia" w:ascii="宋体" w:hAnsi="宋体" w:eastAsia="宋体" w:cs="宋体"/>
          <w:bCs w:val="0"/>
          <w:color w:val="auto"/>
          <w:sz w:val="21"/>
          <w:szCs w:val="21"/>
          <w:highlight w:val="none"/>
        </w:rPr>
        <w:t>七、其他补充事宜</w:t>
      </w:r>
      <w:bookmarkEnd w:id="39"/>
      <w:bookmarkEnd w:id="40"/>
      <w:bookmarkEnd w:id="41"/>
      <w:bookmarkEnd w:id="42"/>
    </w:p>
    <w:p w14:paraId="29F570E9">
      <w:pPr>
        <w:spacing w:line="360" w:lineRule="auto"/>
        <w:ind w:firstLine="420" w:firstLineChars="200"/>
        <w:jc w:val="left"/>
        <w:rPr>
          <w:rFonts w:hint="eastAsia" w:ascii="宋体" w:hAnsi="宋体" w:cs="宋体"/>
          <w:color w:val="auto"/>
          <w:szCs w:val="21"/>
          <w:highlight w:val="none"/>
        </w:rPr>
      </w:pPr>
      <w:bookmarkStart w:id="43" w:name="_Toc35393805"/>
      <w:bookmarkStart w:id="44" w:name="_Toc28359095"/>
      <w:bookmarkStart w:id="45" w:name="_Toc28359018"/>
      <w:bookmarkStart w:id="46" w:name="_Toc35393636"/>
      <w:r>
        <w:rPr>
          <w:rFonts w:hint="eastAsia" w:ascii="宋体" w:hAnsi="宋体" w:cs="宋体"/>
          <w:color w:val="auto"/>
          <w:szCs w:val="21"/>
          <w:highlight w:val="none"/>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color w:val="auto"/>
          <w:szCs w:val="21"/>
          <w:highlight w:val="none"/>
        </w:rPr>
        <w:t>可致电广西政府采购云平台技术支持热线咨询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47F976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（1）供应商应及时熟悉掌握电子标系统操作指南（见广西政府采购云平台电子卖场首页右上角—服务中心—帮助文档—项目采购）：https：//service.zcygov.cn/#/knowledges/tree?tag=AG1DtGwBFdiHxlNdhY0r。</w:t>
      </w:r>
    </w:p>
    <w:p w14:paraId="4844273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79A1B94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（3）供应商须通过广西政府采购云平台供应商客户端软件制作电子响应文件，广西政府采购云平台供应商客户端软件请供应商自行前往下载并安装（</w:t>
      </w:r>
      <w:r>
        <w:rPr>
          <w:rFonts w:hint="eastAsia" w:ascii="宋体" w:hAnsi="宋体" w:cs="宋体"/>
          <w:color w:val="auto"/>
          <w:kern w:val="0"/>
          <w:szCs w:val="21"/>
          <w:highlight w:val="none"/>
        </w:rPr>
        <w:t>客户端下载路径：广西政府采购网（访问地址http：//zfcg.gxzf.gov.cn/）—办事服务—下载专区-广西政府采购云平台新版客户端</w:t>
      </w:r>
      <w:r>
        <w:rPr>
          <w:rFonts w:hint="eastAsia" w:ascii="宋体" w:hAnsi="宋体" w:cs="宋体"/>
          <w:color w:val="auto"/>
          <w:szCs w:val="21"/>
          <w:highlight w:val="none"/>
        </w:rPr>
        <w:t>）。</w:t>
      </w:r>
    </w:p>
    <w:p w14:paraId="4C4DD7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615102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7BEBCA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FB6D6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44C8C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47C19A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694512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19F13939">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http：//zfcg.gxzf.gov.cn（广西政府采购网）、http：//www.ccgp.gov.cn/（中国政府采购网）、http：//ggzy.jgswj.gxzf.gov.cn/pbggzy/[全国公共资源交易平台（广西.浦北）]。</w:t>
      </w:r>
    </w:p>
    <w:p w14:paraId="562CF52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bidi="ar"/>
        </w:rPr>
        <w:t>监督部门：浦北县政府采购监督管理办公室   联系电话：0777-8314622</w:t>
      </w:r>
    </w:p>
    <w:p w14:paraId="15C4E063">
      <w:pPr>
        <w:pStyle w:val="2"/>
        <w:spacing w:line="360" w:lineRule="auto"/>
        <w:ind w:firstLine="422" w:firstLineChars="200"/>
        <w:rPr>
          <w:rFonts w:hint="eastAsia" w:ascii="宋体" w:hAnsi="宋体" w:eastAsia="宋体" w:cs="宋体"/>
          <w:bCs w:val="0"/>
          <w:color w:val="auto"/>
          <w:sz w:val="21"/>
          <w:szCs w:val="21"/>
          <w:highlight w:val="none"/>
        </w:rPr>
      </w:pPr>
      <w:bookmarkStart w:id="47" w:name="_Toc23726"/>
      <w:bookmarkStart w:id="48" w:name="_Toc227"/>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3CE0F0EF">
      <w:pPr>
        <w:pStyle w:val="2"/>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49" w:name="_Toc28359096"/>
      <w:bookmarkStart w:id="50" w:name="_Toc35393806"/>
      <w:bookmarkStart w:id="51" w:name="_Toc28359019"/>
      <w:bookmarkStart w:id="52" w:name="_Toc35393637"/>
      <w:r>
        <w:rPr>
          <w:rFonts w:hint="eastAsia" w:asciiTheme="minorEastAsia" w:hAnsiTheme="minorEastAsia" w:eastAsiaTheme="minorEastAsia" w:cstheme="minorEastAsia"/>
          <w:b w:val="0"/>
          <w:bCs w:val="0"/>
          <w:color w:val="auto"/>
          <w:kern w:val="0"/>
          <w:sz w:val="21"/>
          <w:szCs w:val="21"/>
          <w:highlight w:val="none"/>
        </w:rPr>
        <w:t>1.采购人信息</w:t>
      </w:r>
      <w:bookmarkEnd w:id="49"/>
      <w:bookmarkEnd w:id="50"/>
      <w:bookmarkEnd w:id="51"/>
      <w:bookmarkEnd w:id="52"/>
    </w:p>
    <w:p w14:paraId="1C87D8CB">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浦北县民政局</w:t>
      </w:r>
      <w:r>
        <w:rPr>
          <w:rFonts w:hint="eastAsia" w:asciiTheme="minorEastAsia" w:hAnsiTheme="minorEastAsia" w:eastAsiaTheme="minorEastAsia" w:cstheme="minorEastAsia"/>
          <w:color w:val="auto"/>
          <w:kern w:val="0"/>
          <w:szCs w:val="21"/>
          <w:highlight w:val="none"/>
        </w:rPr>
        <w:t xml:space="preserve">  </w:t>
      </w:r>
    </w:p>
    <w:p w14:paraId="2294A0AA">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址：浦北县江城街道东风街19号</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3AE4671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 吴邦桂</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67537BD9">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项目联系方式：0777-8318631</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08C33144">
      <w:pPr>
        <w:pStyle w:val="2"/>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53" w:name="_Toc28359097"/>
      <w:bookmarkStart w:id="54" w:name="_Toc28359020"/>
      <w:bookmarkStart w:id="55" w:name="_Toc35393638"/>
      <w:bookmarkStart w:id="56" w:name="_Toc35393807"/>
      <w:r>
        <w:rPr>
          <w:rFonts w:hint="eastAsia" w:asciiTheme="minorEastAsia" w:hAnsiTheme="minorEastAsia" w:eastAsiaTheme="minorEastAsia" w:cstheme="minorEastAsia"/>
          <w:b w:val="0"/>
          <w:bCs w:val="0"/>
          <w:color w:val="auto"/>
          <w:kern w:val="0"/>
          <w:sz w:val="21"/>
          <w:szCs w:val="21"/>
          <w:highlight w:val="none"/>
        </w:rPr>
        <w:t>2.采购代理机构信息</w:t>
      </w:r>
      <w:bookmarkEnd w:id="53"/>
      <w:bookmarkEnd w:id="54"/>
      <w:bookmarkEnd w:id="55"/>
      <w:bookmarkEnd w:id="56"/>
    </w:p>
    <w:p w14:paraId="4345B3BA">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称：广西荣胜项目管理有限公司　</w:t>
      </w:r>
    </w:p>
    <w:p w14:paraId="640CBEFC">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bookmarkStart w:id="57" w:name="_Toc35393639"/>
      <w:bookmarkStart w:id="58" w:name="_Toc35393808"/>
      <w:bookmarkStart w:id="59" w:name="_Toc28359098"/>
      <w:bookmarkStart w:id="60" w:name="_Toc28359021"/>
      <w:r>
        <w:rPr>
          <w:rFonts w:hint="eastAsia" w:asciiTheme="minorEastAsia" w:hAnsiTheme="minorEastAsia" w:eastAsiaTheme="minorEastAsia" w:cstheme="minorEastAsia"/>
          <w:color w:val="auto"/>
          <w:kern w:val="0"/>
          <w:szCs w:val="21"/>
          <w:highlight w:val="none"/>
        </w:rPr>
        <w:t>钦州市蓬莱大道鸿亭街333号皇庭天麓湖小区183栋203室       </w:t>
      </w:r>
    </w:p>
    <w:p w14:paraId="5807B046">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项目联系人：黄洁</w:t>
      </w:r>
      <w:r>
        <w:rPr>
          <w:rFonts w:hint="eastAsia" w:asciiTheme="minorEastAsia" w:hAnsiTheme="minorEastAsia" w:eastAsiaTheme="minorEastAsia" w:cstheme="minorEastAsia"/>
          <w:color w:val="auto"/>
          <w:kern w:val="0"/>
          <w:szCs w:val="21"/>
          <w:highlight w:val="none"/>
        </w:rPr>
        <w:tab/>
      </w:r>
    </w:p>
    <w:p w14:paraId="3A024865">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kern w:val="0"/>
          <w:szCs w:val="21"/>
          <w:highlight w:val="none"/>
        </w:rPr>
        <w:t>0777-5512166</w:t>
      </w:r>
    </w:p>
    <w:p w14:paraId="04A011CD">
      <w:pPr>
        <w:pStyle w:val="46"/>
        <w:spacing w:line="360" w:lineRule="auto"/>
        <w:rPr>
          <w:rFonts w:hint="eastAsia"/>
          <w:color w:val="auto"/>
          <w:highlight w:val="none"/>
        </w:rPr>
      </w:pPr>
    </w:p>
    <w:p w14:paraId="0BD7A76A">
      <w:pPr>
        <w:spacing w:line="360" w:lineRule="auto"/>
        <w:rPr>
          <w:rFonts w:hint="eastAsia" w:asciiTheme="minorEastAsia" w:hAnsiTheme="minorEastAsia" w:eastAsiaTheme="minorEastAsia" w:cstheme="minorEastAsia"/>
          <w:color w:val="auto"/>
          <w:kern w:val="0"/>
          <w:szCs w:val="21"/>
          <w:highlight w:val="none"/>
        </w:rPr>
      </w:pPr>
    </w:p>
    <w:p w14:paraId="6B3E3AFD">
      <w:pPr>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 xml:space="preserve">                                                       广西荣胜项目管理有限公司</w:t>
      </w:r>
    </w:p>
    <w:p w14:paraId="4D69DF90">
      <w:pPr>
        <w:pStyle w:val="10"/>
        <w:spacing w:after="0" w:line="360" w:lineRule="auto"/>
        <w:ind w:left="210" w:leftChars="100" w:firstLine="6930" w:firstLineChars="3300"/>
        <w:rPr>
          <w:rFonts w:hint="eastAsia" w:hAnsi="宋体" w:cs="宋体"/>
          <w:b/>
          <w:bCs/>
          <w:color w:val="auto"/>
          <w:sz w:val="28"/>
          <w:szCs w:val="28"/>
          <w:highlight w:val="none"/>
        </w:rPr>
      </w:pPr>
      <w:r>
        <w:rPr>
          <w:rFonts w:hint="eastAsia" w:hAnsi="宋体" w:cs="宋体"/>
          <w:color w:val="auto"/>
          <w:kern w:val="2"/>
          <w:sz w:val="21"/>
          <w:szCs w:val="24"/>
          <w:highlight w:val="none"/>
        </w:rPr>
        <w:t>202</w:t>
      </w:r>
      <w:r>
        <w:rPr>
          <w:rFonts w:hint="eastAsia" w:hAnsi="宋体" w:cs="宋体"/>
          <w:color w:val="auto"/>
          <w:kern w:val="2"/>
          <w:sz w:val="21"/>
          <w:szCs w:val="24"/>
          <w:highlight w:val="none"/>
          <w:lang w:val="en-US" w:eastAsia="zh-CN"/>
        </w:rPr>
        <w:t>6</w:t>
      </w:r>
      <w:r>
        <w:rPr>
          <w:rFonts w:hint="eastAsia" w:hAnsi="宋体" w:cs="宋体"/>
          <w:color w:val="auto"/>
          <w:kern w:val="2"/>
          <w:sz w:val="21"/>
          <w:szCs w:val="24"/>
          <w:highlight w:val="none"/>
        </w:rPr>
        <w:t>年</w:t>
      </w:r>
      <w:r>
        <w:rPr>
          <w:rFonts w:hint="eastAsia" w:hAnsi="宋体" w:cs="宋体"/>
          <w:color w:val="auto"/>
          <w:kern w:val="2"/>
          <w:sz w:val="21"/>
          <w:szCs w:val="24"/>
          <w:highlight w:val="none"/>
          <w:lang w:val="en-US" w:eastAsia="zh-CN"/>
        </w:rPr>
        <w:t xml:space="preserve"> 1 </w:t>
      </w:r>
      <w:r>
        <w:rPr>
          <w:rFonts w:hint="eastAsia" w:hAnsi="宋体" w:cs="宋体"/>
          <w:color w:val="auto"/>
          <w:kern w:val="2"/>
          <w:sz w:val="21"/>
          <w:szCs w:val="24"/>
          <w:highlight w:val="none"/>
        </w:rPr>
        <w:t>月</w:t>
      </w:r>
      <w:r>
        <w:rPr>
          <w:rFonts w:hint="eastAsia" w:hAnsi="宋体" w:cs="宋体"/>
          <w:color w:val="auto"/>
          <w:kern w:val="2"/>
          <w:sz w:val="21"/>
          <w:szCs w:val="24"/>
          <w:highlight w:val="none"/>
          <w:lang w:val="en-US" w:eastAsia="zh-CN"/>
        </w:rPr>
        <w:t xml:space="preserve"> 9 </w:t>
      </w:r>
      <w:r>
        <w:rPr>
          <w:rFonts w:hint="eastAsia" w:hAnsi="宋体" w:cs="宋体"/>
          <w:color w:val="auto"/>
          <w:kern w:val="2"/>
          <w:sz w:val="21"/>
          <w:szCs w:val="24"/>
          <w:highlight w:val="none"/>
        </w:rPr>
        <w:t>日</w:t>
      </w:r>
    </w:p>
    <w:p w14:paraId="71B287A1">
      <w:pPr>
        <w:pStyle w:val="46"/>
        <w:rPr>
          <w:rFonts w:hint="eastAsia" w:asciiTheme="minorEastAsia" w:hAnsiTheme="minorEastAsia" w:eastAsiaTheme="minorEastAsia" w:cstheme="minorEastAsia"/>
          <w:color w:val="auto"/>
          <w:szCs w:val="21"/>
          <w:highlight w:val="none"/>
        </w:rPr>
      </w:pPr>
    </w:p>
    <w:p w14:paraId="690A100A">
      <w:pPr>
        <w:pStyle w:val="46"/>
        <w:rPr>
          <w:rFonts w:hint="eastAsia" w:ascii="宋体" w:hAnsi="宋体" w:eastAsia="宋体" w:cs="宋体"/>
          <w:color w:val="auto"/>
          <w:szCs w:val="21"/>
          <w:highlight w:val="none"/>
        </w:rPr>
      </w:pPr>
    </w:p>
    <w:p w14:paraId="421646D8">
      <w:pPr>
        <w:pStyle w:val="46"/>
        <w:rPr>
          <w:rFonts w:hint="eastAsia" w:ascii="宋体" w:hAnsi="宋体" w:eastAsia="宋体" w:cs="宋体"/>
          <w:color w:val="auto"/>
          <w:szCs w:val="21"/>
          <w:highlight w:val="none"/>
        </w:rPr>
      </w:pPr>
    </w:p>
    <w:p w14:paraId="6BA8A5EE">
      <w:pPr>
        <w:pStyle w:val="46"/>
        <w:rPr>
          <w:rFonts w:hint="eastAsia" w:ascii="宋体" w:hAnsi="宋体" w:eastAsia="宋体" w:cs="宋体"/>
          <w:color w:val="auto"/>
          <w:szCs w:val="21"/>
          <w:highlight w:val="none"/>
        </w:rPr>
      </w:pPr>
    </w:p>
    <w:p w14:paraId="2E479408">
      <w:pPr>
        <w:pStyle w:val="46"/>
        <w:rPr>
          <w:rFonts w:hint="eastAsia" w:ascii="宋体" w:hAnsi="宋体" w:eastAsia="宋体" w:cs="宋体"/>
          <w:color w:val="auto"/>
          <w:szCs w:val="21"/>
          <w:highlight w:val="none"/>
        </w:rPr>
      </w:pPr>
    </w:p>
    <w:p w14:paraId="3FF29705">
      <w:pPr>
        <w:pStyle w:val="46"/>
        <w:rPr>
          <w:rFonts w:hint="eastAsia" w:ascii="宋体" w:hAnsi="宋体" w:eastAsia="宋体" w:cs="宋体"/>
          <w:color w:val="auto"/>
          <w:szCs w:val="21"/>
          <w:highlight w:val="none"/>
        </w:rPr>
      </w:pPr>
    </w:p>
    <w:p w14:paraId="58986286">
      <w:pPr>
        <w:pStyle w:val="46"/>
        <w:rPr>
          <w:rFonts w:hint="eastAsia" w:ascii="宋体" w:hAnsi="宋体" w:eastAsia="宋体" w:cs="宋体"/>
          <w:color w:val="auto"/>
          <w:szCs w:val="21"/>
          <w:highlight w:val="none"/>
        </w:rPr>
      </w:pPr>
    </w:p>
    <w:p w14:paraId="690881FF">
      <w:pPr>
        <w:numPr>
          <w:ilvl w:val="0"/>
          <w:numId w:val="1"/>
        </w:numPr>
        <w:jc w:val="center"/>
        <w:outlineLvl w:val="0"/>
        <w:rPr>
          <w:rFonts w:hint="eastAsia" w:ascii="宋体" w:hAnsi="宋体" w:cs="宋体"/>
          <w:b/>
          <w:bCs/>
          <w:color w:val="auto"/>
          <w:kern w:val="0"/>
          <w:sz w:val="36"/>
          <w:szCs w:val="36"/>
          <w:highlight w:val="none"/>
        </w:rPr>
      </w:pPr>
      <w:bookmarkStart w:id="61" w:name="_Toc5416"/>
      <w:r>
        <w:rPr>
          <w:rFonts w:hint="eastAsia" w:ascii="宋体" w:hAnsi="宋体" w:cs="宋体"/>
          <w:b/>
          <w:bCs/>
          <w:color w:val="auto"/>
          <w:kern w:val="0"/>
          <w:sz w:val="36"/>
          <w:szCs w:val="36"/>
          <w:highlight w:val="none"/>
        </w:rPr>
        <w:t>供应商须知前附表</w:t>
      </w:r>
      <w:bookmarkEnd w:id="61"/>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59B0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13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149EF1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30AF8C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r>
      <w:tr w14:paraId="371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32947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71A01F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26F0A702">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张黄镇农村养老服务中心土方</w:t>
            </w:r>
          </w:p>
          <w:p w14:paraId="7943BFBB">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QZZC2026-C2-220003-GXRS</w:t>
            </w:r>
            <w:r>
              <w:rPr>
                <w:rFonts w:hint="eastAsia" w:ascii="宋体" w:hAnsi="宋体" w:cs="宋体"/>
                <w:color w:val="auto"/>
                <w:szCs w:val="21"/>
                <w:highlight w:val="none"/>
              </w:rPr>
              <w:t xml:space="preserve"> </w:t>
            </w:r>
          </w:p>
        </w:tc>
      </w:tr>
      <w:tr w14:paraId="0C6A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4884B2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25CA0B2D">
            <w:pPr>
              <w:pStyle w:val="14"/>
              <w:spacing w:line="360" w:lineRule="auto"/>
              <w:jc w:val="center"/>
              <w:rPr>
                <w:rFonts w:hint="eastAsia" w:hAnsi="宋体" w:cs="宋体"/>
                <w:color w:val="auto"/>
                <w:highlight w:val="none"/>
              </w:rPr>
            </w:pPr>
            <w:r>
              <w:rPr>
                <w:rFonts w:hint="eastAsia"/>
                <w:color w:val="auto"/>
                <w:highlight w:val="none"/>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531B8341">
            <w:pPr>
              <w:spacing w:line="360" w:lineRule="auto"/>
              <w:jc w:val="left"/>
              <w:rPr>
                <w:b/>
                <w:bCs/>
                <w:color w:val="auto"/>
                <w:highlight w:val="none"/>
              </w:rPr>
            </w:pPr>
            <w:bookmarkStart w:id="62" w:name="OLE_LINK8"/>
            <w:r>
              <w:rPr>
                <w:rFonts w:hint="eastAsia"/>
                <w:b/>
                <w:bCs/>
                <w:color w:val="auto"/>
                <w:highlight w:val="none"/>
              </w:rPr>
              <w:t>供应商资格要求：</w:t>
            </w:r>
          </w:p>
          <w:bookmarkEnd w:id="62"/>
          <w:p w14:paraId="6187408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1CC2AA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73195999">
            <w:pPr>
              <w:pStyle w:val="10"/>
              <w:autoSpaceDE/>
              <w:autoSpaceDN/>
              <w:adjustRightInd/>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5DD004B6">
            <w:pPr>
              <w:pStyle w:val="10"/>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（1）供应商</w:t>
            </w:r>
            <w:r>
              <w:rPr>
                <w:rFonts w:hint="eastAsia" w:hAnsi="宋体" w:cs="宋体"/>
                <w:color w:val="auto"/>
                <w:sz w:val="21"/>
                <w:szCs w:val="21"/>
                <w:highlight w:val="none"/>
                <w:lang w:eastAsia="zh-CN"/>
              </w:rPr>
              <w:t>须具备土石方工程能力、</w:t>
            </w:r>
            <w:r>
              <w:rPr>
                <w:rFonts w:hint="eastAsia" w:hAnsi="宋体" w:cs="宋体"/>
                <w:color w:val="auto"/>
                <w:sz w:val="21"/>
                <w:szCs w:val="21"/>
                <w:highlight w:val="none"/>
              </w:rPr>
              <w:t>管理能力且取得公司法人《营业执照》的企业；</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供应商拟派专职安全生产管理人员须具备有效的安全生产考核合格证书（C类），人数符合住房和城乡建设部《建筑施工企业安全生产管理机构设置及专职安全生产管理人员配备办法》（建质〔2008〕91号）的规定不少于1人。</w:t>
            </w:r>
          </w:p>
          <w:p w14:paraId="494CA76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供应商出现下列情形之一的，不得参加政府采购活动：</w:t>
            </w:r>
          </w:p>
          <w:p w14:paraId="1CBF02B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6D820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735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7BAA080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4502A4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1178FF0D">
            <w:pPr>
              <w:spacing w:line="360" w:lineRule="auto"/>
              <w:jc w:val="left"/>
              <w:rPr>
                <w:rFonts w:hint="eastAsia" w:ascii="宋体" w:hAnsi="宋体" w:cs="宋体"/>
                <w:color w:val="auto"/>
                <w:highlight w:val="none"/>
              </w:rPr>
            </w:pPr>
            <w:r>
              <w:rPr>
                <w:rFonts w:hint="eastAsia" w:ascii="宋体" w:hAnsi="宋体" w:cs="宋体"/>
                <w:color w:val="auto"/>
                <w:highlight w:val="none"/>
              </w:rPr>
              <w:t>竞标报价：</w:t>
            </w:r>
          </w:p>
          <w:p w14:paraId="69DD6080">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1.供应商必须就所投项目的全部内容作完整唯一报价，漏项报价的或有选择的或有条件的报价，其磋商将视为无效。                        </w:t>
            </w:r>
          </w:p>
          <w:p w14:paraId="6CCBF2FA">
            <w:pPr>
              <w:spacing w:line="360" w:lineRule="auto"/>
              <w:jc w:val="left"/>
              <w:rPr>
                <w:rFonts w:hint="eastAsia" w:ascii="宋体" w:hAnsi="宋体" w:cs="宋体"/>
                <w:color w:val="auto"/>
                <w:szCs w:val="21"/>
                <w:highlight w:val="none"/>
              </w:rPr>
            </w:pPr>
            <w:r>
              <w:rPr>
                <w:rFonts w:hint="eastAsia" w:ascii="宋体" w:hAnsi="宋体" w:cs="宋体"/>
                <w:color w:val="auto"/>
                <w:highlight w:val="none"/>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4738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36DF0A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2BB63A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08DF752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9D0E4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.响应文件电子版密封方式：电子响应文件通过平台有效CA加密后在广西政府采购云平台递交。</w:t>
            </w:r>
          </w:p>
        </w:tc>
      </w:tr>
      <w:tr w14:paraId="393E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708F00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02" w:type="dxa"/>
            <w:tcBorders>
              <w:top w:val="single" w:color="auto" w:sz="4" w:space="0"/>
              <w:left w:val="single" w:color="auto" w:sz="4" w:space="0"/>
              <w:bottom w:val="single" w:color="auto" w:sz="4" w:space="0"/>
              <w:right w:val="single" w:color="auto" w:sz="4" w:space="0"/>
            </w:tcBorders>
            <w:vAlign w:val="center"/>
          </w:tcPr>
          <w:p w14:paraId="391AA2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4DD144B4">
            <w:pPr>
              <w:pStyle w:val="9"/>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color w:val="auto"/>
                <w:highlight w:val="none"/>
              </w:rPr>
              <w:t>电子备份响应文件</w:t>
            </w:r>
            <w:r>
              <w:rPr>
                <w:rFonts w:hint="eastAsia"/>
                <w:color w:val="auto"/>
                <w:highlight w:val="none"/>
              </w:rPr>
              <w:t>。</w:t>
            </w:r>
          </w:p>
          <w:p w14:paraId="70459A55">
            <w:pPr>
              <w:pStyle w:val="9"/>
              <w:spacing w:line="360" w:lineRule="auto"/>
              <w:rPr>
                <w:rFonts w:hint="eastAsia" w:ascii="宋体" w:hAnsi="宋体" w:cs="宋体"/>
                <w:color w:val="auto"/>
                <w:szCs w:val="21"/>
                <w:highlight w:val="none"/>
              </w:rPr>
            </w:pPr>
            <w:r>
              <w:rPr>
                <w:rFonts w:hint="eastAsia" w:ascii="宋体" w:hAnsi="宋体"/>
                <w:color w:val="auto"/>
                <w:szCs w:val="21"/>
                <w:highlight w:val="none"/>
              </w:rPr>
              <w:t>□本项目接受</w:t>
            </w:r>
            <w:r>
              <w:rPr>
                <w:color w:val="auto"/>
                <w:highlight w:val="none"/>
              </w:rPr>
              <w:t>电子备份响应文件</w:t>
            </w:r>
            <w:r>
              <w:rPr>
                <w:rFonts w:hint="eastAsia" w:ascii="宋体" w:hAnsi="宋体"/>
                <w:color w:val="auto"/>
                <w:szCs w:val="21"/>
                <w:highlight w:val="none"/>
              </w:rPr>
              <w:t>。</w:t>
            </w:r>
          </w:p>
        </w:tc>
      </w:tr>
      <w:tr w14:paraId="634C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56AC3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02" w:type="dxa"/>
            <w:tcBorders>
              <w:top w:val="single" w:color="auto" w:sz="4" w:space="0"/>
              <w:left w:val="single" w:color="auto" w:sz="4" w:space="0"/>
              <w:bottom w:val="single" w:color="auto" w:sz="4" w:space="0"/>
              <w:right w:val="single" w:color="auto" w:sz="4" w:space="0"/>
            </w:tcBorders>
            <w:vAlign w:val="center"/>
          </w:tcPr>
          <w:p w14:paraId="5BD6BB54">
            <w:pPr>
              <w:spacing w:line="360" w:lineRule="auto"/>
              <w:jc w:val="center"/>
              <w:rPr>
                <w:color w:val="auto"/>
                <w:highlight w:val="none"/>
              </w:rPr>
            </w:pPr>
            <w:r>
              <w:rPr>
                <w:rFonts w:hint="eastAsia"/>
                <w:color w:val="auto"/>
                <w:highlight w:val="none"/>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57DD63D9">
            <w:pPr>
              <w:spacing w:line="360" w:lineRule="auto"/>
              <w:jc w:val="left"/>
              <w:rPr>
                <w:rFonts w:hint="eastAsia"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1DCB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6B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02" w:type="dxa"/>
            <w:tcBorders>
              <w:top w:val="single" w:color="auto" w:sz="4" w:space="0"/>
              <w:left w:val="single" w:color="auto" w:sz="4" w:space="0"/>
              <w:bottom w:val="single" w:color="auto" w:sz="4" w:space="0"/>
              <w:right w:val="single" w:color="auto" w:sz="4" w:space="0"/>
            </w:tcBorders>
            <w:vAlign w:val="center"/>
          </w:tcPr>
          <w:p w14:paraId="21E2FC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1BFF3F22">
            <w:pPr>
              <w:pStyle w:val="14"/>
              <w:spacing w:line="360" w:lineRule="auto"/>
              <w:rPr>
                <w:rFonts w:hint="eastAsia" w:hAnsi="宋体" w:cs="宋体"/>
                <w:color w:val="auto"/>
                <w:kern w:val="0"/>
                <w:highlight w:val="none"/>
              </w:rPr>
            </w:pPr>
            <w:r>
              <w:rPr>
                <w:rFonts w:hint="eastAsia" w:hAnsi="宋体" w:cs="宋体"/>
                <w:color w:val="auto"/>
                <w:kern w:val="0"/>
                <w:highlight w:val="none"/>
              </w:rPr>
              <w:t>本项目是否要求收取磋商保证金：不要求</w:t>
            </w:r>
          </w:p>
          <w:p w14:paraId="2A25BEA4">
            <w:pPr>
              <w:pStyle w:val="14"/>
              <w:spacing w:line="360" w:lineRule="auto"/>
              <w:rPr>
                <w:rFonts w:hint="eastAsia" w:hAnsi="宋体" w:cs="宋体"/>
                <w:color w:val="auto"/>
                <w:kern w:val="0"/>
                <w:highlight w:val="none"/>
              </w:rPr>
            </w:pPr>
            <w:r>
              <w:rPr>
                <w:rFonts w:hint="eastAsia" w:hAnsi="宋体" w:cs="宋体"/>
                <w:color w:val="auto"/>
                <w:kern w:val="0"/>
                <w:highlight w:val="none"/>
              </w:rPr>
              <w:t>磋商保证金：</w:t>
            </w:r>
            <w:r>
              <w:rPr>
                <w:rFonts w:hint="eastAsia" w:hAnsi="宋体"/>
                <w:color w:val="auto"/>
                <w:highlight w:val="none"/>
                <w:u w:val="single"/>
              </w:rPr>
              <w:t xml:space="preserve">  / </w:t>
            </w:r>
            <w:r>
              <w:rPr>
                <w:rFonts w:hint="eastAsia" w:hAnsi="宋体"/>
                <w:color w:val="auto"/>
                <w:highlight w:val="none"/>
              </w:rPr>
              <w:t>元整</w:t>
            </w:r>
            <w:r>
              <w:rPr>
                <w:rFonts w:hint="eastAsia" w:hAnsi="宋体" w:cs="宋体"/>
                <w:color w:val="auto"/>
                <w:kern w:val="0"/>
                <w:highlight w:val="none"/>
              </w:rPr>
              <w:t>。</w:t>
            </w:r>
          </w:p>
          <w:p w14:paraId="050F5167">
            <w:pPr>
              <w:pStyle w:val="14"/>
              <w:spacing w:line="360" w:lineRule="auto"/>
              <w:rPr>
                <w:rFonts w:hint="eastAsia" w:hAnsi="宋体" w:cs="宋体"/>
                <w:color w:val="auto"/>
                <w:kern w:val="0"/>
                <w:highlight w:val="none"/>
              </w:rPr>
            </w:pPr>
            <w:r>
              <w:rPr>
                <w:rFonts w:hint="eastAsia" w:hAnsi="宋体"/>
                <w:color w:val="auto"/>
                <w:highlight w:val="none"/>
              </w:rPr>
              <w:t>磋商保证金缴纳形式：银行转账、支票、汇票、本票或者银行、保险机构出具的保函、保险单，禁止采用现钞方式。</w:t>
            </w:r>
          </w:p>
          <w:p w14:paraId="37B29C42">
            <w:pPr>
              <w:pStyle w:val="14"/>
              <w:spacing w:line="360" w:lineRule="auto"/>
              <w:rPr>
                <w:rFonts w:hint="eastAsia" w:hAnsi="宋体" w:cs="宋体"/>
                <w:color w:val="auto"/>
                <w:kern w:val="0"/>
                <w:highlight w:val="none"/>
              </w:rPr>
            </w:pPr>
            <w:r>
              <w:rPr>
                <w:rFonts w:hint="eastAsia" w:hAnsi="宋体" w:cs="宋体"/>
                <w:color w:val="auto"/>
                <w:kern w:val="0"/>
                <w:highlight w:val="none"/>
              </w:rPr>
              <w:t>采用银行转账方式的，竞标人将磋商保证金从竞标人基本账户转出交至以下指定的磋商保证金专用账户，且提交到指定账户时间不得迟于响应文件提交截止时间（以到账为准）：</w:t>
            </w:r>
          </w:p>
          <w:p w14:paraId="5A216086">
            <w:pPr>
              <w:pStyle w:val="14"/>
              <w:spacing w:line="360" w:lineRule="auto"/>
              <w:rPr>
                <w:rFonts w:hint="eastAsia" w:hAnsi="宋体" w:cs="宋体"/>
                <w:color w:val="auto"/>
                <w:kern w:val="0"/>
                <w:highlight w:val="none"/>
              </w:rPr>
            </w:pPr>
            <w:r>
              <w:rPr>
                <w:rFonts w:hint="eastAsia" w:hAnsi="宋体" w:cs="宋体"/>
                <w:color w:val="auto"/>
                <w:kern w:val="0"/>
                <w:highlight w:val="none"/>
              </w:rPr>
              <w:t>开户行：</w:t>
            </w:r>
            <w:r>
              <w:rPr>
                <w:rFonts w:hint="eastAsia" w:hAnsi="宋体"/>
                <w:color w:val="auto"/>
                <w:highlight w:val="none"/>
              </w:rPr>
              <w:t>/</w:t>
            </w:r>
          </w:p>
          <w:p w14:paraId="4D80D8A2">
            <w:pPr>
              <w:pStyle w:val="14"/>
              <w:spacing w:line="360" w:lineRule="auto"/>
              <w:rPr>
                <w:rFonts w:hint="eastAsia" w:hAnsi="宋体" w:cs="宋体"/>
                <w:color w:val="auto"/>
                <w:kern w:val="0"/>
                <w:highlight w:val="none"/>
              </w:rPr>
            </w:pPr>
            <w:r>
              <w:rPr>
                <w:rFonts w:hint="eastAsia" w:hAnsi="宋体" w:cs="宋体"/>
                <w:color w:val="auto"/>
                <w:kern w:val="0"/>
                <w:highlight w:val="none"/>
              </w:rPr>
              <w:t>户名：</w:t>
            </w:r>
            <w:r>
              <w:rPr>
                <w:rFonts w:hint="eastAsia" w:hAnsi="宋体"/>
                <w:color w:val="auto"/>
                <w:highlight w:val="none"/>
              </w:rPr>
              <w:t>/</w:t>
            </w:r>
          </w:p>
          <w:p w14:paraId="6303A487">
            <w:pPr>
              <w:pStyle w:val="14"/>
              <w:spacing w:line="360" w:lineRule="auto"/>
              <w:rPr>
                <w:color w:val="auto"/>
                <w:highlight w:val="none"/>
              </w:rPr>
            </w:pPr>
            <w:r>
              <w:rPr>
                <w:rFonts w:hint="eastAsia" w:hAnsi="宋体" w:cs="宋体"/>
                <w:color w:val="auto"/>
                <w:kern w:val="0"/>
                <w:highlight w:val="none"/>
              </w:rPr>
              <w:t xml:space="preserve">账号： </w:t>
            </w:r>
            <w:r>
              <w:rPr>
                <w:rFonts w:hint="eastAsia" w:hAnsi="宋体"/>
                <w:color w:val="auto"/>
                <w:highlight w:val="none"/>
              </w:rPr>
              <w:t>/</w:t>
            </w:r>
          </w:p>
        </w:tc>
      </w:tr>
      <w:tr w14:paraId="143D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BE677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02" w:type="dxa"/>
            <w:tcBorders>
              <w:top w:val="single" w:color="auto" w:sz="4" w:space="0"/>
              <w:left w:val="single" w:color="auto" w:sz="4" w:space="0"/>
              <w:bottom w:val="single" w:color="auto" w:sz="4" w:space="0"/>
              <w:right w:val="single" w:color="auto" w:sz="4" w:space="0"/>
            </w:tcBorders>
            <w:vAlign w:val="center"/>
          </w:tcPr>
          <w:p w14:paraId="4385FF18">
            <w:pPr>
              <w:spacing w:line="360" w:lineRule="auto"/>
              <w:jc w:val="center"/>
              <w:rPr>
                <w:rFonts w:hint="eastAsia" w:ascii="宋体" w:hAnsi="宋体" w:cs="宋体"/>
                <w:color w:val="auto"/>
                <w:szCs w:val="21"/>
                <w:highlight w:val="none"/>
              </w:rPr>
            </w:pPr>
            <w:r>
              <w:rPr>
                <w:rFonts w:hint="eastAsia" w:hAnsi="宋体" w:cs="宋体"/>
                <w:color w:val="auto"/>
                <w:highlight w:val="none"/>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06981A8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44D5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A0059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02" w:type="dxa"/>
            <w:tcBorders>
              <w:top w:val="single" w:color="auto" w:sz="4" w:space="0"/>
              <w:left w:val="single" w:color="auto" w:sz="4" w:space="0"/>
              <w:bottom w:val="single" w:color="auto" w:sz="4" w:space="0"/>
              <w:right w:val="single" w:color="auto" w:sz="4" w:space="0"/>
            </w:tcBorders>
            <w:vAlign w:val="center"/>
          </w:tcPr>
          <w:p w14:paraId="1A870CC7">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4A01F7CC">
            <w:pPr>
              <w:pStyle w:val="14"/>
              <w:spacing w:line="360" w:lineRule="auto"/>
              <w:jc w:val="left"/>
              <w:rPr>
                <w:rFonts w:hint="eastAsia" w:hAnsi="宋体" w:cs="宋体"/>
                <w:color w:val="auto"/>
                <w:highlight w:val="none"/>
              </w:rPr>
            </w:pPr>
            <w:r>
              <w:rPr>
                <w:rFonts w:hint="eastAsia" w:hAnsi="宋体" w:cs="宋体"/>
                <w:color w:val="auto"/>
                <w:highlight w:val="none"/>
              </w:rPr>
              <w:t>评标委员会构成：3人，其中采购单位委托代表1人，专家2人；</w:t>
            </w:r>
          </w:p>
          <w:p w14:paraId="488C2E3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0E9F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5B9BA8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602" w:type="dxa"/>
            <w:tcBorders>
              <w:top w:val="single" w:color="auto" w:sz="4" w:space="0"/>
              <w:left w:val="single" w:color="auto" w:sz="4" w:space="0"/>
              <w:bottom w:val="single" w:color="auto" w:sz="4" w:space="0"/>
              <w:right w:val="single" w:color="auto" w:sz="4" w:space="0"/>
            </w:tcBorders>
            <w:vAlign w:val="center"/>
          </w:tcPr>
          <w:p w14:paraId="7D8B3A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613D7AE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65A7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244414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02" w:type="dxa"/>
            <w:tcBorders>
              <w:top w:val="single" w:color="auto" w:sz="4" w:space="0"/>
              <w:left w:val="single" w:color="auto" w:sz="4" w:space="0"/>
              <w:bottom w:val="single" w:color="auto" w:sz="4" w:space="0"/>
              <w:right w:val="single" w:color="auto" w:sz="4" w:space="0"/>
            </w:tcBorders>
            <w:vAlign w:val="center"/>
          </w:tcPr>
          <w:p w14:paraId="62E4E1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01BA5DA4">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1190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56D4A7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602" w:type="dxa"/>
            <w:tcBorders>
              <w:top w:val="single" w:color="auto" w:sz="4" w:space="0"/>
              <w:left w:val="single" w:color="auto" w:sz="4" w:space="0"/>
              <w:bottom w:val="single" w:color="auto" w:sz="4" w:space="0"/>
              <w:right w:val="single" w:color="auto" w:sz="4" w:space="0"/>
            </w:tcBorders>
            <w:vAlign w:val="center"/>
          </w:tcPr>
          <w:p w14:paraId="371B744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334792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BDEE8A6">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24CA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8" w:type="dxa"/>
            <w:tcBorders>
              <w:top w:val="single" w:color="auto" w:sz="4" w:space="0"/>
              <w:left w:val="single" w:color="auto" w:sz="4" w:space="0"/>
              <w:bottom w:val="single" w:color="auto" w:sz="4" w:space="0"/>
              <w:right w:val="single" w:color="auto" w:sz="4" w:space="0"/>
            </w:tcBorders>
            <w:vAlign w:val="center"/>
          </w:tcPr>
          <w:p w14:paraId="5CA9575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602" w:type="dxa"/>
            <w:tcBorders>
              <w:top w:val="single" w:color="auto" w:sz="4" w:space="0"/>
              <w:left w:val="single" w:color="auto" w:sz="4" w:space="0"/>
              <w:bottom w:val="single" w:color="auto" w:sz="4" w:space="0"/>
              <w:right w:val="single" w:color="auto" w:sz="4" w:space="0"/>
            </w:tcBorders>
            <w:vAlign w:val="center"/>
          </w:tcPr>
          <w:p w14:paraId="6789B9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7B0CD8E">
            <w:pPr>
              <w:autoSpaceDE w:val="0"/>
              <w:autoSpaceDN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tc>
      </w:tr>
      <w:tr w14:paraId="3B50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048E8A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602" w:type="dxa"/>
            <w:tcBorders>
              <w:top w:val="single" w:color="auto" w:sz="4" w:space="0"/>
              <w:left w:val="single" w:color="auto" w:sz="4" w:space="0"/>
              <w:bottom w:val="single" w:color="auto" w:sz="4" w:space="0"/>
              <w:right w:val="single" w:color="auto" w:sz="4" w:space="0"/>
            </w:tcBorders>
            <w:vAlign w:val="center"/>
          </w:tcPr>
          <w:p w14:paraId="6B54BF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2D4E990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本项目采购预算价：</w:t>
            </w:r>
            <w:r>
              <w:rPr>
                <w:rFonts w:hint="eastAsia"/>
                <w:color w:val="auto"/>
                <w:highlight w:val="none"/>
              </w:rPr>
              <w:t xml:space="preserve"> </w:t>
            </w:r>
            <w:r>
              <w:rPr>
                <w:rFonts w:hint="eastAsia"/>
                <w:color w:val="auto"/>
                <w:highlight w:val="none"/>
                <w:lang w:val="en-US" w:eastAsia="zh-CN"/>
              </w:rPr>
              <w:t>816105.55</w:t>
            </w:r>
            <w:r>
              <w:rPr>
                <w:rFonts w:hint="eastAsia" w:ascii="宋体" w:hAnsi="宋体" w:cs="宋体"/>
                <w:color w:val="auto"/>
                <w:szCs w:val="21"/>
                <w:highlight w:val="none"/>
              </w:rPr>
              <w:t>元</w:t>
            </w:r>
          </w:p>
        </w:tc>
      </w:tr>
      <w:tr w14:paraId="727A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17C47F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02" w:type="dxa"/>
            <w:tcBorders>
              <w:top w:val="single" w:color="auto" w:sz="4" w:space="0"/>
              <w:left w:val="single" w:color="auto" w:sz="4" w:space="0"/>
              <w:bottom w:val="single" w:color="auto" w:sz="4" w:space="0"/>
              <w:right w:val="single" w:color="auto" w:sz="4" w:space="0"/>
            </w:tcBorders>
            <w:vAlign w:val="center"/>
          </w:tcPr>
          <w:p w14:paraId="6852F63E">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51BD9E9C">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以书面形式</w:t>
            </w:r>
          </w:p>
        </w:tc>
      </w:tr>
      <w:tr w14:paraId="348D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6F381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02" w:type="dxa"/>
            <w:tcBorders>
              <w:top w:val="single" w:color="auto" w:sz="4" w:space="0"/>
              <w:left w:val="single" w:color="auto" w:sz="4" w:space="0"/>
              <w:bottom w:val="single" w:color="auto" w:sz="4" w:space="0"/>
              <w:right w:val="single" w:color="auto" w:sz="4" w:space="0"/>
            </w:tcBorders>
            <w:vAlign w:val="center"/>
          </w:tcPr>
          <w:p w14:paraId="26C28C03">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1082117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广西荣胜项目管理有限公司</w:t>
            </w:r>
          </w:p>
          <w:p w14:paraId="68E54C9C">
            <w:pPr>
              <w:snapToGrid w:val="0"/>
              <w:spacing w:line="360" w:lineRule="auto"/>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：0777-5512166</w:t>
            </w:r>
          </w:p>
          <w:p w14:paraId="3FB8EDF7">
            <w:pPr>
              <w:snapToGrid w:val="0"/>
              <w:spacing w:line="360" w:lineRule="auto"/>
              <w:rPr>
                <w:rFonts w:hint="eastAsia" w:hAnsi="宋体"/>
                <w:b/>
                <w:color w:val="auto"/>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钦州市蓬莱大道鸿亭街333号皇庭天麓湖小区183栋203室</w:t>
            </w:r>
          </w:p>
        </w:tc>
      </w:tr>
      <w:tr w14:paraId="2E14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432828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602" w:type="dxa"/>
            <w:tcBorders>
              <w:top w:val="single" w:color="auto" w:sz="4" w:space="0"/>
              <w:left w:val="single" w:color="auto" w:sz="4" w:space="0"/>
              <w:bottom w:val="single" w:color="auto" w:sz="4" w:space="0"/>
              <w:right w:val="single" w:color="auto" w:sz="4" w:space="0"/>
            </w:tcBorders>
            <w:vAlign w:val="center"/>
          </w:tcPr>
          <w:p w14:paraId="76A6D39F">
            <w:pPr>
              <w:spacing w:line="360" w:lineRule="auto"/>
              <w:jc w:val="center"/>
              <w:rPr>
                <w:rFonts w:hint="eastAsia" w:ascii="宋体" w:hAnsi="宋体" w:cs="宋体"/>
                <w:color w:val="auto"/>
                <w:szCs w:val="21"/>
                <w:highlight w:val="none"/>
              </w:rPr>
            </w:pPr>
            <w:r>
              <w:rPr>
                <w:rFonts w:hint="eastAsia" w:hAnsi="宋体"/>
                <w:color w:val="auto"/>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79117724">
            <w:pPr>
              <w:snapToGrid w:val="0"/>
              <w:spacing w:line="360" w:lineRule="auto"/>
              <w:rPr>
                <w:rFonts w:hint="eastAsia"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53CC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5985B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602" w:type="dxa"/>
            <w:tcBorders>
              <w:top w:val="single" w:color="auto" w:sz="4" w:space="0"/>
              <w:left w:val="single" w:color="auto" w:sz="4" w:space="0"/>
              <w:bottom w:val="single" w:color="auto" w:sz="4" w:space="0"/>
              <w:right w:val="single" w:color="auto" w:sz="4" w:space="0"/>
            </w:tcBorders>
            <w:vAlign w:val="center"/>
          </w:tcPr>
          <w:p w14:paraId="20F97FF5">
            <w:pPr>
              <w:spacing w:line="360" w:lineRule="auto"/>
              <w:jc w:val="center"/>
              <w:rPr>
                <w:rFonts w:hint="eastAsia" w:hAnsi="宋体"/>
                <w:color w:val="auto"/>
                <w:highlight w:val="none"/>
              </w:rPr>
            </w:pPr>
            <w:r>
              <w:rPr>
                <w:rFonts w:hint="eastAsia" w:ascii="宋体" w:hAnsi="宋体" w:cs="宋体"/>
                <w:color w:val="auto"/>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1EAE956D">
            <w:pPr>
              <w:pStyle w:val="14"/>
              <w:snapToGrid w:val="0"/>
              <w:spacing w:line="360" w:lineRule="auto"/>
              <w:rPr>
                <w:rFonts w:hint="eastAsia" w:hAnsi="宋体" w:cs="宋体"/>
                <w:color w:val="auto"/>
                <w:highlight w:val="none"/>
              </w:rPr>
            </w:pPr>
            <w:r>
              <w:rPr>
                <w:rFonts w:hint="eastAsia" w:hAnsi="宋体" w:cs="宋体"/>
                <w:color w:val="auto"/>
                <w:highlight w:val="none"/>
              </w:rPr>
              <w:t>1.代理服务费：按差额定率累进法，参照《招标代理服务收费管理暂行办法》计价格[2002]1980号文和发改价格[2011]534号工程类标准计算向成交人计取。成交人在领取成交通知书前，一次性向采购代理机构支付。</w:t>
            </w:r>
          </w:p>
          <w:p w14:paraId="2AA72BA6">
            <w:pPr>
              <w:pStyle w:val="14"/>
              <w:snapToGrid w:val="0"/>
              <w:spacing w:line="360" w:lineRule="auto"/>
              <w:rPr>
                <w:rFonts w:hint="eastAsia" w:hAnsi="宋体" w:cs="宋体"/>
                <w:color w:val="auto"/>
                <w:highlight w:val="none"/>
              </w:rPr>
            </w:pPr>
            <w:r>
              <w:rPr>
                <w:rFonts w:hint="eastAsia" w:hAnsi="宋体" w:cs="宋体"/>
                <w:color w:val="auto"/>
                <w:highlight w:val="none"/>
              </w:rPr>
              <w:t>2. 代理服务费收取银行账户：</w:t>
            </w:r>
          </w:p>
          <w:p w14:paraId="6A4249DB">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广西荣胜项目管理有限公司浦北分公司</w:t>
            </w:r>
          </w:p>
          <w:p w14:paraId="0C184C80">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825512010117099328</w:t>
            </w:r>
          </w:p>
          <w:p w14:paraId="1B3B7A3B">
            <w:pPr>
              <w:pStyle w:val="14"/>
              <w:snapToGrid w:val="0"/>
              <w:spacing w:line="360" w:lineRule="auto"/>
              <w:rPr>
                <w:rFonts w:hint="eastAsia" w:hAnsi="宋体" w:eastAsia="宋体"/>
                <w:color w:val="auto"/>
                <w:highlight w:val="none"/>
                <w:lang w:eastAsia="zh-CN"/>
              </w:rPr>
            </w:pPr>
            <w:r>
              <w:rPr>
                <w:rFonts w:hint="eastAsia" w:hAnsi="宋体" w:cs="宋体"/>
                <w:color w:val="auto"/>
                <w:highlight w:val="none"/>
              </w:rPr>
              <w:t>开户行：</w:t>
            </w:r>
            <w:r>
              <w:rPr>
                <w:rFonts w:hint="eastAsia" w:hAnsi="宋体" w:cs="宋体"/>
                <w:color w:val="auto"/>
                <w:highlight w:val="none"/>
                <w:lang w:eastAsia="zh-CN"/>
              </w:rPr>
              <w:t>广西浦北农村商业银行股份有限公司小江支行</w:t>
            </w:r>
          </w:p>
        </w:tc>
      </w:tr>
      <w:tr w14:paraId="285E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95159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602" w:type="dxa"/>
            <w:tcBorders>
              <w:top w:val="single" w:color="auto" w:sz="4" w:space="0"/>
              <w:left w:val="single" w:color="auto" w:sz="4" w:space="0"/>
              <w:bottom w:val="single" w:color="auto" w:sz="4" w:space="0"/>
              <w:right w:val="single" w:color="auto" w:sz="4" w:space="0"/>
            </w:tcBorders>
            <w:vAlign w:val="center"/>
          </w:tcPr>
          <w:p w14:paraId="40E85758">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2C6BAD80">
            <w:pPr>
              <w:pStyle w:val="14"/>
              <w:snapToGrid w:val="0"/>
              <w:spacing w:line="360" w:lineRule="auto"/>
              <w:rPr>
                <w:rFonts w:hint="eastAsia"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39EBDBDF">
            <w:pPr>
              <w:pStyle w:val="14"/>
              <w:snapToGrid w:val="0"/>
              <w:spacing w:line="360" w:lineRule="auto"/>
              <w:rPr>
                <w:rFonts w:hint="eastAsia"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AEC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63A83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602" w:type="dxa"/>
            <w:tcBorders>
              <w:top w:val="single" w:color="auto" w:sz="4" w:space="0"/>
              <w:left w:val="single" w:color="auto" w:sz="4" w:space="0"/>
              <w:bottom w:val="single" w:color="auto" w:sz="4" w:space="0"/>
              <w:right w:val="single" w:color="auto" w:sz="4" w:space="0"/>
            </w:tcBorders>
            <w:vAlign w:val="center"/>
          </w:tcPr>
          <w:p w14:paraId="1DC6B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6C13DDC9">
            <w:pPr>
              <w:pStyle w:val="14"/>
              <w:spacing w:line="360" w:lineRule="auto"/>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1306260">
            <w:pPr>
              <w:pStyle w:val="14"/>
              <w:spacing w:line="360" w:lineRule="auto"/>
              <w:rPr>
                <w:rFonts w:hint="eastAsia" w:hAnsi="宋体" w:cs="宋体"/>
                <w:color w:val="auto"/>
                <w:highlight w:val="none"/>
              </w:rPr>
            </w:pPr>
            <w:r>
              <w:rPr>
                <w:rFonts w:hint="eastAsia" w:hAnsi="宋体" w:cs="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83AEE8B">
            <w:pPr>
              <w:pStyle w:val="14"/>
              <w:spacing w:line="360" w:lineRule="auto"/>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7DE1308">
            <w:pPr>
              <w:pStyle w:val="14"/>
              <w:spacing w:line="360" w:lineRule="auto"/>
              <w:rPr>
                <w:rFonts w:hint="eastAsia" w:hAnsi="宋体" w:cs="宋体"/>
                <w:color w:val="auto"/>
                <w:highlight w:val="none"/>
              </w:rPr>
            </w:pPr>
            <w:r>
              <w:rPr>
                <w:rFonts w:hint="eastAsia" w:hAnsi="宋体" w:cs="宋体"/>
                <w:color w:val="auto"/>
                <w:highlight w:val="none"/>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8CC6CA">
            <w:pPr>
              <w:pStyle w:val="14"/>
              <w:spacing w:line="360" w:lineRule="auto"/>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自然人竞标的，磋商文件规定盖公章处由自然人摁手指指印。</w:t>
            </w:r>
          </w:p>
          <w:p w14:paraId="5CB305A7">
            <w:pPr>
              <w:pStyle w:val="14"/>
              <w:spacing w:line="360" w:lineRule="auto"/>
              <w:rPr>
                <w:rFonts w:hint="eastAsia" w:hAnsi="宋体" w:cs="宋体"/>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560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47EC3C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02" w:type="dxa"/>
            <w:tcBorders>
              <w:top w:val="single" w:color="auto" w:sz="4" w:space="0"/>
              <w:left w:val="single" w:color="auto" w:sz="4" w:space="0"/>
              <w:bottom w:val="single" w:color="auto" w:sz="4" w:space="0"/>
              <w:right w:val="single" w:color="auto" w:sz="4" w:space="0"/>
            </w:tcBorders>
            <w:vAlign w:val="center"/>
          </w:tcPr>
          <w:p w14:paraId="4CE0613C">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6FF10F7">
            <w:pPr>
              <w:pStyle w:val="14"/>
              <w:spacing w:line="360" w:lineRule="auto"/>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123AA93A">
            <w:pPr>
              <w:pStyle w:val="14"/>
              <w:spacing w:line="360" w:lineRule="auto"/>
              <w:jc w:val="left"/>
              <w:rPr>
                <w:color w:val="auto"/>
                <w:highlight w:val="none"/>
              </w:rPr>
            </w:pPr>
            <w:r>
              <w:rPr>
                <w:rFonts w:hint="eastAsia"/>
                <w:color w:val="auto"/>
                <w:highlight w:val="none"/>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6F7AD336">
            <w:pPr>
              <w:pStyle w:val="47"/>
              <w:spacing w:before="0" w:after="0" w:line="360" w:lineRule="auto"/>
              <w:ind w:firstLine="0" w:firstLineChars="0"/>
              <w:rPr>
                <w:color w:val="auto"/>
                <w:spacing w:val="0"/>
                <w:highlight w:val="none"/>
              </w:rPr>
            </w:pPr>
            <w:r>
              <w:rPr>
                <w:rFonts w:hint="eastAsia" w:ascii="Times New Roman" w:eastAsia="宋体"/>
                <w:bCs w:val="0"/>
                <w:color w:val="auto"/>
                <w:spacing w:val="0"/>
                <w:kern w:val="2"/>
                <w:sz w:val="21"/>
                <w:szCs w:val="24"/>
                <w:highlight w:val="none"/>
              </w:rPr>
              <w:t>（3）补充事项：成交供应商需在确定成交3日内打印盖章响应文件（一式三份）提供给代理机构，作为成果文件装订使用。</w:t>
            </w:r>
          </w:p>
        </w:tc>
      </w:tr>
      <w:tr w14:paraId="4607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0F883C4">
            <w:pPr>
              <w:spacing w:line="360" w:lineRule="auto"/>
              <w:jc w:val="center"/>
              <w:rPr>
                <w:rFonts w:hint="eastAsia" w:ascii="宋体" w:hAnsi="宋体" w:cs="宋体"/>
                <w:color w:val="auto"/>
                <w:szCs w:val="21"/>
                <w:highlight w:val="none"/>
              </w:rPr>
            </w:pPr>
            <w:bookmarkStart w:id="63" w:name="_Toc16298"/>
            <w:bookmarkStart w:id="64" w:name="_Toc8441"/>
            <w:r>
              <w:rPr>
                <w:rFonts w:hint="eastAsia" w:ascii="宋体" w:hAnsi="宋体" w:cs="宋体"/>
                <w:color w:val="auto"/>
                <w:szCs w:val="21"/>
                <w:highlight w:val="none"/>
              </w:rPr>
              <w:t>22</w:t>
            </w:r>
          </w:p>
        </w:tc>
        <w:tc>
          <w:tcPr>
            <w:tcW w:w="1602" w:type="dxa"/>
            <w:tcBorders>
              <w:top w:val="single" w:color="auto" w:sz="4" w:space="0"/>
              <w:left w:val="single" w:color="auto" w:sz="4" w:space="0"/>
              <w:bottom w:val="single" w:color="auto" w:sz="4" w:space="0"/>
              <w:right w:val="single" w:color="auto" w:sz="4" w:space="0"/>
            </w:tcBorders>
            <w:vAlign w:val="center"/>
          </w:tcPr>
          <w:p w14:paraId="48E3D55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677D1E7C">
            <w:pPr>
              <w:pStyle w:val="47"/>
              <w:spacing w:before="0" w:after="0" w:line="360" w:lineRule="auto"/>
              <w:ind w:firstLine="0" w:firstLineChars="0"/>
              <w:rPr>
                <w:rFonts w:ascii="Times New Roman" w:eastAsia="宋体"/>
                <w:bCs w:val="0"/>
                <w:color w:val="auto"/>
                <w:spacing w:val="0"/>
                <w:kern w:val="2"/>
                <w:sz w:val="21"/>
                <w:szCs w:val="24"/>
                <w:highlight w:val="none"/>
              </w:rPr>
            </w:pPr>
            <w:r>
              <w:rPr>
                <w:rFonts w:hint="eastAsia" w:ascii="Times New Roman" w:eastAsia="宋体"/>
                <w:bCs w:val="0"/>
                <w:color w:val="auto"/>
                <w:spacing w:val="0"/>
                <w:kern w:val="2"/>
                <w:sz w:val="21"/>
                <w:szCs w:val="24"/>
                <w:highlight w:val="none"/>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24642237">
      <w:pPr>
        <w:rPr>
          <w:color w:val="auto"/>
          <w:highlight w:val="none"/>
        </w:rPr>
      </w:pPr>
    </w:p>
    <w:p w14:paraId="3BAC98D9">
      <w:pPr>
        <w:pStyle w:val="3"/>
        <w:spacing w:before="156" w:beforeLines="50" w:after="0" w:line="600" w:lineRule="exact"/>
        <w:jc w:val="center"/>
        <w:rPr>
          <w:rFonts w:hint="eastAsia"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67709EFC">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669027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353BF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EF15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1.2本竞争性磋商文件适用于本项目的所有采购程序和环节（法律、法规另有规定的，从其规定）。</w:t>
      </w:r>
    </w:p>
    <w:p w14:paraId="0B1BE7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2.定义</w:t>
      </w:r>
    </w:p>
    <w:p w14:paraId="487CC5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59E8F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5F046B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7A6EA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69843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114CE2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4DA470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388D8B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291CE9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55457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47533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F5531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26691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33F9E6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15116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8F631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77DEFD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40A06E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65CDC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2348E4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3E75B5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44C81C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4BF71B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61F617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7.2供应商应仔细阅读竞争性磋商文件的所有内容，按照竞争性磋商文件的要求提交响应文件，并对所提供的全部资料的真实性承担法律责任。</w:t>
      </w:r>
    </w:p>
    <w:p w14:paraId="38DE44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41F7D8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5C469C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BE43B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DB973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E856E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（4）与供应商的法定代表人或负责人有夫妻、直系血亲、三代以内旁系血亲或者近姻亲关系；</w:t>
      </w:r>
    </w:p>
    <w:p w14:paraId="0FF891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EB27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4F2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648267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79C50C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177D1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89AD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DD4B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50DCD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5D8972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7D0860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55B9A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64E0D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B5690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2F6F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8718E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76F3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FA72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7.7关联供应商不得参加同一合同项下政府采购活动，否则响应文件将被视为无效：</w:t>
      </w:r>
    </w:p>
    <w:p w14:paraId="0986DE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1600C44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二、响应文件的编制</w:t>
      </w:r>
    </w:p>
    <w:p w14:paraId="3676BC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8.响应文件的编制原则</w:t>
      </w:r>
    </w:p>
    <w:p w14:paraId="0435B2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1B0440C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9.响应文件编制基本要求</w:t>
      </w:r>
    </w:p>
    <w:p w14:paraId="0D35F1FB">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6990DB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供应商提交的竞争性磋商响应文件以及供应商与广西荣胜项目管理有限公司和采购人就有关磋商的所有来往函电均应使用中文。供应商提交的支持文件和印刷的文献可以使用别的语言，但其相应内容必须附有中文翻译文本，在解释竞争性磋商响应文件时以翻译文本为准。</w:t>
      </w:r>
    </w:p>
    <w:p w14:paraId="7552510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9.3供应商应认真阅读、并充分理解本文件的全部内容（包括所有的补充、修改内容），承诺并履行本文件中各项条款规定及要求。</w:t>
      </w:r>
    </w:p>
    <w:p w14:paraId="71FBD8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9.4竞争性磋商响应文件必须按本文件的全部内容，包括所有的补充通知及附件进行编制。</w:t>
      </w:r>
    </w:p>
    <w:p w14:paraId="659D6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9.5如因供应商只填写和提供了本文件要求的部分内容和附件，而给评审造成困难，其可能导致的结果和责任由供应商自行承担。</w:t>
      </w:r>
    </w:p>
    <w:p w14:paraId="61FAAB00">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9.6响应文件的组成：响应文件应分为资格证明文件、报价文件、商务技术文件三个部分组成。</w:t>
      </w:r>
      <w:r>
        <w:rPr>
          <w:rFonts w:hint="eastAsia" w:ascii="宋体" w:hAnsi="宋体" w:cs="宋体"/>
          <w:b/>
          <w:color w:val="auto"/>
          <w:szCs w:val="21"/>
          <w:highlight w:val="none"/>
        </w:rPr>
        <w:t>以下注明“</w:t>
      </w:r>
      <w:r>
        <w:rPr>
          <w:rFonts w:hint="eastAsia" w:ascii="宋体" w:hAnsi="宋体" w:cs="宋体"/>
          <w:color w:val="auto"/>
          <w:szCs w:val="21"/>
          <w:highlight w:val="none"/>
        </w:rPr>
        <w:t>▲</w:t>
      </w:r>
      <w:r>
        <w:rPr>
          <w:rFonts w:hint="eastAsia" w:ascii="宋体" w:hAnsi="宋体" w:cs="宋体"/>
          <w:b/>
          <w:color w:val="auto"/>
          <w:szCs w:val="21"/>
          <w:highlight w:val="none"/>
        </w:rPr>
        <w:t>”的必须提供，否则竞标无效。</w:t>
      </w:r>
    </w:p>
    <w:p w14:paraId="687EF74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1.资格证明文件</w:t>
      </w:r>
    </w:p>
    <w:p w14:paraId="69E0C47E">
      <w:pPr>
        <w:pStyle w:val="9"/>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w:t>
      </w:r>
    </w:p>
    <w:p w14:paraId="6EDEF8F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7B027B8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294A4C8E">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（4）投标人财务状况报告：[</w:t>
      </w:r>
      <w:r>
        <w:rPr>
          <w:rFonts w:hint="eastAsia" w:ascii="宋体" w:hAnsi="宋体" w:cs="宋体"/>
          <w:bCs/>
          <w:color w:val="auto"/>
          <w:szCs w:val="21"/>
          <w:highlight w:val="none"/>
          <w:lang w:val="en-US" w:eastAsia="zh-CN"/>
        </w:rPr>
        <w:t>2024年度</w:t>
      </w:r>
      <w:r>
        <w:rPr>
          <w:rFonts w:hint="eastAsia" w:ascii="宋体" w:hAnsi="宋体" w:cs="宋体"/>
          <w:bCs/>
          <w:color w:val="auto"/>
          <w:szCs w:val="21"/>
          <w:highlight w:val="none"/>
        </w:rPr>
        <w:t>]财务状况报告复印件；供应商成立不满一年的应按提供截标之日上一个月的财务状况报告复印件。</w:t>
      </w:r>
    </w:p>
    <w:p w14:paraId="22679AF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（5）</w:t>
      </w:r>
      <w:r>
        <w:rPr>
          <w:rFonts w:hint="eastAsia" w:ascii="宋体" w:hAnsi="宋体" w:cs="宋体"/>
          <w:color w:val="auto"/>
          <w:szCs w:val="21"/>
          <w:highlight w:val="none"/>
        </w:rPr>
        <w:t>竞标声明（格式后附）；</w:t>
      </w:r>
    </w:p>
    <w:p w14:paraId="7BB08BC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（6）</w:t>
      </w:r>
      <w:r>
        <w:rPr>
          <w:rFonts w:hint="eastAsia" w:ascii="宋体" w:hAnsi="宋体" w:cs="宋体"/>
          <w:color w:val="auto"/>
          <w:szCs w:val="21"/>
          <w:highlight w:val="none"/>
        </w:rPr>
        <w:t>供应商直接控股、管理关系信息表（格式后附）；</w:t>
      </w:r>
    </w:p>
    <w:p w14:paraId="4AE20169">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（7）拟派的项目经理无在建项目承诺书（格式自拟）</w:t>
      </w:r>
    </w:p>
    <w:p w14:paraId="3EEE7AC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本项目属于专门面向中小</w:t>
      </w:r>
      <w:r>
        <w:rPr>
          <w:rFonts w:hint="eastAsia" w:ascii="宋体" w:hAnsi="宋体" w:cs="宋体"/>
          <w:color w:val="auto"/>
          <w:szCs w:val="21"/>
          <w:highlight w:val="none"/>
          <w:lang w:eastAsia="zh-CN"/>
        </w:rPr>
        <w:t>微</w:t>
      </w:r>
      <w:r>
        <w:rPr>
          <w:rFonts w:hint="eastAsia" w:ascii="宋体" w:hAnsi="宋体" w:cs="宋体"/>
          <w:color w:val="auto"/>
          <w:szCs w:val="21"/>
          <w:highlight w:val="none"/>
        </w:rPr>
        <w:t>企业采购的项目，供应商须为中小</w:t>
      </w:r>
      <w:r>
        <w:rPr>
          <w:rFonts w:hint="eastAsia" w:ascii="宋体" w:hAnsi="宋体" w:cs="宋体"/>
          <w:color w:val="auto"/>
          <w:szCs w:val="21"/>
          <w:highlight w:val="none"/>
          <w:lang w:eastAsia="zh-CN"/>
        </w:rPr>
        <w:t>微</w:t>
      </w:r>
      <w:r>
        <w:rPr>
          <w:rFonts w:hint="eastAsia" w:ascii="宋体" w:hAnsi="宋体" w:cs="宋体"/>
          <w:color w:val="auto"/>
          <w:szCs w:val="21"/>
          <w:highlight w:val="none"/>
        </w:rPr>
        <w:t>企业或监狱企业或残疾人福利性单位。[供应商必须在响应文件中提供《</w:t>
      </w:r>
      <w:r>
        <w:rPr>
          <w:rFonts w:hint="eastAsia" w:ascii="宋体" w:hAnsi="宋体" w:cs="宋体"/>
          <w:bCs/>
          <w:color w:val="auto"/>
          <w:szCs w:val="21"/>
          <w:highlight w:val="none"/>
        </w:rPr>
        <w:t>中小企业声明函（工程）</w:t>
      </w:r>
      <w:r>
        <w:rPr>
          <w:rFonts w:hint="eastAsia" w:ascii="宋体" w:hAnsi="宋体" w:cs="宋体"/>
          <w:color w:val="auto"/>
          <w:szCs w:val="21"/>
          <w:highlight w:val="none"/>
        </w:rPr>
        <w:t>》</w:t>
      </w:r>
      <w:r>
        <w:rPr>
          <w:rFonts w:hint="eastAsia" w:ascii="宋体" w:hAnsi="宋体" w:cs="宋体"/>
          <w:color w:val="auto"/>
          <w:szCs w:val="22"/>
          <w:highlight w:val="none"/>
        </w:rPr>
        <w:t>或残疾人福利性单位声明函或监狱企业证明材料]；</w:t>
      </w:r>
    </w:p>
    <w:p w14:paraId="093A4AC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w:t>
      </w:r>
      <w:r>
        <w:rPr>
          <w:rFonts w:hint="eastAsia" w:ascii="宋体" w:hAnsi="宋体" w:eastAsia="宋体" w:cs="宋体"/>
          <w:color w:val="auto"/>
          <w:szCs w:val="21"/>
          <w:highlight w:val="none"/>
        </w:rPr>
        <w:t>本项目的特定资格要求：</w:t>
      </w:r>
    </w:p>
    <w:p w14:paraId="5DE7F98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1）供应商</w:t>
      </w:r>
      <w:r>
        <w:rPr>
          <w:rFonts w:hint="eastAsia" w:ascii="宋体" w:hAnsi="宋体" w:eastAsia="宋体" w:cs="宋体"/>
          <w:color w:val="auto"/>
          <w:szCs w:val="21"/>
          <w:highlight w:val="none"/>
          <w:lang w:eastAsia="zh-CN"/>
        </w:rPr>
        <w:t>须具备土石方工程能力、</w:t>
      </w:r>
      <w:r>
        <w:rPr>
          <w:rFonts w:hint="eastAsia" w:ascii="宋体" w:hAnsi="宋体" w:eastAsia="宋体" w:cs="宋体"/>
          <w:color w:val="auto"/>
          <w:szCs w:val="21"/>
          <w:highlight w:val="none"/>
        </w:rPr>
        <w:t>管理能力且取得公司法人《营业执照》的企业；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2）供应商拟派专职安全生产管理人员须具备有效的安全生产考核合格证书（C类），人数符合住房和城乡建设部《建筑施工企业安全生产管理机构设置及专职安全生产管理人员配备办法》（建质〔2008〕91号）的规定不少于1人</w:t>
      </w:r>
      <w:r>
        <w:rPr>
          <w:rFonts w:hint="eastAsia" w:ascii="宋体" w:hAnsi="宋体" w:eastAsia="宋体" w:cs="宋体"/>
          <w:color w:val="auto"/>
          <w:szCs w:val="21"/>
          <w:highlight w:val="none"/>
          <w:lang w:eastAsia="zh-CN"/>
        </w:rPr>
        <w:t>。</w:t>
      </w:r>
    </w:p>
    <w:p w14:paraId="275CB1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）供应商针对资格证明需要说明的其他证明文件和说明。（格式自拟）</w:t>
      </w:r>
    </w:p>
    <w:p w14:paraId="2A1E8FD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2.报价文件</w:t>
      </w:r>
    </w:p>
    <w:p w14:paraId="7181210A">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（1）磋商函；</w:t>
      </w:r>
    </w:p>
    <w:p w14:paraId="01DD7918">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（2）磋商函附录</w:t>
      </w:r>
      <w:r>
        <w:rPr>
          <w:rFonts w:hint="eastAsia" w:ascii="宋体" w:hAnsi="宋体" w:cs="宋体"/>
          <w:b/>
          <w:color w:val="auto"/>
          <w:szCs w:val="21"/>
          <w:highlight w:val="none"/>
        </w:rPr>
        <w:t>；</w:t>
      </w:r>
    </w:p>
    <w:p w14:paraId="287B35F5">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（3）竞标报价表；</w:t>
      </w:r>
    </w:p>
    <w:p w14:paraId="19D1C03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（4）已标价工程量清单；</w:t>
      </w:r>
    </w:p>
    <w:p w14:paraId="1EC8B28A">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（5）供应商针对报价需要说明的其他文件和说明（格式自拟）。</w:t>
      </w:r>
    </w:p>
    <w:p w14:paraId="14760B7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3.商务技术文件</w:t>
      </w:r>
    </w:p>
    <w:p w14:paraId="0FA2719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（1）无串通竞标行为的承诺函（格式后附）；</w:t>
      </w:r>
    </w:p>
    <w:p w14:paraId="65ED0293">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（2）法定代表人身份证明书及法定代表人有效身份证正反面复印件（格式后附）；</w:t>
      </w:r>
    </w:p>
    <w:p w14:paraId="5088B53E">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w:t>
      </w:r>
    </w:p>
    <w:p w14:paraId="279DDE52">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（4）施工组织设计；</w:t>
      </w:r>
    </w:p>
    <w:p w14:paraId="6E66BE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（5）项目管理机构配备情况表；</w:t>
      </w:r>
    </w:p>
    <w:p w14:paraId="76AB6A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（6）供应商针对商务技术需要说明的其他文件和说明（格式自拟）；</w:t>
      </w:r>
    </w:p>
    <w:p w14:paraId="2914EB6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2298C5E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59EC50A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③竞争性磋商采购文件要求提供的各种复印件，须加盖供应商CA签章，否则其磋商无效。</w:t>
      </w:r>
    </w:p>
    <w:p w14:paraId="59DF29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9.7响应文件有效期：见供应商须知前附表。</w:t>
      </w:r>
    </w:p>
    <w:p w14:paraId="615759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9.8磋商保证金：见供应商须知前附表。</w:t>
      </w:r>
    </w:p>
    <w:p w14:paraId="6F1E35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10.计量单位</w:t>
      </w:r>
    </w:p>
    <w:p w14:paraId="74EB79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10.1磋商文件已有明确规定的，使用磋商文件规定的计量单位；磋商文件没有规定的，应采用国家法定计量单位，货币种类为人民币，否则视同未响应。</w:t>
      </w:r>
    </w:p>
    <w:p w14:paraId="089F63A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三、磋商报价及采购预算</w:t>
      </w:r>
    </w:p>
    <w:p w14:paraId="65BE078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632CE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26387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5FE54E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7AF8257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1CC36C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12.竞争性磋商响应文件的份数：电子加密响应文件一份。</w:t>
      </w:r>
    </w:p>
    <w:p w14:paraId="101607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823964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13.响应文件的递交</w:t>
      </w:r>
    </w:p>
    <w:p w14:paraId="4848F2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13.1所有竞争性响应文件应于“第二章磋商须知及前附表”中规定的截止时间前递交到规定地点。</w:t>
      </w:r>
    </w:p>
    <w:p w14:paraId="318017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1A1E9AD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13.2迟交的响应文件</w:t>
      </w:r>
    </w:p>
    <w:p w14:paraId="23273C3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333DEB7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五、竞争性磋商（简称磋商）与评审</w:t>
      </w:r>
    </w:p>
    <w:p w14:paraId="697EF3C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465AA79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EDCB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DA9AC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14.3响应文件的开启：具体详见“供应商须知前附表”。</w:t>
      </w:r>
    </w:p>
    <w:p w14:paraId="4470BE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15.响应文件评审程序</w:t>
      </w:r>
    </w:p>
    <w:p w14:paraId="345777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15.1资格审查</w:t>
      </w:r>
    </w:p>
    <w:p w14:paraId="1A9091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15.1.1响应文件开启后，由磋商小组依法对供应商的资格证明文件进行审查。</w:t>
      </w:r>
    </w:p>
    <w:p w14:paraId="3735CA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15.1.2通过资格审查的合格供应商不足3家的，不得进入符合性审查环节，采购人或采购代理机构应当重新开展采购活动。</w:t>
      </w:r>
    </w:p>
    <w:p w14:paraId="25B4BA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15.2符合性审查</w:t>
      </w:r>
    </w:p>
    <w:p w14:paraId="216B889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15.2.1由磋商小组通过资格审查的合格供应商的响应文件的竞标报价、商务、技术等实质性要求进行符合性审查，以确定其是否满足竞争性磋商文件的实质性要求。</w:t>
      </w:r>
    </w:p>
    <w:p w14:paraId="35641D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BBD39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CB12D7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15.2.4首次响应文件中报价出现前后不一致的，按照下列规定修正：</w:t>
      </w:r>
    </w:p>
    <w:p w14:paraId="2429C70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71C55C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3B7923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3163840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51CCC6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37FA34C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14C73C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15.2.6通过符合性审查的合格供应商不足3家的，不得进入磋商环节，采购人或采购代理机构应当重新开展采购活动。</w:t>
      </w:r>
    </w:p>
    <w:p w14:paraId="3A5AE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16.磋商</w:t>
      </w:r>
    </w:p>
    <w:p w14:paraId="4CF622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（https://www.gcy.zfcg.gxzf.gov.cn/）开标信息，在接到磋商通知后规定时间内参加磋商，未在规定时间内参加磋商的视同放弃参加磋商权利，其响应文件按无效响应处理。</w:t>
      </w:r>
    </w:p>
    <w:p w14:paraId="198868F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212F93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16.3对竞争性磋商文件作出的实质性变动是竞争性磋商文件的有效组成部分，由磋商小组及时以书面形式同时通知所有参加磋商的供应商。</w:t>
      </w:r>
    </w:p>
    <w:p w14:paraId="3946625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5C384E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16.5磋商中，磋商的任何一方不得透露与磋商有关的其他供应商的技术资料、价格和其他信息。</w:t>
      </w:r>
    </w:p>
    <w:p w14:paraId="772547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16.6采购代理机构对磋商过程和重要磋商内容进行记录，磋商双方应在记录上签字确认。</w:t>
      </w:r>
    </w:p>
    <w:p w14:paraId="6C30D6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16.7磋商过程中重新提交的响应文件，供应商可以在开启前补充、修改。</w:t>
      </w:r>
    </w:p>
    <w:p w14:paraId="289F847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AAAAEB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50FD6D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16.10本项目所有响应文件的首次报价及所有磋商报价均不公布。最后磋商结束后，磋商小组不得再与供应商进行任何形式的商谈。</w:t>
      </w:r>
    </w:p>
    <w:p w14:paraId="255561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17.最后报价</w:t>
      </w:r>
    </w:p>
    <w:p w14:paraId="57888F3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2CEBC0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6B42B2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78C5BCB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54E5ED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3CCC88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323600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17.5供应商未在规定时间内提交最后报价的，视同退出磋商。</w:t>
      </w:r>
    </w:p>
    <w:p w14:paraId="5CB9E74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17.6磋商小组收齐某一分标最后报价后统一开启，磋商小组对最后报价进行有效性、完整性和响应程度的审查。</w:t>
      </w:r>
    </w:p>
    <w:p w14:paraId="62E963C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17.7响应文件最后报价出现前后不一致的，按照本正文第25.2.4条的规定修正。</w:t>
      </w:r>
    </w:p>
    <w:p w14:paraId="2EA6C2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17.8修正后的报价出现下列情形的，按无效响应处理：</w:t>
      </w:r>
    </w:p>
    <w:p w14:paraId="4E8870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（1）供应商不确认的；</w:t>
      </w:r>
    </w:p>
    <w:p w14:paraId="635744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（2）经供应商确认修正后的竞标报价（包含首次报价、最后报价）超过所竞标规定的采购预算金额或者最高限价的（如本项目公布了最高限价）；</w:t>
      </w:r>
    </w:p>
    <w:p w14:paraId="25FC657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（3）经供应商确认修正后的竞标报价（包含首次报价、最后报价）超过分项采购预算金额或者最高限价的（如本项目公布了最高限价）。</w:t>
      </w:r>
    </w:p>
    <w:p w14:paraId="5ECE05A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17.9经供应商确认修正后的最后报价作为评审及签订合同的依据。</w:t>
      </w:r>
    </w:p>
    <w:p w14:paraId="20BC06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17.10最后报价结束后，磋商小组不得再与供应商进行任何形式的商谈。</w:t>
      </w:r>
    </w:p>
    <w:p w14:paraId="684E675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18.比较与评价</w:t>
      </w:r>
    </w:p>
    <w:p w14:paraId="22E08C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18.1评审方法：综合评分法。</w:t>
      </w:r>
    </w:p>
    <w:p w14:paraId="1B6A38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5514B4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18.3评审时，磋商小组各成员应当独立对每个有效的响应文件进行评价、打分，然后汇总每个供应商每项评分因素的得分。</w:t>
      </w:r>
    </w:p>
    <w:p w14:paraId="166CDF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（1）磋商小组按照竞争性磋商文件中规定的评审标准计算各供应商的报价得分。项目评审过程中，不得去掉最后报价中的最高报价和最低报价。</w:t>
      </w:r>
    </w:p>
    <w:p w14:paraId="69C16CF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（2）各供应商的得分为磋商小组所有成员的有效评分的算术平均数。</w:t>
      </w:r>
    </w:p>
    <w:p w14:paraId="3C7D2CF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18.4评审价为供应商的最后报价进行政策性扣除后的价格，评审价只是作为评审时使用。最终成交供应商的成交金额等于最后报价（如有修正，以确认修正后的最后报价为准）。</w:t>
      </w:r>
    </w:p>
    <w:p w14:paraId="2932202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030727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8E6B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特别说明：广西政府采购云平台公司如对电子化磋商及评审程序有调整的，按调整后的程序操作。</w:t>
      </w:r>
    </w:p>
    <w:p w14:paraId="26B025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18.6采购过程中出现以下情形，导致电子交易平台无法正常运行，或者无法保证电子交易的公平、公正和安全时，采购组织机构可中止电子交易活动：</w:t>
      </w:r>
    </w:p>
    <w:p w14:paraId="4E9F95A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18.6.1电子交易平台发生故障而无法登录访问的；</w:t>
      </w:r>
    </w:p>
    <w:p w14:paraId="5B3C380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18.6.2电子交易平台应用或数据库出现错误，不能进行正常操作的；</w:t>
      </w:r>
    </w:p>
    <w:p w14:paraId="303E25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18.6.3电子交易平台发现严重安全漏洞，有潜在泄密危险的；</w:t>
      </w:r>
    </w:p>
    <w:p w14:paraId="5B3771F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18.6.4病毒发作导致不能进行正常操作的；</w:t>
      </w:r>
    </w:p>
    <w:p w14:paraId="791B61E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18.6.5其他无法保证电子交易的公平、公正和安全的情况。</w:t>
      </w:r>
    </w:p>
    <w:p w14:paraId="2A87A0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30290B1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319B2E5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94DE0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BAF41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D6625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2B9EB7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七、履约保证金</w:t>
      </w:r>
    </w:p>
    <w:p w14:paraId="418AA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20.履约保证金：详见须知前附表。</w:t>
      </w:r>
    </w:p>
    <w:p w14:paraId="7FE0C46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八、签订合同</w:t>
      </w:r>
    </w:p>
    <w:p w14:paraId="6CDB8AE4">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3D6C47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7DF3C7B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九、政府采购合同公告</w:t>
      </w:r>
    </w:p>
    <w:p w14:paraId="0C428C8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016F6D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十、适用法律</w:t>
      </w:r>
    </w:p>
    <w:p w14:paraId="3C081BA7">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1E199A3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573E84A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十一、其他事项</w:t>
      </w:r>
    </w:p>
    <w:p w14:paraId="1472D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24.1招标代理服务费</w:t>
      </w:r>
    </w:p>
    <w:p w14:paraId="15483F8E">
      <w:pPr>
        <w:pStyle w:val="14"/>
        <w:snapToGrid w:val="0"/>
        <w:spacing w:line="360" w:lineRule="auto"/>
        <w:ind w:firstLine="420" w:firstLineChars="200"/>
        <w:rPr>
          <w:rFonts w:hint="eastAsia" w:hAnsi="宋体" w:cs="宋体"/>
          <w:bCs/>
          <w:color w:val="auto"/>
          <w:highlight w:val="none"/>
        </w:rPr>
      </w:pPr>
      <w:r>
        <w:rPr>
          <w:rFonts w:hint="eastAsia" w:hAnsi="宋体" w:cs="宋体"/>
          <w:color w:val="auto"/>
          <w:highlight w:val="none"/>
        </w:rPr>
        <w:t>按差额定率累进法，参照《招标代理服务收费管理暂行办法》计价格[2002]1980号文和发改价格[2011]534号工程类标准计算，按计费依据计费向成交人计取。成交人在领取成交通知书前，一次性向采购代理机构支付</w:t>
      </w:r>
      <w:r>
        <w:rPr>
          <w:rFonts w:hint="eastAsia" w:hAnsi="宋体" w:cs="宋体"/>
          <w:bCs/>
          <w:color w:val="auto"/>
          <w:highlight w:val="none"/>
        </w:rPr>
        <w:t>。</w:t>
      </w:r>
    </w:p>
    <w:p w14:paraId="0FBAF90A">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代理服务费专用账户：</w:t>
      </w:r>
    </w:p>
    <w:p w14:paraId="12F0AEEE">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广西荣胜项目管理有限公司浦北分公司</w:t>
      </w:r>
    </w:p>
    <w:p w14:paraId="3673A013">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825512010117099328</w:t>
      </w:r>
    </w:p>
    <w:p w14:paraId="0CD0DAE9">
      <w:pPr>
        <w:pStyle w:val="14"/>
        <w:snapToGrid w:val="0"/>
        <w:spacing w:line="360" w:lineRule="auto"/>
        <w:rPr>
          <w:rFonts w:hint="eastAsia" w:hAnsi="宋体" w:eastAsia="宋体" w:cs="宋体"/>
          <w:color w:val="auto"/>
          <w:szCs w:val="24"/>
          <w:highlight w:val="none"/>
          <w:lang w:eastAsia="zh-CN"/>
        </w:rPr>
      </w:pPr>
      <w:r>
        <w:rPr>
          <w:rFonts w:hint="eastAsia" w:hAnsi="宋体" w:cs="宋体"/>
          <w:color w:val="auto"/>
          <w:highlight w:val="none"/>
        </w:rPr>
        <w:t>开户行：</w:t>
      </w:r>
      <w:r>
        <w:rPr>
          <w:rFonts w:hint="eastAsia" w:hAnsi="宋体" w:cs="宋体"/>
          <w:color w:val="auto"/>
          <w:highlight w:val="none"/>
          <w:lang w:eastAsia="zh-CN"/>
        </w:rPr>
        <w:t>广西浦北农村商业银行股份有限公司小江支行</w:t>
      </w:r>
    </w:p>
    <w:p w14:paraId="771D6022">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代理服务费收费计算标准：</w:t>
      </w:r>
    </w:p>
    <w:tbl>
      <w:tblPr>
        <w:tblStyle w:val="59"/>
        <w:tblW w:w="8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2"/>
        <w:gridCol w:w="1591"/>
        <w:gridCol w:w="1591"/>
        <w:gridCol w:w="1593"/>
      </w:tblGrid>
      <w:tr w14:paraId="5B6C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3502" w:type="dxa"/>
            <w:tcBorders>
              <w:tl2br w:val="single" w:color="000000" w:sz="4" w:space="0"/>
            </w:tcBorders>
            <w:vAlign w:val="center"/>
          </w:tcPr>
          <w:p w14:paraId="3CFDEF6A">
            <w:pPr>
              <w:spacing w:line="360" w:lineRule="auto"/>
              <w:ind w:left="1702"/>
              <w:jc w:val="center"/>
              <w:rPr>
                <w:rFonts w:hint="eastAsia" w:ascii="宋体" w:hAnsi="宋体" w:cs="宋体"/>
                <w:color w:val="auto"/>
                <w:szCs w:val="21"/>
                <w:highlight w:val="none"/>
              </w:rPr>
            </w:pPr>
            <w:r>
              <w:rPr>
                <w:rFonts w:ascii="宋体" w:hAnsi="宋体" w:cs="宋体"/>
                <w:color w:val="auto"/>
                <w:szCs w:val="21"/>
                <w:highlight w:val="none"/>
              </w:rPr>
              <w:t>费率</w:t>
            </w:r>
          </w:p>
          <w:p w14:paraId="74D6811C">
            <w:pPr>
              <w:spacing w:line="360" w:lineRule="auto"/>
              <w:ind w:left="118"/>
              <w:jc w:val="center"/>
              <w:rPr>
                <w:rFonts w:hint="eastAsia" w:ascii="宋体" w:hAnsi="宋体" w:cs="宋体"/>
                <w:color w:val="auto"/>
                <w:szCs w:val="21"/>
                <w:highlight w:val="none"/>
              </w:rPr>
            </w:pPr>
            <w:r>
              <w:rPr>
                <w:rFonts w:ascii="宋体" w:hAnsi="宋体" w:cs="宋体"/>
                <w:color w:val="auto"/>
                <w:szCs w:val="21"/>
                <w:highlight w:val="none"/>
              </w:rPr>
              <w:t>金额</w:t>
            </w:r>
          </w:p>
        </w:tc>
        <w:tc>
          <w:tcPr>
            <w:tcW w:w="1591" w:type="dxa"/>
            <w:vAlign w:val="center"/>
          </w:tcPr>
          <w:p w14:paraId="6423F393">
            <w:pPr>
              <w:spacing w:line="360" w:lineRule="auto"/>
              <w:ind w:left="578"/>
              <w:rPr>
                <w:rFonts w:hint="eastAsia" w:ascii="宋体" w:hAnsi="宋体" w:cs="宋体"/>
                <w:color w:val="auto"/>
                <w:szCs w:val="21"/>
                <w:highlight w:val="none"/>
              </w:rPr>
            </w:pPr>
            <w:r>
              <w:rPr>
                <w:rFonts w:ascii="宋体" w:hAnsi="宋体" w:cs="宋体"/>
                <w:color w:val="auto"/>
                <w:szCs w:val="21"/>
                <w:highlight w:val="none"/>
              </w:rPr>
              <w:t>货物类</w:t>
            </w:r>
          </w:p>
        </w:tc>
        <w:tc>
          <w:tcPr>
            <w:tcW w:w="1591" w:type="dxa"/>
            <w:vAlign w:val="center"/>
          </w:tcPr>
          <w:p w14:paraId="52443787">
            <w:pPr>
              <w:spacing w:line="360" w:lineRule="auto"/>
              <w:ind w:left="458"/>
              <w:rPr>
                <w:rFonts w:hint="eastAsia" w:ascii="宋体" w:hAnsi="宋体" w:cs="宋体"/>
                <w:color w:val="auto"/>
                <w:szCs w:val="21"/>
                <w:highlight w:val="none"/>
              </w:rPr>
            </w:pPr>
            <w:r>
              <w:rPr>
                <w:rFonts w:ascii="宋体" w:hAnsi="宋体" w:cs="宋体"/>
                <w:color w:val="auto"/>
                <w:szCs w:val="21"/>
                <w:highlight w:val="none"/>
              </w:rPr>
              <w:t>服务类</w:t>
            </w:r>
          </w:p>
        </w:tc>
        <w:tc>
          <w:tcPr>
            <w:tcW w:w="1593" w:type="dxa"/>
            <w:vAlign w:val="center"/>
          </w:tcPr>
          <w:p w14:paraId="1E1309D1">
            <w:pPr>
              <w:spacing w:line="360" w:lineRule="auto"/>
              <w:ind w:left="468"/>
              <w:rPr>
                <w:rFonts w:hint="eastAsia" w:ascii="宋体" w:hAnsi="宋体" w:cs="宋体"/>
                <w:color w:val="auto"/>
                <w:szCs w:val="21"/>
                <w:highlight w:val="none"/>
              </w:rPr>
            </w:pPr>
            <w:r>
              <w:rPr>
                <w:rFonts w:ascii="宋体" w:hAnsi="宋体" w:cs="宋体"/>
                <w:color w:val="auto"/>
                <w:szCs w:val="21"/>
                <w:highlight w:val="none"/>
              </w:rPr>
              <w:t>工程类</w:t>
            </w:r>
          </w:p>
        </w:tc>
      </w:tr>
      <w:tr w14:paraId="7F76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64DC5E2C">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100万元以下</w:t>
            </w:r>
          </w:p>
        </w:tc>
        <w:tc>
          <w:tcPr>
            <w:tcW w:w="1591" w:type="dxa"/>
            <w:vAlign w:val="center"/>
          </w:tcPr>
          <w:p w14:paraId="7515BA96">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1" w:type="dxa"/>
            <w:vAlign w:val="center"/>
          </w:tcPr>
          <w:p w14:paraId="5DA40F51">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3" w:type="dxa"/>
            <w:vAlign w:val="center"/>
          </w:tcPr>
          <w:p w14:paraId="79EC75F5">
            <w:pPr>
              <w:spacing w:line="360" w:lineRule="auto"/>
              <w:ind w:left="342"/>
              <w:jc w:val="center"/>
              <w:rPr>
                <w:rFonts w:hint="eastAsia" w:ascii="宋体" w:hAnsi="宋体" w:cs="宋体"/>
                <w:color w:val="auto"/>
                <w:szCs w:val="21"/>
                <w:highlight w:val="none"/>
              </w:rPr>
            </w:pPr>
            <w:r>
              <w:rPr>
                <w:rFonts w:ascii="宋体" w:hAnsi="宋体" w:cs="宋体"/>
                <w:color w:val="auto"/>
                <w:szCs w:val="21"/>
                <w:highlight w:val="none"/>
              </w:rPr>
              <w:t>1.0%</w:t>
            </w:r>
          </w:p>
        </w:tc>
      </w:tr>
      <w:tr w14:paraId="3B72B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72FE561A">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w:t>
            </w:r>
            <w:r>
              <w:rPr>
                <w:rFonts w:ascii="宋体" w:hAnsi="宋体" w:cs="宋体"/>
                <w:color w:val="auto"/>
                <w:szCs w:val="21"/>
                <w:highlight w:val="none"/>
              </w:rPr>
              <w:t>500万元</w:t>
            </w:r>
          </w:p>
        </w:tc>
        <w:tc>
          <w:tcPr>
            <w:tcW w:w="1591" w:type="dxa"/>
            <w:vAlign w:val="center"/>
          </w:tcPr>
          <w:p w14:paraId="223A1C28">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1.1%</w:t>
            </w:r>
          </w:p>
        </w:tc>
        <w:tc>
          <w:tcPr>
            <w:tcW w:w="1591" w:type="dxa"/>
            <w:vAlign w:val="center"/>
          </w:tcPr>
          <w:p w14:paraId="2A56F5FC">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3" w:type="dxa"/>
            <w:vAlign w:val="center"/>
          </w:tcPr>
          <w:p w14:paraId="65279B03">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0.7%</w:t>
            </w:r>
          </w:p>
        </w:tc>
      </w:tr>
      <w:tr w14:paraId="482B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A5B6286">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w:t>
            </w:r>
            <w:r>
              <w:rPr>
                <w:rFonts w:hint="eastAsia" w:ascii="宋体" w:hAnsi="宋体" w:cs="宋体"/>
                <w:color w:val="auto"/>
                <w:szCs w:val="21"/>
                <w:highlight w:val="none"/>
              </w:rPr>
              <w:t>～</w:t>
            </w:r>
            <w:r>
              <w:rPr>
                <w:rFonts w:ascii="宋体" w:hAnsi="宋体" w:cs="宋体"/>
                <w:color w:val="auto"/>
                <w:szCs w:val="21"/>
                <w:highlight w:val="none"/>
              </w:rPr>
              <w:t>1000万元</w:t>
            </w:r>
          </w:p>
        </w:tc>
        <w:tc>
          <w:tcPr>
            <w:tcW w:w="1591" w:type="dxa"/>
            <w:vAlign w:val="center"/>
          </w:tcPr>
          <w:p w14:paraId="5EDF9268">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1" w:type="dxa"/>
            <w:vAlign w:val="center"/>
          </w:tcPr>
          <w:p w14:paraId="420096EB">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0.45%</w:t>
            </w:r>
          </w:p>
        </w:tc>
        <w:tc>
          <w:tcPr>
            <w:tcW w:w="1593" w:type="dxa"/>
            <w:vAlign w:val="center"/>
          </w:tcPr>
          <w:p w14:paraId="2BAA87DE">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0.55%</w:t>
            </w:r>
          </w:p>
        </w:tc>
      </w:tr>
      <w:tr w14:paraId="54F3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ACF52FD">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1000</w:t>
            </w:r>
            <w:r>
              <w:rPr>
                <w:rFonts w:hint="eastAsia" w:ascii="宋体" w:hAnsi="宋体" w:cs="宋体"/>
                <w:color w:val="auto"/>
                <w:szCs w:val="21"/>
                <w:highlight w:val="none"/>
              </w:rPr>
              <w:t>～</w:t>
            </w:r>
            <w:r>
              <w:rPr>
                <w:rFonts w:ascii="宋体" w:hAnsi="宋体" w:cs="宋体"/>
                <w:color w:val="auto"/>
                <w:szCs w:val="21"/>
                <w:highlight w:val="none"/>
              </w:rPr>
              <w:t>5000万元</w:t>
            </w:r>
          </w:p>
        </w:tc>
        <w:tc>
          <w:tcPr>
            <w:tcW w:w="1591" w:type="dxa"/>
            <w:vAlign w:val="center"/>
          </w:tcPr>
          <w:p w14:paraId="3EAF83C9">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0.5%</w:t>
            </w:r>
          </w:p>
        </w:tc>
        <w:tc>
          <w:tcPr>
            <w:tcW w:w="1591" w:type="dxa"/>
            <w:vAlign w:val="center"/>
          </w:tcPr>
          <w:p w14:paraId="6E5F819F">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3" w:type="dxa"/>
            <w:vAlign w:val="center"/>
          </w:tcPr>
          <w:p w14:paraId="60FC952A">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0.35%</w:t>
            </w:r>
          </w:p>
        </w:tc>
      </w:tr>
      <w:tr w14:paraId="5989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161F6460">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5000万元</w:t>
            </w:r>
            <w:r>
              <w:rPr>
                <w:rFonts w:hint="eastAsia" w:ascii="宋体" w:hAnsi="宋体" w:cs="宋体"/>
                <w:color w:val="auto"/>
                <w:szCs w:val="21"/>
                <w:highlight w:val="none"/>
              </w:rPr>
              <w:t>～</w:t>
            </w:r>
            <w:r>
              <w:rPr>
                <w:rFonts w:ascii="宋体" w:hAnsi="宋体" w:cs="宋体"/>
                <w:color w:val="auto"/>
                <w:szCs w:val="21"/>
                <w:highlight w:val="none"/>
              </w:rPr>
              <w:t>1亿元</w:t>
            </w:r>
          </w:p>
        </w:tc>
        <w:tc>
          <w:tcPr>
            <w:tcW w:w="1591" w:type="dxa"/>
            <w:vAlign w:val="center"/>
          </w:tcPr>
          <w:p w14:paraId="4D5A6D33">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1" w:type="dxa"/>
            <w:vAlign w:val="center"/>
          </w:tcPr>
          <w:p w14:paraId="211C0B74">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0.1%</w:t>
            </w:r>
          </w:p>
        </w:tc>
        <w:tc>
          <w:tcPr>
            <w:tcW w:w="1593" w:type="dxa"/>
            <w:vAlign w:val="center"/>
          </w:tcPr>
          <w:p w14:paraId="4BF03762">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0.2%</w:t>
            </w:r>
          </w:p>
        </w:tc>
      </w:tr>
      <w:tr w14:paraId="5AB7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C0F5033">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5亿元</w:t>
            </w:r>
          </w:p>
        </w:tc>
        <w:tc>
          <w:tcPr>
            <w:tcW w:w="1591" w:type="dxa"/>
            <w:vAlign w:val="center"/>
          </w:tcPr>
          <w:p w14:paraId="428470C5">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1" w:type="dxa"/>
            <w:vAlign w:val="center"/>
          </w:tcPr>
          <w:p w14:paraId="6DE710E7">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3" w:type="dxa"/>
            <w:vAlign w:val="center"/>
          </w:tcPr>
          <w:p w14:paraId="548057DE">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0.05%</w:t>
            </w:r>
          </w:p>
        </w:tc>
      </w:tr>
      <w:tr w14:paraId="75AB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3502" w:type="dxa"/>
            <w:vAlign w:val="center"/>
          </w:tcPr>
          <w:p w14:paraId="546DCC6D">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10亿元</w:t>
            </w:r>
          </w:p>
        </w:tc>
        <w:tc>
          <w:tcPr>
            <w:tcW w:w="1591" w:type="dxa"/>
            <w:vAlign w:val="center"/>
          </w:tcPr>
          <w:p w14:paraId="134861C5">
            <w:pPr>
              <w:spacing w:line="360" w:lineRule="auto"/>
              <w:ind w:left="220"/>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1" w:type="dxa"/>
            <w:vAlign w:val="center"/>
          </w:tcPr>
          <w:p w14:paraId="5ADB72D2">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3" w:type="dxa"/>
            <w:vAlign w:val="center"/>
          </w:tcPr>
          <w:p w14:paraId="2FD0BB3B">
            <w:pPr>
              <w:spacing w:line="360" w:lineRule="auto"/>
              <w:ind w:left="223"/>
              <w:jc w:val="center"/>
              <w:rPr>
                <w:rFonts w:hint="eastAsia" w:ascii="宋体" w:hAnsi="宋体" w:cs="宋体"/>
                <w:color w:val="auto"/>
                <w:szCs w:val="21"/>
                <w:highlight w:val="none"/>
              </w:rPr>
            </w:pPr>
            <w:r>
              <w:rPr>
                <w:rFonts w:ascii="宋体" w:hAnsi="宋体" w:cs="宋体"/>
                <w:color w:val="auto"/>
                <w:szCs w:val="21"/>
                <w:highlight w:val="none"/>
              </w:rPr>
              <w:t>0.035%</w:t>
            </w:r>
          </w:p>
        </w:tc>
      </w:tr>
    </w:tbl>
    <w:p w14:paraId="51EEA91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4BD9ED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24.2.解释权</w:t>
      </w:r>
    </w:p>
    <w:p w14:paraId="0287F41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34ABA2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24.3询问、质疑和投诉</w:t>
      </w:r>
    </w:p>
    <w:p w14:paraId="378885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24.3.1供应商对政府采购活动事项有疑问的，可以向采购人、采购代理机构提出询问，采购人或者采购代理机构应当在3个工作日内对供应商依法提出的询问作出答复。</w:t>
      </w:r>
    </w:p>
    <w:p w14:paraId="0B829E6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2D03E2C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（1）对可以质疑的竞争性磋商文件提出质疑的，为收到竞争性磋商文件之日或竞争性磋商公告期限届满之日；</w:t>
      </w:r>
    </w:p>
    <w:p w14:paraId="0920EF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（2）对采购过程提出质疑的，为各采购程序环节结束之日；</w:t>
      </w:r>
    </w:p>
    <w:p w14:paraId="4F97767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（3）对成交结果提出质疑的，为成交结果公告期限届满之日。</w:t>
      </w:r>
    </w:p>
    <w:p w14:paraId="00A8C3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655CBF7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32297C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CA33B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1D2B73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26EC8B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5BA46DE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4E18287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w:t>
      </w:r>
    </w:p>
    <w:p w14:paraId="0FD5C5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16F5AA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698CEA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E190F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0268BEA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（1）对竞争性磋商文件提出的质疑，依法通过澄清或者修改可以继续开展采购活动的，澄清或者修改竞争性磋商文件后继续开展采购活动；否则应当在修改竞争性磋商文件后重新开展采购活动。</w:t>
      </w:r>
    </w:p>
    <w:p w14:paraId="07666C6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（2）对采购过程、成交结果提出的质疑，合格供应商符合法定数量时，可以从合格的成交候选人中另行确定成交供应商的，应当依法另行确定成交供应商；否则应当重新开展采购活动。</w:t>
      </w:r>
    </w:p>
    <w:p w14:paraId="7F586D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7E75602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77F6BE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4FE65C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通讯地址：钦州市蓬莱大道鸿亭街333号皇庭天麓湖小区183栋203室</w:t>
      </w:r>
    </w:p>
    <w:p w14:paraId="5374C2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电话：0777-5512166</w:t>
      </w:r>
    </w:p>
    <w:p w14:paraId="414726A1">
      <w:pPr>
        <w:spacing w:line="360" w:lineRule="auto"/>
        <w:ind w:firstLine="420" w:firstLineChars="200"/>
        <w:rPr>
          <w:rFonts w:hint="eastAsia" w:ascii="宋体" w:hAnsi="宋体" w:cs="宋体"/>
          <w:bCs/>
          <w:color w:val="auto"/>
          <w:szCs w:val="21"/>
          <w:highlight w:val="none"/>
        </w:rPr>
      </w:pPr>
    </w:p>
    <w:p w14:paraId="61A1B764">
      <w:pPr>
        <w:pStyle w:val="16"/>
        <w:ind w:left="420"/>
        <w:rPr>
          <w:rFonts w:hint="eastAsia" w:ascii="宋体" w:hAnsi="宋体" w:cs="宋体"/>
          <w:bCs/>
          <w:color w:val="auto"/>
          <w:szCs w:val="21"/>
          <w:highlight w:val="none"/>
        </w:rPr>
      </w:pPr>
    </w:p>
    <w:p w14:paraId="14056D6B">
      <w:pPr>
        <w:pStyle w:val="16"/>
        <w:ind w:left="420"/>
        <w:rPr>
          <w:rFonts w:hint="eastAsia" w:ascii="宋体" w:hAnsi="宋体" w:cs="宋体"/>
          <w:bCs/>
          <w:color w:val="auto"/>
          <w:szCs w:val="21"/>
          <w:highlight w:val="none"/>
        </w:rPr>
      </w:pPr>
    </w:p>
    <w:p w14:paraId="5686BD7A">
      <w:pPr>
        <w:pStyle w:val="16"/>
        <w:ind w:left="420"/>
        <w:rPr>
          <w:rFonts w:hint="eastAsia" w:ascii="宋体" w:hAnsi="宋体" w:cs="宋体"/>
          <w:bCs/>
          <w:color w:val="auto"/>
          <w:szCs w:val="21"/>
          <w:highlight w:val="none"/>
        </w:rPr>
      </w:pPr>
    </w:p>
    <w:p w14:paraId="38F617DF">
      <w:pPr>
        <w:pStyle w:val="16"/>
        <w:ind w:left="420"/>
        <w:rPr>
          <w:rFonts w:hint="eastAsia" w:ascii="宋体" w:hAnsi="宋体" w:cs="宋体"/>
          <w:bCs/>
          <w:color w:val="auto"/>
          <w:szCs w:val="21"/>
          <w:highlight w:val="none"/>
        </w:rPr>
      </w:pPr>
    </w:p>
    <w:p w14:paraId="7913CF59">
      <w:pPr>
        <w:pStyle w:val="16"/>
        <w:ind w:left="420"/>
        <w:rPr>
          <w:rFonts w:hint="eastAsia" w:ascii="宋体" w:hAnsi="宋体" w:cs="宋体"/>
          <w:bCs/>
          <w:color w:val="auto"/>
          <w:szCs w:val="21"/>
          <w:highlight w:val="none"/>
        </w:rPr>
      </w:pPr>
    </w:p>
    <w:p w14:paraId="3D6A52EF">
      <w:pPr>
        <w:pStyle w:val="16"/>
        <w:ind w:left="420"/>
        <w:rPr>
          <w:rFonts w:hint="eastAsia" w:ascii="宋体" w:hAnsi="宋体" w:cs="宋体"/>
          <w:bCs/>
          <w:color w:val="auto"/>
          <w:szCs w:val="21"/>
          <w:highlight w:val="none"/>
        </w:rPr>
      </w:pPr>
    </w:p>
    <w:p w14:paraId="2F435F8A">
      <w:pPr>
        <w:jc w:val="center"/>
        <w:outlineLvl w:val="0"/>
        <w:rPr>
          <w:rFonts w:hint="eastAsia" w:ascii="宋体" w:hAnsi="宋体" w:cs="宋体"/>
          <w:b/>
          <w:bCs/>
          <w:color w:val="auto"/>
          <w:kern w:val="0"/>
          <w:sz w:val="36"/>
          <w:szCs w:val="36"/>
          <w:highlight w:val="none"/>
        </w:rPr>
      </w:pPr>
      <w:bookmarkStart w:id="65" w:name="_Toc26558"/>
      <w:r>
        <w:rPr>
          <w:rFonts w:hint="eastAsia" w:ascii="宋体" w:hAnsi="宋体" w:cs="宋体"/>
          <w:b/>
          <w:bCs/>
          <w:color w:val="auto"/>
          <w:kern w:val="0"/>
          <w:sz w:val="36"/>
          <w:szCs w:val="36"/>
          <w:highlight w:val="none"/>
        </w:rPr>
        <w:t>第三章  项目基本情况及要求</w:t>
      </w:r>
      <w:bookmarkEnd w:id="65"/>
    </w:p>
    <w:p w14:paraId="46B4F76A">
      <w:pPr>
        <w:pStyle w:val="47"/>
        <w:ind w:firstLine="845"/>
        <w:rPr>
          <w:color w:val="auto"/>
          <w:spacing w:val="0"/>
          <w:highlight w:val="none"/>
        </w:rPr>
      </w:pPr>
    </w:p>
    <w:p w14:paraId="278485E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21109E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1.商务条款评审中允许负偏离的非实质性条款数为 0 项。</w:t>
      </w:r>
    </w:p>
    <w:p w14:paraId="02B6358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2.服务需求评审中允许负偏离的非实质性条款数为 0 项。</w:t>
      </w:r>
    </w:p>
    <w:p w14:paraId="2330DFA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2501C2F3">
      <w:pPr>
        <w:spacing w:line="360" w:lineRule="auto"/>
        <w:ind w:firstLine="424" w:firstLineChars="202"/>
        <w:jc w:val="left"/>
        <w:rPr>
          <w:rFonts w:hint="eastAsia" w:ascii="宋体" w:hAnsi="宋体" w:cs="宋体"/>
          <w:color w:val="auto"/>
          <w:szCs w:val="21"/>
          <w:highlight w:val="none"/>
        </w:rPr>
      </w:pPr>
      <w:bookmarkStart w:id="66" w:name="_Toc20069"/>
      <w:r>
        <w:rPr>
          <w:rFonts w:hint="eastAsia" w:ascii="宋体" w:hAnsi="宋体" w:cs="宋体"/>
          <w:color w:val="auto"/>
          <w:szCs w:val="21"/>
          <w:highlight w:val="none"/>
        </w:rPr>
        <w:t>4、采购范围详见：工程量清单及图纸（另册）。</w:t>
      </w:r>
    </w:p>
    <w:p w14:paraId="4FA0994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▲5、商务条款：</w:t>
      </w:r>
    </w:p>
    <w:p w14:paraId="5F24163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质量标准：达到合格标准；</w:t>
      </w:r>
    </w:p>
    <w:p w14:paraId="0674763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工期要求：1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0个日历天；</w:t>
      </w:r>
    </w:p>
    <w:p w14:paraId="3CE83E6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质保期：竣工验收后1年；</w:t>
      </w:r>
    </w:p>
    <w:p w14:paraId="719C0CE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付款方式：</w:t>
      </w:r>
    </w:p>
    <w:p w14:paraId="7618A715">
      <w:pPr>
        <w:spacing w:line="360" w:lineRule="auto"/>
        <w:ind w:firstLine="424" w:firstLineChars="202"/>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签订合同并开工后拨付合同价的30%预付款；</w:t>
      </w:r>
    </w:p>
    <w:p w14:paraId="408107AB">
      <w:pPr>
        <w:spacing w:line="360" w:lineRule="auto"/>
        <w:ind w:firstLine="424" w:firstLineChars="202"/>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②工程进度款(含农民工工资)按实际完成工程量申报，每个付款周期按实际完成工程</w:t>
      </w:r>
      <w:r>
        <w:rPr>
          <w:rFonts w:hint="eastAsia" w:ascii="宋体" w:hAnsi="宋体" w:cs="宋体"/>
          <w:color w:val="auto"/>
          <w:szCs w:val="21"/>
          <w:highlight w:val="none"/>
          <w:lang w:eastAsia="zh-CN"/>
        </w:rPr>
        <w:t>量支付工程进度款，支付比例为：</w:t>
      </w:r>
      <w:r>
        <w:rPr>
          <w:rFonts w:hint="eastAsia" w:ascii="宋体" w:hAnsi="宋体" w:cs="宋体"/>
          <w:color w:val="auto"/>
          <w:szCs w:val="21"/>
          <w:highlight w:val="none"/>
        </w:rPr>
        <w:t>合同内按工程计量周期内完成工程量的80%，合同外按</w:t>
      </w:r>
      <w:r>
        <w:rPr>
          <w:rFonts w:hint="eastAsia" w:ascii="宋体" w:hAnsi="宋体" w:cs="宋体"/>
          <w:color w:val="auto"/>
          <w:szCs w:val="21"/>
          <w:highlight w:val="none"/>
          <w:lang w:eastAsia="zh-CN"/>
        </w:rPr>
        <w:t>工程量计量周期完成工程量的</w:t>
      </w:r>
      <w:r>
        <w:rPr>
          <w:rFonts w:hint="eastAsia" w:ascii="宋体" w:hAnsi="宋体" w:cs="宋体"/>
          <w:color w:val="auto"/>
          <w:szCs w:val="21"/>
          <w:highlight w:val="none"/>
          <w:lang w:val="en-US" w:eastAsia="zh-CN"/>
        </w:rPr>
        <w:t>60%；</w:t>
      </w:r>
    </w:p>
    <w:p w14:paraId="57C739D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52A568C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报价方式：工程量清单报价；</w:t>
      </w:r>
    </w:p>
    <w:p w14:paraId="2EB2AD2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合同签订期：中标通知书发出之日起25日内；</w:t>
      </w:r>
    </w:p>
    <w:p w14:paraId="17AAB1B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项目地址：浦北县；</w:t>
      </w:r>
    </w:p>
    <w:p w14:paraId="0A7000C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3、本项目所属行业：建筑业</w:t>
      </w:r>
    </w:p>
    <w:p w14:paraId="05D9FF6D">
      <w:pPr>
        <w:pStyle w:val="14"/>
        <w:spacing w:line="360" w:lineRule="auto"/>
        <w:outlineLvl w:val="0"/>
        <w:rPr>
          <w:rFonts w:hint="eastAsia" w:ascii="黑体" w:hAnsi="宋体" w:eastAsia="黑体" w:cs="Times New Roman"/>
          <w:b/>
          <w:bCs/>
          <w:color w:val="auto"/>
          <w:kern w:val="0"/>
          <w:sz w:val="36"/>
          <w:szCs w:val="36"/>
          <w:highlight w:val="none"/>
        </w:rPr>
      </w:pPr>
    </w:p>
    <w:p w14:paraId="1728B01F">
      <w:pPr>
        <w:pStyle w:val="14"/>
        <w:spacing w:line="360" w:lineRule="auto"/>
        <w:jc w:val="center"/>
        <w:outlineLvl w:val="0"/>
        <w:rPr>
          <w:rFonts w:hint="eastAsia" w:ascii="黑体" w:hAnsi="宋体" w:eastAsia="黑体" w:cs="Times New Roman"/>
          <w:b/>
          <w:bCs/>
          <w:color w:val="auto"/>
          <w:kern w:val="0"/>
          <w:sz w:val="36"/>
          <w:szCs w:val="36"/>
          <w:highlight w:val="none"/>
        </w:rPr>
      </w:pPr>
    </w:p>
    <w:p w14:paraId="0EF95F98">
      <w:pPr>
        <w:pStyle w:val="14"/>
        <w:spacing w:line="360" w:lineRule="auto"/>
        <w:jc w:val="center"/>
        <w:outlineLvl w:val="0"/>
        <w:rPr>
          <w:rFonts w:hint="eastAsia" w:ascii="黑体" w:hAnsi="宋体" w:eastAsia="黑体" w:cs="Times New Roman"/>
          <w:b/>
          <w:bCs/>
          <w:color w:val="auto"/>
          <w:kern w:val="0"/>
          <w:sz w:val="36"/>
          <w:szCs w:val="36"/>
          <w:highlight w:val="none"/>
        </w:rPr>
      </w:pPr>
    </w:p>
    <w:p w14:paraId="0FD504E4">
      <w:pPr>
        <w:pStyle w:val="14"/>
        <w:spacing w:line="360" w:lineRule="auto"/>
        <w:jc w:val="center"/>
        <w:outlineLvl w:val="0"/>
        <w:rPr>
          <w:rFonts w:hint="eastAsia" w:ascii="黑体" w:hAnsi="宋体" w:eastAsia="黑体" w:cs="Times New Roman"/>
          <w:b/>
          <w:bCs/>
          <w:color w:val="auto"/>
          <w:kern w:val="0"/>
          <w:sz w:val="36"/>
          <w:szCs w:val="36"/>
          <w:highlight w:val="none"/>
        </w:rPr>
      </w:pPr>
    </w:p>
    <w:p w14:paraId="7A295AEB">
      <w:pPr>
        <w:pStyle w:val="14"/>
        <w:spacing w:line="360" w:lineRule="auto"/>
        <w:jc w:val="center"/>
        <w:outlineLvl w:val="0"/>
        <w:rPr>
          <w:rFonts w:hint="eastAsia" w:ascii="黑体" w:hAnsi="宋体" w:eastAsia="黑体" w:cs="Times New Roman"/>
          <w:b/>
          <w:bCs/>
          <w:color w:val="auto"/>
          <w:kern w:val="0"/>
          <w:sz w:val="36"/>
          <w:szCs w:val="36"/>
          <w:highlight w:val="none"/>
        </w:rPr>
      </w:pPr>
    </w:p>
    <w:p w14:paraId="1F91DD23">
      <w:pPr>
        <w:pStyle w:val="14"/>
        <w:spacing w:line="360" w:lineRule="auto"/>
        <w:jc w:val="center"/>
        <w:outlineLvl w:val="0"/>
        <w:rPr>
          <w:rFonts w:hint="eastAsia" w:ascii="黑体" w:hAnsi="宋体" w:eastAsia="黑体" w:cs="Times New Roman"/>
          <w:b/>
          <w:bCs/>
          <w:color w:val="auto"/>
          <w:kern w:val="0"/>
          <w:sz w:val="36"/>
          <w:szCs w:val="36"/>
          <w:highlight w:val="none"/>
        </w:rPr>
      </w:pPr>
    </w:p>
    <w:p w14:paraId="39DD539E">
      <w:pPr>
        <w:pStyle w:val="14"/>
        <w:spacing w:line="360" w:lineRule="auto"/>
        <w:jc w:val="center"/>
        <w:outlineLvl w:val="0"/>
        <w:rPr>
          <w:rFonts w:hint="eastAsia" w:ascii="黑体" w:hAnsi="宋体" w:eastAsia="黑体" w:cs="Times New Roman"/>
          <w:b/>
          <w:bCs/>
          <w:color w:val="auto"/>
          <w:kern w:val="0"/>
          <w:sz w:val="36"/>
          <w:szCs w:val="36"/>
          <w:highlight w:val="none"/>
        </w:rPr>
      </w:pPr>
    </w:p>
    <w:p w14:paraId="7ADDAE4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附件1：最后报价表（格式）</w:t>
      </w:r>
    </w:p>
    <w:p w14:paraId="25750BB4">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64ECDB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81F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8377AD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3715AC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1EB3A297">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6C7133B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4DDA3B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5A74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A20D999">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5948BB71">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64BB770">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1C93847">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F80C78C">
            <w:pPr>
              <w:spacing w:line="360" w:lineRule="auto"/>
              <w:contextualSpacing/>
              <w:rPr>
                <w:rFonts w:hint="eastAsia" w:ascii="宋体" w:hAnsi="宋体" w:cs="仿宋_GB2312"/>
                <w:color w:val="auto"/>
                <w:sz w:val="24"/>
                <w:highlight w:val="none"/>
              </w:rPr>
            </w:pPr>
          </w:p>
        </w:tc>
      </w:tr>
      <w:tr w14:paraId="04F1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1DD1FA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0B1311A6">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7598BC95">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F879191">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EE8682E">
            <w:pPr>
              <w:spacing w:line="360" w:lineRule="auto"/>
              <w:contextualSpacing/>
              <w:rPr>
                <w:rFonts w:hint="eastAsia" w:ascii="宋体" w:hAnsi="宋体" w:cs="仿宋_GB2312"/>
                <w:color w:val="auto"/>
                <w:sz w:val="24"/>
                <w:highlight w:val="none"/>
              </w:rPr>
            </w:pPr>
          </w:p>
        </w:tc>
      </w:tr>
      <w:tr w14:paraId="57C9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3DFAC0F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04C521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AF53F4D">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供应商的最后报价表必须加盖供应商电子签章并由法定代表人或者委托代理人签字或者电子签名，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D8A40D1">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最后报价一经涂改，应在涂改处加盖供应商公章或者加盖电子签章或者由法定代表人或者授权委托人签字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BE57594">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w:t>
      </w:r>
      <w:r>
        <w:rPr>
          <w:rFonts w:hint="eastAsia" w:ascii="宋体" w:hAnsi="宋体" w:cs="宋体"/>
          <w:b/>
          <w:bCs/>
          <w:color w:val="auto"/>
          <w:sz w:val="32"/>
          <w:szCs w:val="32"/>
          <w:highlight w:val="none"/>
          <w:u w:val="single"/>
        </w:rPr>
        <w:t>供应商提交的</w:t>
      </w:r>
      <w:r>
        <w:rPr>
          <w:rFonts w:hint="eastAsia" w:ascii="宋体" w:hAnsi="宋体" w:cs="仿宋_GB2312"/>
          <w:b/>
          <w:bCs/>
          <w:color w:val="auto"/>
          <w:sz w:val="32"/>
          <w:szCs w:val="32"/>
          <w:highlight w:val="none"/>
          <w:u w:val="single"/>
        </w:rPr>
        <w:t>最后报价与首次报价相比有调整的，必须同时上传相对应的“已标价的工程量清单”作为附件</w:t>
      </w:r>
      <w:r>
        <w:rPr>
          <w:rFonts w:hint="eastAsia" w:ascii="宋体" w:hAnsi="宋体" w:cs="仿宋_GB2312"/>
          <w:b/>
          <w:bCs/>
          <w:color w:val="auto"/>
          <w:sz w:val="32"/>
          <w:szCs w:val="32"/>
          <w:highlight w:val="none"/>
        </w:rPr>
        <w:t>，否则其响应文件按无效处理。</w:t>
      </w:r>
    </w:p>
    <w:p w14:paraId="5CDC9F15">
      <w:pPr>
        <w:spacing w:line="360" w:lineRule="auto"/>
        <w:ind w:right="-817" w:rightChars="-389"/>
        <w:contextualSpacing/>
        <w:rPr>
          <w:rFonts w:hint="eastAsia" w:ascii="宋体" w:hAnsi="宋体" w:cs="仿宋_GB2312"/>
          <w:color w:val="auto"/>
          <w:sz w:val="24"/>
          <w:highlight w:val="none"/>
        </w:rPr>
      </w:pPr>
    </w:p>
    <w:p w14:paraId="16CFCD43">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D0234A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8AA655A">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BFEE524">
      <w:pPr>
        <w:pStyle w:val="14"/>
        <w:spacing w:line="360" w:lineRule="auto"/>
        <w:jc w:val="center"/>
        <w:outlineLvl w:val="0"/>
        <w:rPr>
          <w:rFonts w:hint="eastAsia" w:ascii="黑体" w:hAnsi="宋体" w:eastAsia="黑体" w:cs="Times New Roman"/>
          <w:b/>
          <w:bCs/>
          <w:color w:val="auto"/>
          <w:kern w:val="0"/>
          <w:sz w:val="36"/>
          <w:szCs w:val="36"/>
          <w:highlight w:val="none"/>
        </w:rPr>
        <w:sectPr>
          <w:pgSz w:w="11906" w:h="16838"/>
          <w:pgMar w:top="1247" w:right="1417" w:bottom="1247" w:left="1417" w:header="851" w:footer="992" w:gutter="0"/>
          <w:cols w:space="0" w:num="1"/>
          <w:docGrid w:type="lines" w:linePitch="312" w:charSpace="0"/>
        </w:sectPr>
      </w:pPr>
    </w:p>
    <w:p w14:paraId="5CA97FCD">
      <w:pPr>
        <w:pStyle w:val="14"/>
        <w:spacing w:line="360" w:lineRule="auto"/>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6D98C0A0">
      <w:pPr>
        <w:pStyle w:val="5"/>
        <w:spacing w:line="360" w:lineRule="auto"/>
        <w:ind w:left="0"/>
        <w:jc w:val="both"/>
        <w:rPr>
          <w:rFonts w:hint="eastAsia"/>
          <w:color w:val="auto"/>
          <w:sz w:val="24"/>
          <w:szCs w:val="24"/>
          <w:highlight w:val="none"/>
        </w:rPr>
      </w:pPr>
      <w:r>
        <w:rPr>
          <w:rFonts w:hint="eastAsia"/>
          <w:color w:val="auto"/>
          <w:sz w:val="24"/>
          <w:szCs w:val="24"/>
          <w:highlight w:val="none"/>
        </w:rPr>
        <w:t>一、评审程序和评审方法</w:t>
      </w:r>
    </w:p>
    <w:p w14:paraId="18229C35">
      <w:pPr>
        <w:spacing w:line="360" w:lineRule="auto"/>
        <w:ind w:firstLine="422" w:firstLineChars="200"/>
        <w:rPr>
          <w:b/>
          <w:bCs/>
          <w:color w:val="auto"/>
          <w:highlight w:val="none"/>
        </w:rPr>
      </w:pPr>
      <w:r>
        <w:rPr>
          <w:rFonts w:hint="eastAsia"/>
          <w:b/>
          <w:bCs/>
          <w:color w:val="auto"/>
          <w:highlight w:val="none"/>
        </w:rPr>
        <w:t>1.资格审查</w:t>
      </w:r>
    </w:p>
    <w:p w14:paraId="02CF6E41">
      <w:pPr>
        <w:spacing w:line="360" w:lineRule="auto"/>
        <w:ind w:firstLine="420" w:firstLineChars="200"/>
        <w:rPr>
          <w:color w:val="auto"/>
          <w:highlight w:val="none"/>
        </w:rPr>
      </w:pPr>
      <w:r>
        <w:rPr>
          <w:rFonts w:hint="eastAsia"/>
          <w:color w:val="auto"/>
          <w:highlight w:val="none"/>
        </w:rPr>
        <w:t>1.1响应文件开启后，磋商小组依法对供应商的资格证明文件进行审查。</w:t>
      </w:r>
    </w:p>
    <w:p w14:paraId="6AC574A6">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3418F79F">
      <w:pPr>
        <w:spacing w:line="360" w:lineRule="auto"/>
        <w:ind w:firstLine="420" w:firstLineChars="200"/>
        <w:rPr>
          <w:color w:val="auto"/>
          <w:highlight w:val="none"/>
        </w:rPr>
      </w:pPr>
      <w:r>
        <w:rPr>
          <w:rFonts w:hint="eastAsia"/>
          <w:color w:val="auto"/>
          <w:highlight w:val="none"/>
        </w:rPr>
        <w:t>（1）查询渠道：“信用中国”网站（www.creditchina.gov.cn）、中国政府采购网（www.ccgp.gov.cn）。</w:t>
      </w:r>
    </w:p>
    <w:p w14:paraId="3CE06E25">
      <w:pPr>
        <w:spacing w:line="360" w:lineRule="auto"/>
        <w:ind w:firstLine="420" w:firstLineChars="200"/>
        <w:rPr>
          <w:color w:val="auto"/>
          <w:highlight w:val="none"/>
        </w:rPr>
      </w:pPr>
      <w:r>
        <w:rPr>
          <w:rFonts w:hint="eastAsia"/>
          <w:color w:val="auto"/>
          <w:highlight w:val="none"/>
        </w:rPr>
        <w:t>（2）信用查询截止时点：资格审查结束前。</w:t>
      </w:r>
    </w:p>
    <w:p w14:paraId="08EE640D">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3C80FBB3">
      <w:pPr>
        <w:spacing w:line="360" w:lineRule="auto"/>
        <w:ind w:firstLine="420" w:firstLineChars="200"/>
        <w:rPr>
          <w:color w:val="auto"/>
          <w:highlight w:val="none"/>
        </w:rPr>
      </w:pPr>
      <w:r>
        <w:rPr>
          <w:rFonts w:hint="eastAsia"/>
          <w:color w:val="auto"/>
          <w:highlight w:val="none"/>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3B44C59D">
      <w:pPr>
        <w:spacing w:line="360" w:lineRule="auto"/>
        <w:ind w:firstLine="420" w:firstLineChars="200"/>
        <w:rPr>
          <w:color w:val="auto"/>
          <w:highlight w:val="none"/>
        </w:rPr>
      </w:pPr>
      <w:r>
        <w:rPr>
          <w:rFonts w:hint="eastAsia"/>
          <w:color w:val="auto"/>
          <w:highlight w:val="none"/>
        </w:rPr>
        <w:t>1.2资格审查标准为本磋商文件中载明对供应商资格要求的条件。资格审查采用合格制，凡符合磋商文件规定的供应商资格要求的响应文件均通过资格审查。</w:t>
      </w:r>
    </w:p>
    <w:p w14:paraId="585DEBBB">
      <w:pPr>
        <w:spacing w:line="360" w:lineRule="auto"/>
        <w:ind w:firstLine="420" w:firstLineChars="200"/>
        <w:rPr>
          <w:color w:val="auto"/>
          <w:highlight w:val="none"/>
        </w:rPr>
      </w:pPr>
      <w:r>
        <w:rPr>
          <w:rFonts w:hint="eastAsia"/>
          <w:color w:val="auto"/>
          <w:highlight w:val="none"/>
        </w:rPr>
        <w:t>1.3供应商有下列情形之一的，资格审查不通过，其响应文件按无效响应处理：</w:t>
      </w:r>
    </w:p>
    <w:p w14:paraId="26293AA7">
      <w:pPr>
        <w:spacing w:line="360" w:lineRule="auto"/>
        <w:ind w:firstLine="420" w:firstLineChars="200"/>
        <w:rPr>
          <w:color w:val="auto"/>
          <w:highlight w:val="none"/>
        </w:rPr>
      </w:pPr>
      <w:r>
        <w:rPr>
          <w:rFonts w:hint="eastAsia"/>
          <w:color w:val="auto"/>
          <w:highlight w:val="none"/>
        </w:rPr>
        <w:t>（1）不具备磋商文件中规定的资格要求的；</w:t>
      </w:r>
    </w:p>
    <w:p w14:paraId="16BBEAB8">
      <w:pPr>
        <w:spacing w:line="360" w:lineRule="auto"/>
        <w:ind w:firstLine="420" w:firstLineChars="200"/>
        <w:rPr>
          <w:color w:val="auto"/>
          <w:highlight w:val="none"/>
        </w:rPr>
      </w:pPr>
      <w:r>
        <w:rPr>
          <w:rFonts w:hint="eastAsia"/>
          <w:color w:val="auto"/>
          <w:highlight w:val="none"/>
        </w:rPr>
        <w:t>（2）响应文件未提供任一项“供应商须知前附表”资格证明文件规定的“必须提供”的文件资料的；</w:t>
      </w:r>
    </w:p>
    <w:p w14:paraId="42284459">
      <w:pPr>
        <w:spacing w:line="360" w:lineRule="auto"/>
        <w:ind w:firstLine="420" w:firstLineChars="200"/>
        <w:rPr>
          <w:color w:val="auto"/>
          <w:highlight w:val="none"/>
        </w:rPr>
      </w:pPr>
      <w:r>
        <w:rPr>
          <w:rFonts w:hint="eastAsia"/>
          <w:color w:val="auto"/>
          <w:highlight w:val="none"/>
        </w:rPr>
        <w:t>（3）响应文件提供的资格证明文件出现任一项不符合“供应商须知前附表”资格证明文件规定的“必须提供”的文件资料要求或者无效的。</w:t>
      </w:r>
    </w:p>
    <w:p w14:paraId="1DD2EA51">
      <w:pPr>
        <w:spacing w:line="360" w:lineRule="auto"/>
        <w:ind w:firstLine="420" w:firstLineChars="200"/>
        <w:rPr>
          <w:color w:val="auto"/>
          <w:highlight w:val="none"/>
        </w:rPr>
      </w:pPr>
      <w:r>
        <w:rPr>
          <w:rFonts w:hint="eastAsia"/>
          <w:color w:val="auto"/>
          <w:highlight w:val="none"/>
        </w:rPr>
        <w:t>1.4通过资格审查的合格供应商不足3家的，不得进入符合性审查环节，采购人或者采购代理机构应当重新开展采购活动。</w:t>
      </w:r>
    </w:p>
    <w:p w14:paraId="3F73F30D">
      <w:pPr>
        <w:spacing w:line="360" w:lineRule="auto"/>
        <w:ind w:firstLine="420" w:firstLineChars="200"/>
        <w:rPr>
          <w:color w:val="auto"/>
          <w:highlight w:val="none"/>
        </w:rPr>
      </w:pPr>
      <w:r>
        <w:rPr>
          <w:rFonts w:hint="eastAsia"/>
          <w:color w:val="auto"/>
          <w:highlight w:val="none"/>
        </w:rPr>
        <w:t>2.符合性审查</w:t>
      </w:r>
    </w:p>
    <w:p w14:paraId="5E401A74">
      <w:pPr>
        <w:spacing w:line="360" w:lineRule="auto"/>
        <w:ind w:firstLine="420" w:firstLineChars="200"/>
        <w:rPr>
          <w:color w:val="auto"/>
          <w:highlight w:val="none"/>
        </w:rPr>
      </w:pPr>
      <w:r>
        <w:rPr>
          <w:rFonts w:hint="eastAsia"/>
          <w:color w:val="auto"/>
          <w:highlight w:val="none"/>
        </w:rPr>
        <w:t>2.1由磋商小组对通过资格审查的合格供应商的响应文件的竞标报价、商务、技术等实质性要求进行符合性审查，以确定其是否满足磋商文件的实质性要求。</w:t>
      </w:r>
    </w:p>
    <w:p w14:paraId="5C43C116">
      <w:pPr>
        <w:spacing w:line="360" w:lineRule="auto"/>
        <w:ind w:firstLine="420" w:firstLineChars="200"/>
        <w:rPr>
          <w:color w:val="auto"/>
          <w:highlight w:val="none"/>
        </w:rPr>
      </w:pPr>
      <w:r>
        <w:rPr>
          <w:rFonts w:hint="eastAsia"/>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5346E1">
      <w:pPr>
        <w:spacing w:line="360" w:lineRule="auto"/>
        <w:ind w:firstLine="420" w:firstLineChars="200"/>
        <w:rPr>
          <w:color w:val="auto"/>
          <w:highlight w:val="none"/>
        </w:rPr>
      </w:pPr>
      <w:r>
        <w:rPr>
          <w:rFonts w:hint="eastAsia"/>
          <w:color w:val="auto"/>
          <w:highlight w:val="none"/>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BD2F011">
      <w:pPr>
        <w:spacing w:line="360" w:lineRule="auto"/>
        <w:ind w:firstLine="420" w:firstLineChars="200"/>
        <w:rPr>
          <w:color w:val="auto"/>
          <w:highlight w:val="none"/>
        </w:rPr>
      </w:pPr>
      <w:r>
        <w:rPr>
          <w:rFonts w:hint="eastAsia"/>
          <w:color w:val="auto"/>
          <w:highlight w:val="none"/>
        </w:rPr>
        <w:t>2.4首次响应文件报价出现前后不一致的，按照下列规定修正：</w:t>
      </w:r>
    </w:p>
    <w:p w14:paraId="76509D34">
      <w:pPr>
        <w:spacing w:line="360" w:lineRule="auto"/>
        <w:ind w:firstLine="420" w:firstLineChars="200"/>
        <w:rPr>
          <w:color w:val="auto"/>
          <w:highlight w:val="none"/>
        </w:rPr>
      </w:pPr>
      <w:r>
        <w:rPr>
          <w:rFonts w:hint="eastAsia"/>
          <w:color w:val="auto"/>
          <w:highlight w:val="none"/>
        </w:rPr>
        <w:t>（1）响应文件中报价表内容与响应文件中相应内容不一致的，以报价表为准；</w:t>
      </w:r>
    </w:p>
    <w:p w14:paraId="0DABDCB7">
      <w:pPr>
        <w:spacing w:line="360" w:lineRule="auto"/>
        <w:ind w:firstLine="420" w:firstLineChars="200"/>
        <w:rPr>
          <w:color w:val="auto"/>
          <w:highlight w:val="none"/>
        </w:rPr>
      </w:pPr>
      <w:r>
        <w:rPr>
          <w:rFonts w:hint="eastAsia"/>
          <w:color w:val="auto"/>
          <w:highlight w:val="none"/>
        </w:rPr>
        <w:t>（2）大写金额和小写金额不一致的，以大写金额为准；</w:t>
      </w:r>
    </w:p>
    <w:p w14:paraId="153EFFAC">
      <w:pPr>
        <w:spacing w:line="360" w:lineRule="auto"/>
        <w:ind w:firstLine="420" w:firstLineChars="200"/>
        <w:rPr>
          <w:color w:val="auto"/>
          <w:highlight w:val="none"/>
        </w:rPr>
      </w:pPr>
      <w:r>
        <w:rPr>
          <w:rFonts w:hint="eastAsia"/>
          <w:color w:val="auto"/>
          <w:highlight w:val="none"/>
        </w:rPr>
        <w:t>（3）单价金额小数点或者百分比有明显错位的，以报价表的总价为准，并修改单价；</w:t>
      </w:r>
    </w:p>
    <w:p w14:paraId="2CE31CE3">
      <w:pPr>
        <w:spacing w:line="360" w:lineRule="auto"/>
        <w:ind w:firstLine="420" w:firstLineChars="200"/>
        <w:rPr>
          <w:color w:val="auto"/>
          <w:highlight w:val="none"/>
        </w:rPr>
      </w:pPr>
      <w:r>
        <w:rPr>
          <w:rFonts w:hint="eastAsia"/>
          <w:color w:val="auto"/>
          <w:highlight w:val="none"/>
        </w:rPr>
        <w:t>（4）总价金额与按单价汇总金额不一致的，以单价金额计算结果为准。</w:t>
      </w:r>
    </w:p>
    <w:p w14:paraId="1FD7FB2C">
      <w:pPr>
        <w:spacing w:line="360" w:lineRule="auto"/>
        <w:ind w:firstLine="420" w:firstLineChars="200"/>
        <w:rPr>
          <w:color w:val="auto"/>
          <w:highlight w:val="none"/>
        </w:rPr>
      </w:pPr>
      <w:r>
        <w:rPr>
          <w:rFonts w:hint="eastAsia"/>
          <w:color w:val="auto"/>
          <w:highlight w:val="none"/>
        </w:rPr>
        <w:t>同时出现两种以上不一致的，按照以上（1）-（4）规定的顺序逐条进行修正。修正后的报价经供应商确认后产生约束力，供应商不确认的，其响应文件按无效响应处理。</w:t>
      </w:r>
    </w:p>
    <w:p w14:paraId="3BCB7E22">
      <w:pPr>
        <w:spacing w:line="360" w:lineRule="auto"/>
        <w:ind w:firstLine="420" w:firstLineChars="200"/>
        <w:rPr>
          <w:color w:val="auto"/>
          <w:highlight w:val="none"/>
        </w:rPr>
      </w:pPr>
      <w:r>
        <w:rPr>
          <w:rFonts w:hint="eastAsia"/>
          <w:color w:val="auto"/>
          <w:highlight w:val="none"/>
        </w:rPr>
        <w:t>2.5商务技术报价评审</w:t>
      </w:r>
    </w:p>
    <w:p w14:paraId="08B2AC35">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4985162A">
      <w:pPr>
        <w:spacing w:line="360" w:lineRule="auto"/>
        <w:ind w:firstLine="420" w:firstLineChars="200"/>
        <w:rPr>
          <w:color w:val="auto"/>
          <w:highlight w:val="none"/>
        </w:rPr>
      </w:pPr>
      <w:r>
        <w:rPr>
          <w:rFonts w:hint="eastAsia"/>
          <w:color w:val="auto"/>
          <w:highlight w:val="none"/>
        </w:rPr>
        <w:t>（1）商务技术评审</w:t>
      </w:r>
    </w:p>
    <w:p w14:paraId="11B029D8">
      <w:pPr>
        <w:spacing w:line="360" w:lineRule="auto"/>
        <w:ind w:firstLine="420" w:firstLineChars="200"/>
        <w:rPr>
          <w:color w:val="auto"/>
          <w:highlight w:val="none"/>
        </w:rPr>
      </w:pPr>
      <w:r>
        <w:rPr>
          <w:rFonts w:hint="eastAsia"/>
          <w:color w:val="auto"/>
          <w:highlight w:val="none"/>
        </w:rPr>
        <w:t>1）响应文件未按磋商文件要求签署、盖章；</w:t>
      </w:r>
    </w:p>
    <w:p w14:paraId="2E41FC1E">
      <w:pPr>
        <w:spacing w:line="360" w:lineRule="auto"/>
        <w:ind w:firstLine="420" w:firstLineChars="200"/>
        <w:rPr>
          <w:color w:val="auto"/>
          <w:highlight w:val="none"/>
        </w:rPr>
      </w:pPr>
      <w:r>
        <w:rPr>
          <w:rFonts w:hint="eastAsia"/>
          <w:color w:val="auto"/>
          <w:highlight w:val="none"/>
        </w:rPr>
        <w:t>2）委托代理人未能出具有效身份证明或者出具的身份证明与授权委托书中的信息不符；</w:t>
      </w:r>
    </w:p>
    <w:p w14:paraId="3471CAAA">
      <w:pPr>
        <w:spacing w:line="360" w:lineRule="auto"/>
        <w:ind w:firstLine="420" w:firstLineChars="200"/>
        <w:rPr>
          <w:color w:val="auto"/>
          <w:highlight w:val="none"/>
        </w:rPr>
      </w:pPr>
      <w:r>
        <w:rPr>
          <w:rFonts w:hint="eastAsia"/>
          <w:color w:val="auto"/>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C78A557">
      <w:pPr>
        <w:spacing w:line="360" w:lineRule="auto"/>
        <w:ind w:firstLine="420" w:firstLineChars="200"/>
        <w:rPr>
          <w:color w:val="auto"/>
          <w:highlight w:val="none"/>
        </w:rPr>
      </w:pPr>
      <w:r>
        <w:rPr>
          <w:rFonts w:hint="eastAsia"/>
          <w:color w:val="auto"/>
          <w:highlight w:val="none"/>
        </w:rPr>
        <w:t>4）商务条款中标“▲”的条款发生负偏离的或者允许负偏离的条款数超过“供应商须知前附表”规定项数的或者标明实质性的要求发生负偏离；</w:t>
      </w:r>
    </w:p>
    <w:p w14:paraId="0B6BBC52">
      <w:pPr>
        <w:spacing w:line="360" w:lineRule="auto"/>
        <w:ind w:firstLine="420" w:firstLineChars="200"/>
        <w:rPr>
          <w:color w:val="auto"/>
          <w:highlight w:val="none"/>
        </w:rPr>
      </w:pPr>
      <w:r>
        <w:rPr>
          <w:rFonts w:hint="eastAsia"/>
          <w:color w:val="auto"/>
          <w:highlight w:val="none"/>
        </w:rPr>
        <w:t>5）未对竞标有效期作出响应或者响应文件承诺的竞标有效期不满足磋商文件要求；</w:t>
      </w:r>
    </w:p>
    <w:p w14:paraId="3F2454BB">
      <w:pPr>
        <w:spacing w:line="360" w:lineRule="auto"/>
        <w:ind w:firstLine="420" w:firstLineChars="200"/>
        <w:rPr>
          <w:color w:val="auto"/>
          <w:highlight w:val="none"/>
        </w:rPr>
      </w:pPr>
      <w:r>
        <w:rPr>
          <w:rFonts w:hint="eastAsia"/>
          <w:color w:val="auto"/>
          <w:highlight w:val="none"/>
        </w:rPr>
        <w:t>6）响应文件的实质性内容未使用中文表述、使用计量单位不符合磋商文件要求；</w:t>
      </w:r>
    </w:p>
    <w:p w14:paraId="6FD35396">
      <w:pPr>
        <w:spacing w:line="360" w:lineRule="auto"/>
        <w:ind w:firstLine="420" w:firstLineChars="200"/>
        <w:rPr>
          <w:color w:val="auto"/>
          <w:highlight w:val="none"/>
        </w:rPr>
      </w:pPr>
      <w:r>
        <w:rPr>
          <w:rFonts w:hint="eastAsia"/>
          <w:color w:val="auto"/>
          <w:highlight w:val="none"/>
        </w:rPr>
        <w:t>7）响应文件中的文件资料因填写不齐全或者内容虚假或者出现其他情形而导致被磋商小组认定无效；</w:t>
      </w:r>
    </w:p>
    <w:p w14:paraId="193A908A">
      <w:pPr>
        <w:spacing w:line="360" w:lineRule="auto"/>
        <w:ind w:firstLine="420" w:firstLineChars="200"/>
        <w:rPr>
          <w:color w:val="auto"/>
          <w:highlight w:val="none"/>
        </w:rPr>
      </w:pPr>
      <w:r>
        <w:rPr>
          <w:rFonts w:hint="eastAsia"/>
          <w:color w:val="auto"/>
          <w:highlight w:val="none"/>
        </w:rPr>
        <w:t>8）响应文件含有采购人不能接受的附加条件；</w:t>
      </w:r>
    </w:p>
    <w:p w14:paraId="76C7B919">
      <w:pPr>
        <w:spacing w:line="360" w:lineRule="auto"/>
        <w:ind w:firstLine="420" w:firstLineChars="200"/>
        <w:rPr>
          <w:color w:val="auto"/>
          <w:highlight w:val="none"/>
        </w:rPr>
      </w:pPr>
      <w:r>
        <w:rPr>
          <w:rFonts w:hint="eastAsia"/>
          <w:color w:val="auto"/>
          <w:highlight w:val="none"/>
        </w:rPr>
        <w:t>9）属于“供应商须知正文”第7.7条情形；</w:t>
      </w:r>
    </w:p>
    <w:p w14:paraId="6714F269">
      <w:pPr>
        <w:spacing w:line="360" w:lineRule="auto"/>
        <w:ind w:firstLine="420" w:firstLineChars="200"/>
        <w:rPr>
          <w:color w:val="auto"/>
          <w:highlight w:val="none"/>
        </w:rPr>
      </w:pPr>
      <w:r>
        <w:rPr>
          <w:rFonts w:hint="eastAsia"/>
          <w:color w:val="auto"/>
          <w:highlight w:val="none"/>
        </w:rPr>
        <w:t>10）技术需求允许负偏离的条款数超过“供应商须知前附表”规定项数；</w:t>
      </w:r>
    </w:p>
    <w:p w14:paraId="29A48993">
      <w:pPr>
        <w:spacing w:line="360" w:lineRule="auto"/>
        <w:ind w:firstLine="420" w:firstLineChars="200"/>
        <w:rPr>
          <w:color w:val="auto"/>
          <w:highlight w:val="none"/>
        </w:rPr>
      </w:pPr>
      <w:r>
        <w:rPr>
          <w:rFonts w:hint="eastAsia"/>
          <w:color w:val="auto"/>
          <w:highlight w:val="none"/>
        </w:rPr>
        <w:t>11）虚假竞标，或者出现其他情形而导致被磋商小组认定无效；</w:t>
      </w:r>
    </w:p>
    <w:p w14:paraId="283EA7AB">
      <w:pPr>
        <w:spacing w:line="360" w:lineRule="auto"/>
        <w:ind w:firstLine="420" w:firstLineChars="200"/>
        <w:rPr>
          <w:color w:val="auto"/>
          <w:highlight w:val="none"/>
        </w:rPr>
      </w:pPr>
      <w:r>
        <w:rPr>
          <w:rFonts w:hint="eastAsia"/>
          <w:color w:val="auto"/>
          <w:highlight w:val="none"/>
        </w:rPr>
        <w:t>12）竞标技术方案不明确，磋商文件未允许但响应文件中存在一个或者一个以上备选（替代）竞标方案；</w:t>
      </w:r>
    </w:p>
    <w:p w14:paraId="06B307BE">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1D3CB57B">
      <w:pPr>
        <w:spacing w:line="360" w:lineRule="auto"/>
        <w:ind w:firstLine="420" w:firstLineChars="200"/>
        <w:rPr>
          <w:color w:val="auto"/>
          <w:highlight w:val="none"/>
        </w:rPr>
      </w:pPr>
      <w:r>
        <w:rPr>
          <w:rFonts w:hint="eastAsia"/>
          <w:color w:val="auto"/>
          <w:highlight w:val="none"/>
        </w:rPr>
        <w:t>14）未响应磋商文件实质性要求；</w:t>
      </w:r>
    </w:p>
    <w:p w14:paraId="3D0ADEAA">
      <w:pPr>
        <w:spacing w:line="360" w:lineRule="auto"/>
        <w:ind w:firstLine="420" w:firstLineChars="200"/>
        <w:rPr>
          <w:color w:val="auto"/>
          <w:highlight w:val="none"/>
        </w:rPr>
      </w:pPr>
      <w:r>
        <w:rPr>
          <w:rFonts w:hint="eastAsia"/>
          <w:color w:val="auto"/>
          <w:highlight w:val="none"/>
        </w:rPr>
        <w:t>15）法律、法规和磋商文件规定的其他无效情形。</w:t>
      </w:r>
    </w:p>
    <w:p w14:paraId="650CF553">
      <w:pPr>
        <w:spacing w:line="360" w:lineRule="auto"/>
        <w:ind w:firstLine="420" w:firstLineChars="200"/>
        <w:rPr>
          <w:color w:val="auto"/>
          <w:highlight w:val="none"/>
        </w:rPr>
      </w:pPr>
      <w:r>
        <w:rPr>
          <w:rFonts w:hint="eastAsia"/>
          <w:color w:val="auto"/>
          <w:highlight w:val="none"/>
        </w:rPr>
        <w:t>（2）报价评审</w:t>
      </w:r>
    </w:p>
    <w:p w14:paraId="3D2C5BA0">
      <w:pPr>
        <w:spacing w:line="360" w:lineRule="auto"/>
        <w:ind w:firstLine="420" w:firstLineChars="200"/>
        <w:rPr>
          <w:color w:val="auto"/>
          <w:highlight w:val="none"/>
        </w:rPr>
      </w:pPr>
      <w:r>
        <w:rPr>
          <w:rFonts w:hint="eastAsia"/>
          <w:color w:val="auto"/>
          <w:highlight w:val="none"/>
        </w:rPr>
        <w:t>1）响应文件未提供“供应商须知前附表”报价商务技术文件中规定的；</w:t>
      </w:r>
    </w:p>
    <w:p w14:paraId="69C3E73C">
      <w:pPr>
        <w:spacing w:line="360" w:lineRule="auto"/>
        <w:ind w:firstLine="420" w:firstLineChars="200"/>
        <w:rPr>
          <w:color w:val="auto"/>
          <w:highlight w:val="none"/>
        </w:rPr>
      </w:pPr>
      <w:r>
        <w:rPr>
          <w:rFonts w:hint="eastAsia"/>
          <w:color w:val="auto"/>
          <w:highlight w:val="none"/>
        </w:rPr>
        <w:t>2）未采用人民币报价或者未按照磋商文件标明的币种报价；</w:t>
      </w:r>
    </w:p>
    <w:p w14:paraId="1B8AC809">
      <w:pPr>
        <w:spacing w:line="360" w:lineRule="auto"/>
        <w:ind w:firstLine="420" w:firstLineChars="200"/>
        <w:rPr>
          <w:color w:val="auto"/>
          <w:highlight w:val="none"/>
        </w:rPr>
      </w:pPr>
      <w:r>
        <w:rPr>
          <w:rFonts w:hint="eastAsia"/>
          <w:color w:val="auto"/>
          <w:highlight w:val="none"/>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3628AF93">
      <w:pPr>
        <w:spacing w:line="360" w:lineRule="auto"/>
        <w:ind w:firstLine="420" w:firstLineChars="200"/>
        <w:rPr>
          <w:color w:val="auto"/>
          <w:highlight w:val="none"/>
        </w:rPr>
      </w:pPr>
      <w:r>
        <w:rPr>
          <w:rFonts w:hint="eastAsia"/>
          <w:color w:val="auto"/>
          <w:highlight w:val="none"/>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51E47DFB">
      <w:pPr>
        <w:spacing w:line="360" w:lineRule="auto"/>
        <w:ind w:firstLine="420" w:firstLineChars="200"/>
        <w:rPr>
          <w:color w:val="auto"/>
          <w:highlight w:val="none"/>
        </w:rPr>
      </w:pPr>
      <w:r>
        <w:rPr>
          <w:rFonts w:hint="eastAsia"/>
          <w:color w:val="auto"/>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45C1EF62">
      <w:pPr>
        <w:spacing w:line="360" w:lineRule="auto"/>
        <w:ind w:firstLine="420" w:firstLineChars="200"/>
        <w:rPr>
          <w:color w:val="auto"/>
          <w:highlight w:val="none"/>
        </w:rPr>
      </w:pPr>
      <w:r>
        <w:rPr>
          <w:rFonts w:hint="eastAsia"/>
          <w:color w:val="auto"/>
          <w:highlight w:val="none"/>
        </w:rPr>
        <w:t>6）响应文件响应的标的数量及单位与竞争性磋商采购文件要求实质性不一致的。</w:t>
      </w:r>
    </w:p>
    <w:p w14:paraId="3C095D57">
      <w:pPr>
        <w:spacing w:line="360" w:lineRule="auto"/>
        <w:ind w:firstLine="420" w:firstLineChars="200"/>
        <w:rPr>
          <w:color w:val="auto"/>
          <w:highlight w:val="none"/>
        </w:rPr>
      </w:pPr>
      <w:r>
        <w:rPr>
          <w:rFonts w:hint="eastAsia"/>
          <w:color w:val="auto"/>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E4EAB2C">
      <w:pPr>
        <w:spacing w:line="360" w:lineRule="auto"/>
        <w:ind w:firstLine="420" w:firstLineChars="200"/>
        <w:rPr>
          <w:color w:val="auto"/>
          <w:highlight w:val="none"/>
        </w:rPr>
      </w:pPr>
      <w:r>
        <w:rPr>
          <w:rFonts w:hint="eastAsia"/>
          <w:color w:val="auto"/>
          <w:highlight w:val="none"/>
        </w:rPr>
        <w:t>2.7通过符合性审查的合格供应商不足3家的，不得进入磋商环节，采购人或者采购代理机构应当重新开展采购活动。</w:t>
      </w:r>
    </w:p>
    <w:p w14:paraId="3B098549">
      <w:pPr>
        <w:spacing w:line="360" w:lineRule="auto"/>
        <w:ind w:firstLine="420" w:firstLineChars="200"/>
        <w:rPr>
          <w:color w:val="auto"/>
          <w:highlight w:val="none"/>
        </w:rPr>
      </w:pPr>
      <w:r>
        <w:rPr>
          <w:rFonts w:hint="eastAsia"/>
          <w:color w:val="auto"/>
          <w:highlight w:val="none"/>
        </w:rPr>
        <w:t>3.磋商程序</w:t>
      </w:r>
    </w:p>
    <w:p w14:paraId="774B143D">
      <w:pPr>
        <w:spacing w:line="360" w:lineRule="auto"/>
        <w:ind w:firstLine="420" w:firstLineChars="200"/>
        <w:rPr>
          <w:color w:val="auto"/>
          <w:highlight w:val="none"/>
        </w:rPr>
      </w:pPr>
      <w:r>
        <w:rPr>
          <w:rFonts w:hint="eastAsia"/>
          <w:color w:val="auto"/>
          <w:highlight w:val="none"/>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16545662">
      <w:pPr>
        <w:spacing w:line="360" w:lineRule="auto"/>
        <w:ind w:firstLine="420" w:firstLineChars="200"/>
        <w:rPr>
          <w:color w:val="auto"/>
          <w:highlight w:val="none"/>
        </w:rPr>
      </w:pPr>
      <w:r>
        <w:rPr>
          <w:rFonts w:hint="eastAsia"/>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82A892">
      <w:pPr>
        <w:spacing w:line="360" w:lineRule="auto"/>
        <w:ind w:firstLine="420" w:firstLineChars="200"/>
        <w:rPr>
          <w:color w:val="auto"/>
          <w:highlight w:val="none"/>
        </w:rPr>
      </w:pPr>
      <w:r>
        <w:rPr>
          <w:rFonts w:hint="eastAsia"/>
          <w:color w:val="auto"/>
          <w:highlight w:val="none"/>
        </w:rPr>
        <w:t>3.3对磋商文件作出的实质性变动是磋商文件的有效组成部分，由磋商小组及时以书面形式同时通知所有参加磋商的供应商。</w:t>
      </w:r>
    </w:p>
    <w:p w14:paraId="7B89C100">
      <w:pPr>
        <w:spacing w:line="360" w:lineRule="auto"/>
        <w:ind w:firstLine="420" w:firstLineChars="200"/>
        <w:rPr>
          <w:color w:val="auto"/>
          <w:highlight w:val="none"/>
        </w:rPr>
      </w:pPr>
      <w:r>
        <w:rPr>
          <w:rFonts w:hint="eastAsia"/>
          <w:color w:val="auto"/>
          <w:highlight w:val="none"/>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6EBE26A4">
      <w:pPr>
        <w:spacing w:line="360" w:lineRule="auto"/>
        <w:ind w:firstLine="420" w:firstLineChars="200"/>
        <w:rPr>
          <w:color w:val="auto"/>
          <w:highlight w:val="none"/>
        </w:rPr>
      </w:pPr>
      <w:r>
        <w:rPr>
          <w:rFonts w:hint="eastAsia"/>
          <w:color w:val="auto"/>
          <w:highlight w:val="none"/>
        </w:rPr>
        <w:t>3.5磋商中，磋商的任何一方不得透露与磋商有关的其他供应商的技术资料、价格和其他信息。</w:t>
      </w:r>
    </w:p>
    <w:p w14:paraId="0FDD5558">
      <w:pPr>
        <w:spacing w:line="360" w:lineRule="auto"/>
        <w:ind w:firstLine="420" w:firstLineChars="200"/>
        <w:rPr>
          <w:color w:val="auto"/>
          <w:highlight w:val="none"/>
        </w:rPr>
      </w:pPr>
      <w:r>
        <w:rPr>
          <w:rFonts w:hint="eastAsia"/>
          <w:color w:val="auto"/>
          <w:highlight w:val="none"/>
        </w:rPr>
        <w:t>3.6采购代理机构对磋商过程和重要磋商内容进行记录，磋商双方在记录上签字确认。</w:t>
      </w:r>
    </w:p>
    <w:p w14:paraId="391FDCDF">
      <w:pPr>
        <w:spacing w:line="360" w:lineRule="auto"/>
        <w:ind w:firstLine="420" w:firstLineChars="200"/>
        <w:rPr>
          <w:color w:val="auto"/>
          <w:highlight w:val="none"/>
        </w:rPr>
      </w:pPr>
      <w:r>
        <w:rPr>
          <w:rFonts w:hint="eastAsia"/>
          <w:color w:val="auto"/>
          <w:highlight w:val="none"/>
        </w:rPr>
        <w:t>3.7磋商过程中重新提交的响应文件，供应商可以在开启前补充、修改。</w:t>
      </w:r>
    </w:p>
    <w:p w14:paraId="166930EE">
      <w:pPr>
        <w:spacing w:line="360" w:lineRule="auto"/>
        <w:ind w:firstLine="420" w:firstLineChars="200"/>
        <w:rPr>
          <w:color w:val="auto"/>
          <w:highlight w:val="none"/>
        </w:rPr>
      </w:pPr>
      <w:r>
        <w:rPr>
          <w:rFonts w:hint="eastAsia"/>
          <w:color w:val="auto"/>
          <w:highlight w:val="none"/>
        </w:rPr>
        <w:t>3.8对磋商过程提交的响应文件进行有效性、完整性和响应程度审查，通过审查的合格供应商不足3家的，采购人或者采购代理机构应当重新开展采购活动。</w:t>
      </w:r>
    </w:p>
    <w:p w14:paraId="5C86CCBD">
      <w:pPr>
        <w:spacing w:line="360" w:lineRule="auto"/>
        <w:ind w:firstLine="420" w:firstLineChars="200"/>
        <w:rPr>
          <w:color w:val="auto"/>
          <w:highlight w:val="none"/>
        </w:rPr>
      </w:pPr>
      <w:r>
        <w:rPr>
          <w:rFonts w:hint="eastAsia"/>
          <w:color w:val="auto"/>
          <w:highlight w:val="none"/>
        </w:rPr>
        <w:t>3.9本项目所有响应文件的首次报价及所有磋商报价均不公布。最后磋商结束后，磋商小组不得再与供应商进行任何形式的商谈。</w:t>
      </w:r>
    </w:p>
    <w:p w14:paraId="3A6943EE">
      <w:pPr>
        <w:spacing w:line="360" w:lineRule="auto"/>
        <w:ind w:firstLine="420" w:firstLineChars="200"/>
        <w:rPr>
          <w:color w:val="auto"/>
          <w:highlight w:val="none"/>
        </w:rPr>
      </w:pPr>
      <w:r>
        <w:rPr>
          <w:rFonts w:hint="eastAsia"/>
          <w:color w:val="auto"/>
          <w:highlight w:val="none"/>
        </w:rPr>
        <w:t>4.最后报价</w:t>
      </w:r>
    </w:p>
    <w:p w14:paraId="735FD00F">
      <w:pPr>
        <w:spacing w:line="360" w:lineRule="auto"/>
        <w:ind w:firstLine="420" w:firstLineChars="200"/>
        <w:rPr>
          <w:color w:val="auto"/>
          <w:highlight w:val="none"/>
        </w:rPr>
      </w:pPr>
      <w:r>
        <w:rPr>
          <w:rFonts w:hint="eastAsia"/>
          <w:color w:val="auto"/>
          <w:highlight w:val="none"/>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3DBDBE0B">
      <w:pPr>
        <w:spacing w:line="360" w:lineRule="auto"/>
        <w:ind w:firstLine="420" w:firstLineChars="20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333089BC">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6820ADB0">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48B42236">
      <w:pPr>
        <w:spacing w:line="360" w:lineRule="auto"/>
        <w:ind w:firstLine="420" w:firstLineChars="200"/>
        <w:rPr>
          <w:color w:val="auto"/>
          <w:highlight w:val="none"/>
        </w:rPr>
      </w:pPr>
      <w:r>
        <w:rPr>
          <w:rFonts w:hint="eastAsia"/>
          <w:color w:val="auto"/>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1915353">
      <w:pPr>
        <w:spacing w:line="360" w:lineRule="auto"/>
        <w:ind w:firstLine="420" w:firstLineChars="20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F366B98">
      <w:pPr>
        <w:spacing w:line="360" w:lineRule="auto"/>
        <w:ind w:firstLine="420" w:firstLineChars="200"/>
        <w:rPr>
          <w:color w:val="auto"/>
          <w:highlight w:val="none"/>
        </w:rPr>
      </w:pPr>
      <w:r>
        <w:rPr>
          <w:rFonts w:hint="eastAsia"/>
          <w:color w:val="auto"/>
          <w:highlight w:val="none"/>
        </w:rPr>
        <w:t>4.5供应商未在规定时间内提交最后报价的，视同退出磋商。</w:t>
      </w:r>
    </w:p>
    <w:p w14:paraId="65CA9B41">
      <w:pPr>
        <w:spacing w:line="360" w:lineRule="auto"/>
        <w:ind w:firstLine="420" w:firstLineChars="200"/>
        <w:rPr>
          <w:color w:val="auto"/>
          <w:highlight w:val="none"/>
        </w:rPr>
      </w:pPr>
      <w:r>
        <w:rPr>
          <w:rFonts w:hint="eastAsia"/>
          <w:color w:val="auto"/>
          <w:highlight w:val="none"/>
        </w:rPr>
        <w:t>4.6磋商小组收齐某一分标最后报价后统一开启，磋商小组对最后报价进行有效性、完整性和响应程度的审查。</w:t>
      </w:r>
    </w:p>
    <w:p w14:paraId="28B30254">
      <w:pPr>
        <w:spacing w:line="360" w:lineRule="auto"/>
        <w:ind w:firstLine="420" w:firstLineChars="200"/>
        <w:rPr>
          <w:color w:val="auto"/>
          <w:highlight w:val="none"/>
        </w:rPr>
      </w:pPr>
      <w:r>
        <w:rPr>
          <w:rFonts w:hint="eastAsia"/>
          <w:color w:val="auto"/>
          <w:highlight w:val="none"/>
        </w:rPr>
        <w:t>4.7响应文件最后报价出现前后不一致的，按照本正文第25.2.4条的规定修正。</w:t>
      </w:r>
    </w:p>
    <w:p w14:paraId="766D11B3">
      <w:pPr>
        <w:spacing w:line="360" w:lineRule="auto"/>
        <w:ind w:firstLine="420" w:firstLineChars="200"/>
        <w:rPr>
          <w:color w:val="auto"/>
          <w:highlight w:val="none"/>
        </w:rPr>
      </w:pPr>
      <w:r>
        <w:rPr>
          <w:rFonts w:hint="eastAsia"/>
          <w:color w:val="auto"/>
          <w:highlight w:val="none"/>
        </w:rPr>
        <w:t>4.8修正后的报价出现下列情形的，按无效响应处理：</w:t>
      </w:r>
    </w:p>
    <w:p w14:paraId="514D0147">
      <w:pPr>
        <w:spacing w:line="360" w:lineRule="auto"/>
        <w:ind w:firstLine="420" w:firstLineChars="200"/>
        <w:rPr>
          <w:color w:val="auto"/>
          <w:highlight w:val="none"/>
        </w:rPr>
      </w:pPr>
      <w:r>
        <w:rPr>
          <w:rFonts w:hint="eastAsia"/>
          <w:color w:val="auto"/>
          <w:highlight w:val="none"/>
        </w:rPr>
        <w:t>（1）供应商不确认的；</w:t>
      </w:r>
    </w:p>
    <w:p w14:paraId="1236E75F">
      <w:pPr>
        <w:spacing w:line="360" w:lineRule="auto"/>
        <w:ind w:firstLine="420" w:firstLineChars="200"/>
        <w:rPr>
          <w:color w:val="auto"/>
          <w:highlight w:val="none"/>
        </w:rPr>
      </w:pPr>
      <w:r>
        <w:rPr>
          <w:rFonts w:hint="eastAsia"/>
          <w:color w:val="auto"/>
          <w:highlight w:val="none"/>
        </w:rPr>
        <w:t>（2）经供应商确认修正后的竞标报价（包含首次报价、最后报价）超过所竞标规定的采购预算金额或者最高限价的（如本项目公布了最高限价）；</w:t>
      </w:r>
    </w:p>
    <w:p w14:paraId="5F56F489">
      <w:pPr>
        <w:spacing w:line="360" w:lineRule="auto"/>
        <w:ind w:firstLine="420" w:firstLineChars="200"/>
        <w:rPr>
          <w:color w:val="auto"/>
          <w:highlight w:val="none"/>
        </w:rPr>
      </w:pPr>
      <w:r>
        <w:rPr>
          <w:rFonts w:hint="eastAsia"/>
          <w:color w:val="auto"/>
          <w:highlight w:val="none"/>
        </w:rPr>
        <w:t>（3）经供应商确认修正后的竞标报价（包含首次报价、最后报价）超过分项采购预算金额或者最高限价的（如本项目公布了最高限价）。</w:t>
      </w:r>
    </w:p>
    <w:p w14:paraId="25F0217C">
      <w:pPr>
        <w:spacing w:line="360" w:lineRule="auto"/>
        <w:ind w:firstLine="420" w:firstLineChars="200"/>
        <w:rPr>
          <w:color w:val="auto"/>
          <w:highlight w:val="none"/>
        </w:rPr>
      </w:pPr>
      <w:r>
        <w:rPr>
          <w:rFonts w:hint="eastAsia"/>
          <w:color w:val="auto"/>
          <w:highlight w:val="none"/>
        </w:rPr>
        <w:t>4.9经供应商确认修正后的最后报价作为评审及签订合同的依据。</w:t>
      </w:r>
    </w:p>
    <w:p w14:paraId="0841533D">
      <w:pPr>
        <w:spacing w:line="360" w:lineRule="auto"/>
        <w:ind w:firstLine="420" w:firstLineChars="200"/>
        <w:rPr>
          <w:color w:val="auto"/>
          <w:highlight w:val="none"/>
        </w:rPr>
      </w:pPr>
      <w:r>
        <w:rPr>
          <w:rFonts w:hint="eastAsia"/>
          <w:color w:val="auto"/>
          <w:highlight w:val="none"/>
        </w:rPr>
        <w:t>4.10最后报价结束后，磋商小组不得再与供应商进行任何形式的商谈。</w:t>
      </w:r>
    </w:p>
    <w:p w14:paraId="4D22FFAF">
      <w:pPr>
        <w:spacing w:line="360" w:lineRule="auto"/>
        <w:ind w:firstLine="420" w:firstLineChars="200"/>
        <w:rPr>
          <w:color w:val="auto"/>
          <w:highlight w:val="none"/>
        </w:rPr>
      </w:pPr>
      <w:r>
        <w:rPr>
          <w:rFonts w:hint="eastAsia"/>
          <w:color w:val="auto"/>
          <w:highlight w:val="none"/>
        </w:rPr>
        <w:t>5.比较与评价</w:t>
      </w:r>
    </w:p>
    <w:p w14:paraId="52B7C313">
      <w:pPr>
        <w:spacing w:line="360" w:lineRule="auto"/>
        <w:ind w:firstLine="420" w:firstLineChars="200"/>
        <w:rPr>
          <w:color w:val="auto"/>
          <w:highlight w:val="none"/>
        </w:rPr>
      </w:pPr>
      <w:r>
        <w:rPr>
          <w:rFonts w:hint="eastAsia"/>
          <w:color w:val="auto"/>
          <w:highlight w:val="none"/>
        </w:rPr>
        <w:t>5.1评审方法：综合评分法。</w:t>
      </w:r>
    </w:p>
    <w:p w14:paraId="6EC39C52">
      <w:pPr>
        <w:spacing w:line="360" w:lineRule="auto"/>
        <w:ind w:firstLine="420" w:firstLineChars="200"/>
        <w:rPr>
          <w:color w:val="auto"/>
          <w:highlight w:val="none"/>
        </w:rPr>
      </w:pPr>
      <w:r>
        <w:rPr>
          <w:rFonts w:hint="eastAsia"/>
          <w:color w:val="auto"/>
          <w:highlight w:val="none"/>
        </w:rPr>
        <w:t>5.2经磋商确定最终采购需求和提交最后报价的供应商后，由磋商小组采用综合评分法对提交最后报价的供应商的响应文件和最后报价进行综合评分。</w:t>
      </w:r>
    </w:p>
    <w:p w14:paraId="6150EF9F">
      <w:pPr>
        <w:spacing w:line="360" w:lineRule="auto"/>
        <w:ind w:firstLine="420" w:firstLineChars="200"/>
        <w:rPr>
          <w:color w:val="auto"/>
          <w:highlight w:val="none"/>
        </w:rPr>
      </w:pPr>
      <w:r>
        <w:rPr>
          <w:rFonts w:hint="eastAsia"/>
          <w:color w:val="auto"/>
          <w:highlight w:val="none"/>
        </w:rPr>
        <w:t>5.3评审时，磋商小组各成员应当独立对每个有效响应的文件进行评价、打分，然后汇总每个供应商每项评分因素的得分。</w:t>
      </w:r>
    </w:p>
    <w:p w14:paraId="79058E16">
      <w:pPr>
        <w:spacing w:line="360" w:lineRule="auto"/>
        <w:ind w:firstLine="420" w:firstLineChars="200"/>
        <w:rPr>
          <w:color w:val="auto"/>
          <w:highlight w:val="none"/>
        </w:rPr>
      </w:pPr>
      <w:r>
        <w:rPr>
          <w:rFonts w:hint="eastAsia"/>
          <w:color w:val="auto"/>
          <w:highlight w:val="none"/>
        </w:rPr>
        <w:t>（1）磋商小组按照磋商文件中规定的评审标准计算各供应商的报价得分。项目评审过程中，不得去掉最后报价中的最高报价和最低报价。</w:t>
      </w:r>
    </w:p>
    <w:p w14:paraId="6528CE56">
      <w:pPr>
        <w:spacing w:line="360" w:lineRule="auto"/>
        <w:ind w:firstLine="420" w:firstLineChars="200"/>
        <w:rPr>
          <w:color w:val="auto"/>
          <w:highlight w:val="none"/>
        </w:rPr>
      </w:pPr>
      <w:r>
        <w:rPr>
          <w:rFonts w:hint="eastAsia"/>
          <w:color w:val="auto"/>
          <w:highlight w:val="none"/>
        </w:rPr>
        <w:t>（2）各供应商的得分为磋商小组所有成员的有效评分的算术平均数。</w:t>
      </w:r>
    </w:p>
    <w:p w14:paraId="6980AC41">
      <w:pPr>
        <w:spacing w:line="360" w:lineRule="auto"/>
        <w:ind w:firstLine="420" w:firstLineChars="200"/>
        <w:rPr>
          <w:color w:val="auto"/>
          <w:highlight w:val="none"/>
        </w:rPr>
      </w:pPr>
      <w:r>
        <w:rPr>
          <w:rFonts w:hint="eastAsia"/>
          <w:color w:val="auto"/>
          <w:highlight w:val="none"/>
        </w:rPr>
        <w:t>5.4评审价为供应商的最后报价进行政策性扣除后的价格，评审价只是作为评审时使用。最终成交供应商的成交金额等于最后报价（如有修正，以确认修正后的最后报价为准）。</w:t>
      </w:r>
    </w:p>
    <w:p w14:paraId="085D32DA">
      <w:pPr>
        <w:spacing w:line="360" w:lineRule="auto"/>
        <w:ind w:firstLine="420" w:firstLineChars="200"/>
        <w:rPr>
          <w:color w:val="auto"/>
          <w:highlight w:val="none"/>
        </w:rPr>
      </w:pPr>
      <w:r>
        <w:rPr>
          <w:rFonts w:hint="eastAsia"/>
          <w:color w:val="auto"/>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A74849F">
      <w:pPr>
        <w:spacing w:line="360" w:lineRule="auto"/>
        <w:ind w:firstLine="420" w:firstLineChars="200"/>
        <w:rPr>
          <w:color w:val="auto"/>
          <w:highlight w:val="none"/>
        </w:rPr>
      </w:pPr>
      <w:r>
        <w:rPr>
          <w:rFonts w:hint="eastAsia"/>
          <w:color w:val="auto"/>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10C723">
      <w:pPr>
        <w:spacing w:line="360" w:lineRule="auto"/>
        <w:rPr>
          <w:b/>
          <w:bCs/>
          <w:color w:val="auto"/>
          <w:highlight w:val="none"/>
        </w:rPr>
      </w:pPr>
      <w:r>
        <w:rPr>
          <w:rFonts w:hint="eastAsia"/>
          <w:b/>
          <w:bCs/>
          <w:color w:val="auto"/>
          <w:highlight w:val="none"/>
        </w:rPr>
        <w:t>二、评定标准（综合评分法）</w:t>
      </w:r>
    </w:p>
    <w:p w14:paraId="15B481D4">
      <w:pPr>
        <w:spacing w:line="360" w:lineRule="auto"/>
        <w:ind w:firstLine="420" w:firstLineChars="200"/>
        <w:rPr>
          <w:color w:val="auto"/>
          <w:highlight w:val="none"/>
        </w:rPr>
      </w:pPr>
      <w:r>
        <w:rPr>
          <w:rFonts w:hint="eastAsia"/>
          <w:color w:val="auto"/>
          <w:highlight w:val="none"/>
        </w:rPr>
        <w:t>对进入详评的，磋商小组将以竞争性磋商文件、响应文件为评定依据，采用百分制综合评分法；计分办法（按四舍五入取至百分位）。</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685D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48E55C03">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2073" w:type="dxa"/>
            <w:gridSpan w:val="2"/>
            <w:vAlign w:val="center"/>
          </w:tcPr>
          <w:p w14:paraId="2207A932">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评审因素</w:t>
            </w:r>
          </w:p>
        </w:tc>
        <w:tc>
          <w:tcPr>
            <w:tcW w:w="5935" w:type="dxa"/>
            <w:vAlign w:val="center"/>
          </w:tcPr>
          <w:p w14:paraId="1AF2AF4B">
            <w:pPr>
              <w:snapToGrid w:val="0"/>
              <w:spacing w:line="360" w:lineRule="auto"/>
              <w:jc w:val="center"/>
              <w:rPr>
                <w:rFonts w:hint="eastAsia" w:ascii="宋体" w:hAnsi="宋体" w:cs="宋体"/>
                <w:color w:val="auto"/>
                <w:szCs w:val="21"/>
                <w:highlight w:val="none"/>
              </w:rPr>
            </w:pPr>
            <w:r>
              <w:rPr>
                <w:rFonts w:hint="eastAsia" w:ascii="宋体" w:hAnsi="宋体" w:cs="Tahoma"/>
                <w:b/>
                <w:bCs/>
                <w:color w:val="auto"/>
                <w:kern w:val="0"/>
                <w:szCs w:val="21"/>
                <w:highlight w:val="none"/>
              </w:rPr>
              <w:t>评审因素具体内容</w:t>
            </w:r>
          </w:p>
        </w:tc>
        <w:tc>
          <w:tcPr>
            <w:tcW w:w="807" w:type="dxa"/>
            <w:vAlign w:val="center"/>
          </w:tcPr>
          <w:p w14:paraId="6B3B98B3">
            <w:pPr>
              <w:snapToGrid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备注</w:t>
            </w:r>
          </w:p>
        </w:tc>
      </w:tr>
      <w:tr w14:paraId="646A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8D95FA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58" w:type="dxa"/>
            <w:vAlign w:val="center"/>
          </w:tcPr>
          <w:p w14:paraId="4637CEBB">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1115" w:type="dxa"/>
            <w:vAlign w:val="center"/>
          </w:tcPr>
          <w:p w14:paraId="6602AA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935" w:type="dxa"/>
            <w:vAlign w:val="center"/>
          </w:tcPr>
          <w:p w14:paraId="0F66513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（1）本项目专门面向中小微企业采购（供应商应为中小微企业或监狱企业或残疾人福利性单位)，不再执行价格评审优惠的扶持政策。</w:t>
            </w:r>
          </w:p>
          <w:p w14:paraId="6346E31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（2）以进入比较与评价环节的最后报价的最低价格为基准价，基准价得分为20分。</w:t>
            </w:r>
          </w:p>
          <w:p w14:paraId="31825B4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（3）价格分计算公式：报价得分=（基准价/最后报价）×20分</w:t>
            </w:r>
          </w:p>
        </w:tc>
        <w:tc>
          <w:tcPr>
            <w:tcW w:w="807" w:type="dxa"/>
            <w:vAlign w:val="center"/>
          </w:tcPr>
          <w:p w14:paraId="70F43A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3E3D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51F9927D">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958" w:type="dxa"/>
            <w:vAlign w:val="center"/>
          </w:tcPr>
          <w:p w14:paraId="6E75AB76">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技术</w:t>
            </w:r>
          </w:p>
        </w:tc>
        <w:tc>
          <w:tcPr>
            <w:tcW w:w="7050" w:type="dxa"/>
            <w:gridSpan w:val="2"/>
            <w:vAlign w:val="center"/>
          </w:tcPr>
          <w:p w14:paraId="333FB6D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满分</w:t>
            </w:r>
            <w:r>
              <w:rPr>
                <w:rFonts w:hint="eastAsia" w:ascii="宋体" w:hAnsi="宋体" w:cs="宋体"/>
                <w:color w:val="auto"/>
                <w:szCs w:val="21"/>
                <w:highlight w:val="none"/>
                <w:lang w:val="en-US" w:eastAsia="zh-CN"/>
              </w:rPr>
              <w:t>74分</w:t>
            </w:r>
          </w:p>
        </w:tc>
        <w:tc>
          <w:tcPr>
            <w:tcW w:w="807" w:type="dxa"/>
            <w:vAlign w:val="center"/>
          </w:tcPr>
          <w:p w14:paraId="2E564261">
            <w:pPr>
              <w:spacing w:line="360" w:lineRule="auto"/>
              <w:jc w:val="center"/>
              <w:rPr>
                <w:rFonts w:hint="eastAsia" w:ascii="宋体" w:hAnsi="宋体" w:cs="宋体"/>
                <w:b/>
                <w:bCs/>
                <w:color w:val="auto"/>
                <w:szCs w:val="21"/>
                <w:highlight w:val="none"/>
              </w:rPr>
            </w:pPr>
          </w:p>
        </w:tc>
      </w:tr>
      <w:tr w14:paraId="33AD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501D9C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58" w:type="dxa"/>
            <w:vMerge w:val="restart"/>
            <w:vAlign w:val="center"/>
          </w:tcPr>
          <w:p w14:paraId="1B1C4D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1115" w:type="dxa"/>
            <w:vAlign w:val="center"/>
          </w:tcPr>
          <w:p w14:paraId="27CAC6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（1）施工机械设备情况（满分10分）</w:t>
            </w:r>
          </w:p>
        </w:tc>
        <w:tc>
          <w:tcPr>
            <w:tcW w:w="5935" w:type="dxa"/>
            <w:vAlign w:val="center"/>
          </w:tcPr>
          <w:p w14:paraId="291C5B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由磋商小组在打分前根据供应商提供的拟投入施工机械设备情况，在相应档次内独立打分。</w:t>
            </w:r>
          </w:p>
          <w:p w14:paraId="3FDCFC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一档（0分）：投入的施工机械、设备、机具组织计划差，投入计划与进度计划不呼应，不能满足施工需要。</w:t>
            </w:r>
          </w:p>
          <w:p w14:paraId="1BDDF5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二档（3分）：投入的施工机械、设备、机具有组织计划，设备数量、选型配置、进场投入计划与进度计划呼应，基本满足施工需要。</w:t>
            </w:r>
          </w:p>
          <w:p w14:paraId="2D19ED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三档（6分）：投入的施工机械、设备、机具有详细的组织计划，设备数量、选型配置、进场投入计划与进度计划呼应，满足施工需要。</w:t>
            </w:r>
          </w:p>
          <w:p w14:paraId="56C7EAC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四档（10分）：投入的施工机械、设备、机具有详细的组织计划且计划周密，设备数量、选型配置、进场时间安排合理，满足施工需要。</w:t>
            </w:r>
          </w:p>
        </w:tc>
        <w:tc>
          <w:tcPr>
            <w:tcW w:w="807" w:type="dxa"/>
            <w:vAlign w:val="center"/>
          </w:tcPr>
          <w:p w14:paraId="4E8732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F2A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17CBAE44">
            <w:pPr>
              <w:spacing w:line="360" w:lineRule="auto"/>
              <w:jc w:val="center"/>
              <w:rPr>
                <w:rFonts w:hint="eastAsia" w:ascii="宋体" w:hAnsi="宋体" w:cs="宋体"/>
                <w:color w:val="auto"/>
                <w:szCs w:val="21"/>
                <w:highlight w:val="none"/>
              </w:rPr>
            </w:pPr>
          </w:p>
        </w:tc>
        <w:tc>
          <w:tcPr>
            <w:tcW w:w="958" w:type="dxa"/>
            <w:vMerge w:val="continue"/>
            <w:vAlign w:val="center"/>
          </w:tcPr>
          <w:p w14:paraId="7BE918C0">
            <w:pPr>
              <w:spacing w:line="360" w:lineRule="auto"/>
              <w:jc w:val="center"/>
              <w:rPr>
                <w:rFonts w:hint="eastAsia" w:ascii="宋体" w:hAnsi="宋体" w:cs="宋体"/>
                <w:color w:val="auto"/>
                <w:szCs w:val="21"/>
                <w:highlight w:val="none"/>
              </w:rPr>
            </w:pPr>
          </w:p>
        </w:tc>
        <w:tc>
          <w:tcPr>
            <w:tcW w:w="1115" w:type="dxa"/>
            <w:vAlign w:val="center"/>
          </w:tcPr>
          <w:p w14:paraId="38678AD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（2）劳动力安排计划（满分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774635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磋商小组在打分前根据供应商提供的劳动力安排计划，在相应档次内独立打分。</w:t>
            </w:r>
          </w:p>
          <w:p w14:paraId="5B719A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一档（0分）：各主要施工工序劳动力安排计划不全，无各工种劳动力安排计划或计划不全，劳动力投入不合理，不能满足施工需要。</w:t>
            </w:r>
          </w:p>
          <w:p w14:paraId="30419E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二档（3分）：各主要施工工序应有劳动力安排计划，有各工种劳动力安排计划，劳动力投入基本合理，基本满足施工需要。</w:t>
            </w:r>
          </w:p>
          <w:p w14:paraId="606212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三档（6分）：各主要施工工序有详细的劳动力安排计划，有各工种劳动力安排计划，劳动力投入合理，满足施工需要。</w:t>
            </w:r>
          </w:p>
          <w:p w14:paraId="2D655E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分）：各主要施工工序有详细周密的劳动力安排计划，各工种劳动力安排计划齐全，劳动力投入与进度计划呼应合理，满足施工需要。</w:t>
            </w:r>
          </w:p>
        </w:tc>
        <w:tc>
          <w:tcPr>
            <w:tcW w:w="807" w:type="dxa"/>
            <w:vAlign w:val="center"/>
          </w:tcPr>
          <w:p w14:paraId="24F892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809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172D7">
            <w:pPr>
              <w:spacing w:line="360" w:lineRule="auto"/>
              <w:jc w:val="center"/>
              <w:rPr>
                <w:rFonts w:hint="eastAsia" w:ascii="宋体" w:hAnsi="宋体" w:cs="宋体"/>
                <w:color w:val="auto"/>
                <w:szCs w:val="21"/>
                <w:highlight w:val="none"/>
              </w:rPr>
            </w:pPr>
          </w:p>
        </w:tc>
        <w:tc>
          <w:tcPr>
            <w:tcW w:w="958" w:type="dxa"/>
            <w:vMerge w:val="continue"/>
            <w:vAlign w:val="center"/>
          </w:tcPr>
          <w:p w14:paraId="061F7CD9">
            <w:pPr>
              <w:spacing w:line="360" w:lineRule="auto"/>
              <w:jc w:val="center"/>
              <w:rPr>
                <w:rFonts w:hint="eastAsia" w:ascii="宋体" w:hAnsi="宋体" w:cs="宋体"/>
                <w:color w:val="auto"/>
                <w:szCs w:val="21"/>
                <w:highlight w:val="none"/>
              </w:rPr>
            </w:pPr>
          </w:p>
        </w:tc>
        <w:tc>
          <w:tcPr>
            <w:tcW w:w="1115" w:type="dxa"/>
            <w:vAlign w:val="center"/>
          </w:tcPr>
          <w:p w14:paraId="0105430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（3）确保工程质量的技术组织措施（满分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935" w:type="dxa"/>
          </w:tcPr>
          <w:p w14:paraId="41E97E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磋商小组在打分前根据供应商提供的工程质量技术组织措施，在相应档次内独立打分。</w:t>
            </w:r>
          </w:p>
          <w:p w14:paraId="35A979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一档（0分）：质量技术管理班子人员配备不合理，制度不健全。质量技术保证措施和手段不可行，没有质量违约责任承诺。</w:t>
            </w:r>
          </w:p>
          <w:p w14:paraId="41B101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二档（3分）：质量技术管理班子人员配备基本合理，制度基本健全。主要工序有质量技术保证措施和手段，能有效保证技术质量，满足磋商文件的质量要求。</w:t>
            </w:r>
          </w:p>
          <w:p w14:paraId="3E865B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三档（6分）：有专门的质量技术管理班子和制度，且人员配备合理，制度健全。主要工序有质量技术保证措施和手段，自控体系完整，能有效保证技术质量，达到承诺的质量标准。</w:t>
            </w:r>
          </w:p>
          <w:p w14:paraId="43630E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vAlign w:val="center"/>
          </w:tcPr>
          <w:p w14:paraId="4A1D105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DFD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7B671C3A">
            <w:pPr>
              <w:spacing w:line="360" w:lineRule="auto"/>
              <w:jc w:val="center"/>
              <w:rPr>
                <w:rFonts w:hint="eastAsia" w:ascii="宋体" w:hAnsi="宋体" w:cs="宋体"/>
                <w:color w:val="auto"/>
                <w:szCs w:val="21"/>
                <w:highlight w:val="none"/>
              </w:rPr>
            </w:pPr>
          </w:p>
        </w:tc>
        <w:tc>
          <w:tcPr>
            <w:tcW w:w="958" w:type="dxa"/>
            <w:vMerge w:val="continue"/>
            <w:vAlign w:val="center"/>
          </w:tcPr>
          <w:p w14:paraId="3DB2DACD">
            <w:pPr>
              <w:spacing w:line="360" w:lineRule="auto"/>
              <w:jc w:val="center"/>
              <w:rPr>
                <w:rFonts w:hint="eastAsia" w:ascii="宋体" w:hAnsi="宋体" w:cs="宋体"/>
                <w:color w:val="auto"/>
                <w:szCs w:val="21"/>
                <w:highlight w:val="none"/>
              </w:rPr>
            </w:pPr>
          </w:p>
        </w:tc>
        <w:tc>
          <w:tcPr>
            <w:tcW w:w="1115" w:type="dxa"/>
            <w:vAlign w:val="center"/>
          </w:tcPr>
          <w:p w14:paraId="1180BC8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（4）确保安全生产的技术组织措施（满分10分）</w:t>
            </w:r>
          </w:p>
        </w:tc>
        <w:tc>
          <w:tcPr>
            <w:tcW w:w="5935" w:type="dxa"/>
          </w:tcPr>
          <w:p w14:paraId="12CD10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磋商小组在打分前根据供应商提供的安全生产技术组织措施，在相应档次内独立打分。</w:t>
            </w:r>
          </w:p>
          <w:p w14:paraId="5FF2BB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配备满足项目要求的专职安全员，人员配备不合理，安全管理制度不健全，各道工序安全技术措施基本符合实际，不能满足有关安全技术标准要求。现场防火、应急救援、社会治安安全措施不合理。</w:t>
            </w:r>
          </w:p>
          <w:p w14:paraId="7DFEFC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3A1945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三档（6分）：有配备满足项目要求的专职安全员，人员配备合理，有健全的安全管理制度，各道工序安全技术措施符合实际且满足有关安全技术标准要求。现场防火、应急救援、社会治安安全措施合理。</w:t>
            </w:r>
          </w:p>
          <w:p w14:paraId="769144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vAlign w:val="center"/>
          </w:tcPr>
          <w:p w14:paraId="3E0C03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738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230E6FB5">
            <w:pPr>
              <w:spacing w:line="360" w:lineRule="auto"/>
              <w:jc w:val="center"/>
              <w:rPr>
                <w:rFonts w:hint="eastAsia" w:ascii="宋体" w:hAnsi="宋体" w:cs="宋体"/>
                <w:color w:val="auto"/>
                <w:szCs w:val="21"/>
                <w:highlight w:val="none"/>
              </w:rPr>
            </w:pPr>
          </w:p>
        </w:tc>
        <w:tc>
          <w:tcPr>
            <w:tcW w:w="958" w:type="dxa"/>
            <w:vMerge w:val="continue"/>
            <w:vAlign w:val="center"/>
          </w:tcPr>
          <w:p w14:paraId="7BE04998">
            <w:pPr>
              <w:spacing w:line="360" w:lineRule="auto"/>
              <w:jc w:val="center"/>
              <w:rPr>
                <w:rFonts w:hint="eastAsia" w:ascii="宋体" w:hAnsi="宋体" w:cs="宋体"/>
                <w:color w:val="auto"/>
                <w:szCs w:val="21"/>
                <w:highlight w:val="none"/>
              </w:rPr>
            </w:pPr>
          </w:p>
        </w:tc>
        <w:tc>
          <w:tcPr>
            <w:tcW w:w="1115" w:type="dxa"/>
            <w:vAlign w:val="center"/>
          </w:tcPr>
          <w:p w14:paraId="66743A1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（5）确保工期的技术组织措施（满分10分）</w:t>
            </w:r>
          </w:p>
        </w:tc>
        <w:tc>
          <w:tcPr>
            <w:tcW w:w="5935" w:type="dxa"/>
          </w:tcPr>
          <w:p w14:paraId="13E45C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磋商小组在打分前根据供应商提供的工期技术组织措施，在相应档次内独立打分。</w:t>
            </w:r>
          </w:p>
          <w:p w14:paraId="3AC6B2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一档（0分）：有保证工期的具体措施。各项计划图表编制不完善，安排不合理，不能满足本项目施工实际要求。</w:t>
            </w:r>
          </w:p>
          <w:p w14:paraId="73AF2B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二档（3分）：有保证工期的具体措施，措施基本得当。各项计划图表编制基本齐全，安排基本合理，基本符合本项目施工实际要求。</w:t>
            </w:r>
          </w:p>
          <w:p w14:paraId="2230A9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三档（6分）：有保证工期的具体措施且措施得当。各项计划图表编制完善，安排较合理，符合本项目施工实际要求。</w:t>
            </w:r>
          </w:p>
          <w:p w14:paraId="3FF1AB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四档（10分）：有保证工期的具体措施且措施得力。各项计划图表编制详尽周密，安排科学合理，符合本项目施工实际要求。</w:t>
            </w:r>
          </w:p>
        </w:tc>
        <w:tc>
          <w:tcPr>
            <w:tcW w:w="807" w:type="dxa"/>
            <w:vAlign w:val="center"/>
          </w:tcPr>
          <w:p w14:paraId="3552DE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1BA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686D61B9">
            <w:pPr>
              <w:spacing w:line="360" w:lineRule="auto"/>
              <w:jc w:val="center"/>
              <w:rPr>
                <w:rFonts w:hint="eastAsia" w:ascii="宋体" w:hAnsi="宋体" w:cs="宋体"/>
                <w:color w:val="auto"/>
                <w:szCs w:val="21"/>
                <w:highlight w:val="none"/>
              </w:rPr>
            </w:pPr>
          </w:p>
        </w:tc>
        <w:tc>
          <w:tcPr>
            <w:tcW w:w="958" w:type="dxa"/>
            <w:vMerge w:val="continue"/>
            <w:vAlign w:val="center"/>
          </w:tcPr>
          <w:p w14:paraId="474AE088">
            <w:pPr>
              <w:spacing w:line="360" w:lineRule="auto"/>
              <w:jc w:val="center"/>
              <w:rPr>
                <w:rFonts w:hint="eastAsia" w:ascii="宋体" w:hAnsi="宋体" w:cs="宋体"/>
                <w:color w:val="auto"/>
                <w:szCs w:val="21"/>
                <w:highlight w:val="none"/>
              </w:rPr>
            </w:pPr>
          </w:p>
        </w:tc>
        <w:tc>
          <w:tcPr>
            <w:tcW w:w="1115" w:type="dxa"/>
            <w:vAlign w:val="center"/>
          </w:tcPr>
          <w:p w14:paraId="1E94919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（6）确保文明施工的技术组织措施（满分10分）</w:t>
            </w:r>
          </w:p>
        </w:tc>
        <w:tc>
          <w:tcPr>
            <w:tcW w:w="5935" w:type="dxa"/>
          </w:tcPr>
          <w:p w14:paraId="44A1C2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磋商小组在打分前根据供应商提供的文明施工技术组织措施，在相应档次内独立打分。</w:t>
            </w:r>
          </w:p>
          <w:p w14:paraId="0CA598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一档（0分）：现场文明施工、环境保护措施和内容与相关施工安全生产标准或文明施工要求的的要求偏差大，</w:t>
            </w:r>
            <w:r>
              <w:rPr>
                <w:rFonts w:hint="eastAsia" w:ascii="宋体" w:hAnsi="宋体" w:cs="宋体"/>
                <w:color w:val="auto"/>
                <w:szCs w:val="21"/>
                <w:highlight w:val="none"/>
                <w:lang w:eastAsia="zh-CN"/>
              </w:rPr>
              <w:t>无</w:t>
            </w:r>
            <w:r>
              <w:rPr>
                <w:rFonts w:hint="eastAsia" w:ascii="宋体" w:hAnsi="宋体" w:cs="宋体"/>
                <w:color w:val="auto"/>
                <w:szCs w:val="21"/>
                <w:highlight w:val="none"/>
              </w:rPr>
              <w:t>现场文明施工目标的承诺。</w:t>
            </w:r>
          </w:p>
          <w:p w14:paraId="47D611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二档（3分）：现场文明施工、环境保护措施和内容基本达到相关施工安全生产标准或文明施工要求的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有具体现场文明施工目标的承诺。</w:t>
            </w:r>
          </w:p>
          <w:p w14:paraId="7A70DF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三档（6分）：现场文明施工、环境保护措施和内容达到相关施工安全生产标准或文明施工要求的；承诺创建市级文明工地和标准化工地，而且各项措施周全、具体、有效的。</w:t>
            </w:r>
          </w:p>
          <w:p w14:paraId="573C3B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四档（10分）：现场文明施工、环境保护措施和内容达到相关施工安全生产标准或文明施工要求的；承诺创建自治区级及以上文明工地和标准化工地，而且各项措施周全、具体、有效的。</w:t>
            </w:r>
          </w:p>
        </w:tc>
        <w:tc>
          <w:tcPr>
            <w:tcW w:w="807" w:type="dxa"/>
            <w:vAlign w:val="center"/>
          </w:tcPr>
          <w:p w14:paraId="3CBF8D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CA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4DDB2D04">
            <w:pPr>
              <w:spacing w:line="360" w:lineRule="auto"/>
              <w:jc w:val="center"/>
              <w:rPr>
                <w:rFonts w:hint="eastAsia" w:ascii="宋体" w:hAnsi="宋体" w:cs="宋体"/>
                <w:color w:val="auto"/>
                <w:szCs w:val="21"/>
                <w:highlight w:val="none"/>
              </w:rPr>
            </w:pPr>
          </w:p>
        </w:tc>
        <w:tc>
          <w:tcPr>
            <w:tcW w:w="958" w:type="dxa"/>
            <w:vMerge w:val="continue"/>
            <w:vAlign w:val="center"/>
          </w:tcPr>
          <w:p w14:paraId="6C5AD14F">
            <w:pPr>
              <w:spacing w:line="360" w:lineRule="auto"/>
              <w:jc w:val="center"/>
              <w:rPr>
                <w:rFonts w:hint="eastAsia" w:ascii="宋体" w:hAnsi="宋体" w:cs="宋体"/>
                <w:color w:val="auto"/>
                <w:szCs w:val="21"/>
                <w:highlight w:val="none"/>
              </w:rPr>
            </w:pPr>
          </w:p>
        </w:tc>
        <w:tc>
          <w:tcPr>
            <w:tcW w:w="1115" w:type="dxa"/>
            <w:vAlign w:val="center"/>
          </w:tcPr>
          <w:p w14:paraId="731CC24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（7）工程施工的重点和难点及保证措施（满分10分）</w:t>
            </w:r>
          </w:p>
        </w:tc>
        <w:tc>
          <w:tcPr>
            <w:tcW w:w="5935" w:type="dxa"/>
          </w:tcPr>
          <w:p w14:paraId="315509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磋商小组在打分前根据供应商提供的工程施工重点和难点及保证措施，在相应档次内独立打分。</w:t>
            </w:r>
          </w:p>
          <w:p w14:paraId="265AAE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一档（0分）：未针对该项目的难点、重点进行分析，未考虑各部分施工如何相互交叉和衔接，施工质量效果和设计效果的无法统一。</w:t>
            </w:r>
          </w:p>
          <w:p w14:paraId="7FE8EC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二档（3分）：针对该项目的难点、重点分析不具体，各部分施工如何相互交叉和衔接不合理，施工质量效果和设计效果有较大差距。</w:t>
            </w:r>
          </w:p>
          <w:p w14:paraId="25C267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三档（6分）：针对该项目的难点、重点分析简单，未重点考虑各部分施工如何相互交叉和衔接，施工质量效果基本达到设计效果。</w:t>
            </w:r>
          </w:p>
          <w:p w14:paraId="2E005D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四档（10分）：针对该项目的难点、重点详细分析，重点考虑各部分施工如何相互交叉和衔接，以保证施工质量效果和设计效果的完美统一。</w:t>
            </w:r>
          </w:p>
        </w:tc>
        <w:tc>
          <w:tcPr>
            <w:tcW w:w="807" w:type="dxa"/>
            <w:vAlign w:val="center"/>
          </w:tcPr>
          <w:p w14:paraId="5F1250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6F4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5E30DE6E">
            <w:pPr>
              <w:spacing w:line="360" w:lineRule="auto"/>
              <w:jc w:val="center"/>
              <w:rPr>
                <w:rFonts w:hint="eastAsia" w:ascii="宋体" w:hAnsi="宋体" w:cs="宋体"/>
                <w:color w:val="auto"/>
                <w:szCs w:val="21"/>
                <w:highlight w:val="none"/>
              </w:rPr>
            </w:pPr>
          </w:p>
        </w:tc>
        <w:tc>
          <w:tcPr>
            <w:tcW w:w="958" w:type="dxa"/>
            <w:vMerge w:val="continue"/>
            <w:vAlign w:val="center"/>
          </w:tcPr>
          <w:p w14:paraId="13D1FC1A">
            <w:pPr>
              <w:spacing w:line="360" w:lineRule="auto"/>
              <w:jc w:val="center"/>
              <w:rPr>
                <w:rFonts w:hint="eastAsia" w:ascii="宋体" w:hAnsi="宋体" w:cs="宋体"/>
                <w:color w:val="auto"/>
                <w:szCs w:val="21"/>
                <w:highlight w:val="none"/>
              </w:rPr>
            </w:pPr>
          </w:p>
        </w:tc>
        <w:tc>
          <w:tcPr>
            <w:tcW w:w="1115" w:type="dxa"/>
            <w:vAlign w:val="center"/>
          </w:tcPr>
          <w:p w14:paraId="79C138A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（8）施工总平面布置图（满分5分）</w:t>
            </w:r>
          </w:p>
        </w:tc>
        <w:tc>
          <w:tcPr>
            <w:tcW w:w="5935" w:type="dxa"/>
          </w:tcPr>
          <w:p w14:paraId="04A641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磋商小组在打分前根据供应商提供的本工程施工总平面布置图，在相应档次内独立打分。</w:t>
            </w:r>
          </w:p>
          <w:p w14:paraId="79278F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一档（0分）：总体布置不合理，不符合安全、文明生产要求。</w:t>
            </w:r>
          </w:p>
          <w:p w14:paraId="7DB8996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二档（1分）：总体布置基本合理，基本满足施工需要。</w:t>
            </w:r>
          </w:p>
          <w:p w14:paraId="2DE213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三档（3分）：总体布置合理，能满足施工需要，基本符合安全、文明生产要求。</w:t>
            </w:r>
          </w:p>
          <w:p w14:paraId="550B80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四档（5分）：总体布置有针对性、合理，较好满足施工需要，符合安全、文明生产要求。</w:t>
            </w:r>
          </w:p>
        </w:tc>
        <w:tc>
          <w:tcPr>
            <w:tcW w:w="807" w:type="dxa"/>
            <w:vAlign w:val="center"/>
          </w:tcPr>
          <w:p w14:paraId="354083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5F3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19" w:type="dxa"/>
            <w:vMerge w:val="restart"/>
            <w:vAlign w:val="center"/>
          </w:tcPr>
          <w:p w14:paraId="678742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8" w:type="dxa"/>
            <w:vMerge w:val="restart"/>
            <w:vAlign w:val="center"/>
          </w:tcPr>
          <w:p w14:paraId="4AFD113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w:t>
            </w:r>
            <w:r>
              <w:rPr>
                <w:rFonts w:hint="eastAsia" w:ascii="宋体" w:hAnsi="宋体" w:cs="宋体"/>
                <w:color w:val="auto"/>
                <w:szCs w:val="21"/>
                <w:highlight w:val="none"/>
                <w:lang w:eastAsia="zh-CN"/>
              </w:rPr>
              <w:t>分（满分</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lang w:eastAsia="zh-CN"/>
              </w:rPr>
              <w:t>）</w:t>
            </w:r>
          </w:p>
        </w:tc>
        <w:tc>
          <w:tcPr>
            <w:tcW w:w="1115" w:type="dxa"/>
            <w:vAlign w:val="center"/>
          </w:tcPr>
          <w:p w14:paraId="15D2A09E">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实力信誉（满分3分）</w:t>
            </w:r>
          </w:p>
        </w:tc>
        <w:tc>
          <w:tcPr>
            <w:tcW w:w="5935" w:type="dxa"/>
            <w:vAlign w:val="center"/>
          </w:tcPr>
          <w:p w14:paraId="565F113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供应商通过ISO9001质量管理体系认证、ISO14001环境管理体系认证、ISO45001职业健康安全管理体系认证，每提供1项得1分，此项满分为3分。注：以上认证证书复印件并加盖公章，否则不计分。</w:t>
            </w:r>
          </w:p>
        </w:tc>
        <w:tc>
          <w:tcPr>
            <w:tcW w:w="807" w:type="dxa"/>
            <w:vAlign w:val="center"/>
          </w:tcPr>
          <w:p w14:paraId="01A4D5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2E1F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19" w:type="dxa"/>
            <w:vMerge w:val="continue"/>
            <w:vAlign w:val="center"/>
          </w:tcPr>
          <w:p w14:paraId="17B58CFE">
            <w:pPr>
              <w:spacing w:line="360" w:lineRule="auto"/>
              <w:jc w:val="center"/>
              <w:rPr>
                <w:rFonts w:hint="eastAsia" w:ascii="宋体" w:hAnsi="宋体" w:cs="宋体"/>
                <w:color w:val="auto"/>
                <w:szCs w:val="21"/>
                <w:highlight w:val="none"/>
              </w:rPr>
            </w:pPr>
          </w:p>
        </w:tc>
        <w:tc>
          <w:tcPr>
            <w:tcW w:w="958" w:type="dxa"/>
            <w:vMerge w:val="continue"/>
            <w:vAlign w:val="center"/>
          </w:tcPr>
          <w:p w14:paraId="51591A0F">
            <w:pPr>
              <w:spacing w:line="360" w:lineRule="auto"/>
              <w:jc w:val="center"/>
              <w:rPr>
                <w:rFonts w:hint="eastAsia" w:ascii="宋体" w:hAnsi="宋体" w:cs="宋体"/>
                <w:color w:val="auto"/>
                <w:szCs w:val="21"/>
                <w:highlight w:val="none"/>
              </w:rPr>
            </w:pPr>
          </w:p>
        </w:tc>
        <w:tc>
          <w:tcPr>
            <w:tcW w:w="1115" w:type="dxa"/>
            <w:vAlign w:val="center"/>
          </w:tcPr>
          <w:p w14:paraId="665965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5935" w:type="dxa"/>
            <w:vAlign w:val="center"/>
          </w:tcPr>
          <w:p w14:paraId="76F7E3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年以来完成过类似项目业绩的，每个业绩得1分，满分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分。【附成交(或中标)通知书或合同协议书复印件并加盖供应商电子公章】</w:t>
            </w:r>
          </w:p>
        </w:tc>
        <w:tc>
          <w:tcPr>
            <w:tcW w:w="807" w:type="dxa"/>
            <w:vAlign w:val="center"/>
          </w:tcPr>
          <w:p w14:paraId="18FF8C6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6111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474E0E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7050" w:type="dxa"/>
            <w:gridSpan w:val="2"/>
            <w:vAlign w:val="center"/>
          </w:tcPr>
          <w:p w14:paraId="1897F68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=报价分得分+技术分得分+商务分得分</w:t>
            </w:r>
          </w:p>
        </w:tc>
        <w:tc>
          <w:tcPr>
            <w:tcW w:w="807" w:type="dxa"/>
            <w:vAlign w:val="center"/>
          </w:tcPr>
          <w:p w14:paraId="18D93D50">
            <w:pPr>
              <w:spacing w:line="360" w:lineRule="auto"/>
              <w:jc w:val="left"/>
              <w:rPr>
                <w:rFonts w:hint="eastAsia" w:ascii="宋体" w:hAnsi="宋体" w:cs="宋体"/>
                <w:color w:val="auto"/>
                <w:szCs w:val="21"/>
                <w:highlight w:val="none"/>
              </w:rPr>
            </w:pPr>
          </w:p>
        </w:tc>
      </w:tr>
    </w:tbl>
    <w:p w14:paraId="0454DA80">
      <w:pPr>
        <w:spacing w:line="360" w:lineRule="auto"/>
        <w:rPr>
          <w:b/>
          <w:bCs/>
          <w:color w:val="auto"/>
          <w:highlight w:val="none"/>
        </w:rPr>
      </w:pPr>
      <w:r>
        <w:rPr>
          <w:rFonts w:hint="eastAsia"/>
          <w:b/>
          <w:bCs/>
          <w:color w:val="auto"/>
          <w:highlight w:val="none"/>
        </w:rPr>
        <w:t>三、成交候选供应商推荐原则</w:t>
      </w:r>
    </w:p>
    <w:p w14:paraId="464F0909">
      <w:pPr>
        <w:spacing w:line="360" w:lineRule="auto"/>
        <w:ind w:firstLine="420" w:firstLineChars="200"/>
        <w:rPr>
          <w:color w:val="auto"/>
          <w:highlight w:val="none"/>
        </w:rPr>
      </w:pPr>
      <w:r>
        <w:rPr>
          <w:rFonts w:hint="eastAsia"/>
          <w:color w:val="auto"/>
          <w:highlight w:val="none"/>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611A825F">
      <w:pPr>
        <w:spacing w:line="360" w:lineRule="auto"/>
        <w:ind w:firstLine="420" w:firstLineChars="200"/>
        <w:rPr>
          <w:color w:val="auto"/>
          <w:highlight w:val="none"/>
        </w:rPr>
      </w:pPr>
      <w:r>
        <w:rPr>
          <w:rFonts w:hint="eastAsia"/>
          <w:color w:val="auto"/>
          <w:highlight w:val="none"/>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51086A20">
      <w:pPr>
        <w:pStyle w:val="46"/>
        <w:rPr>
          <w:rFonts w:hint="eastAsia" w:ascii="黑体" w:hAnsi="宋体" w:eastAsia="黑体" w:cs="Times New Roman"/>
          <w:b/>
          <w:bCs/>
          <w:color w:val="auto"/>
          <w:sz w:val="36"/>
          <w:szCs w:val="36"/>
          <w:highlight w:val="none"/>
        </w:rPr>
      </w:pPr>
    </w:p>
    <w:p w14:paraId="4ADC31E1">
      <w:pPr>
        <w:pStyle w:val="46"/>
        <w:rPr>
          <w:rFonts w:hint="eastAsia" w:ascii="黑体" w:hAnsi="宋体" w:eastAsia="黑体" w:cs="Times New Roman"/>
          <w:b/>
          <w:bCs/>
          <w:color w:val="auto"/>
          <w:sz w:val="36"/>
          <w:szCs w:val="36"/>
          <w:highlight w:val="none"/>
        </w:rPr>
      </w:pPr>
    </w:p>
    <w:p w14:paraId="7C725FEC">
      <w:pPr>
        <w:pStyle w:val="46"/>
        <w:rPr>
          <w:rFonts w:hint="eastAsia" w:ascii="黑体" w:hAnsi="宋体" w:eastAsia="黑体" w:cs="Times New Roman"/>
          <w:b/>
          <w:bCs/>
          <w:color w:val="auto"/>
          <w:sz w:val="36"/>
          <w:szCs w:val="36"/>
          <w:highlight w:val="none"/>
        </w:rPr>
      </w:pPr>
    </w:p>
    <w:p w14:paraId="4AD6E31C">
      <w:pPr>
        <w:rPr>
          <w:rFonts w:hint="eastAsia" w:ascii="黑体" w:hAnsi="宋体" w:eastAsia="黑体"/>
          <w:b/>
          <w:bCs/>
          <w:color w:val="auto"/>
          <w:kern w:val="0"/>
          <w:sz w:val="36"/>
          <w:szCs w:val="36"/>
          <w:highlight w:val="none"/>
        </w:rPr>
      </w:pPr>
      <w:bookmarkStart w:id="67" w:name="_Toc15543"/>
      <w:r>
        <w:rPr>
          <w:rFonts w:hint="eastAsia" w:ascii="黑体" w:hAnsi="宋体" w:eastAsia="黑体"/>
          <w:b/>
          <w:bCs/>
          <w:color w:val="auto"/>
          <w:kern w:val="0"/>
          <w:sz w:val="36"/>
          <w:szCs w:val="36"/>
          <w:highlight w:val="none"/>
        </w:rPr>
        <w:br w:type="page"/>
      </w:r>
    </w:p>
    <w:p w14:paraId="30D3851C">
      <w:pPr>
        <w:pStyle w:val="14"/>
        <w:spacing w:line="500" w:lineRule="exact"/>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3DA65824">
      <w:pPr>
        <w:autoSpaceDE w:val="0"/>
        <w:autoSpaceDN w:val="0"/>
        <w:adjustRightInd w:val="0"/>
        <w:spacing w:line="360" w:lineRule="auto"/>
        <w:rPr>
          <w:rFonts w:ascii="宋体" w:cs="宋体"/>
          <w:color w:val="auto"/>
          <w:szCs w:val="21"/>
          <w:highlight w:val="none"/>
          <w:lang w:val="zh-CN"/>
        </w:rPr>
      </w:pPr>
    </w:p>
    <w:p w14:paraId="3190362B">
      <w:pPr>
        <w:rPr>
          <w:b/>
          <w:color w:val="auto"/>
          <w:sz w:val="32"/>
          <w:szCs w:val="32"/>
          <w:highlight w:val="none"/>
        </w:rPr>
      </w:pPr>
      <w:bookmarkStart w:id="68" w:name="_Toc31728084"/>
      <w:bookmarkStart w:id="69" w:name="_Toc31723070"/>
      <w:bookmarkStart w:id="70" w:name="_Toc35611516"/>
      <w:bookmarkStart w:id="71" w:name="_Toc44229899"/>
      <w:bookmarkStart w:id="72" w:name="_Toc35611438"/>
      <w:bookmarkStart w:id="73" w:name="_Toc71366186"/>
      <w:r>
        <w:rPr>
          <w:rFonts w:hint="eastAsia"/>
          <w:b/>
          <w:color w:val="auto"/>
          <w:sz w:val="32"/>
          <w:szCs w:val="32"/>
          <w:highlight w:val="none"/>
        </w:rPr>
        <w:t>一、资格证明文件格式</w:t>
      </w:r>
      <w:bookmarkEnd w:id="68"/>
      <w:bookmarkEnd w:id="69"/>
      <w:bookmarkEnd w:id="70"/>
      <w:bookmarkEnd w:id="71"/>
      <w:bookmarkEnd w:id="72"/>
      <w:bookmarkEnd w:id="73"/>
    </w:p>
    <w:p w14:paraId="047AE857">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A30077A">
      <w:pPr>
        <w:snapToGrid w:val="0"/>
        <w:spacing w:before="156" w:beforeLines="50" w:after="50"/>
        <w:jc w:val="center"/>
        <w:rPr>
          <w:rFonts w:hint="eastAsia" w:ascii="宋体" w:hAnsi="宋体"/>
          <w:color w:val="auto"/>
          <w:sz w:val="44"/>
          <w:szCs w:val="44"/>
          <w:highlight w:val="none"/>
        </w:rPr>
      </w:pPr>
    </w:p>
    <w:p w14:paraId="1F9BC42A">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35C14804">
      <w:pPr>
        <w:snapToGrid w:val="0"/>
        <w:spacing w:before="156" w:beforeLines="50" w:after="50"/>
        <w:rPr>
          <w:rFonts w:hint="eastAsia" w:ascii="宋体" w:hAnsi="宋体"/>
          <w:color w:val="auto"/>
          <w:sz w:val="24"/>
          <w:szCs w:val="20"/>
          <w:highlight w:val="none"/>
        </w:rPr>
      </w:pPr>
    </w:p>
    <w:p w14:paraId="52F4833D">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95BA76F">
      <w:pPr>
        <w:snapToGrid w:val="0"/>
        <w:spacing w:before="156" w:beforeLines="50" w:after="50"/>
        <w:rPr>
          <w:rFonts w:hint="eastAsia" w:ascii="宋体" w:hAnsi="宋体"/>
          <w:bCs/>
          <w:color w:val="auto"/>
          <w:sz w:val="24"/>
          <w:szCs w:val="20"/>
          <w:highlight w:val="none"/>
        </w:rPr>
      </w:pPr>
    </w:p>
    <w:p w14:paraId="1C3312DC">
      <w:pPr>
        <w:snapToGrid w:val="0"/>
        <w:spacing w:before="156" w:beforeLines="50" w:after="50"/>
        <w:rPr>
          <w:rFonts w:hint="eastAsia" w:ascii="宋体" w:hAnsi="宋体"/>
          <w:bCs/>
          <w:color w:val="auto"/>
          <w:sz w:val="24"/>
          <w:szCs w:val="20"/>
          <w:highlight w:val="none"/>
        </w:rPr>
      </w:pPr>
    </w:p>
    <w:p w14:paraId="6E674AF9">
      <w:pPr>
        <w:snapToGrid w:val="0"/>
        <w:spacing w:before="156" w:beforeLines="50" w:after="50"/>
        <w:rPr>
          <w:rFonts w:hint="eastAsia" w:ascii="宋体" w:hAnsi="宋体"/>
          <w:bCs/>
          <w:color w:val="auto"/>
          <w:sz w:val="24"/>
          <w:szCs w:val="20"/>
          <w:highlight w:val="none"/>
        </w:rPr>
      </w:pPr>
    </w:p>
    <w:p w14:paraId="0BB4367C">
      <w:pPr>
        <w:snapToGrid w:val="0"/>
        <w:spacing w:before="156" w:beforeLines="50" w:after="50"/>
        <w:rPr>
          <w:rFonts w:hint="eastAsia" w:ascii="宋体" w:hAnsi="宋体"/>
          <w:bCs/>
          <w:color w:val="auto"/>
          <w:sz w:val="24"/>
          <w:szCs w:val="20"/>
          <w:highlight w:val="none"/>
        </w:rPr>
      </w:pPr>
    </w:p>
    <w:p w14:paraId="1B9AE8A0">
      <w:pPr>
        <w:snapToGrid w:val="0"/>
        <w:spacing w:before="156" w:beforeLines="50" w:after="50"/>
        <w:rPr>
          <w:rFonts w:hint="eastAsia" w:ascii="宋体" w:hAnsi="宋体"/>
          <w:bCs/>
          <w:color w:val="auto"/>
          <w:sz w:val="24"/>
          <w:szCs w:val="20"/>
          <w:highlight w:val="none"/>
        </w:rPr>
      </w:pPr>
    </w:p>
    <w:p w14:paraId="20DAF0B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A520F07">
      <w:pPr>
        <w:snapToGrid w:val="0"/>
        <w:spacing w:before="156" w:beforeLines="50" w:after="50"/>
        <w:ind w:firstLine="720" w:firstLineChars="225"/>
        <w:rPr>
          <w:rFonts w:hint="eastAsia" w:ascii="宋体" w:hAnsi="宋体" w:cs="仿宋_GB2312"/>
          <w:bCs/>
          <w:color w:val="auto"/>
          <w:sz w:val="32"/>
          <w:szCs w:val="32"/>
          <w:highlight w:val="none"/>
        </w:rPr>
      </w:pPr>
    </w:p>
    <w:p w14:paraId="091731E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9E1FA6D">
      <w:pPr>
        <w:snapToGrid w:val="0"/>
        <w:spacing w:before="156" w:beforeLines="50" w:after="50"/>
        <w:ind w:firstLine="720" w:firstLineChars="225"/>
        <w:rPr>
          <w:rFonts w:hint="eastAsia" w:ascii="宋体" w:hAnsi="宋体" w:cs="仿宋_GB2312"/>
          <w:bCs/>
          <w:color w:val="auto"/>
          <w:sz w:val="32"/>
          <w:szCs w:val="32"/>
          <w:highlight w:val="none"/>
        </w:rPr>
      </w:pPr>
    </w:p>
    <w:p w14:paraId="4D511870">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B236FA8">
      <w:pPr>
        <w:pStyle w:val="8"/>
        <w:snapToGrid w:val="0"/>
        <w:spacing w:before="50" w:after="50"/>
        <w:ind w:firstLine="640"/>
        <w:rPr>
          <w:rFonts w:hint="eastAsia" w:ascii="宋体" w:hAnsi="宋体" w:cs="仿宋_GB2312"/>
          <w:bCs/>
          <w:color w:val="auto"/>
          <w:sz w:val="32"/>
          <w:szCs w:val="32"/>
          <w:highlight w:val="none"/>
        </w:rPr>
      </w:pPr>
    </w:p>
    <w:p w14:paraId="597F5A3E">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5B5F10A">
      <w:pPr>
        <w:snapToGrid w:val="0"/>
        <w:spacing w:before="156" w:beforeLines="50" w:after="50"/>
        <w:ind w:firstLine="640" w:firstLineChars="200"/>
        <w:rPr>
          <w:rFonts w:hint="eastAsia" w:ascii="宋体" w:hAnsi="宋体" w:cs="仿宋_GB2312"/>
          <w:bCs/>
          <w:color w:val="auto"/>
          <w:sz w:val="32"/>
          <w:szCs w:val="32"/>
          <w:highlight w:val="none"/>
        </w:rPr>
      </w:pPr>
    </w:p>
    <w:p w14:paraId="2FECD16B">
      <w:pPr>
        <w:pStyle w:val="8"/>
        <w:snapToGrid w:val="0"/>
        <w:spacing w:before="50" w:after="50"/>
        <w:ind w:firstLine="720" w:firstLineChars="225"/>
        <w:rPr>
          <w:rFonts w:hint="eastAsia" w:ascii="宋体" w:hAnsi="宋体" w:cs="仿宋_GB2312"/>
          <w:bCs/>
          <w:color w:val="auto"/>
          <w:sz w:val="32"/>
          <w:szCs w:val="32"/>
          <w:highlight w:val="none"/>
        </w:rPr>
      </w:pPr>
    </w:p>
    <w:p w14:paraId="2B2AC5F9">
      <w:pPr>
        <w:pStyle w:val="8"/>
        <w:snapToGrid w:val="0"/>
        <w:spacing w:before="50" w:after="50"/>
        <w:ind w:firstLine="1280" w:firstLineChars="400"/>
        <w:rPr>
          <w:rFonts w:hint="eastAsia" w:ascii="宋体" w:hAnsi="宋体" w:cs="仿宋_GB2312"/>
          <w:bCs/>
          <w:color w:val="auto"/>
          <w:sz w:val="32"/>
          <w:szCs w:val="32"/>
          <w:highlight w:val="none"/>
        </w:rPr>
      </w:pPr>
    </w:p>
    <w:p w14:paraId="22F99B9A">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CD33AFC">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E8ABFCC">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BECBE51">
      <w:pPr>
        <w:snapToGrid w:val="0"/>
        <w:spacing w:before="156"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644DEEA8">
      <w:pPr>
        <w:spacing w:line="300" w:lineRule="auto"/>
        <w:rPr>
          <w:rFonts w:hint="eastAsia" w:ascii="宋体" w:hAnsi="宋体"/>
          <w:color w:val="auto"/>
          <w:szCs w:val="21"/>
          <w:highlight w:val="none"/>
        </w:rPr>
      </w:pPr>
    </w:p>
    <w:p w14:paraId="1CC99CF1">
      <w:pPr>
        <w:spacing w:line="300" w:lineRule="auto"/>
        <w:rPr>
          <w:rFonts w:hint="eastAsia" w:ascii="宋体" w:hAnsi="宋体"/>
          <w:color w:val="auto"/>
          <w:szCs w:val="21"/>
          <w:highlight w:val="none"/>
        </w:rPr>
      </w:pPr>
    </w:p>
    <w:p w14:paraId="7D969154">
      <w:pPr>
        <w:spacing w:line="300" w:lineRule="auto"/>
        <w:rPr>
          <w:rFonts w:hint="eastAsia" w:ascii="宋体" w:hAnsi="宋体"/>
          <w:color w:val="auto"/>
          <w:szCs w:val="21"/>
          <w:highlight w:val="none"/>
        </w:rPr>
      </w:pPr>
    </w:p>
    <w:p w14:paraId="1452442C">
      <w:pPr>
        <w:spacing w:line="300" w:lineRule="auto"/>
        <w:rPr>
          <w:rFonts w:hint="eastAsia" w:ascii="宋体" w:hAnsi="宋体"/>
          <w:color w:val="auto"/>
          <w:szCs w:val="21"/>
          <w:highlight w:val="none"/>
        </w:rPr>
      </w:pPr>
    </w:p>
    <w:p w14:paraId="330DFAD1">
      <w:pPr>
        <w:spacing w:line="300" w:lineRule="auto"/>
        <w:rPr>
          <w:rFonts w:hint="eastAsia" w:ascii="宋体" w:hAnsi="宋体"/>
          <w:color w:val="auto"/>
          <w:szCs w:val="21"/>
          <w:highlight w:val="none"/>
        </w:rPr>
      </w:pPr>
    </w:p>
    <w:p w14:paraId="3A5BEB8F">
      <w:pPr>
        <w:spacing w:line="300" w:lineRule="auto"/>
        <w:rPr>
          <w:rFonts w:hint="eastAsia" w:ascii="宋体" w:hAnsi="宋体"/>
          <w:color w:val="auto"/>
          <w:szCs w:val="21"/>
          <w:highlight w:val="none"/>
        </w:rPr>
      </w:pPr>
    </w:p>
    <w:p w14:paraId="7368994C">
      <w:pPr>
        <w:spacing w:line="300" w:lineRule="auto"/>
        <w:rPr>
          <w:rFonts w:hint="eastAsia" w:ascii="宋体" w:hAnsi="宋体"/>
          <w:color w:val="auto"/>
          <w:szCs w:val="21"/>
          <w:highlight w:val="none"/>
        </w:rPr>
      </w:pPr>
    </w:p>
    <w:p w14:paraId="0ECDFC56">
      <w:pPr>
        <w:spacing w:line="300" w:lineRule="auto"/>
        <w:rPr>
          <w:rFonts w:hint="eastAsia" w:ascii="宋体" w:hAnsi="宋体"/>
          <w:color w:val="auto"/>
          <w:szCs w:val="21"/>
          <w:highlight w:val="none"/>
        </w:rPr>
      </w:pPr>
    </w:p>
    <w:p w14:paraId="0F562F4F">
      <w:pPr>
        <w:spacing w:line="300" w:lineRule="auto"/>
        <w:rPr>
          <w:rFonts w:hint="eastAsia" w:ascii="宋体" w:hAnsi="宋体"/>
          <w:color w:val="auto"/>
          <w:szCs w:val="21"/>
          <w:highlight w:val="none"/>
        </w:rPr>
      </w:pPr>
    </w:p>
    <w:p w14:paraId="7861A8C9">
      <w:pPr>
        <w:spacing w:line="300" w:lineRule="auto"/>
        <w:rPr>
          <w:rFonts w:hint="eastAsia" w:ascii="宋体" w:hAnsi="宋体"/>
          <w:color w:val="auto"/>
          <w:szCs w:val="21"/>
          <w:highlight w:val="none"/>
        </w:rPr>
      </w:pPr>
    </w:p>
    <w:p w14:paraId="559524F9">
      <w:pPr>
        <w:spacing w:line="300" w:lineRule="auto"/>
        <w:rPr>
          <w:rFonts w:hint="eastAsia" w:ascii="宋体" w:hAnsi="宋体"/>
          <w:color w:val="auto"/>
          <w:szCs w:val="21"/>
          <w:highlight w:val="none"/>
        </w:rPr>
      </w:pPr>
    </w:p>
    <w:p w14:paraId="55B84B55">
      <w:pPr>
        <w:spacing w:line="300" w:lineRule="auto"/>
        <w:rPr>
          <w:rFonts w:hint="eastAsia" w:ascii="宋体" w:hAnsi="宋体"/>
          <w:color w:val="auto"/>
          <w:szCs w:val="21"/>
          <w:highlight w:val="none"/>
        </w:rPr>
      </w:pPr>
    </w:p>
    <w:p w14:paraId="1A2EE4C8">
      <w:pPr>
        <w:spacing w:line="300" w:lineRule="auto"/>
        <w:rPr>
          <w:rFonts w:hint="eastAsia" w:ascii="宋体" w:hAnsi="宋体"/>
          <w:color w:val="auto"/>
          <w:szCs w:val="21"/>
          <w:highlight w:val="none"/>
        </w:rPr>
      </w:pPr>
    </w:p>
    <w:p w14:paraId="140B8B86">
      <w:pPr>
        <w:spacing w:line="300" w:lineRule="auto"/>
        <w:rPr>
          <w:rFonts w:hint="eastAsia" w:ascii="宋体" w:hAnsi="宋体"/>
          <w:color w:val="auto"/>
          <w:szCs w:val="21"/>
          <w:highlight w:val="none"/>
        </w:rPr>
      </w:pPr>
    </w:p>
    <w:p w14:paraId="19F4565E">
      <w:pPr>
        <w:spacing w:line="300" w:lineRule="auto"/>
        <w:rPr>
          <w:rFonts w:hint="eastAsia" w:ascii="宋体" w:hAnsi="宋体"/>
          <w:color w:val="auto"/>
          <w:szCs w:val="21"/>
          <w:highlight w:val="none"/>
        </w:rPr>
      </w:pPr>
    </w:p>
    <w:p w14:paraId="4DA220F3">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竞标声明（格式）</w:t>
      </w:r>
    </w:p>
    <w:p w14:paraId="5FD6EB15">
      <w:pPr>
        <w:spacing w:line="320" w:lineRule="exact"/>
        <w:jc w:val="center"/>
        <w:rPr>
          <w:rFonts w:hint="eastAsia" w:ascii="宋体" w:hAnsi="宋体"/>
          <w:color w:val="auto"/>
          <w:sz w:val="24"/>
          <w:szCs w:val="20"/>
          <w:highlight w:val="none"/>
        </w:rPr>
      </w:pPr>
    </w:p>
    <w:p w14:paraId="5305788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3EE464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0A430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1FBADA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E5D7B1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3477D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8A7F7B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ED706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A20CF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7C6AAB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B8FF0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BFE6D1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AAC6E7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41693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13532F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0F178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AB39A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733494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58FD3D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9BE697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8E016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D78EE4">
      <w:pPr>
        <w:pStyle w:val="14"/>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3918131">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0160FC3">
      <w:pPr>
        <w:pStyle w:val="13"/>
        <w:tabs>
          <w:tab w:val="left" w:pos="939"/>
        </w:tabs>
        <w:spacing w:line="360" w:lineRule="auto"/>
        <w:ind w:left="141" w:leftChars="67"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4967994F">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715400">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4B057D8">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5C26DD1F">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59FDDE6E">
      <w:pPr>
        <w:spacing w:line="360" w:lineRule="auto"/>
        <w:contextualSpacing/>
        <w:jc w:val="left"/>
        <w:rPr>
          <w:rFonts w:hint="eastAsia" w:ascii="宋体" w:hAnsi="宋体" w:cs="宋体"/>
          <w:color w:val="auto"/>
          <w:szCs w:val="21"/>
          <w:highlight w:val="none"/>
        </w:rPr>
      </w:pPr>
    </w:p>
    <w:p w14:paraId="7B4AF893">
      <w:pPr>
        <w:spacing w:line="360" w:lineRule="auto"/>
        <w:ind w:firstLine="1800" w:firstLineChars="750"/>
        <w:contextualSpacing/>
        <w:rPr>
          <w:color w:val="auto"/>
          <w:sz w:val="24"/>
          <w:highlight w:val="none"/>
        </w:rPr>
      </w:pPr>
      <w:r>
        <w:rPr>
          <w:rFonts w:hint="eastAsia" w:ascii="宋体" w:hAnsi="宋体"/>
          <w:color w:val="auto"/>
          <w:sz w:val="24"/>
          <w:highlight w:val="none"/>
        </w:rPr>
        <w:t>法定代表人（签字或者盖章或者电子签名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062F1EB6">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olor w:val="auto"/>
          <w:sz w:val="24"/>
          <w:highlight w:val="none"/>
        </w:rPr>
        <w:t>供应商（电子签章）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58B9D09B">
      <w:pPr>
        <w:pStyle w:val="13"/>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6B84B5C1">
      <w:pPr>
        <w:spacing w:line="320" w:lineRule="exact"/>
        <w:jc w:val="left"/>
        <w:rPr>
          <w:rFonts w:hint="eastAsia" w:ascii="宋体" w:hAnsi="宋体"/>
          <w:color w:val="auto"/>
          <w:szCs w:val="21"/>
          <w:highlight w:val="none"/>
        </w:rPr>
      </w:pPr>
    </w:p>
    <w:p w14:paraId="5D3D9915">
      <w:pPr>
        <w:spacing w:line="320" w:lineRule="exact"/>
        <w:jc w:val="center"/>
        <w:rPr>
          <w:rFonts w:hint="eastAsia" w:ascii="宋体" w:hAnsi="宋体"/>
          <w:b/>
          <w:color w:val="auto"/>
          <w:sz w:val="32"/>
          <w:szCs w:val="32"/>
          <w:highlight w:val="none"/>
        </w:rPr>
      </w:pPr>
    </w:p>
    <w:p w14:paraId="1F26B118">
      <w:pPr>
        <w:spacing w:line="320" w:lineRule="exact"/>
        <w:jc w:val="center"/>
        <w:rPr>
          <w:rFonts w:hint="eastAsia" w:ascii="宋体" w:hAnsi="宋体"/>
          <w:b/>
          <w:color w:val="auto"/>
          <w:sz w:val="32"/>
          <w:szCs w:val="32"/>
          <w:highlight w:val="none"/>
        </w:rPr>
      </w:pPr>
    </w:p>
    <w:p w14:paraId="2A649FDD">
      <w:pPr>
        <w:spacing w:line="320" w:lineRule="exact"/>
        <w:jc w:val="center"/>
        <w:rPr>
          <w:rFonts w:hint="eastAsia" w:ascii="宋体" w:hAnsi="宋体"/>
          <w:b/>
          <w:color w:val="auto"/>
          <w:sz w:val="32"/>
          <w:szCs w:val="32"/>
          <w:highlight w:val="none"/>
        </w:rPr>
      </w:pPr>
    </w:p>
    <w:p w14:paraId="7155B953">
      <w:pPr>
        <w:spacing w:line="320" w:lineRule="exact"/>
        <w:jc w:val="center"/>
        <w:rPr>
          <w:rFonts w:hint="eastAsia" w:ascii="宋体" w:hAnsi="宋体"/>
          <w:b/>
          <w:color w:val="auto"/>
          <w:sz w:val="32"/>
          <w:szCs w:val="32"/>
          <w:highlight w:val="none"/>
        </w:rPr>
      </w:pPr>
    </w:p>
    <w:p w14:paraId="00B38F68">
      <w:pPr>
        <w:spacing w:line="320" w:lineRule="exact"/>
        <w:jc w:val="center"/>
        <w:rPr>
          <w:rFonts w:hint="eastAsia" w:ascii="宋体" w:hAnsi="宋体"/>
          <w:b/>
          <w:color w:val="auto"/>
          <w:sz w:val="32"/>
          <w:szCs w:val="32"/>
          <w:highlight w:val="none"/>
        </w:rPr>
      </w:pPr>
    </w:p>
    <w:p w14:paraId="03912BC7">
      <w:pPr>
        <w:spacing w:line="320" w:lineRule="exact"/>
        <w:jc w:val="center"/>
        <w:rPr>
          <w:rFonts w:hint="eastAsia" w:ascii="宋体" w:hAnsi="宋体"/>
          <w:b/>
          <w:color w:val="auto"/>
          <w:sz w:val="32"/>
          <w:szCs w:val="32"/>
          <w:highlight w:val="none"/>
        </w:rPr>
      </w:pPr>
    </w:p>
    <w:p w14:paraId="73491E19">
      <w:pPr>
        <w:spacing w:line="320" w:lineRule="exact"/>
        <w:jc w:val="center"/>
        <w:rPr>
          <w:rFonts w:hint="eastAsia" w:ascii="宋体" w:hAnsi="宋体"/>
          <w:b/>
          <w:color w:val="auto"/>
          <w:sz w:val="32"/>
          <w:szCs w:val="32"/>
          <w:highlight w:val="none"/>
        </w:rPr>
      </w:pPr>
    </w:p>
    <w:p w14:paraId="5714A23E">
      <w:pPr>
        <w:spacing w:line="320" w:lineRule="exact"/>
        <w:jc w:val="center"/>
        <w:rPr>
          <w:rFonts w:hint="eastAsia" w:ascii="宋体" w:hAnsi="宋体"/>
          <w:b/>
          <w:color w:val="auto"/>
          <w:sz w:val="32"/>
          <w:szCs w:val="32"/>
          <w:highlight w:val="none"/>
        </w:rPr>
      </w:pPr>
    </w:p>
    <w:p w14:paraId="4DA11A89">
      <w:pPr>
        <w:spacing w:line="320" w:lineRule="exact"/>
        <w:jc w:val="center"/>
        <w:rPr>
          <w:rFonts w:hint="eastAsia" w:ascii="宋体" w:hAnsi="宋体"/>
          <w:b/>
          <w:color w:val="auto"/>
          <w:sz w:val="32"/>
          <w:szCs w:val="32"/>
          <w:highlight w:val="none"/>
        </w:rPr>
      </w:pPr>
    </w:p>
    <w:p w14:paraId="3883D6D5">
      <w:pPr>
        <w:spacing w:line="320" w:lineRule="exact"/>
        <w:jc w:val="center"/>
        <w:rPr>
          <w:rFonts w:hint="eastAsia" w:ascii="宋体" w:hAnsi="宋体"/>
          <w:b/>
          <w:color w:val="auto"/>
          <w:sz w:val="32"/>
          <w:szCs w:val="32"/>
          <w:highlight w:val="none"/>
        </w:rPr>
      </w:pPr>
    </w:p>
    <w:p w14:paraId="34D573C9">
      <w:pPr>
        <w:spacing w:line="320" w:lineRule="exact"/>
        <w:jc w:val="center"/>
        <w:rPr>
          <w:rFonts w:hint="eastAsia" w:ascii="宋体" w:hAnsi="宋体"/>
          <w:b/>
          <w:color w:val="auto"/>
          <w:sz w:val="32"/>
          <w:szCs w:val="32"/>
          <w:highlight w:val="none"/>
        </w:rPr>
      </w:pPr>
    </w:p>
    <w:p w14:paraId="7BC7A7A7">
      <w:pPr>
        <w:spacing w:line="320" w:lineRule="exact"/>
        <w:jc w:val="center"/>
        <w:rPr>
          <w:rFonts w:hint="eastAsia" w:ascii="宋体" w:hAnsi="宋体"/>
          <w:b/>
          <w:color w:val="auto"/>
          <w:sz w:val="32"/>
          <w:szCs w:val="32"/>
          <w:highlight w:val="none"/>
        </w:rPr>
      </w:pPr>
    </w:p>
    <w:p w14:paraId="3577B65E">
      <w:pPr>
        <w:spacing w:line="320" w:lineRule="exact"/>
        <w:jc w:val="center"/>
        <w:rPr>
          <w:rFonts w:hint="eastAsia" w:ascii="宋体" w:hAnsi="宋体"/>
          <w:b/>
          <w:color w:val="auto"/>
          <w:sz w:val="32"/>
          <w:szCs w:val="32"/>
          <w:highlight w:val="none"/>
        </w:rPr>
      </w:pPr>
    </w:p>
    <w:p w14:paraId="4C9C0200">
      <w:pPr>
        <w:spacing w:line="320" w:lineRule="exact"/>
        <w:jc w:val="center"/>
        <w:rPr>
          <w:rFonts w:hint="eastAsia" w:ascii="宋体" w:hAnsi="宋体"/>
          <w:b/>
          <w:color w:val="auto"/>
          <w:sz w:val="32"/>
          <w:szCs w:val="32"/>
          <w:highlight w:val="none"/>
        </w:rPr>
      </w:pPr>
    </w:p>
    <w:p w14:paraId="18058947">
      <w:pPr>
        <w:spacing w:line="320" w:lineRule="exact"/>
        <w:jc w:val="center"/>
        <w:rPr>
          <w:rFonts w:hint="eastAsia" w:ascii="宋体" w:hAnsi="宋体"/>
          <w:b/>
          <w:color w:val="auto"/>
          <w:sz w:val="32"/>
          <w:szCs w:val="32"/>
          <w:highlight w:val="none"/>
        </w:rPr>
      </w:pPr>
    </w:p>
    <w:p w14:paraId="27702304">
      <w:pPr>
        <w:spacing w:line="320" w:lineRule="exact"/>
        <w:jc w:val="center"/>
        <w:rPr>
          <w:rFonts w:hint="eastAsia" w:ascii="宋体" w:hAnsi="宋体"/>
          <w:b/>
          <w:color w:val="auto"/>
          <w:sz w:val="32"/>
          <w:szCs w:val="32"/>
          <w:highlight w:val="none"/>
        </w:rPr>
      </w:pPr>
    </w:p>
    <w:p w14:paraId="13FC091A">
      <w:pPr>
        <w:spacing w:line="320" w:lineRule="exact"/>
        <w:jc w:val="center"/>
        <w:rPr>
          <w:rFonts w:hint="eastAsia" w:ascii="宋体" w:hAnsi="宋体"/>
          <w:b/>
          <w:color w:val="auto"/>
          <w:sz w:val="32"/>
          <w:szCs w:val="32"/>
          <w:highlight w:val="none"/>
        </w:rPr>
      </w:pPr>
    </w:p>
    <w:p w14:paraId="46F5EA36">
      <w:pPr>
        <w:spacing w:line="320" w:lineRule="exact"/>
        <w:jc w:val="center"/>
        <w:rPr>
          <w:rFonts w:hint="eastAsia" w:ascii="宋体" w:hAnsi="宋体"/>
          <w:b/>
          <w:color w:val="auto"/>
          <w:sz w:val="32"/>
          <w:szCs w:val="32"/>
          <w:highlight w:val="none"/>
        </w:rPr>
      </w:pPr>
    </w:p>
    <w:p w14:paraId="6326E332">
      <w:pPr>
        <w:spacing w:line="320" w:lineRule="exact"/>
        <w:jc w:val="center"/>
        <w:rPr>
          <w:rFonts w:hint="eastAsia" w:ascii="宋体" w:hAnsi="宋体"/>
          <w:b/>
          <w:color w:val="auto"/>
          <w:sz w:val="32"/>
          <w:szCs w:val="32"/>
          <w:highlight w:val="none"/>
        </w:rPr>
      </w:pPr>
    </w:p>
    <w:p w14:paraId="65E6DD3D">
      <w:pPr>
        <w:spacing w:line="320" w:lineRule="exact"/>
        <w:jc w:val="center"/>
        <w:rPr>
          <w:rFonts w:hint="eastAsia" w:ascii="宋体" w:hAnsi="宋体"/>
          <w:b/>
          <w:color w:val="auto"/>
          <w:sz w:val="32"/>
          <w:szCs w:val="32"/>
          <w:highlight w:val="none"/>
        </w:rPr>
      </w:pPr>
    </w:p>
    <w:p w14:paraId="64C25276">
      <w:pPr>
        <w:spacing w:line="320" w:lineRule="exact"/>
        <w:jc w:val="center"/>
        <w:rPr>
          <w:rFonts w:hint="eastAsia" w:ascii="宋体" w:hAnsi="宋体"/>
          <w:b/>
          <w:color w:val="auto"/>
          <w:sz w:val="32"/>
          <w:szCs w:val="32"/>
          <w:highlight w:val="none"/>
        </w:rPr>
      </w:pPr>
    </w:p>
    <w:p w14:paraId="0DE268E3">
      <w:pPr>
        <w:spacing w:line="320" w:lineRule="exact"/>
        <w:jc w:val="center"/>
        <w:rPr>
          <w:rFonts w:hint="eastAsia" w:ascii="宋体" w:hAnsi="宋体"/>
          <w:b/>
          <w:color w:val="auto"/>
          <w:sz w:val="32"/>
          <w:szCs w:val="32"/>
          <w:highlight w:val="none"/>
        </w:rPr>
      </w:pPr>
    </w:p>
    <w:p w14:paraId="41DE9525">
      <w:pPr>
        <w:spacing w:line="320" w:lineRule="exact"/>
        <w:jc w:val="center"/>
        <w:rPr>
          <w:rFonts w:hint="eastAsia" w:ascii="宋体" w:hAnsi="宋体"/>
          <w:b/>
          <w:color w:val="auto"/>
          <w:sz w:val="32"/>
          <w:szCs w:val="32"/>
          <w:highlight w:val="none"/>
        </w:rPr>
      </w:pPr>
    </w:p>
    <w:p w14:paraId="130C8DA0">
      <w:pPr>
        <w:spacing w:line="320" w:lineRule="exact"/>
        <w:jc w:val="center"/>
        <w:rPr>
          <w:rFonts w:hint="eastAsia" w:ascii="宋体" w:hAnsi="宋体"/>
          <w:b/>
          <w:color w:val="auto"/>
          <w:sz w:val="32"/>
          <w:szCs w:val="32"/>
          <w:highlight w:val="none"/>
        </w:rPr>
      </w:pPr>
    </w:p>
    <w:p w14:paraId="63A1FD27">
      <w:pPr>
        <w:spacing w:line="320" w:lineRule="exact"/>
        <w:jc w:val="center"/>
        <w:rPr>
          <w:rFonts w:hint="eastAsia" w:ascii="宋体" w:hAnsi="宋体"/>
          <w:b/>
          <w:color w:val="auto"/>
          <w:sz w:val="32"/>
          <w:szCs w:val="32"/>
          <w:highlight w:val="none"/>
        </w:rPr>
      </w:pPr>
    </w:p>
    <w:p w14:paraId="5879ACB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供应商直接控股、管理关系信息表（格式）</w:t>
      </w:r>
    </w:p>
    <w:p w14:paraId="4EE2CEE0">
      <w:pPr>
        <w:spacing w:line="360" w:lineRule="auto"/>
        <w:contextualSpacing/>
        <w:jc w:val="center"/>
        <w:rPr>
          <w:rFonts w:hint="eastAsia" w:ascii="宋体" w:hAnsi="宋体"/>
          <w:b/>
          <w:color w:val="auto"/>
          <w:sz w:val="32"/>
          <w:szCs w:val="32"/>
          <w:highlight w:val="none"/>
        </w:rPr>
      </w:pPr>
    </w:p>
    <w:p w14:paraId="6E2759A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供应商直接控股股东信息表（格式）</w:t>
      </w:r>
    </w:p>
    <w:p w14:paraId="76A6C27D">
      <w:pPr>
        <w:spacing w:line="360" w:lineRule="auto"/>
        <w:contextualSpacing/>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AABDC6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80346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679BD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D2CFD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7C363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37831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99C1A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33EC6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003A9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404A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C2453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E54530">
            <w:pPr>
              <w:widowControl/>
              <w:spacing w:line="360" w:lineRule="auto"/>
              <w:contextualSpacing/>
              <w:jc w:val="center"/>
              <w:rPr>
                <w:rFonts w:hint="eastAsia" w:ascii="宋体" w:hAnsi="宋体" w:cs="宋体"/>
                <w:color w:val="auto"/>
                <w:kern w:val="0"/>
                <w:sz w:val="24"/>
                <w:highlight w:val="none"/>
              </w:rPr>
            </w:pPr>
          </w:p>
        </w:tc>
      </w:tr>
      <w:tr w14:paraId="0F515FE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BF03E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4FC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2F2D1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E1436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E4099B">
            <w:pPr>
              <w:widowControl/>
              <w:spacing w:line="360" w:lineRule="auto"/>
              <w:contextualSpacing/>
              <w:jc w:val="center"/>
              <w:rPr>
                <w:rFonts w:hint="eastAsia" w:ascii="宋体" w:hAnsi="宋体" w:cs="宋体"/>
                <w:color w:val="auto"/>
                <w:kern w:val="0"/>
                <w:sz w:val="24"/>
                <w:highlight w:val="none"/>
              </w:rPr>
            </w:pPr>
          </w:p>
        </w:tc>
      </w:tr>
      <w:tr w14:paraId="7DC9FEC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D88CD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9FD3D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8FDB98">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E8181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F0AA81">
            <w:pPr>
              <w:widowControl/>
              <w:spacing w:line="360" w:lineRule="auto"/>
              <w:contextualSpacing/>
              <w:jc w:val="center"/>
              <w:rPr>
                <w:rFonts w:hint="eastAsia" w:ascii="宋体" w:hAnsi="宋体" w:cs="宋体"/>
                <w:color w:val="auto"/>
                <w:kern w:val="0"/>
                <w:sz w:val="24"/>
                <w:highlight w:val="none"/>
              </w:rPr>
            </w:pPr>
          </w:p>
        </w:tc>
      </w:tr>
      <w:tr w14:paraId="37E6012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4062D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1C119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DBBEF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B211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7245A1">
            <w:pPr>
              <w:widowControl/>
              <w:spacing w:line="360" w:lineRule="auto"/>
              <w:contextualSpacing/>
              <w:jc w:val="center"/>
              <w:rPr>
                <w:rFonts w:hint="eastAsia" w:ascii="宋体" w:hAnsi="宋体" w:cs="宋体"/>
                <w:color w:val="auto"/>
                <w:kern w:val="0"/>
                <w:sz w:val="24"/>
                <w:highlight w:val="none"/>
              </w:rPr>
            </w:pPr>
          </w:p>
        </w:tc>
      </w:tr>
    </w:tbl>
    <w:p w14:paraId="0DC678C7">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121434B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3678A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0BFF01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E6A967F">
      <w:pPr>
        <w:spacing w:line="360" w:lineRule="auto"/>
        <w:ind w:firstLine="420" w:firstLineChars="200"/>
        <w:contextualSpacing/>
        <w:jc w:val="left"/>
        <w:rPr>
          <w:rFonts w:hint="eastAsia" w:ascii="宋体" w:hAnsi="宋体" w:cs="宋体"/>
          <w:color w:val="auto"/>
          <w:szCs w:val="21"/>
          <w:highlight w:val="none"/>
        </w:rPr>
      </w:pPr>
    </w:p>
    <w:p w14:paraId="7A1C4E70">
      <w:pPr>
        <w:spacing w:line="360" w:lineRule="auto"/>
        <w:ind w:firstLine="560" w:firstLineChars="200"/>
        <w:contextualSpacing/>
        <w:jc w:val="left"/>
        <w:rPr>
          <w:rFonts w:hint="eastAsia" w:ascii="宋体" w:hAnsi="宋体" w:cs="宋体"/>
          <w:color w:val="auto"/>
          <w:sz w:val="28"/>
          <w:szCs w:val="28"/>
          <w:highlight w:val="none"/>
        </w:rPr>
      </w:pPr>
    </w:p>
    <w:p w14:paraId="2AFA29C2">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A20AFB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3031C09">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9576375">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88F3F58">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供应商直接管理关系信息表（格式）</w:t>
      </w:r>
    </w:p>
    <w:p w14:paraId="3A7DE384">
      <w:pPr>
        <w:snapToGrid w:val="0"/>
        <w:spacing w:line="360" w:lineRule="auto"/>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001CC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E22E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E03F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4ABA8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19AF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C671C2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05455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0B8F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05EB8D">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2A3CB0">
            <w:pPr>
              <w:widowControl/>
              <w:spacing w:line="360" w:lineRule="auto"/>
              <w:contextualSpacing/>
              <w:jc w:val="center"/>
              <w:rPr>
                <w:rFonts w:hint="eastAsia" w:ascii="宋体" w:hAnsi="宋体" w:cs="宋体"/>
                <w:color w:val="auto"/>
                <w:kern w:val="0"/>
                <w:sz w:val="24"/>
                <w:highlight w:val="none"/>
              </w:rPr>
            </w:pPr>
          </w:p>
        </w:tc>
      </w:tr>
      <w:tr w14:paraId="453A963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B0EE7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B86E3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6A30C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DDACCB">
            <w:pPr>
              <w:widowControl/>
              <w:spacing w:line="360" w:lineRule="auto"/>
              <w:contextualSpacing/>
              <w:jc w:val="center"/>
              <w:rPr>
                <w:rFonts w:hint="eastAsia" w:ascii="宋体" w:hAnsi="宋体" w:cs="宋体"/>
                <w:color w:val="auto"/>
                <w:kern w:val="0"/>
                <w:sz w:val="24"/>
                <w:highlight w:val="none"/>
              </w:rPr>
            </w:pPr>
          </w:p>
        </w:tc>
      </w:tr>
      <w:tr w14:paraId="6222D5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A1140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ACAF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98CE4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2E5940">
            <w:pPr>
              <w:widowControl/>
              <w:spacing w:line="360" w:lineRule="auto"/>
              <w:contextualSpacing/>
              <w:jc w:val="center"/>
              <w:rPr>
                <w:rFonts w:hint="eastAsia" w:ascii="宋体" w:hAnsi="宋体" w:cs="宋体"/>
                <w:color w:val="auto"/>
                <w:kern w:val="0"/>
                <w:sz w:val="24"/>
                <w:highlight w:val="none"/>
              </w:rPr>
            </w:pPr>
          </w:p>
        </w:tc>
      </w:tr>
      <w:tr w14:paraId="0DD188B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71D6D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4CECF9">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2BDCB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BED3D6">
            <w:pPr>
              <w:widowControl/>
              <w:spacing w:line="360" w:lineRule="auto"/>
              <w:contextualSpacing/>
              <w:jc w:val="center"/>
              <w:rPr>
                <w:rFonts w:hint="eastAsia" w:ascii="宋体" w:hAnsi="宋体" w:cs="宋体"/>
                <w:color w:val="auto"/>
                <w:kern w:val="0"/>
                <w:sz w:val="24"/>
                <w:highlight w:val="none"/>
              </w:rPr>
            </w:pPr>
          </w:p>
        </w:tc>
      </w:tr>
    </w:tbl>
    <w:p w14:paraId="3A75C0DF">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2750B4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F3F25B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2.本表所指的管理关系仅限于直接管理关系，不包括间接的管理关系。</w:t>
      </w:r>
    </w:p>
    <w:p w14:paraId="6497E0A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191955F">
      <w:pPr>
        <w:spacing w:line="360" w:lineRule="auto"/>
        <w:contextualSpacing/>
        <w:jc w:val="left"/>
        <w:rPr>
          <w:rFonts w:hint="eastAsia" w:ascii="宋体" w:hAnsi="宋体"/>
          <w:color w:val="auto"/>
          <w:sz w:val="28"/>
          <w:szCs w:val="28"/>
          <w:highlight w:val="none"/>
        </w:rPr>
      </w:pPr>
    </w:p>
    <w:p w14:paraId="391C3448">
      <w:pPr>
        <w:spacing w:line="360" w:lineRule="auto"/>
        <w:contextualSpacing/>
        <w:jc w:val="left"/>
        <w:rPr>
          <w:rFonts w:hint="eastAsia" w:ascii="宋体" w:hAnsi="宋体"/>
          <w:color w:val="auto"/>
          <w:sz w:val="28"/>
          <w:szCs w:val="28"/>
          <w:highlight w:val="none"/>
        </w:rPr>
      </w:pPr>
    </w:p>
    <w:p w14:paraId="0A0E6EAC">
      <w:pPr>
        <w:spacing w:line="360" w:lineRule="auto"/>
        <w:contextualSpacing/>
        <w:jc w:val="left"/>
        <w:rPr>
          <w:color w:val="auto"/>
          <w:sz w:val="28"/>
          <w:szCs w:val="28"/>
          <w:highlight w:val="none"/>
        </w:rPr>
      </w:pPr>
    </w:p>
    <w:p w14:paraId="66B87F05">
      <w:pPr>
        <w:spacing w:line="360" w:lineRule="auto"/>
        <w:contextualSpacing/>
        <w:jc w:val="left"/>
        <w:rPr>
          <w:rFonts w:hint="eastAsia" w:ascii="宋体" w:hAnsi="宋体"/>
          <w:color w:val="auto"/>
          <w:sz w:val="28"/>
          <w:szCs w:val="28"/>
          <w:highlight w:val="none"/>
        </w:rPr>
      </w:pPr>
    </w:p>
    <w:p w14:paraId="4EEDC80B">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320370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5EC942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6FFCC9B3">
      <w:pPr>
        <w:pStyle w:val="13"/>
        <w:tabs>
          <w:tab w:val="left" w:pos="939"/>
        </w:tabs>
        <w:spacing w:line="360" w:lineRule="auto"/>
        <w:ind w:left="0" w:leftChars="0" w:firstLine="560" w:firstLineChars="200"/>
        <w:rPr>
          <w:rFonts w:hint="eastAsia" w:ascii="宋体" w:hAnsi="宋体"/>
          <w:color w:val="auto"/>
          <w:sz w:val="28"/>
          <w:szCs w:val="28"/>
          <w:highlight w:val="none"/>
        </w:rPr>
      </w:pPr>
    </w:p>
    <w:p w14:paraId="4FD2CBF1">
      <w:pPr>
        <w:pStyle w:val="13"/>
        <w:tabs>
          <w:tab w:val="left" w:pos="939"/>
        </w:tabs>
        <w:spacing w:line="360" w:lineRule="auto"/>
        <w:ind w:left="980" w:hanging="560"/>
        <w:rPr>
          <w:rFonts w:hint="eastAsia" w:ascii="宋体" w:hAnsi="宋体"/>
          <w:color w:val="auto"/>
          <w:sz w:val="28"/>
          <w:szCs w:val="28"/>
          <w:highlight w:val="none"/>
        </w:rPr>
      </w:pPr>
    </w:p>
    <w:p w14:paraId="64E6B663">
      <w:pPr>
        <w:pStyle w:val="13"/>
        <w:tabs>
          <w:tab w:val="left" w:pos="939"/>
        </w:tabs>
        <w:spacing w:line="360" w:lineRule="auto"/>
        <w:ind w:left="980" w:hanging="560"/>
        <w:rPr>
          <w:rFonts w:hint="eastAsia" w:ascii="宋体" w:hAnsi="宋体"/>
          <w:color w:val="auto"/>
          <w:sz w:val="28"/>
          <w:szCs w:val="28"/>
          <w:highlight w:val="none"/>
        </w:rPr>
      </w:pPr>
    </w:p>
    <w:p w14:paraId="01EFEC01">
      <w:pPr>
        <w:pStyle w:val="13"/>
        <w:tabs>
          <w:tab w:val="left" w:pos="939"/>
        </w:tabs>
        <w:spacing w:line="360" w:lineRule="auto"/>
        <w:ind w:left="980" w:hanging="560"/>
        <w:rPr>
          <w:rFonts w:hint="eastAsia" w:ascii="宋体" w:hAnsi="宋体"/>
          <w:color w:val="auto"/>
          <w:sz w:val="28"/>
          <w:szCs w:val="28"/>
          <w:highlight w:val="none"/>
        </w:rPr>
      </w:pPr>
    </w:p>
    <w:p w14:paraId="6C3D9563">
      <w:pPr>
        <w:pStyle w:val="13"/>
        <w:tabs>
          <w:tab w:val="left" w:pos="939"/>
        </w:tabs>
        <w:spacing w:line="360" w:lineRule="auto"/>
        <w:ind w:left="980" w:hanging="560"/>
        <w:rPr>
          <w:rFonts w:hint="eastAsia" w:ascii="宋体" w:hAnsi="宋体"/>
          <w:color w:val="auto"/>
          <w:sz w:val="28"/>
          <w:szCs w:val="28"/>
          <w:highlight w:val="none"/>
        </w:rPr>
      </w:pPr>
    </w:p>
    <w:p w14:paraId="1198EB8F">
      <w:pPr>
        <w:pStyle w:val="13"/>
        <w:tabs>
          <w:tab w:val="left" w:pos="939"/>
        </w:tabs>
        <w:spacing w:line="360" w:lineRule="auto"/>
        <w:ind w:left="980" w:hanging="560"/>
        <w:rPr>
          <w:rFonts w:hint="eastAsia" w:ascii="宋体" w:hAnsi="宋体"/>
          <w:color w:val="auto"/>
          <w:sz w:val="28"/>
          <w:szCs w:val="28"/>
          <w:highlight w:val="none"/>
        </w:rPr>
      </w:pPr>
    </w:p>
    <w:p w14:paraId="3291896B">
      <w:pPr>
        <w:spacing w:line="500" w:lineRule="exact"/>
        <w:jc w:val="center"/>
        <w:rPr>
          <w:rFonts w:hint="eastAsia" w:ascii="宋体" w:hAnsi="宋体"/>
          <w:b/>
          <w:color w:val="auto"/>
          <w:sz w:val="32"/>
          <w:szCs w:val="32"/>
          <w:highlight w:val="none"/>
        </w:rPr>
      </w:pPr>
      <w:bookmarkStart w:id="74" w:name="_Toc71365926"/>
      <w:r>
        <w:rPr>
          <w:rFonts w:hint="eastAsia" w:ascii="宋体" w:hAnsi="宋体"/>
          <w:b/>
          <w:color w:val="auto"/>
          <w:sz w:val="32"/>
          <w:szCs w:val="32"/>
          <w:highlight w:val="none"/>
        </w:rPr>
        <w:t>中小企业声明函（工程）</w:t>
      </w:r>
      <w:bookmarkEnd w:id="74"/>
    </w:p>
    <w:p w14:paraId="145197C1">
      <w:pPr>
        <w:pStyle w:val="10"/>
        <w:spacing w:line="500" w:lineRule="exact"/>
        <w:ind w:right="142" w:firstLine="705" w:firstLineChars="294"/>
        <w:rPr>
          <w:rFonts w:hint="eastAsia" w:hAnsi="宋体"/>
          <w:color w:val="auto"/>
          <w:sz w:val="24"/>
          <w:highlight w:val="none"/>
        </w:rPr>
      </w:pPr>
    </w:p>
    <w:p w14:paraId="19377E57">
      <w:pPr>
        <w:pStyle w:val="10"/>
        <w:spacing w:line="500" w:lineRule="exact"/>
        <w:ind w:right="142" w:firstLine="705" w:firstLineChars="294"/>
        <w:rPr>
          <w:rFonts w:hint="eastAsia" w:hAnsi="宋体"/>
          <w:color w:val="auto"/>
          <w:sz w:val="24"/>
          <w:highlight w:val="none"/>
        </w:rPr>
      </w:pPr>
      <w:r>
        <w:rPr>
          <w:rFonts w:hAnsi="宋体"/>
          <w:color w:val="auto"/>
          <w:sz w:val="24"/>
          <w:highlight w:val="none"/>
        </w:rPr>
        <w:t>本公司（联合体）郑重声明，根据《政府采购促进中小企业发展管理办法》（财库﹝2020﹞46号）的规定，本公司（联合体）参加</w:t>
      </w:r>
      <w:r>
        <w:rPr>
          <w:rFonts w:hAnsi="宋体"/>
          <w:color w:val="auto"/>
          <w:sz w:val="24"/>
          <w:highlight w:val="none"/>
          <w:u w:val="single"/>
        </w:rPr>
        <w:t>（单位名称）</w:t>
      </w:r>
      <w:r>
        <w:rPr>
          <w:rFonts w:hAnsi="宋体"/>
          <w:color w:val="auto"/>
          <w:sz w:val="24"/>
          <w:highlight w:val="none"/>
        </w:rPr>
        <w:t>的</w:t>
      </w:r>
      <w:r>
        <w:rPr>
          <w:rFonts w:hAnsi="宋体"/>
          <w:color w:val="auto"/>
          <w:sz w:val="24"/>
          <w:highlight w:val="none"/>
          <w:u w:val="single"/>
        </w:rPr>
        <w:t>（项目名称）</w:t>
      </w:r>
      <w:r>
        <w:rPr>
          <w:rFonts w:hAnsi="宋体"/>
          <w:color w:val="auto"/>
          <w:sz w:val="24"/>
          <w:highlight w:val="none"/>
        </w:rPr>
        <w:t>采购活动，</w:t>
      </w:r>
      <w:r>
        <w:rPr>
          <w:rFonts w:hint="eastAsia" w:hAnsi="宋体"/>
          <w:color w:val="auto"/>
          <w:sz w:val="24"/>
          <w:highlight w:val="none"/>
        </w:rPr>
        <w:t>工程的施工单位全部为符合政策要求的中小企业。相关企业（含联合体中的中小企业、签订分包意向协议的中小企业）的具体情况如下：</w:t>
      </w:r>
    </w:p>
    <w:p w14:paraId="00F67E11">
      <w:pPr>
        <w:tabs>
          <w:tab w:val="left" w:pos="1384"/>
          <w:tab w:val="left" w:pos="4562"/>
          <w:tab w:val="left" w:pos="6803"/>
        </w:tabs>
        <w:spacing w:before="13" w:line="500" w:lineRule="exact"/>
        <w:ind w:right="142" w:firstLine="480" w:firstLineChars="200"/>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B4EF6F8">
      <w:pPr>
        <w:tabs>
          <w:tab w:val="left" w:pos="1065"/>
          <w:tab w:val="left" w:pos="4262"/>
          <w:tab w:val="left" w:pos="6477"/>
        </w:tabs>
        <w:spacing w:before="20" w:line="500" w:lineRule="exact"/>
        <w:ind w:right="84" w:firstLine="480" w:firstLineChars="200"/>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F6542B0">
      <w:pPr>
        <w:pStyle w:val="10"/>
        <w:spacing w:before="34" w:line="500" w:lineRule="exact"/>
        <w:ind w:right="142" w:firstLine="705" w:firstLineChars="294"/>
        <w:rPr>
          <w:rFonts w:hint="eastAsia" w:hAnsi="宋体"/>
          <w:color w:val="auto"/>
          <w:sz w:val="24"/>
          <w:highlight w:val="none"/>
        </w:rPr>
      </w:pPr>
      <w:r>
        <w:rPr>
          <w:rFonts w:hAnsi="宋体"/>
          <w:color w:val="auto"/>
          <w:sz w:val="24"/>
          <w:highlight w:val="none"/>
        </w:rPr>
        <w:t xml:space="preserve">…… </w:t>
      </w:r>
    </w:p>
    <w:p w14:paraId="1ABC40EE">
      <w:pPr>
        <w:pStyle w:val="10"/>
        <w:spacing w:before="34" w:line="500" w:lineRule="exact"/>
        <w:ind w:right="142" w:firstLine="723" w:firstLineChars="200"/>
        <w:rPr>
          <w:rFonts w:hint="eastAsia" w:hAnsi="宋体"/>
          <w:b/>
          <w:bCs/>
          <w:color w:val="auto"/>
          <w:sz w:val="36"/>
          <w:szCs w:val="24"/>
          <w:highlight w:val="none"/>
        </w:rPr>
      </w:pPr>
      <w:r>
        <w:rPr>
          <w:rFonts w:hAnsi="宋体"/>
          <w:b/>
          <w:bCs/>
          <w:color w:val="auto"/>
          <w:sz w:val="36"/>
          <w:szCs w:val="24"/>
          <w:highlight w:val="none"/>
        </w:rPr>
        <w:t>以上企业，不属于大企业的分支机构，不存在控股股东为大企业的情形，也不存在与大企业的负责人为同一人的情形。</w:t>
      </w:r>
    </w:p>
    <w:p w14:paraId="4313A461">
      <w:pPr>
        <w:pStyle w:val="10"/>
        <w:spacing w:before="25" w:line="500" w:lineRule="exact"/>
        <w:ind w:right="142" w:firstLine="480" w:firstLineChars="200"/>
        <w:rPr>
          <w:rFonts w:hint="eastAsia" w:hAnsi="宋体"/>
          <w:color w:val="auto"/>
          <w:sz w:val="24"/>
          <w:highlight w:val="none"/>
        </w:rPr>
      </w:pPr>
      <w:r>
        <w:rPr>
          <w:rFonts w:hAnsi="宋体"/>
          <w:color w:val="auto"/>
          <w:sz w:val="24"/>
          <w:highlight w:val="none"/>
        </w:rPr>
        <w:t>本企业对上述声明内容的真实性负责。如有虚假，将依法承担相应责任。</w:t>
      </w:r>
    </w:p>
    <w:p w14:paraId="639606BC">
      <w:pPr>
        <w:pStyle w:val="10"/>
        <w:spacing w:before="56" w:line="500" w:lineRule="exact"/>
        <w:ind w:right="1808" w:firstLine="705" w:firstLineChars="294"/>
        <w:rPr>
          <w:rFonts w:hint="eastAsia" w:hAnsi="宋体"/>
          <w:color w:val="auto"/>
          <w:sz w:val="24"/>
          <w:highlight w:val="none"/>
        </w:rPr>
      </w:pPr>
    </w:p>
    <w:p w14:paraId="0D8D50E9">
      <w:pPr>
        <w:pStyle w:val="10"/>
        <w:spacing w:before="56" w:line="500" w:lineRule="exact"/>
        <w:ind w:right="650" w:firstLine="5625" w:firstLineChars="2344"/>
        <w:rPr>
          <w:rFonts w:hint="eastAsia" w:hAnsi="宋体"/>
          <w:color w:val="auto"/>
          <w:sz w:val="24"/>
          <w:highlight w:val="none"/>
        </w:rPr>
      </w:pPr>
      <w:r>
        <w:rPr>
          <w:rFonts w:hAnsi="宋体"/>
          <w:color w:val="auto"/>
          <w:sz w:val="24"/>
          <w:highlight w:val="none"/>
        </w:rPr>
        <w:t>企业名称（</w:t>
      </w:r>
      <w:r>
        <w:rPr>
          <w:rFonts w:hint="eastAsia" w:hAnsi="宋体"/>
          <w:color w:val="auto"/>
          <w:sz w:val="24"/>
          <w:szCs w:val="24"/>
          <w:highlight w:val="none"/>
        </w:rPr>
        <w:t>电子签章</w:t>
      </w:r>
      <w:r>
        <w:rPr>
          <w:rFonts w:hAnsi="宋体"/>
          <w:color w:val="auto"/>
          <w:sz w:val="24"/>
          <w:highlight w:val="none"/>
        </w:rPr>
        <w:t xml:space="preserve">）： </w:t>
      </w:r>
    </w:p>
    <w:p w14:paraId="0165C2BB">
      <w:pPr>
        <w:pStyle w:val="10"/>
        <w:spacing w:before="56" w:line="500" w:lineRule="exact"/>
        <w:ind w:right="1808" w:firstLine="5625" w:firstLineChars="2344"/>
        <w:rPr>
          <w:rFonts w:hint="eastAsia" w:hAnsi="宋体"/>
          <w:color w:val="auto"/>
          <w:sz w:val="24"/>
          <w:highlight w:val="none"/>
        </w:rPr>
      </w:pPr>
      <w:r>
        <w:rPr>
          <w:rFonts w:hAnsi="宋体"/>
          <w:color w:val="auto"/>
          <w:sz w:val="24"/>
          <w:highlight w:val="none"/>
        </w:rPr>
        <w:t>日 期：</w:t>
      </w:r>
    </w:p>
    <w:p w14:paraId="37EC295F">
      <w:pPr>
        <w:pStyle w:val="10"/>
        <w:spacing w:before="56" w:line="500" w:lineRule="exact"/>
        <w:ind w:right="1808" w:firstLine="5625" w:firstLineChars="2344"/>
        <w:rPr>
          <w:rFonts w:hint="eastAsia" w:hAnsi="宋体"/>
          <w:color w:val="auto"/>
          <w:sz w:val="24"/>
          <w:highlight w:val="none"/>
        </w:rPr>
      </w:pPr>
    </w:p>
    <w:p w14:paraId="79FBE625">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B90D6E">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094515B2">
      <w:pPr>
        <w:spacing w:line="360" w:lineRule="auto"/>
        <w:contextualSpacing/>
        <w:rPr>
          <w:rFonts w:hint="eastAsia" w:ascii="仿宋_GB2312" w:hAnsi="仿宋_GB2312" w:eastAsia="仿宋_GB2312" w:cs="仿宋_GB2312"/>
          <w:color w:val="auto"/>
          <w:sz w:val="32"/>
          <w:szCs w:val="32"/>
          <w:highlight w:val="none"/>
        </w:rPr>
      </w:pPr>
    </w:p>
    <w:p w14:paraId="3A5E143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63B92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67A8041">
      <w:pPr>
        <w:spacing w:line="360" w:lineRule="auto"/>
        <w:contextualSpacing/>
        <w:rPr>
          <w:rFonts w:hint="eastAsia" w:ascii="宋体" w:hAnsi="宋体" w:cs="仿宋_GB2312"/>
          <w:color w:val="auto"/>
          <w:sz w:val="24"/>
          <w:highlight w:val="none"/>
        </w:rPr>
      </w:pPr>
    </w:p>
    <w:p w14:paraId="54974502">
      <w:pPr>
        <w:spacing w:line="360" w:lineRule="auto"/>
        <w:contextualSpacing/>
        <w:rPr>
          <w:rFonts w:hint="eastAsia" w:ascii="宋体" w:hAnsi="宋体" w:cs="仿宋_GB2312"/>
          <w:color w:val="auto"/>
          <w:sz w:val="24"/>
          <w:highlight w:val="none"/>
        </w:rPr>
      </w:pPr>
    </w:p>
    <w:p w14:paraId="4A3F4042">
      <w:pPr>
        <w:spacing w:line="360" w:lineRule="auto"/>
        <w:contextualSpacing/>
        <w:rPr>
          <w:rFonts w:hint="eastAsia" w:ascii="宋体" w:hAnsi="宋体" w:cs="仿宋_GB2312"/>
          <w:color w:val="auto"/>
          <w:sz w:val="24"/>
          <w:highlight w:val="none"/>
        </w:rPr>
      </w:pPr>
    </w:p>
    <w:p w14:paraId="7790F858">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电子签章</w:t>
      </w:r>
      <w:r>
        <w:rPr>
          <w:rFonts w:hint="eastAsia" w:ascii="宋体" w:hAnsi="宋体" w:cs="仿宋_GB2312"/>
          <w:color w:val="auto"/>
          <w:sz w:val="24"/>
          <w:highlight w:val="none"/>
        </w:rPr>
        <w:t>）：</w:t>
      </w:r>
    </w:p>
    <w:p w14:paraId="0F94360B">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3E9F107">
      <w:pPr>
        <w:spacing w:line="360" w:lineRule="auto"/>
        <w:contextualSpacing/>
        <w:rPr>
          <w:rFonts w:hint="eastAsia" w:ascii="宋体" w:hAnsi="宋体" w:cs="仿宋_GB2312"/>
          <w:color w:val="auto"/>
          <w:sz w:val="24"/>
          <w:highlight w:val="none"/>
        </w:rPr>
      </w:pPr>
    </w:p>
    <w:p w14:paraId="00D079C1">
      <w:pPr>
        <w:spacing w:line="360" w:lineRule="auto"/>
        <w:contextualSpacing/>
        <w:rPr>
          <w:rFonts w:hint="eastAsia" w:ascii="宋体" w:hAnsi="宋体" w:cs="仿宋_GB2312"/>
          <w:color w:val="auto"/>
          <w:sz w:val="24"/>
          <w:highlight w:val="none"/>
        </w:rPr>
      </w:pPr>
    </w:p>
    <w:p w14:paraId="58DB9D48">
      <w:pPr>
        <w:spacing w:line="360" w:lineRule="auto"/>
        <w:contextualSpacing/>
        <w:rPr>
          <w:rFonts w:hint="eastAsia" w:ascii="宋体" w:hAnsi="宋体" w:cs="仿宋_GB2312"/>
          <w:color w:val="auto"/>
          <w:sz w:val="24"/>
          <w:highlight w:val="none"/>
        </w:rPr>
      </w:pPr>
    </w:p>
    <w:p w14:paraId="7C2DA786">
      <w:pPr>
        <w:pStyle w:val="13"/>
        <w:tabs>
          <w:tab w:val="left" w:pos="939"/>
        </w:tabs>
        <w:spacing w:line="360" w:lineRule="auto"/>
        <w:ind w:left="0" w:leftChars="0" w:firstLine="720" w:firstLineChars="300"/>
        <w:rPr>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7E80B936">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B4E3E6F">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73BDFEDD">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AE75C9E">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8D90ECF">
      <w:pPr>
        <w:snapToGrid w:val="0"/>
        <w:spacing w:before="156" w:beforeLines="50" w:after="50"/>
        <w:rPr>
          <w:rFonts w:hint="eastAsia" w:ascii="宋体" w:hAnsi="宋体"/>
          <w:color w:val="auto"/>
          <w:sz w:val="24"/>
          <w:szCs w:val="20"/>
          <w:highlight w:val="none"/>
        </w:rPr>
      </w:pPr>
    </w:p>
    <w:p w14:paraId="3A1A0D3E">
      <w:pPr>
        <w:snapToGrid w:val="0"/>
        <w:spacing w:before="156" w:beforeLines="50" w:after="50"/>
        <w:rPr>
          <w:rFonts w:hint="eastAsia" w:ascii="宋体" w:hAnsi="宋体"/>
          <w:color w:val="auto"/>
          <w:sz w:val="24"/>
          <w:szCs w:val="20"/>
          <w:highlight w:val="none"/>
        </w:rPr>
      </w:pPr>
    </w:p>
    <w:p w14:paraId="147AC8A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571AE27">
      <w:pPr>
        <w:snapToGrid w:val="0"/>
        <w:spacing w:before="156" w:beforeLines="50" w:after="50"/>
        <w:rPr>
          <w:rFonts w:hint="eastAsia" w:ascii="宋体" w:hAnsi="宋体"/>
          <w:bCs/>
          <w:color w:val="auto"/>
          <w:sz w:val="24"/>
          <w:szCs w:val="20"/>
          <w:highlight w:val="none"/>
        </w:rPr>
      </w:pPr>
    </w:p>
    <w:p w14:paraId="3532DA12">
      <w:pPr>
        <w:snapToGrid w:val="0"/>
        <w:spacing w:before="156" w:beforeLines="50" w:after="50"/>
        <w:rPr>
          <w:rFonts w:hint="eastAsia" w:ascii="宋体" w:hAnsi="宋体"/>
          <w:bCs/>
          <w:color w:val="auto"/>
          <w:sz w:val="24"/>
          <w:szCs w:val="20"/>
          <w:highlight w:val="none"/>
        </w:rPr>
      </w:pPr>
    </w:p>
    <w:p w14:paraId="7AE4BE73">
      <w:pPr>
        <w:snapToGrid w:val="0"/>
        <w:spacing w:before="156" w:beforeLines="50" w:after="50"/>
        <w:rPr>
          <w:rFonts w:hint="eastAsia" w:ascii="宋体" w:hAnsi="宋体"/>
          <w:bCs/>
          <w:color w:val="auto"/>
          <w:sz w:val="24"/>
          <w:szCs w:val="20"/>
          <w:highlight w:val="none"/>
        </w:rPr>
      </w:pPr>
    </w:p>
    <w:p w14:paraId="346B40C8">
      <w:pPr>
        <w:snapToGrid w:val="0"/>
        <w:spacing w:before="156" w:beforeLines="50" w:after="50"/>
        <w:rPr>
          <w:rFonts w:hint="eastAsia" w:ascii="宋体" w:hAnsi="宋体"/>
          <w:bCs/>
          <w:color w:val="auto"/>
          <w:sz w:val="24"/>
          <w:szCs w:val="20"/>
          <w:highlight w:val="none"/>
        </w:rPr>
      </w:pPr>
    </w:p>
    <w:p w14:paraId="11A10E01">
      <w:pPr>
        <w:snapToGrid w:val="0"/>
        <w:spacing w:before="156" w:beforeLines="50" w:after="50"/>
        <w:rPr>
          <w:rFonts w:hint="eastAsia" w:ascii="宋体" w:hAnsi="宋体"/>
          <w:bCs/>
          <w:color w:val="auto"/>
          <w:sz w:val="24"/>
          <w:szCs w:val="20"/>
          <w:highlight w:val="none"/>
        </w:rPr>
      </w:pPr>
    </w:p>
    <w:p w14:paraId="6AA2EB9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7340427">
      <w:pPr>
        <w:snapToGrid w:val="0"/>
        <w:spacing w:before="156" w:beforeLines="50" w:after="50"/>
        <w:ind w:firstLine="720" w:firstLineChars="225"/>
        <w:rPr>
          <w:rFonts w:hint="eastAsia" w:ascii="宋体" w:hAnsi="宋体" w:cs="仿宋_GB2312"/>
          <w:bCs/>
          <w:color w:val="auto"/>
          <w:sz w:val="32"/>
          <w:szCs w:val="32"/>
          <w:highlight w:val="none"/>
        </w:rPr>
      </w:pPr>
    </w:p>
    <w:p w14:paraId="719003E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CF3073E">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269AA44">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AB5DD40">
      <w:pPr>
        <w:pStyle w:val="8"/>
        <w:snapToGrid w:val="0"/>
        <w:spacing w:before="50" w:after="50"/>
        <w:ind w:firstLine="640"/>
        <w:rPr>
          <w:rFonts w:hint="eastAsia" w:ascii="宋体" w:hAnsi="宋体" w:cs="仿宋_GB2312"/>
          <w:bCs/>
          <w:color w:val="auto"/>
          <w:sz w:val="32"/>
          <w:szCs w:val="32"/>
          <w:highlight w:val="none"/>
        </w:rPr>
      </w:pPr>
    </w:p>
    <w:p w14:paraId="6DF5C553">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8A002A2">
      <w:pPr>
        <w:pStyle w:val="8"/>
        <w:snapToGrid w:val="0"/>
        <w:spacing w:before="50" w:after="50"/>
        <w:ind w:firstLine="640"/>
        <w:rPr>
          <w:rFonts w:hint="eastAsia" w:ascii="宋体" w:hAnsi="宋体" w:cs="仿宋_GB2312"/>
          <w:bCs/>
          <w:color w:val="auto"/>
          <w:sz w:val="32"/>
          <w:szCs w:val="32"/>
          <w:highlight w:val="none"/>
        </w:rPr>
      </w:pPr>
    </w:p>
    <w:p w14:paraId="7D91AF87">
      <w:pPr>
        <w:pStyle w:val="8"/>
        <w:snapToGrid w:val="0"/>
        <w:spacing w:before="50" w:after="50"/>
        <w:ind w:firstLine="720" w:firstLineChars="225"/>
        <w:rPr>
          <w:rFonts w:hint="eastAsia" w:ascii="宋体" w:hAnsi="宋体" w:cs="仿宋_GB2312"/>
          <w:bCs/>
          <w:color w:val="auto"/>
          <w:sz w:val="32"/>
          <w:szCs w:val="32"/>
          <w:highlight w:val="none"/>
        </w:rPr>
      </w:pPr>
    </w:p>
    <w:p w14:paraId="5907D477">
      <w:pPr>
        <w:pStyle w:val="8"/>
        <w:snapToGrid w:val="0"/>
        <w:spacing w:before="50" w:after="50"/>
        <w:ind w:firstLine="640"/>
        <w:rPr>
          <w:rFonts w:hint="eastAsia" w:ascii="宋体" w:hAnsi="宋体" w:cs="仿宋_GB2312"/>
          <w:bCs/>
          <w:color w:val="auto"/>
          <w:sz w:val="32"/>
          <w:szCs w:val="32"/>
          <w:highlight w:val="none"/>
        </w:rPr>
      </w:pPr>
    </w:p>
    <w:p w14:paraId="1C6EADFA">
      <w:pPr>
        <w:pStyle w:val="8"/>
        <w:snapToGrid w:val="0"/>
        <w:spacing w:before="50" w:after="50"/>
        <w:ind w:firstLine="1280" w:firstLineChars="400"/>
        <w:rPr>
          <w:rFonts w:hint="eastAsia" w:ascii="宋体" w:hAnsi="宋体" w:cs="仿宋_GB2312"/>
          <w:bCs/>
          <w:color w:val="auto"/>
          <w:sz w:val="32"/>
          <w:szCs w:val="32"/>
          <w:highlight w:val="none"/>
        </w:rPr>
      </w:pPr>
    </w:p>
    <w:p w14:paraId="5D151401">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CAD4F72">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6FCD7D29">
      <w:pPr>
        <w:autoSpaceDE w:val="0"/>
        <w:autoSpaceDN w:val="0"/>
        <w:adjustRightInd w:val="0"/>
        <w:spacing w:line="360" w:lineRule="auto"/>
        <w:ind w:firstLine="640" w:firstLineChars="200"/>
        <w:rPr>
          <w:rFonts w:hint="eastAsia"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3947894D">
      <w:pPr>
        <w:pStyle w:val="46"/>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磋商函（格式）</w:t>
      </w:r>
    </w:p>
    <w:p w14:paraId="086B2F1C">
      <w:pPr>
        <w:pStyle w:val="46"/>
        <w:jc w:val="both"/>
        <w:rPr>
          <w:rFonts w:hint="eastAsia" w:asciiTheme="majorEastAsia" w:hAnsiTheme="majorEastAsia" w:eastAsiaTheme="majorEastAsia" w:cstheme="majorEastAsia"/>
          <w:color w:val="auto"/>
          <w:highlight w:val="none"/>
        </w:rPr>
      </w:pPr>
    </w:p>
    <w:p w14:paraId="12FAFA60">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4163E701">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元）</w:t>
      </w:r>
      <w:r>
        <w:rPr>
          <w:rFonts w:hint="eastAsia" w:asciiTheme="majorEastAsia" w:hAnsiTheme="majorEastAsia" w:eastAsiaTheme="majorEastAsia" w:cstheme="majorEastAsia"/>
          <w:color w:val="auto"/>
          <w:highlight w:val="none"/>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highlight w:val="none"/>
          <w:u w:val="single"/>
        </w:rPr>
        <w:t xml:space="preserve">           标准</w:t>
      </w:r>
      <w:r>
        <w:rPr>
          <w:rFonts w:hint="eastAsia" w:asciiTheme="majorEastAsia" w:hAnsiTheme="majorEastAsia" w:eastAsiaTheme="majorEastAsia" w:cstheme="majorEastAsia"/>
          <w:color w:val="auto"/>
          <w:highlight w:val="none"/>
        </w:rPr>
        <w:t>。</w:t>
      </w:r>
    </w:p>
    <w:p w14:paraId="30A1D8B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2、我方已详细审核全部竞争性磋商文件，包括修改文件（如有时）及有关附件。</w:t>
      </w:r>
    </w:p>
    <w:p w14:paraId="4C02FB81">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297771B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4、我方承诺已经具备《中华人民共和国政府采购法》中规定的参加招标投标采购活动的供应商应当具备的条件：</w:t>
      </w:r>
    </w:p>
    <w:p w14:paraId="6652118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p w14:paraId="7577740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p w14:paraId="02AA564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p w14:paraId="5BBBDA3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p w14:paraId="50B08C8A">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（5）参加招标投标采购活动前三年内，在经营活动中没有重大违法记录；</w:t>
      </w:r>
    </w:p>
    <w:p w14:paraId="200C58F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p w14:paraId="14BD8C25">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日历天内完成并移交全部工程。</w:t>
      </w:r>
    </w:p>
    <w:p w14:paraId="46B6127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51EEA9A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4BEF70B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3BC4F34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0DB5C4D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商（电子签章）：</w:t>
      </w:r>
      <w:r>
        <w:rPr>
          <w:rFonts w:hint="eastAsia" w:asciiTheme="majorEastAsia" w:hAnsiTheme="majorEastAsia" w:eastAsiaTheme="majorEastAsia" w:cstheme="majorEastAsia"/>
          <w:color w:val="auto"/>
          <w:highlight w:val="none"/>
          <w:u w:val="single"/>
        </w:rPr>
        <w:t xml:space="preserve">                 </w:t>
      </w:r>
    </w:p>
    <w:p w14:paraId="114DEC2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w:t>
      </w:r>
      <w:r>
        <w:rPr>
          <w:rFonts w:hint="eastAsia" w:ascii="宋体" w:hAnsi="宋体"/>
          <w:color w:val="auto"/>
          <w:sz w:val="24"/>
          <w:highlight w:val="none"/>
        </w:rPr>
        <w:t>（签字或者电子签名）</w:t>
      </w:r>
      <w:r>
        <w:rPr>
          <w:rFonts w:hint="eastAsia" w:asciiTheme="majorEastAsia" w:hAnsiTheme="majorEastAsia" w:eastAsiaTheme="majorEastAsia" w:cstheme="majorEastAsia"/>
          <w:color w:val="auto"/>
          <w:highlight w:val="none"/>
        </w:rPr>
        <w:t xml:space="preserve">：    </w:t>
      </w:r>
    </w:p>
    <w:p w14:paraId="7568C7B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单位地址：     </w:t>
      </w:r>
    </w:p>
    <w:p w14:paraId="4FC3935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1CF98B24">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2C5B9F9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5205866B">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3902A3AB">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354DA71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7F0F301B">
      <w:pPr>
        <w:pStyle w:val="46"/>
        <w:spacing w:line="36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磋商函附录（格式）</w:t>
      </w:r>
    </w:p>
    <w:p w14:paraId="04B58275">
      <w:pPr>
        <w:pStyle w:val="46"/>
        <w:spacing w:line="360" w:lineRule="exact"/>
        <w:jc w:val="center"/>
        <w:rPr>
          <w:rFonts w:hint="eastAsia" w:asciiTheme="majorEastAsia" w:hAnsiTheme="majorEastAsia" w:eastAsiaTheme="majorEastAsia" w:cstheme="majorEastAsia"/>
          <w:b/>
          <w:bCs/>
          <w:color w:val="auto"/>
          <w:sz w:val="28"/>
          <w:szCs w:val="28"/>
          <w:highlight w:val="none"/>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6677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996" w:type="dxa"/>
          </w:tcPr>
          <w:p w14:paraId="425A85B7">
            <w:pPr>
              <w:spacing w:before="181" w:line="230" w:lineRule="auto"/>
              <w:ind w:left="292"/>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24" w:type="dxa"/>
          </w:tcPr>
          <w:p w14:paraId="25C894B3">
            <w:pPr>
              <w:spacing w:before="181" w:line="228" w:lineRule="auto"/>
              <w:ind w:left="1298"/>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18" w:type="dxa"/>
          </w:tcPr>
          <w:p w14:paraId="1AFD5AFD">
            <w:pPr>
              <w:spacing w:before="181" w:line="228" w:lineRule="auto"/>
              <w:ind w:left="1000"/>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696" w:type="dxa"/>
          </w:tcPr>
          <w:p w14:paraId="04986C16">
            <w:pPr>
              <w:spacing w:before="181" w:line="230" w:lineRule="auto"/>
              <w:ind w:left="646"/>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5B3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093C64BB">
            <w:pPr>
              <w:spacing w:before="211" w:line="193" w:lineRule="auto"/>
              <w:ind w:left="467"/>
              <w:rPr>
                <w:rFonts w:hint="eastAsia"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6CF11E31">
            <w:pPr>
              <w:spacing w:before="180" w:line="229" w:lineRule="auto"/>
              <w:ind w:left="1300"/>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18" w:type="dxa"/>
          </w:tcPr>
          <w:p w14:paraId="792029D8">
            <w:pPr>
              <w:spacing w:before="180" w:line="228" w:lineRule="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96" w:type="dxa"/>
          </w:tcPr>
          <w:p w14:paraId="61F240F9">
            <w:pPr>
              <w:rPr>
                <w:rFonts w:hint="eastAsia" w:ascii="宋体" w:hAnsi="宋体" w:cs="宋体"/>
                <w:color w:val="auto"/>
                <w:szCs w:val="21"/>
                <w:highlight w:val="none"/>
              </w:rPr>
            </w:pPr>
          </w:p>
        </w:tc>
      </w:tr>
      <w:tr w14:paraId="3395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7071A6BA">
            <w:pPr>
              <w:spacing w:before="211" w:line="192" w:lineRule="auto"/>
              <w:ind w:left="454"/>
              <w:rPr>
                <w:rFonts w:hint="eastAsia"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5316108D">
            <w:pPr>
              <w:spacing w:before="179" w:line="228" w:lineRule="auto"/>
              <w:ind w:left="993"/>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2818" w:type="dxa"/>
          </w:tcPr>
          <w:p w14:paraId="1085C91E">
            <w:pPr>
              <w:rPr>
                <w:rFonts w:hint="eastAsia" w:ascii="宋体" w:hAnsi="宋体" w:cs="宋体"/>
                <w:color w:val="auto"/>
                <w:szCs w:val="21"/>
                <w:highlight w:val="none"/>
              </w:rPr>
            </w:pPr>
          </w:p>
        </w:tc>
        <w:tc>
          <w:tcPr>
            <w:tcW w:w="1696" w:type="dxa"/>
          </w:tcPr>
          <w:p w14:paraId="778139D8">
            <w:pPr>
              <w:rPr>
                <w:rFonts w:hint="eastAsia" w:ascii="宋体" w:hAnsi="宋体" w:cs="宋体"/>
                <w:color w:val="auto"/>
                <w:szCs w:val="21"/>
                <w:highlight w:val="none"/>
              </w:rPr>
            </w:pPr>
          </w:p>
        </w:tc>
      </w:tr>
      <w:tr w14:paraId="5A29E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77DE8DB6">
            <w:pPr>
              <w:spacing w:before="212" w:line="190" w:lineRule="auto"/>
              <w:ind w:left="456"/>
              <w:rPr>
                <w:rFonts w:hint="eastAsia"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2FEF870A">
            <w:pPr>
              <w:spacing w:before="179" w:line="229" w:lineRule="auto"/>
              <w:ind w:left="1510"/>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18" w:type="dxa"/>
          </w:tcPr>
          <w:p w14:paraId="131C514B">
            <w:pPr>
              <w:tabs>
                <w:tab w:val="left" w:pos="1506"/>
              </w:tabs>
              <w:spacing w:before="179" w:line="229" w:lineRule="auto"/>
              <w:ind w:left="832"/>
              <w:rPr>
                <w:rFonts w:hint="eastAsia"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日历天</w:t>
            </w:r>
          </w:p>
        </w:tc>
        <w:tc>
          <w:tcPr>
            <w:tcW w:w="1696" w:type="dxa"/>
          </w:tcPr>
          <w:p w14:paraId="406768BD">
            <w:pPr>
              <w:rPr>
                <w:rFonts w:hint="eastAsia" w:ascii="宋体" w:hAnsi="宋体" w:cs="宋体"/>
                <w:color w:val="auto"/>
                <w:szCs w:val="21"/>
                <w:highlight w:val="none"/>
              </w:rPr>
            </w:pPr>
          </w:p>
        </w:tc>
      </w:tr>
      <w:tr w14:paraId="3860F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6" w:type="dxa"/>
          </w:tcPr>
          <w:p w14:paraId="1FD74048">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3424" w:type="dxa"/>
          </w:tcPr>
          <w:p w14:paraId="1FC9C20E">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18" w:type="dxa"/>
          </w:tcPr>
          <w:p w14:paraId="1A2659E5">
            <w:pPr>
              <w:rPr>
                <w:rFonts w:hint="eastAsia" w:ascii="宋体" w:hAnsi="宋体" w:cs="宋体"/>
                <w:color w:val="auto"/>
                <w:szCs w:val="21"/>
                <w:highlight w:val="none"/>
              </w:rPr>
            </w:pPr>
          </w:p>
        </w:tc>
        <w:tc>
          <w:tcPr>
            <w:tcW w:w="1696" w:type="dxa"/>
          </w:tcPr>
          <w:p w14:paraId="4C53729E">
            <w:pPr>
              <w:rPr>
                <w:rFonts w:hint="eastAsia" w:ascii="宋体" w:hAnsi="宋体" w:cs="宋体"/>
                <w:color w:val="auto"/>
                <w:szCs w:val="21"/>
                <w:highlight w:val="none"/>
              </w:rPr>
            </w:pPr>
          </w:p>
        </w:tc>
      </w:tr>
      <w:tr w14:paraId="3AED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7BA5F0B9">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3424" w:type="dxa"/>
          </w:tcPr>
          <w:p w14:paraId="2810E777">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2818" w:type="dxa"/>
          </w:tcPr>
          <w:p w14:paraId="2B8C7641">
            <w:pPr>
              <w:rPr>
                <w:rFonts w:hint="eastAsia" w:ascii="宋体" w:hAnsi="宋体" w:cs="宋体"/>
                <w:color w:val="auto"/>
                <w:szCs w:val="21"/>
                <w:highlight w:val="none"/>
              </w:rPr>
            </w:pPr>
          </w:p>
        </w:tc>
        <w:tc>
          <w:tcPr>
            <w:tcW w:w="1696" w:type="dxa"/>
          </w:tcPr>
          <w:p w14:paraId="46A17407">
            <w:pPr>
              <w:rPr>
                <w:rFonts w:hint="eastAsia" w:ascii="宋体" w:hAnsi="宋体" w:cs="宋体"/>
                <w:color w:val="auto"/>
                <w:szCs w:val="21"/>
                <w:highlight w:val="none"/>
              </w:rPr>
            </w:pPr>
          </w:p>
        </w:tc>
      </w:tr>
      <w:tr w14:paraId="13BF7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34A28D08">
            <w:pPr>
              <w:spacing w:before="181" w:line="325" w:lineRule="exact"/>
              <w:ind w:left="306"/>
              <w:rPr>
                <w:rFonts w:hint="eastAsia" w:ascii="宋体" w:hAnsi="宋体" w:cs="宋体"/>
                <w:color w:val="auto"/>
                <w:szCs w:val="21"/>
                <w:highlight w:val="none"/>
              </w:rPr>
            </w:pPr>
            <w:r>
              <w:rPr>
                <w:rFonts w:hint="eastAsia" w:ascii="宋体" w:hAnsi="宋体" w:cs="宋体"/>
                <w:color w:val="auto"/>
                <w:szCs w:val="21"/>
                <w:highlight w:val="none"/>
              </w:rPr>
              <w:t>……</w:t>
            </w:r>
          </w:p>
        </w:tc>
        <w:tc>
          <w:tcPr>
            <w:tcW w:w="3424" w:type="dxa"/>
          </w:tcPr>
          <w:p w14:paraId="5B093303">
            <w:pPr>
              <w:spacing w:before="181" w:line="325" w:lineRule="exact"/>
              <w:ind w:left="1521"/>
              <w:rPr>
                <w:rFonts w:hint="eastAsia" w:ascii="宋体" w:hAnsi="宋体" w:cs="宋体"/>
                <w:color w:val="auto"/>
                <w:szCs w:val="21"/>
                <w:highlight w:val="none"/>
              </w:rPr>
            </w:pPr>
            <w:r>
              <w:rPr>
                <w:rFonts w:hint="eastAsia" w:ascii="宋体" w:hAnsi="宋体" w:cs="宋体"/>
                <w:color w:val="auto"/>
                <w:szCs w:val="21"/>
                <w:highlight w:val="none"/>
              </w:rPr>
              <w:t>……</w:t>
            </w:r>
          </w:p>
        </w:tc>
        <w:tc>
          <w:tcPr>
            <w:tcW w:w="2818" w:type="dxa"/>
          </w:tcPr>
          <w:p w14:paraId="0AF6E265">
            <w:pPr>
              <w:rPr>
                <w:rFonts w:hint="eastAsia" w:ascii="宋体" w:hAnsi="宋体" w:cs="宋体"/>
                <w:color w:val="auto"/>
                <w:szCs w:val="21"/>
                <w:highlight w:val="none"/>
              </w:rPr>
            </w:pPr>
          </w:p>
        </w:tc>
        <w:tc>
          <w:tcPr>
            <w:tcW w:w="1696" w:type="dxa"/>
          </w:tcPr>
          <w:p w14:paraId="3C57EA2C">
            <w:pPr>
              <w:rPr>
                <w:rFonts w:hint="eastAsia" w:ascii="宋体" w:hAnsi="宋体" w:cs="宋体"/>
                <w:color w:val="auto"/>
                <w:szCs w:val="21"/>
                <w:highlight w:val="none"/>
              </w:rPr>
            </w:pPr>
          </w:p>
        </w:tc>
      </w:tr>
      <w:tr w14:paraId="271E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3443C662">
            <w:pPr>
              <w:spacing w:line="400" w:lineRule="exact"/>
              <w:ind w:left="119" w:right="102" w:firstLine="6"/>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备注：供应商在响应竞争性磋商文件中规定的实质性要求和条件的基础上，可做出其他有利于采购单位的承诺。此类承诺可在本表中予以补充填写。</w:t>
            </w:r>
          </w:p>
        </w:tc>
      </w:tr>
    </w:tbl>
    <w:p w14:paraId="565D6148">
      <w:pPr>
        <w:pStyle w:val="46"/>
        <w:spacing w:line="360" w:lineRule="exact"/>
        <w:ind w:firstLine="482" w:firstLineChars="200"/>
        <w:jc w:val="both"/>
        <w:rPr>
          <w:rFonts w:hint="eastAsia" w:asciiTheme="majorEastAsia" w:hAnsiTheme="majorEastAsia" w:eastAsiaTheme="majorEastAsia" w:cstheme="majorEastAsia"/>
          <w:b/>
          <w:bCs/>
          <w:color w:val="auto"/>
          <w:sz w:val="24"/>
          <w:szCs w:val="32"/>
          <w:highlight w:val="none"/>
        </w:rPr>
      </w:pPr>
    </w:p>
    <w:p w14:paraId="5769F84C">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7676017">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3DE1C1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2AE847A5">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C113BB7">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C2CACD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8F00B13">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BE5B69D">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769B6F49">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40943F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6F9803FC">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28081A4">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06FA4B8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B30DA9A">
      <w:pPr>
        <w:pStyle w:val="46"/>
        <w:spacing w:line="360" w:lineRule="auto"/>
        <w:jc w:val="both"/>
        <w:rPr>
          <w:rFonts w:hint="eastAsia" w:ascii="宋体" w:hAnsi="宋体" w:eastAsia="宋体" w:cs="方正小标宋简体"/>
          <w:b/>
          <w:bCs/>
          <w:color w:val="auto"/>
          <w:kern w:val="2"/>
          <w:sz w:val="32"/>
          <w:szCs w:val="32"/>
          <w:highlight w:val="none"/>
        </w:rPr>
      </w:pPr>
    </w:p>
    <w:p w14:paraId="2C3F2E3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竞标报价表（格式）</w:t>
      </w:r>
    </w:p>
    <w:p w14:paraId="0EDDFABC">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74E8BB9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D1A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F7159A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A897F1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67DD4EE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3028BA9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258A7E4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EDC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A4E9C7C">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04D5F99F">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1FD6018F">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00698A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81B0001">
            <w:pPr>
              <w:spacing w:line="360" w:lineRule="auto"/>
              <w:contextualSpacing/>
              <w:rPr>
                <w:rFonts w:hint="eastAsia" w:ascii="宋体" w:hAnsi="宋体" w:cs="仿宋_GB2312"/>
                <w:color w:val="auto"/>
                <w:sz w:val="24"/>
                <w:highlight w:val="none"/>
              </w:rPr>
            </w:pPr>
          </w:p>
        </w:tc>
      </w:tr>
      <w:tr w14:paraId="4449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B3F82B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7E85D3D5">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F1C853E">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43086E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4B3E445">
            <w:pPr>
              <w:spacing w:line="360" w:lineRule="auto"/>
              <w:contextualSpacing/>
              <w:rPr>
                <w:rFonts w:hint="eastAsia" w:ascii="宋体" w:hAnsi="宋体" w:cs="仿宋_GB2312"/>
                <w:color w:val="auto"/>
                <w:sz w:val="24"/>
                <w:highlight w:val="none"/>
              </w:rPr>
            </w:pPr>
          </w:p>
        </w:tc>
      </w:tr>
      <w:tr w14:paraId="5F8D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407EE7C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5AB8E794">
      <w:pPr>
        <w:spacing w:line="360" w:lineRule="auto"/>
        <w:contextualSpacing/>
        <w:jc w:val="left"/>
        <w:rPr>
          <w:rFonts w:hint="eastAsia" w:ascii="宋体" w:hAnsi="宋体" w:cs="仿宋_GB2312"/>
          <w:color w:val="auto"/>
          <w:sz w:val="24"/>
          <w:highlight w:val="none"/>
        </w:rPr>
      </w:pPr>
    </w:p>
    <w:p w14:paraId="0298F56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410A5132">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3D9C58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47BBF23">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在广西政府采购云平台评审过程中，供应商提交的</w:t>
      </w:r>
      <w:r>
        <w:rPr>
          <w:rFonts w:hint="eastAsia" w:ascii="宋体" w:hAnsi="宋体" w:cs="仿宋_GB2312"/>
          <w:b/>
          <w:bCs/>
          <w:color w:val="auto"/>
          <w:sz w:val="32"/>
          <w:szCs w:val="32"/>
          <w:highlight w:val="none"/>
        </w:rPr>
        <w:t>最后报价与首次报价相比有调整的，必须同时上传相对应的“已标价的工程量清单”作为附件，否则其响应文件按无效处理。</w:t>
      </w:r>
    </w:p>
    <w:p w14:paraId="6A605530">
      <w:pPr>
        <w:spacing w:line="360" w:lineRule="auto"/>
        <w:ind w:right="-817" w:rightChars="-389"/>
        <w:contextualSpacing/>
        <w:rPr>
          <w:rFonts w:hint="eastAsia" w:ascii="宋体" w:hAnsi="宋体" w:cs="仿宋_GB2312"/>
          <w:color w:val="auto"/>
          <w:sz w:val="24"/>
          <w:highlight w:val="none"/>
        </w:rPr>
      </w:pPr>
    </w:p>
    <w:p w14:paraId="0CB10A7A">
      <w:pPr>
        <w:spacing w:line="360" w:lineRule="auto"/>
        <w:ind w:right="-817" w:rightChars="-389"/>
        <w:contextualSpacing/>
        <w:rPr>
          <w:rFonts w:hint="eastAsia" w:ascii="宋体" w:hAnsi="宋体" w:cs="仿宋_GB2312"/>
          <w:color w:val="auto"/>
          <w:sz w:val="24"/>
          <w:highlight w:val="none"/>
        </w:rPr>
      </w:pPr>
    </w:p>
    <w:p w14:paraId="7EEB9D5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0002D8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1E092B4">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F68CF5E">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2E82A08">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FA14980">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98D901D">
      <w:pPr>
        <w:pStyle w:val="46"/>
        <w:spacing w:line="360" w:lineRule="auto"/>
        <w:jc w:val="center"/>
        <w:rPr>
          <w:rFonts w:hint="eastAsia" w:ascii="宋体" w:hAnsi="宋体" w:eastAsia="宋体" w:cs="宋体"/>
          <w:b/>
          <w:bCs/>
          <w:color w:val="auto"/>
          <w:sz w:val="32"/>
          <w:szCs w:val="40"/>
          <w:highlight w:val="none"/>
        </w:rPr>
      </w:pPr>
    </w:p>
    <w:p w14:paraId="36DE6F7E">
      <w:pPr>
        <w:pStyle w:val="46"/>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0E680F24">
      <w:pPr>
        <w:pStyle w:val="46"/>
        <w:spacing w:line="360" w:lineRule="auto"/>
        <w:ind w:firstLine="420" w:firstLineChars="200"/>
        <w:jc w:val="both"/>
        <w:rPr>
          <w:rFonts w:hint="eastAsia" w:ascii="宋体" w:hAnsi="宋体" w:eastAsia="宋体" w:cs="宋体"/>
          <w:color w:val="auto"/>
          <w:highlight w:val="none"/>
        </w:rPr>
      </w:pPr>
    </w:p>
    <w:p w14:paraId="49198DCD">
      <w:pPr>
        <w:pStyle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1、已标价工程量清单按照第三章发放的“工程量清单”相关内容填写。</w:t>
      </w:r>
    </w:p>
    <w:p w14:paraId="7461D460">
      <w:pPr>
        <w:pStyle w:val="46"/>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2、招标人提供的工程量清单（由投标人自行在网上下载）</w:t>
      </w:r>
    </w:p>
    <w:p w14:paraId="681D5E15">
      <w:pPr>
        <w:autoSpaceDE w:val="0"/>
        <w:autoSpaceDN w:val="0"/>
        <w:adjustRightInd w:val="0"/>
        <w:spacing w:line="360" w:lineRule="auto"/>
        <w:rPr>
          <w:rFonts w:hint="eastAsia" w:ascii="宋体" w:hAnsi="宋体"/>
          <w:b/>
          <w:bCs/>
          <w:color w:val="auto"/>
          <w:sz w:val="32"/>
          <w:szCs w:val="32"/>
          <w:highlight w:val="none"/>
          <w:lang w:val="zh-CN"/>
        </w:rPr>
      </w:pPr>
    </w:p>
    <w:p w14:paraId="49AF4B88">
      <w:pPr>
        <w:autoSpaceDE w:val="0"/>
        <w:autoSpaceDN w:val="0"/>
        <w:adjustRightInd w:val="0"/>
        <w:spacing w:line="360" w:lineRule="auto"/>
        <w:rPr>
          <w:rFonts w:hint="eastAsia" w:ascii="宋体" w:hAnsi="宋体"/>
          <w:b/>
          <w:bCs/>
          <w:color w:val="auto"/>
          <w:sz w:val="32"/>
          <w:szCs w:val="32"/>
          <w:highlight w:val="none"/>
          <w:lang w:val="zh-CN"/>
        </w:rPr>
      </w:pPr>
    </w:p>
    <w:p w14:paraId="64F17C91">
      <w:pPr>
        <w:autoSpaceDE w:val="0"/>
        <w:autoSpaceDN w:val="0"/>
        <w:adjustRightInd w:val="0"/>
        <w:spacing w:line="360" w:lineRule="auto"/>
        <w:rPr>
          <w:rFonts w:hint="eastAsia" w:ascii="宋体" w:hAnsi="宋体"/>
          <w:b/>
          <w:bCs/>
          <w:color w:val="auto"/>
          <w:sz w:val="32"/>
          <w:szCs w:val="32"/>
          <w:highlight w:val="none"/>
          <w:lang w:val="zh-CN"/>
        </w:rPr>
      </w:pPr>
    </w:p>
    <w:p w14:paraId="1F44B08D">
      <w:pPr>
        <w:autoSpaceDE w:val="0"/>
        <w:autoSpaceDN w:val="0"/>
        <w:adjustRightInd w:val="0"/>
        <w:spacing w:line="360" w:lineRule="auto"/>
        <w:rPr>
          <w:rFonts w:hint="eastAsia" w:ascii="宋体" w:hAnsi="宋体"/>
          <w:b/>
          <w:bCs/>
          <w:color w:val="auto"/>
          <w:sz w:val="32"/>
          <w:szCs w:val="32"/>
          <w:highlight w:val="none"/>
          <w:lang w:val="zh-CN"/>
        </w:rPr>
      </w:pPr>
    </w:p>
    <w:p w14:paraId="2935DDF3">
      <w:pPr>
        <w:autoSpaceDE w:val="0"/>
        <w:autoSpaceDN w:val="0"/>
        <w:adjustRightInd w:val="0"/>
        <w:spacing w:line="360" w:lineRule="auto"/>
        <w:rPr>
          <w:rFonts w:hint="eastAsia" w:ascii="宋体" w:hAnsi="宋体"/>
          <w:b/>
          <w:bCs/>
          <w:color w:val="auto"/>
          <w:sz w:val="32"/>
          <w:szCs w:val="32"/>
          <w:highlight w:val="none"/>
          <w:lang w:val="zh-CN"/>
        </w:rPr>
      </w:pPr>
    </w:p>
    <w:p w14:paraId="12908D1F">
      <w:pPr>
        <w:autoSpaceDE w:val="0"/>
        <w:autoSpaceDN w:val="0"/>
        <w:adjustRightInd w:val="0"/>
        <w:spacing w:line="360" w:lineRule="auto"/>
        <w:rPr>
          <w:rFonts w:hint="eastAsia" w:ascii="宋体" w:hAnsi="宋体"/>
          <w:b/>
          <w:bCs/>
          <w:color w:val="auto"/>
          <w:sz w:val="32"/>
          <w:szCs w:val="32"/>
          <w:highlight w:val="none"/>
          <w:lang w:val="zh-CN"/>
        </w:rPr>
      </w:pPr>
    </w:p>
    <w:p w14:paraId="4E828992">
      <w:pPr>
        <w:autoSpaceDE w:val="0"/>
        <w:autoSpaceDN w:val="0"/>
        <w:adjustRightInd w:val="0"/>
        <w:spacing w:line="360" w:lineRule="auto"/>
        <w:rPr>
          <w:rFonts w:hint="eastAsia" w:ascii="宋体" w:hAnsi="宋体"/>
          <w:b/>
          <w:bCs/>
          <w:color w:val="auto"/>
          <w:sz w:val="32"/>
          <w:szCs w:val="32"/>
          <w:highlight w:val="none"/>
          <w:lang w:val="zh-CN"/>
        </w:rPr>
      </w:pPr>
    </w:p>
    <w:p w14:paraId="00E47F6F">
      <w:pPr>
        <w:autoSpaceDE w:val="0"/>
        <w:autoSpaceDN w:val="0"/>
        <w:adjustRightInd w:val="0"/>
        <w:spacing w:line="360" w:lineRule="auto"/>
        <w:rPr>
          <w:rFonts w:hint="eastAsia" w:ascii="宋体" w:hAnsi="宋体"/>
          <w:b/>
          <w:bCs/>
          <w:color w:val="auto"/>
          <w:sz w:val="32"/>
          <w:szCs w:val="32"/>
          <w:highlight w:val="none"/>
          <w:lang w:val="zh-CN"/>
        </w:rPr>
      </w:pPr>
    </w:p>
    <w:p w14:paraId="58F96D2F">
      <w:pPr>
        <w:autoSpaceDE w:val="0"/>
        <w:autoSpaceDN w:val="0"/>
        <w:adjustRightInd w:val="0"/>
        <w:spacing w:line="360" w:lineRule="auto"/>
        <w:rPr>
          <w:rFonts w:hint="eastAsia" w:ascii="宋体" w:hAnsi="宋体"/>
          <w:b/>
          <w:bCs/>
          <w:color w:val="auto"/>
          <w:sz w:val="32"/>
          <w:szCs w:val="32"/>
          <w:highlight w:val="none"/>
          <w:lang w:val="zh-CN"/>
        </w:rPr>
      </w:pPr>
    </w:p>
    <w:p w14:paraId="73DE9630">
      <w:pPr>
        <w:autoSpaceDE w:val="0"/>
        <w:autoSpaceDN w:val="0"/>
        <w:adjustRightInd w:val="0"/>
        <w:spacing w:line="360" w:lineRule="auto"/>
        <w:rPr>
          <w:rFonts w:hint="eastAsia" w:ascii="宋体" w:hAnsi="宋体"/>
          <w:b/>
          <w:bCs/>
          <w:color w:val="auto"/>
          <w:sz w:val="32"/>
          <w:szCs w:val="32"/>
          <w:highlight w:val="none"/>
          <w:lang w:val="zh-CN"/>
        </w:rPr>
      </w:pPr>
    </w:p>
    <w:p w14:paraId="3D34AD3E">
      <w:pPr>
        <w:autoSpaceDE w:val="0"/>
        <w:autoSpaceDN w:val="0"/>
        <w:adjustRightInd w:val="0"/>
        <w:spacing w:line="360" w:lineRule="auto"/>
        <w:rPr>
          <w:rFonts w:hint="eastAsia" w:ascii="宋体" w:hAnsi="宋体"/>
          <w:b/>
          <w:bCs/>
          <w:color w:val="auto"/>
          <w:sz w:val="32"/>
          <w:szCs w:val="32"/>
          <w:highlight w:val="none"/>
          <w:lang w:val="zh-CN"/>
        </w:rPr>
      </w:pPr>
    </w:p>
    <w:p w14:paraId="28E6FC77">
      <w:pPr>
        <w:autoSpaceDE w:val="0"/>
        <w:autoSpaceDN w:val="0"/>
        <w:adjustRightInd w:val="0"/>
        <w:spacing w:line="360" w:lineRule="auto"/>
        <w:rPr>
          <w:rFonts w:hint="eastAsia" w:ascii="宋体" w:hAnsi="宋体"/>
          <w:b/>
          <w:bCs/>
          <w:color w:val="auto"/>
          <w:sz w:val="32"/>
          <w:szCs w:val="32"/>
          <w:highlight w:val="none"/>
          <w:lang w:val="zh-CN"/>
        </w:rPr>
      </w:pPr>
    </w:p>
    <w:p w14:paraId="40702C02">
      <w:pPr>
        <w:autoSpaceDE w:val="0"/>
        <w:autoSpaceDN w:val="0"/>
        <w:adjustRightInd w:val="0"/>
        <w:spacing w:line="360" w:lineRule="auto"/>
        <w:rPr>
          <w:rFonts w:hint="eastAsia" w:ascii="宋体" w:hAnsi="宋体"/>
          <w:b/>
          <w:bCs/>
          <w:color w:val="auto"/>
          <w:sz w:val="32"/>
          <w:szCs w:val="32"/>
          <w:highlight w:val="none"/>
          <w:lang w:val="zh-CN"/>
        </w:rPr>
      </w:pPr>
    </w:p>
    <w:p w14:paraId="2A552D35">
      <w:pPr>
        <w:autoSpaceDE w:val="0"/>
        <w:autoSpaceDN w:val="0"/>
        <w:adjustRightInd w:val="0"/>
        <w:spacing w:line="360" w:lineRule="auto"/>
        <w:rPr>
          <w:rFonts w:hint="eastAsia" w:ascii="宋体" w:hAnsi="宋体"/>
          <w:b/>
          <w:bCs/>
          <w:color w:val="auto"/>
          <w:sz w:val="32"/>
          <w:szCs w:val="32"/>
          <w:highlight w:val="none"/>
          <w:lang w:val="zh-CN"/>
        </w:rPr>
      </w:pPr>
    </w:p>
    <w:p w14:paraId="20B413FC">
      <w:pPr>
        <w:autoSpaceDE w:val="0"/>
        <w:autoSpaceDN w:val="0"/>
        <w:adjustRightInd w:val="0"/>
        <w:spacing w:line="360" w:lineRule="auto"/>
        <w:rPr>
          <w:rFonts w:hint="eastAsia" w:ascii="宋体" w:hAnsi="宋体"/>
          <w:b/>
          <w:bCs/>
          <w:color w:val="auto"/>
          <w:sz w:val="32"/>
          <w:szCs w:val="32"/>
          <w:highlight w:val="none"/>
          <w:lang w:val="zh-CN"/>
        </w:rPr>
      </w:pPr>
    </w:p>
    <w:p w14:paraId="376F7A32">
      <w:pPr>
        <w:autoSpaceDE w:val="0"/>
        <w:autoSpaceDN w:val="0"/>
        <w:adjustRightInd w:val="0"/>
        <w:spacing w:line="360" w:lineRule="auto"/>
        <w:rPr>
          <w:rFonts w:hint="eastAsia" w:ascii="宋体" w:hAnsi="宋体"/>
          <w:b/>
          <w:bCs/>
          <w:color w:val="auto"/>
          <w:sz w:val="32"/>
          <w:szCs w:val="32"/>
          <w:highlight w:val="none"/>
          <w:lang w:val="zh-CN"/>
        </w:rPr>
      </w:pPr>
    </w:p>
    <w:p w14:paraId="4AAFAD3A">
      <w:pPr>
        <w:autoSpaceDE w:val="0"/>
        <w:autoSpaceDN w:val="0"/>
        <w:adjustRightInd w:val="0"/>
        <w:spacing w:line="360" w:lineRule="auto"/>
        <w:rPr>
          <w:rFonts w:hint="eastAsia" w:ascii="宋体" w:hAnsi="宋体"/>
          <w:b/>
          <w:bCs/>
          <w:color w:val="auto"/>
          <w:sz w:val="32"/>
          <w:szCs w:val="32"/>
          <w:highlight w:val="none"/>
          <w:lang w:val="zh-CN"/>
        </w:rPr>
      </w:pPr>
    </w:p>
    <w:p w14:paraId="50955479">
      <w:pPr>
        <w:autoSpaceDE w:val="0"/>
        <w:autoSpaceDN w:val="0"/>
        <w:adjustRightInd w:val="0"/>
        <w:spacing w:line="360" w:lineRule="auto"/>
        <w:rPr>
          <w:rFonts w:hint="eastAsia" w:ascii="宋体" w:hAnsi="宋体"/>
          <w:b/>
          <w:bCs/>
          <w:color w:val="auto"/>
          <w:sz w:val="32"/>
          <w:szCs w:val="32"/>
          <w:highlight w:val="none"/>
          <w:lang w:val="zh-CN"/>
        </w:rPr>
      </w:pPr>
    </w:p>
    <w:p w14:paraId="0BD68DF6">
      <w:pPr>
        <w:autoSpaceDE w:val="0"/>
        <w:autoSpaceDN w:val="0"/>
        <w:adjustRightInd w:val="0"/>
        <w:spacing w:line="360" w:lineRule="auto"/>
        <w:rPr>
          <w:rFonts w:hint="eastAsia" w:ascii="宋体" w:hAnsi="宋体"/>
          <w:b/>
          <w:bCs/>
          <w:color w:val="auto"/>
          <w:sz w:val="32"/>
          <w:szCs w:val="32"/>
          <w:highlight w:val="none"/>
          <w:lang w:val="zh-CN"/>
        </w:rPr>
      </w:pPr>
    </w:p>
    <w:p w14:paraId="4110CE57">
      <w:pPr>
        <w:spacing w:line="360" w:lineRule="auto"/>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3CC8AD62">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9B050E7">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C1CB8FB">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4F17A2E">
      <w:pPr>
        <w:snapToGrid w:val="0"/>
        <w:spacing w:before="156" w:beforeLines="50" w:after="50"/>
        <w:rPr>
          <w:rFonts w:hint="eastAsia" w:ascii="宋体" w:hAnsi="宋体"/>
          <w:color w:val="auto"/>
          <w:sz w:val="24"/>
          <w:szCs w:val="20"/>
          <w:highlight w:val="none"/>
        </w:rPr>
      </w:pPr>
    </w:p>
    <w:p w14:paraId="6EE9206F">
      <w:pPr>
        <w:snapToGrid w:val="0"/>
        <w:spacing w:before="156" w:beforeLines="50" w:after="50"/>
        <w:rPr>
          <w:rFonts w:hint="eastAsia" w:ascii="宋体" w:hAnsi="宋体"/>
          <w:color w:val="auto"/>
          <w:sz w:val="24"/>
          <w:szCs w:val="20"/>
          <w:highlight w:val="none"/>
        </w:rPr>
      </w:pPr>
    </w:p>
    <w:p w14:paraId="008E278E">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8903558">
      <w:pPr>
        <w:snapToGrid w:val="0"/>
        <w:spacing w:before="156" w:beforeLines="50" w:after="50"/>
        <w:rPr>
          <w:rFonts w:hint="eastAsia" w:ascii="宋体" w:hAnsi="宋体"/>
          <w:bCs/>
          <w:color w:val="auto"/>
          <w:sz w:val="24"/>
          <w:szCs w:val="20"/>
          <w:highlight w:val="none"/>
        </w:rPr>
      </w:pPr>
    </w:p>
    <w:p w14:paraId="7F5B6B19">
      <w:pPr>
        <w:snapToGrid w:val="0"/>
        <w:spacing w:before="156" w:beforeLines="50" w:after="50"/>
        <w:rPr>
          <w:rFonts w:hint="eastAsia" w:ascii="宋体" w:hAnsi="宋体"/>
          <w:bCs/>
          <w:color w:val="auto"/>
          <w:sz w:val="24"/>
          <w:szCs w:val="20"/>
          <w:highlight w:val="none"/>
        </w:rPr>
      </w:pPr>
    </w:p>
    <w:p w14:paraId="7128AC98">
      <w:pPr>
        <w:snapToGrid w:val="0"/>
        <w:spacing w:before="156" w:beforeLines="50" w:after="50"/>
        <w:rPr>
          <w:rFonts w:hint="eastAsia" w:ascii="宋体" w:hAnsi="宋体"/>
          <w:bCs/>
          <w:color w:val="auto"/>
          <w:sz w:val="24"/>
          <w:szCs w:val="20"/>
          <w:highlight w:val="none"/>
        </w:rPr>
      </w:pPr>
    </w:p>
    <w:p w14:paraId="40722FA4">
      <w:pPr>
        <w:snapToGrid w:val="0"/>
        <w:spacing w:before="156" w:beforeLines="50" w:after="50"/>
        <w:rPr>
          <w:rFonts w:hint="eastAsia" w:ascii="宋体" w:hAnsi="宋体"/>
          <w:bCs/>
          <w:color w:val="auto"/>
          <w:sz w:val="24"/>
          <w:szCs w:val="20"/>
          <w:highlight w:val="none"/>
        </w:rPr>
      </w:pPr>
    </w:p>
    <w:p w14:paraId="779A7A1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C4BE567">
      <w:pPr>
        <w:snapToGrid w:val="0"/>
        <w:spacing w:before="156" w:beforeLines="50" w:after="50"/>
        <w:ind w:firstLine="720" w:firstLineChars="225"/>
        <w:rPr>
          <w:rFonts w:hint="eastAsia" w:ascii="宋体" w:hAnsi="宋体" w:cs="仿宋_GB2312"/>
          <w:bCs/>
          <w:color w:val="auto"/>
          <w:sz w:val="32"/>
          <w:szCs w:val="32"/>
          <w:highlight w:val="none"/>
        </w:rPr>
      </w:pPr>
    </w:p>
    <w:p w14:paraId="06ACA13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7B1C47A">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9CB3BB5">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4BE8238">
      <w:pPr>
        <w:pStyle w:val="8"/>
        <w:snapToGrid w:val="0"/>
        <w:spacing w:before="50" w:after="50"/>
        <w:ind w:firstLine="640"/>
        <w:rPr>
          <w:rFonts w:hint="eastAsia" w:ascii="宋体" w:hAnsi="宋体" w:cs="仿宋_GB2312"/>
          <w:bCs/>
          <w:color w:val="auto"/>
          <w:sz w:val="32"/>
          <w:szCs w:val="32"/>
          <w:highlight w:val="none"/>
        </w:rPr>
      </w:pPr>
    </w:p>
    <w:p w14:paraId="0B9674AA">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26065AD4">
      <w:pPr>
        <w:pStyle w:val="8"/>
        <w:snapToGrid w:val="0"/>
        <w:spacing w:before="50" w:after="50"/>
        <w:ind w:firstLine="640"/>
        <w:rPr>
          <w:rFonts w:hint="eastAsia" w:ascii="宋体" w:hAnsi="宋体" w:cs="仿宋_GB2312"/>
          <w:bCs/>
          <w:color w:val="auto"/>
          <w:sz w:val="32"/>
          <w:szCs w:val="32"/>
          <w:highlight w:val="none"/>
        </w:rPr>
      </w:pPr>
    </w:p>
    <w:p w14:paraId="5CD72BEA">
      <w:pPr>
        <w:pStyle w:val="8"/>
        <w:snapToGrid w:val="0"/>
        <w:spacing w:before="50" w:after="50"/>
        <w:ind w:firstLine="720" w:firstLineChars="225"/>
        <w:rPr>
          <w:rFonts w:hint="eastAsia" w:ascii="宋体" w:hAnsi="宋体" w:cs="仿宋_GB2312"/>
          <w:bCs/>
          <w:color w:val="auto"/>
          <w:sz w:val="32"/>
          <w:szCs w:val="32"/>
          <w:highlight w:val="none"/>
        </w:rPr>
      </w:pPr>
    </w:p>
    <w:p w14:paraId="45BC92FD">
      <w:pPr>
        <w:pStyle w:val="8"/>
        <w:snapToGrid w:val="0"/>
        <w:spacing w:before="50" w:after="50"/>
        <w:ind w:firstLine="1280" w:firstLineChars="400"/>
        <w:rPr>
          <w:rFonts w:hint="eastAsia" w:ascii="宋体" w:hAnsi="宋体" w:cs="仿宋_GB2312"/>
          <w:bCs/>
          <w:color w:val="auto"/>
          <w:sz w:val="32"/>
          <w:szCs w:val="32"/>
          <w:highlight w:val="none"/>
        </w:rPr>
      </w:pPr>
    </w:p>
    <w:p w14:paraId="6E5FCBB9">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C1773E9">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AC6ADA6">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300AAD3">
      <w:pPr>
        <w:spacing w:line="400" w:lineRule="exact"/>
        <w:rPr>
          <w:rFonts w:hint="eastAsia" w:ascii="仿宋_GB2312" w:hAnsi="仿宋_GB2312" w:eastAsia="仿宋_GB2312" w:cs="仿宋_GB2312"/>
          <w:color w:val="auto"/>
          <w:sz w:val="32"/>
          <w:szCs w:val="32"/>
          <w:highlight w:val="none"/>
        </w:rPr>
      </w:pPr>
    </w:p>
    <w:p w14:paraId="1BA61B40">
      <w:pPr>
        <w:spacing w:line="520" w:lineRule="exact"/>
        <w:jc w:val="center"/>
        <w:rPr>
          <w:rFonts w:hint="eastAsia" w:ascii="仿宋_GB2312" w:hAnsi="仿宋_GB2312" w:eastAsia="方正小标宋简体" w:cs="仿宋_GB2312"/>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无串通竞标行为的承诺函（格式）</w:t>
      </w:r>
    </w:p>
    <w:p w14:paraId="4E701B60">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DD7036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CAA2B8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2753F0B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A45A7D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D43DDE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4.不同供应商的响应文件异常一致或者竞标报价呈规律性差异；</w:t>
      </w:r>
    </w:p>
    <w:p w14:paraId="6FA402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2042C6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52750B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04F6C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20CA3A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9EEE83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3.供应商之间协商报价、技术方案等响应文件的实质性内容；</w:t>
      </w:r>
    </w:p>
    <w:p w14:paraId="1D4FE7E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D7F6F1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CD5A2B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AD02CC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7.供应商与采购人或者采购代理机构之间、供应商相互之间，为谋求特定供应商成交或者排斥其他供应商的其他串通行为。</w:t>
      </w:r>
    </w:p>
    <w:p w14:paraId="4F51E5FE">
      <w:pPr>
        <w:spacing w:line="360" w:lineRule="auto"/>
        <w:ind w:firstLine="480" w:firstLineChars="200"/>
        <w:contextualSpacing/>
        <w:rPr>
          <w:rFonts w:hint="eastAsia" w:ascii="宋体" w:hAnsi="宋体" w:cs="仿宋_GB2312"/>
          <w:color w:val="auto"/>
          <w:sz w:val="24"/>
          <w:highlight w:val="none"/>
        </w:rPr>
      </w:pPr>
    </w:p>
    <w:p w14:paraId="13F1211C">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48FEEDD">
      <w:pPr>
        <w:spacing w:line="360" w:lineRule="auto"/>
        <w:contextualSpacing/>
        <w:rPr>
          <w:rFonts w:hint="eastAsia" w:ascii="宋体" w:hAnsi="宋体" w:cs="仿宋_GB2312"/>
          <w:color w:val="auto"/>
          <w:sz w:val="24"/>
          <w:highlight w:val="none"/>
        </w:rPr>
      </w:pPr>
    </w:p>
    <w:p w14:paraId="40CB56E6">
      <w:pPr>
        <w:spacing w:line="360" w:lineRule="auto"/>
        <w:contextualSpacing/>
        <w:rPr>
          <w:rFonts w:hint="eastAsia" w:ascii="宋体" w:hAnsi="宋体" w:cs="仿宋_GB2312"/>
          <w:color w:val="auto"/>
          <w:sz w:val="24"/>
          <w:highlight w:val="none"/>
        </w:rPr>
      </w:pPr>
    </w:p>
    <w:p w14:paraId="53D17B63">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67769E5">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E26435E">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2CF34A70">
      <w:pPr>
        <w:spacing w:line="360" w:lineRule="auto"/>
        <w:ind w:left="540"/>
        <w:contextualSpacing/>
        <w:rPr>
          <w:rFonts w:hint="eastAsia" w:ascii="仿宋_GB2312" w:hAnsi="仿宋_GB2312" w:eastAsia="仿宋_GB2312" w:cs="仿宋_GB2312"/>
          <w:color w:val="auto"/>
          <w:sz w:val="32"/>
          <w:szCs w:val="32"/>
          <w:highlight w:val="none"/>
        </w:rPr>
      </w:pPr>
    </w:p>
    <w:p w14:paraId="0C7B63A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4AA197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CA0AFD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B87C15E">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2123E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30FAE1F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3BC85C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264AEC3">
      <w:pPr>
        <w:spacing w:line="360" w:lineRule="auto"/>
        <w:ind w:left="540"/>
        <w:contextualSpacing/>
        <w:rPr>
          <w:rFonts w:hint="eastAsia" w:ascii="宋体" w:hAnsi="宋体" w:cs="仿宋_GB2312"/>
          <w:color w:val="auto"/>
          <w:sz w:val="24"/>
          <w:highlight w:val="none"/>
        </w:rPr>
      </w:pPr>
    </w:p>
    <w:p w14:paraId="3B911A4D">
      <w:pPr>
        <w:spacing w:line="360" w:lineRule="auto"/>
        <w:ind w:left="540"/>
        <w:contextualSpacing/>
        <w:rPr>
          <w:rFonts w:hint="eastAsia" w:ascii="宋体" w:hAnsi="宋体" w:cs="仿宋_GB2312"/>
          <w:color w:val="auto"/>
          <w:sz w:val="24"/>
          <w:highlight w:val="none"/>
        </w:rPr>
      </w:pPr>
    </w:p>
    <w:p w14:paraId="48AABCEF">
      <w:pPr>
        <w:spacing w:line="360" w:lineRule="auto"/>
        <w:ind w:left="540"/>
        <w:contextualSpacing/>
        <w:rPr>
          <w:rFonts w:hint="eastAsia" w:ascii="宋体" w:hAnsi="宋体" w:cs="仿宋_GB2312"/>
          <w:color w:val="auto"/>
          <w:sz w:val="24"/>
          <w:highlight w:val="none"/>
        </w:rPr>
      </w:pPr>
    </w:p>
    <w:p w14:paraId="591F092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6AFA97D">
      <w:pPr>
        <w:spacing w:line="360" w:lineRule="auto"/>
        <w:ind w:left="540"/>
        <w:contextualSpacing/>
        <w:rPr>
          <w:rFonts w:hint="eastAsia" w:ascii="宋体" w:hAnsi="宋体" w:cs="仿宋_GB2312"/>
          <w:color w:val="auto"/>
          <w:sz w:val="24"/>
          <w:highlight w:val="none"/>
        </w:rPr>
      </w:pPr>
    </w:p>
    <w:p w14:paraId="6C05E558">
      <w:pPr>
        <w:spacing w:line="360" w:lineRule="auto"/>
        <w:ind w:left="540"/>
        <w:contextualSpacing/>
        <w:rPr>
          <w:rFonts w:hint="eastAsia" w:ascii="宋体" w:hAnsi="宋体" w:cs="仿宋_GB2312"/>
          <w:color w:val="auto"/>
          <w:sz w:val="24"/>
          <w:highlight w:val="none"/>
        </w:rPr>
      </w:pPr>
    </w:p>
    <w:p w14:paraId="393C3F01">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749E1B4">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8649626">
      <w:pPr>
        <w:spacing w:line="360" w:lineRule="auto"/>
        <w:contextualSpacing/>
        <w:jc w:val="center"/>
        <w:rPr>
          <w:rFonts w:hint="eastAsia" w:ascii="宋体" w:hAnsi="宋体" w:cs="仿宋_GB2312"/>
          <w:b/>
          <w:color w:val="auto"/>
          <w:sz w:val="24"/>
          <w:highlight w:val="none"/>
        </w:rPr>
      </w:pPr>
    </w:p>
    <w:p w14:paraId="55E10EE3">
      <w:pPr>
        <w:adjustRightInd w:val="0"/>
        <w:snapToGrid w:val="0"/>
        <w:spacing w:line="300" w:lineRule="auto"/>
        <w:jc w:val="left"/>
        <w:rPr>
          <w:rFonts w:hint="eastAsia" w:ascii="宋体" w:hAnsi="宋体"/>
          <w:b/>
          <w:color w:val="auto"/>
          <w:szCs w:val="21"/>
          <w:highlight w:val="none"/>
        </w:rPr>
      </w:pPr>
    </w:p>
    <w:p w14:paraId="3605079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79FFE4C5">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8F84204">
      <w:pPr>
        <w:spacing w:line="520" w:lineRule="exact"/>
        <w:rPr>
          <w:rFonts w:hint="eastAsia" w:ascii="仿宋_GB2312" w:hAnsi="仿宋_GB2312" w:eastAsia="仿宋_GB2312" w:cs="仿宋_GB2312"/>
          <w:color w:val="auto"/>
          <w:sz w:val="32"/>
          <w:szCs w:val="32"/>
          <w:highlight w:val="none"/>
        </w:rPr>
      </w:pPr>
    </w:p>
    <w:p w14:paraId="1709756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0E919F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99567F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3C1CBF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CBA91C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C77715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D43B541">
      <w:pPr>
        <w:spacing w:line="360" w:lineRule="auto"/>
        <w:rPr>
          <w:rFonts w:hint="eastAsia" w:ascii="宋体" w:hAnsi="宋体" w:cs="仿宋_GB2312"/>
          <w:color w:val="auto"/>
          <w:sz w:val="24"/>
          <w:highlight w:val="none"/>
        </w:rPr>
      </w:pPr>
    </w:p>
    <w:p w14:paraId="798D3D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A769AA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316E78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50BD2C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45FA5F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646F2C01">
      <w:pPr>
        <w:spacing w:line="360" w:lineRule="auto"/>
        <w:rPr>
          <w:rFonts w:hint="eastAsia" w:ascii="宋体" w:hAnsi="宋体" w:cs="仿宋_GB2312"/>
          <w:color w:val="auto"/>
          <w:sz w:val="24"/>
          <w:highlight w:val="none"/>
        </w:rPr>
      </w:pPr>
    </w:p>
    <w:p w14:paraId="17F80772">
      <w:pPr>
        <w:spacing w:line="360" w:lineRule="auto"/>
        <w:rPr>
          <w:rFonts w:hint="eastAsia" w:ascii="宋体" w:hAnsi="宋体" w:cs="仿宋_GB2312"/>
          <w:color w:val="auto"/>
          <w:sz w:val="24"/>
          <w:highlight w:val="none"/>
        </w:rPr>
      </w:pPr>
    </w:p>
    <w:p w14:paraId="2142552A">
      <w:pPr>
        <w:spacing w:line="360" w:lineRule="auto"/>
        <w:rPr>
          <w:rFonts w:hint="eastAsia" w:ascii="宋体" w:hAnsi="宋体" w:cs="仿宋_GB2312"/>
          <w:color w:val="auto"/>
          <w:sz w:val="24"/>
          <w:highlight w:val="none"/>
        </w:rPr>
      </w:pPr>
    </w:p>
    <w:p w14:paraId="08CA014E">
      <w:pPr>
        <w:spacing w:line="360" w:lineRule="auto"/>
        <w:rPr>
          <w:rFonts w:hint="eastAsia" w:ascii="宋体" w:hAnsi="宋体" w:cs="仿宋_GB2312"/>
          <w:color w:val="auto"/>
          <w:sz w:val="24"/>
          <w:highlight w:val="none"/>
        </w:rPr>
      </w:pPr>
    </w:p>
    <w:p w14:paraId="48A0C708">
      <w:pPr>
        <w:spacing w:line="360" w:lineRule="auto"/>
        <w:rPr>
          <w:rFonts w:hint="eastAsia" w:ascii="宋体" w:hAnsi="宋体" w:cs="仿宋_GB2312"/>
          <w:color w:val="auto"/>
          <w:sz w:val="24"/>
          <w:highlight w:val="none"/>
        </w:rPr>
      </w:pPr>
    </w:p>
    <w:p w14:paraId="5B00528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3669D51D">
      <w:pPr>
        <w:spacing w:line="360" w:lineRule="auto"/>
        <w:ind w:firstLine="420" w:firstLineChars="200"/>
        <w:jc w:val="left"/>
        <w:rPr>
          <w:rFonts w:hint="eastAsia" w:ascii="仿宋_GB2312" w:hAnsi="仿宋_GB2312" w:eastAsia="仿宋_GB2312" w:cs="仿宋_GB2312"/>
          <w:color w:val="auto"/>
          <w:szCs w:val="21"/>
          <w:highlight w:val="none"/>
        </w:rPr>
      </w:pPr>
    </w:p>
    <w:p w14:paraId="1521807F">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414B3C23">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7E4EE6CC">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项目管理机构配备情况表（格式）</w:t>
      </w:r>
    </w:p>
    <w:p w14:paraId="33F92961">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A8F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78B53F15">
            <w:pPr>
              <w:ind w:left="223" w:hanging="222" w:hangingChars="106"/>
              <w:jc w:val="center"/>
              <w:rPr>
                <w:color w:val="auto"/>
                <w:highlight w:val="none"/>
              </w:rPr>
            </w:pPr>
            <w:r>
              <w:rPr>
                <w:color w:val="auto"/>
                <w:highlight w:val="none"/>
              </w:rPr>
              <w:t>岗位</w:t>
            </w:r>
          </w:p>
        </w:tc>
        <w:tc>
          <w:tcPr>
            <w:tcW w:w="670" w:type="dxa"/>
            <w:vMerge w:val="restart"/>
            <w:vAlign w:val="center"/>
          </w:tcPr>
          <w:p w14:paraId="5C420875">
            <w:pPr>
              <w:ind w:left="223" w:hanging="222" w:hangingChars="106"/>
              <w:jc w:val="center"/>
              <w:rPr>
                <w:color w:val="auto"/>
                <w:highlight w:val="none"/>
              </w:rPr>
            </w:pPr>
            <w:r>
              <w:rPr>
                <w:color w:val="auto"/>
                <w:highlight w:val="none"/>
              </w:rPr>
              <w:t>姓名</w:t>
            </w:r>
          </w:p>
        </w:tc>
        <w:tc>
          <w:tcPr>
            <w:tcW w:w="829" w:type="dxa"/>
            <w:vMerge w:val="restart"/>
            <w:vAlign w:val="center"/>
          </w:tcPr>
          <w:p w14:paraId="6C4B45D8">
            <w:pPr>
              <w:jc w:val="center"/>
              <w:rPr>
                <w:color w:val="auto"/>
                <w:highlight w:val="none"/>
              </w:rPr>
            </w:pPr>
            <w:r>
              <w:rPr>
                <w:color w:val="auto"/>
                <w:highlight w:val="none"/>
              </w:rPr>
              <w:t>身份证号</w:t>
            </w:r>
          </w:p>
        </w:tc>
        <w:tc>
          <w:tcPr>
            <w:tcW w:w="816" w:type="dxa"/>
            <w:vMerge w:val="restart"/>
            <w:vAlign w:val="center"/>
          </w:tcPr>
          <w:p w14:paraId="1EC36B67">
            <w:pPr>
              <w:ind w:left="223" w:hanging="222" w:hangingChars="106"/>
              <w:jc w:val="center"/>
              <w:rPr>
                <w:color w:val="auto"/>
                <w:highlight w:val="none"/>
              </w:rPr>
            </w:pPr>
            <w:r>
              <w:rPr>
                <w:color w:val="auto"/>
                <w:highlight w:val="none"/>
              </w:rPr>
              <w:t>职称</w:t>
            </w:r>
          </w:p>
        </w:tc>
        <w:tc>
          <w:tcPr>
            <w:tcW w:w="4188" w:type="dxa"/>
            <w:gridSpan w:val="4"/>
            <w:vAlign w:val="center"/>
          </w:tcPr>
          <w:p w14:paraId="49FC12AD">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666562E4">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234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58195A7E">
            <w:pPr>
              <w:ind w:left="223" w:hanging="222" w:hangingChars="106"/>
              <w:jc w:val="center"/>
              <w:rPr>
                <w:color w:val="auto"/>
                <w:highlight w:val="none"/>
              </w:rPr>
            </w:pPr>
          </w:p>
        </w:tc>
        <w:tc>
          <w:tcPr>
            <w:tcW w:w="670" w:type="dxa"/>
            <w:vMerge w:val="continue"/>
            <w:vAlign w:val="center"/>
          </w:tcPr>
          <w:p w14:paraId="5FB1704F">
            <w:pPr>
              <w:ind w:left="223" w:hanging="222" w:hangingChars="106"/>
              <w:jc w:val="center"/>
              <w:rPr>
                <w:color w:val="auto"/>
                <w:highlight w:val="none"/>
              </w:rPr>
            </w:pPr>
          </w:p>
        </w:tc>
        <w:tc>
          <w:tcPr>
            <w:tcW w:w="829" w:type="dxa"/>
            <w:vMerge w:val="continue"/>
            <w:vAlign w:val="center"/>
          </w:tcPr>
          <w:p w14:paraId="352E6D0D">
            <w:pPr>
              <w:ind w:left="223" w:hanging="222" w:hangingChars="106"/>
              <w:jc w:val="center"/>
              <w:rPr>
                <w:color w:val="auto"/>
                <w:highlight w:val="none"/>
              </w:rPr>
            </w:pPr>
          </w:p>
        </w:tc>
        <w:tc>
          <w:tcPr>
            <w:tcW w:w="816" w:type="dxa"/>
            <w:vMerge w:val="continue"/>
            <w:vAlign w:val="center"/>
          </w:tcPr>
          <w:p w14:paraId="511A6A35">
            <w:pPr>
              <w:ind w:left="223" w:hanging="222" w:hangingChars="106"/>
              <w:jc w:val="center"/>
              <w:rPr>
                <w:color w:val="auto"/>
                <w:highlight w:val="none"/>
              </w:rPr>
            </w:pPr>
          </w:p>
        </w:tc>
        <w:tc>
          <w:tcPr>
            <w:tcW w:w="1148" w:type="dxa"/>
            <w:vAlign w:val="center"/>
          </w:tcPr>
          <w:p w14:paraId="7D694EF6">
            <w:pPr>
              <w:ind w:left="223" w:hanging="222" w:hangingChars="106"/>
              <w:jc w:val="center"/>
              <w:rPr>
                <w:color w:val="auto"/>
                <w:highlight w:val="none"/>
              </w:rPr>
            </w:pPr>
            <w:r>
              <w:rPr>
                <w:color w:val="auto"/>
                <w:highlight w:val="none"/>
              </w:rPr>
              <w:t>证书名称</w:t>
            </w:r>
          </w:p>
        </w:tc>
        <w:tc>
          <w:tcPr>
            <w:tcW w:w="1148" w:type="dxa"/>
            <w:vAlign w:val="center"/>
          </w:tcPr>
          <w:p w14:paraId="4C074028">
            <w:pPr>
              <w:ind w:left="223" w:hanging="222" w:hangingChars="106"/>
              <w:jc w:val="center"/>
              <w:rPr>
                <w:color w:val="auto"/>
                <w:highlight w:val="none"/>
              </w:rPr>
            </w:pPr>
            <w:r>
              <w:rPr>
                <w:color w:val="auto"/>
                <w:highlight w:val="none"/>
              </w:rPr>
              <w:t>级别</w:t>
            </w:r>
          </w:p>
        </w:tc>
        <w:tc>
          <w:tcPr>
            <w:tcW w:w="1148" w:type="dxa"/>
            <w:vAlign w:val="center"/>
          </w:tcPr>
          <w:p w14:paraId="4D35240F">
            <w:pPr>
              <w:ind w:left="223" w:hanging="222" w:hangingChars="106"/>
              <w:jc w:val="center"/>
              <w:rPr>
                <w:color w:val="auto"/>
                <w:highlight w:val="none"/>
              </w:rPr>
            </w:pPr>
            <w:r>
              <w:rPr>
                <w:color w:val="auto"/>
                <w:highlight w:val="none"/>
              </w:rPr>
              <w:t>证号</w:t>
            </w:r>
          </w:p>
        </w:tc>
        <w:tc>
          <w:tcPr>
            <w:tcW w:w="744" w:type="dxa"/>
            <w:vAlign w:val="center"/>
          </w:tcPr>
          <w:p w14:paraId="0AB53203">
            <w:pPr>
              <w:ind w:left="223" w:hanging="222" w:hangingChars="106"/>
              <w:jc w:val="center"/>
              <w:rPr>
                <w:color w:val="auto"/>
                <w:highlight w:val="none"/>
              </w:rPr>
            </w:pPr>
            <w:r>
              <w:rPr>
                <w:color w:val="auto"/>
                <w:highlight w:val="none"/>
              </w:rPr>
              <w:t>专业</w:t>
            </w:r>
          </w:p>
        </w:tc>
        <w:tc>
          <w:tcPr>
            <w:tcW w:w="1167" w:type="dxa"/>
            <w:vAlign w:val="center"/>
          </w:tcPr>
          <w:p w14:paraId="644C5968">
            <w:pPr>
              <w:jc w:val="center"/>
              <w:rPr>
                <w:color w:val="auto"/>
                <w:highlight w:val="none"/>
              </w:rPr>
            </w:pPr>
            <w:r>
              <w:rPr>
                <w:rFonts w:hint="eastAsia"/>
                <w:color w:val="auto"/>
                <w:highlight w:val="none"/>
              </w:rPr>
              <w:t>完工/在建</w:t>
            </w:r>
          </w:p>
        </w:tc>
        <w:tc>
          <w:tcPr>
            <w:tcW w:w="1276" w:type="dxa"/>
            <w:vAlign w:val="center"/>
          </w:tcPr>
          <w:p w14:paraId="600ECD16">
            <w:pPr>
              <w:jc w:val="center"/>
              <w:rPr>
                <w:color w:val="auto"/>
                <w:highlight w:val="none"/>
              </w:rPr>
            </w:pPr>
            <w:r>
              <w:rPr>
                <w:color w:val="auto"/>
                <w:highlight w:val="none"/>
              </w:rPr>
              <w:t>主要项目</w:t>
            </w:r>
          </w:p>
          <w:p w14:paraId="32DEAAD2">
            <w:pPr>
              <w:jc w:val="center"/>
              <w:rPr>
                <w:color w:val="auto"/>
                <w:highlight w:val="none"/>
              </w:rPr>
            </w:pPr>
            <w:r>
              <w:rPr>
                <w:color w:val="auto"/>
                <w:highlight w:val="none"/>
              </w:rPr>
              <w:t>名称</w:t>
            </w:r>
          </w:p>
        </w:tc>
      </w:tr>
      <w:tr w14:paraId="1093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7CFB19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35DDDE34">
            <w:pPr>
              <w:ind w:left="223" w:hanging="222" w:hangingChars="106"/>
              <w:jc w:val="center"/>
              <w:rPr>
                <w:color w:val="auto"/>
                <w:szCs w:val="21"/>
                <w:highlight w:val="none"/>
              </w:rPr>
            </w:pPr>
          </w:p>
        </w:tc>
        <w:tc>
          <w:tcPr>
            <w:tcW w:w="829" w:type="dxa"/>
            <w:vAlign w:val="center"/>
          </w:tcPr>
          <w:p w14:paraId="1BA248A2">
            <w:pPr>
              <w:ind w:left="223" w:hanging="222" w:hangingChars="106"/>
              <w:jc w:val="center"/>
              <w:rPr>
                <w:color w:val="auto"/>
                <w:szCs w:val="21"/>
                <w:highlight w:val="none"/>
              </w:rPr>
            </w:pPr>
          </w:p>
        </w:tc>
        <w:tc>
          <w:tcPr>
            <w:tcW w:w="816" w:type="dxa"/>
            <w:vAlign w:val="center"/>
          </w:tcPr>
          <w:p w14:paraId="3BC93D3A">
            <w:pPr>
              <w:ind w:left="223" w:hanging="222" w:hangingChars="106"/>
              <w:jc w:val="center"/>
              <w:rPr>
                <w:color w:val="auto"/>
                <w:szCs w:val="21"/>
                <w:highlight w:val="none"/>
              </w:rPr>
            </w:pPr>
          </w:p>
        </w:tc>
        <w:tc>
          <w:tcPr>
            <w:tcW w:w="1148" w:type="dxa"/>
            <w:vAlign w:val="center"/>
          </w:tcPr>
          <w:p w14:paraId="323EB3C3">
            <w:pPr>
              <w:ind w:left="223" w:hanging="222" w:hangingChars="106"/>
              <w:jc w:val="center"/>
              <w:rPr>
                <w:color w:val="auto"/>
                <w:szCs w:val="21"/>
                <w:highlight w:val="none"/>
              </w:rPr>
            </w:pPr>
          </w:p>
        </w:tc>
        <w:tc>
          <w:tcPr>
            <w:tcW w:w="1148" w:type="dxa"/>
            <w:vAlign w:val="center"/>
          </w:tcPr>
          <w:p w14:paraId="2A830394">
            <w:pPr>
              <w:ind w:left="223" w:hanging="222" w:hangingChars="106"/>
              <w:jc w:val="center"/>
              <w:rPr>
                <w:color w:val="auto"/>
                <w:szCs w:val="21"/>
                <w:highlight w:val="none"/>
              </w:rPr>
            </w:pPr>
          </w:p>
        </w:tc>
        <w:tc>
          <w:tcPr>
            <w:tcW w:w="1148" w:type="dxa"/>
            <w:vAlign w:val="center"/>
          </w:tcPr>
          <w:p w14:paraId="7F2D0008">
            <w:pPr>
              <w:ind w:left="223" w:hanging="222" w:hangingChars="106"/>
              <w:jc w:val="center"/>
              <w:rPr>
                <w:color w:val="auto"/>
                <w:szCs w:val="21"/>
                <w:highlight w:val="none"/>
              </w:rPr>
            </w:pPr>
          </w:p>
        </w:tc>
        <w:tc>
          <w:tcPr>
            <w:tcW w:w="744" w:type="dxa"/>
            <w:vAlign w:val="center"/>
          </w:tcPr>
          <w:p w14:paraId="7C6726BE">
            <w:pPr>
              <w:ind w:left="223" w:hanging="222" w:hangingChars="106"/>
              <w:jc w:val="center"/>
              <w:rPr>
                <w:color w:val="auto"/>
                <w:szCs w:val="21"/>
                <w:highlight w:val="none"/>
              </w:rPr>
            </w:pPr>
          </w:p>
        </w:tc>
        <w:tc>
          <w:tcPr>
            <w:tcW w:w="1167" w:type="dxa"/>
            <w:vAlign w:val="center"/>
          </w:tcPr>
          <w:p w14:paraId="1C464056">
            <w:pPr>
              <w:ind w:left="223" w:hanging="222" w:hangingChars="106"/>
              <w:jc w:val="center"/>
              <w:rPr>
                <w:color w:val="auto"/>
                <w:szCs w:val="21"/>
                <w:highlight w:val="none"/>
              </w:rPr>
            </w:pPr>
          </w:p>
        </w:tc>
        <w:tc>
          <w:tcPr>
            <w:tcW w:w="1276" w:type="dxa"/>
            <w:vAlign w:val="center"/>
          </w:tcPr>
          <w:p w14:paraId="4E1ED9B7">
            <w:pPr>
              <w:ind w:left="223" w:hanging="222" w:hangingChars="106"/>
              <w:jc w:val="center"/>
              <w:rPr>
                <w:color w:val="auto"/>
                <w:szCs w:val="21"/>
                <w:highlight w:val="none"/>
              </w:rPr>
            </w:pPr>
          </w:p>
        </w:tc>
      </w:tr>
      <w:tr w14:paraId="1474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6D986F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121BB54F">
            <w:pPr>
              <w:ind w:left="223" w:hanging="222" w:hangingChars="106"/>
              <w:jc w:val="center"/>
              <w:rPr>
                <w:color w:val="auto"/>
                <w:szCs w:val="21"/>
                <w:highlight w:val="none"/>
              </w:rPr>
            </w:pPr>
          </w:p>
        </w:tc>
        <w:tc>
          <w:tcPr>
            <w:tcW w:w="829" w:type="dxa"/>
            <w:vAlign w:val="center"/>
          </w:tcPr>
          <w:p w14:paraId="4C0749AD">
            <w:pPr>
              <w:ind w:left="223" w:hanging="222" w:hangingChars="106"/>
              <w:jc w:val="center"/>
              <w:rPr>
                <w:color w:val="auto"/>
                <w:szCs w:val="21"/>
                <w:highlight w:val="none"/>
              </w:rPr>
            </w:pPr>
          </w:p>
        </w:tc>
        <w:tc>
          <w:tcPr>
            <w:tcW w:w="816" w:type="dxa"/>
            <w:vAlign w:val="center"/>
          </w:tcPr>
          <w:p w14:paraId="4EA2519B">
            <w:pPr>
              <w:ind w:left="223" w:hanging="222" w:hangingChars="106"/>
              <w:jc w:val="center"/>
              <w:rPr>
                <w:color w:val="auto"/>
                <w:szCs w:val="21"/>
                <w:highlight w:val="none"/>
              </w:rPr>
            </w:pPr>
          </w:p>
        </w:tc>
        <w:tc>
          <w:tcPr>
            <w:tcW w:w="1148" w:type="dxa"/>
            <w:vAlign w:val="center"/>
          </w:tcPr>
          <w:p w14:paraId="44218665">
            <w:pPr>
              <w:ind w:left="223" w:hanging="222" w:hangingChars="106"/>
              <w:jc w:val="center"/>
              <w:rPr>
                <w:color w:val="auto"/>
                <w:szCs w:val="21"/>
                <w:highlight w:val="none"/>
              </w:rPr>
            </w:pPr>
          </w:p>
        </w:tc>
        <w:tc>
          <w:tcPr>
            <w:tcW w:w="1148" w:type="dxa"/>
            <w:vAlign w:val="center"/>
          </w:tcPr>
          <w:p w14:paraId="552D976C">
            <w:pPr>
              <w:ind w:left="223" w:hanging="222" w:hangingChars="106"/>
              <w:jc w:val="center"/>
              <w:rPr>
                <w:color w:val="auto"/>
                <w:szCs w:val="21"/>
                <w:highlight w:val="none"/>
              </w:rPr>
            </w:pPr>
          </w:p>
        </w:tc>
        <w:tc>
          <w:tcPr>
            <w:tcW w:w="1148" w:type="dxa"/>
            <w:vAlign w:val="center"/>
          </w:tcPr>
          <w:p w14:paraId="5116F60E">
            <w:pPr>
              <w:ind w:left="223" w:hanging="222" w:hangingChars="106"/>
              <w:jc w:val="center"/>
              <w:rPr>
                <w:color w:val="auto"/>
                <w:szCs w:val="21"/>
                <w:highlight w:val="none"/>
              </w:rPr>
            </w:pPr>
          </w:p>
        </w:tc>
        <w:tc>
          <w:tcPr>
            <w:tcW w:w="744" w:type="dxa"/>
            <w:vAlign w:val="center"/>
          </w:tcPr>
          <w:p w14:paraId="78EA5F88">
            <w:pPr>
              <w:ind w:left="223" w:hanging="222" w:hangingChars="106"/>
              <w:jc w:val="center"/>
              <w:rPr>
                <w:color w:val="auto"/>
                <w:szCs w:val="21"/>
                <w:highlight w:val="none"/>
              </w:rPr>
            </w:pPr>
          </w:p>
        </w:tc>
        <w:tc>
          <w:tcPr>
            <w:tcW w:w="1167" w:type="dxa"/>
            <w:vAlign w:val="center"/>
          </w:tcPr>
          <w:p w14:paraId="525FEC8D">
            <w:pPr>
              <w:ind w:left="223" w:hanging="222" w:hangingChars="106"/>
              <w:jc w:val="center"/>
              <w:rPr>
                <w:color w:val="auto"/>
                <w:szCs w:val="21"/>
                <w:highlight w:val="none"/>
              </w:rPr>
            </w:pPr>
          </w:p>
        </w:tc>
        <w:tc>
          <w:tcPr>
            <w:tcW w:w="1276" w:type="dxa"/>
            <w:vAlign w:val="center"/>
          </w:tcPr>
          <w:p w14:paraId="4502B8B6">
            <w:pPr>
              <w:ind w:left="223" w:hanging="222" w:hangingChars="106"/>
              <w:jc w:val="center"/>
              <w:rPr>
                <w:color w:val="auto"/>
                <w:szCs w:val="21"/>
                <w:highlight w:val="none"/>
              </w:rPr>
            </w:pPr>
          </w:p>
        </w:tc>
      </w:tr>
      <w:tr w14:paraId="5DF8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51A320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38FE3360">
            <w:pPr>
              <w:ind w:left="223" w:hanging="222" w:hangingChars="106"/>
              <w:jc w:val="center"/>
              <w:rPr>
                <w:color w:val="auto"/>
                <w:szCs w:val="21"/>
                <w:highlight w:val="none"/>
              </w:rPr>
            </w:pPr>
          </w:p>
        </w:tc>
        <w:tc>
          <w:tcPr>
            <w:tcW w:w="829" w:type="dxa"/>
            <w:vAlign w:val="center"/>
          </w:tcPr>
          <w:p w14:paraId="0B05B4E2">
            <w:pPr>
              <w:ind w:left="223" w:hanging="222" w:hangingChars="106"/>
              <w:jc w:val="center"/>
              <w:rPr>
                <w:color w:val="auto"/>
                <w:szCs w:val="21"/>
                <w:highlight w:val="none"/>
              </w:rPr>
            </w:pPr>
          </w:p>
        </w:tc>
        <w:tc>
          <w:tcPr>
            <w:tcW w:w="816" w:type="dxa"/>
            <w:vAlign w:val="center"/>
          </w:tcPr>
          <w:p w14:paraId="74F8EEC2">
            <w:pPr>
              <w:ind w:left="223" w:hanging="222" w:hangingChars="106"/>
              <w:jc w:val="center"/>
              <w:rPr>
                <w:color w:val="auto"/>
                <w:szCs w:val="21"/>
                <w:highlight w:val="none"/>
              </w:rPr>
            </w:pPr>
          </w:p>
        </w:tc>
        <w:tc>
          <w:tcPr>
            <w:tcW w:w="1148" w:type="dxa"/>
            <w:vAlign w:val="center"/>
          </w:tcPr>
          <w:p w14:paraId="0CEC6C36">
            <w:pPr>
              <w:ind w:left="223" w:hanging="222" w:hangingChars="106"/>
              <w:jc w:val="center"/>
              <w:rPr>
                <w:color w:val="auto"/>
                <w:szCs w:val="21"/>
                <w:highlight w:val="none"/>
              </w:rPr>
            </w:pPr>
          </w:p>
        </w:tc>
        <w:tc>
          <w:tcPr>
            <w:tcW w:w="1148" w:type="dxa"/>
            <w:vAlign w:val="center"/>
          </w:tcPr>
          <w:p w14:paraId="64FFFE19">
            <w:pPr>
              <w:ind w:left="223" w:hanging="222" w:hangingChars="106"/>
              <w:jc w:val="center"/>
              <w:rPr>
                <w:color w:val="auto"/>
                <w:szCs w:val="21"/>
                <w:highlight w:val="none"/>
              </w:rPr>
            </w:pPr>
          </w:p>
        </w:tc>
        <w:tc>
          <w:tcPr>
            <w:tcW w:w="1148" w:type="dxa"/>
            <w:vAlign w:val="center"/>
          </w:tcPr>
          <w:p w14:paraId="4BC404E9">
            <w:pPr>
              <w:ind w:left="223" w:hanging="222" w:hangingChars="106"/>
              <w:jc w:val="center"/>
              <w:rPr>
                <w:color w:val="auto"/>
                <w:szCs w:val="21"/>
                <w:highlight w:val="none"/>
              </w:rPr>
            </w:pPr>
          </w:p>
        </w:tc>
        <w:tc>
          <w:tcPr>
            <w:tcW w:w="744" w:type="dxa"/>
            <w:vAlign w:val="center"/>
          </w:tcPr>
          <w:p w14:paraId="39FD33D7">
            <w:pPr>
              <w:ind w:left="223" w:hanging="222" w:hangingChars="106"/>
              <w:jc w:val="center"/>
              <w:rPr>
                <w:color w:val="auto"/>
                <w:szCs w:val="21"/>
                <w:highlight w:val="none"/>
              </w:rPr>
            </w:pPr>
          </w:p>
        </w:tc>
        <w:tc>
          <w:tcPr>
            <w:tcW w:w="1167" w:type="dxa"/>
            <w:vAlign w:val="center"/>
          </w:tcPr>
          <w:p w14:paraId="41BA86BD">
            <w:pPr>
              <w:ind w:left="223" w:hanging="222" w:hangingChars="106"/>
              <w:jc w:val="center"/>
              <w:rPr>
                <w:color w:val="auto"/>
                <w:szCs w:val="21"/>
                <w:highlight w:val="none"/>
              </w:rPr>
            </w:pPr>
          </w:p>
        </w:tc>
        <w:tc>
          <w:tcPr>
            <w:tcW w:w="1276" w:type="dxa"/>
            <w:vAlign w:val="center"/>
          </w:tcPr>
          <w:p w14:paraId="2BCFCD03">
            <w:pPr>
              <w:ind w:left="223" w:hanging="222" w:hangingChars="106"/>
              <w:jc w:val="center"/>
              <w:rPr>
                <w:color w:val="auto"/>
                <w:szCs w:val="21"/>
                <w:highlight w:val="none"/>
              </w:rPr>
            </w:pPr>
          </w:p>
        </w:tc>
      </w:tr>
      <w:tr w14:paraId="7514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C55270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59C81B9A">
            <w:pPr>
              <w:ind w:left="223" w:hanging="222" w:hangingChars="106"/>
              <w:jc w:val="center"/>
              <w:rPr>
                <w:color w:val="auto"/>
                <w:szCs w:val="21"/>
                <w:highlight w:val="none"/>
              </w:rPr>
            </w:pPr>
          </w:p>
        </w:tc>
        <w:tc>
          <w:tcPr>
            <w:tcW w:w="829" w:type="dxa"/>
            <w:vAlign w:val="center"/>
          </w:tcPr>
          <w:p w14:paraId="6CD7C2C7">
            <w:pPr>
              <w:ind w:left="223" w:hanging="222" w:hangingChars="106"/>
              <w:jc w:val="center"/>
              <w:rPr>
                <w:color w:val="auto"/>
                <w:szCs w:val="21"/>
                <w:highlight w:val="none"/>
              </w:rPr>
            </w:pPr>
          </w:p>
        </w:tc>
        <w:tc>
          <w:tcPr>
            <w:tcW w:w="816" w:type="dxa"/>
            <w:vAlign w:val="center"/>
          </w:tcPr>
          <w:p w14:paraId="2C583259">
            <w:pPr>
              <w:ind w:left="223" w:hanging="222" w:hangingChars="106"/>
              <w:jc w:val="center"/>
              <w:rPr>
                <w:color w:val="auto"/>
                <w:szCs w:val="21"/>
                <w:highlight w:val="none"/>
              </w:rPr>
            </w:pPr>
          </w:p>
        </w:tc>
        <w:tc>
          <w:tcPr>
            <w:tcW w:w="1148" w:type="dxa"/>
            <w:vAlign w:val="center"/>
          </w:tcPr>
          <w:p w14:paraId="4E904318">
            <w:pPr>
              <w:ind w:left="223" w:hanging="222" w:hangingChars="106"/>
              <w:jc w:val="center"/>
              <w:rPr>
                <w:color w:val="auto"/>
                <w:szCs w:val="21"/>
                <w:highlight w:val="none"/>
              </w:rPr>
            </w:pPr>
          </w:p>
        </w:tc>
        <w:tc>
          <w:tcPr>
            <w:tcW w:w="1148" w:type="dxa"/>
            <w:vAlign w:val="center"/>
          </w:tcPr>
          <w:p w14:paraId="0F6AC37E">
            <w:pPr>
              <w:ind w:left="223" w:hanging="222" w:hangingChars="106"/>
              <w:jc w:val="center"/>
              <w:rPr>
                <w:color w:val="auto"/>
                <w:szCs w:val="21"/>
                <w:highlight w:val="none"/>
              </w:rPr>
            </w:pPr>
          </w:p>
        </w:tc>
        <w:tc>
          <w:tcPr>
            <w:tcW w:w="1148" w:type="dxa"/>
            <w:vAlign w:val="center"/>
          </w:tcPr>
          <w:p w14:paraId="0DDA6F1A">
            <w:pPr>
              <w:ind w:left="223" w:hanging="222" w:hangingChars="106"/>
              <w:jc w:val="center"/>
              <w:rPr>
                <w:color w:val="auto"/>
                <w:szCs w:val="21"/>
                <w:highlight w:val="none"/>
              </w:rPr>
            </w:pPr>
          </w:p>
        </w:tc>
        <w:tc>
          <w:tcPr>
            <w:tcW w:w="744" w:type="dxa"/>
            <w:vAlign w:val="center"/>
          </w:tcPr>
          <w:p w14:paraId="0FE4E003">
            <w:pPr>
              <w:ind w:left="223" w:hanging="222" w:hangingChars="106"/>
              <w:jc w:val="center"/>
              <w:rPr>
                <w:color w:val="auto"/>
                <w:szCs w:val="21"/>
                <w:highlight w:val="none"/>
              </w:rPr>
            </w:pPr>
          </w:p>
        </w:tc>
        <w:tc>
          <w:tcPr>
            <w:tcW w:w="1167" w:type="dxa"/>
            <w:vAlign w:val="center"/>
          </w:tcPr>
          <w:p w14:paraId="5A7282F8">
            <w:pPr>
              <w:ind w:left="223" w:hanging="222" w:hangingChars="106"/>
              <w:jc w:val="center"/>
              <w:rPr>
                <w:color w:val="auto"/>
                <w:szCs w:val="21"/>
                <w:highlight w:val="none"/>
              </w:rPr>
            </w:pPr>
          </w:p>
        </w:tc>
        <w:tc>
          <w:tcPr>
            <w:tcW w:w="1276" w:type="dxa"/>
            <w:vAlign w:val="center"/>
          </w:tcPr>
          <w:p w14:paraId="7617408D">
            <w:pPr>
              <w:ind w:left="223" w:hanging="222" w:hangingChars="106"/>
              <w:jc w:val="center"/>
              <w:rPr>
                <w:color w:val="auto"/>
                <w:szCs w:val="21"/>
                <w:highlight w:val="none"/>
              </w:rPr>
            </w:pPr>
          </w:p>
        </w:tc>
      </w:tr>
      <w:tr w14:paraId="06DD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ABF1AC7">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vAlign w:val="center"/>
          </w:tcPr>
          <w:p w14:paraId="00730051">
            <w:pPr>
              <w:ind w:left="223" w:hanging="222" w:hangingChars="106"/>
              <w:jc w:val="center"/>
              <w:rPr>
                <w:color w:val="auto"/>
                <w:szCs w:val="21"/>
                <w:highlight w:val="none"/>
              </w:rPr>
            </w:pPr>
          </w:p>
        </w:tc>
        <w:tc>
          <w:tcPr>
            <w:tcW w:w="829" w:type="dxa"/>
            <w:vAlign w:val="center"/>
          </w:tcPr>
          <w:p w14:paraId="56DFC37E">
            <w:pPr>
              <w:ind w:left="223" w:hanging="222" w:hangingChars="106"/>
              <w:jc w:val="center"/>
              <w:rPr>
                <w:color w:val="auto"/>
                <w:szCs w:val="21"/>
                <w:highlight w:val="none"/>
              </w:rPr>
            </w:pPr>
          </w:p>
        </w:tc>
        <w:tc>
          <w:tcPr>
            <w:tcW w:w="816" w:type="dxa"/>
            <w:vAlign w:val="center"/>
          </w:tcPr>
          <w:p w14:paraId="615BAF16">
            <w:pPr>
              <w:ind w:left="223" w:hanging="222" w:hangingChars="106"/>
              <w:jc w:val="center"/>
              <w:rPr>
                <w:color w:val="auto"/>
                <w:szCs w:val="21"/>
                <w:highlight w:val="none"/>
              </w:rPr>
            </w:pPr>
          </w:p>
        </w:tc>
        <w:tc>
          <w:tcPr>
            <w:tcW w:w="1148" w:type="dxa"/>
            <w:vAlign w:val="center"/>
          </w:tcPr>
          <w:p w14:paraId="1558BD08">
            <w:pPr>
              <w:ind w:left="223" w:hanging="222" w:hangingChars="106"/>
              <w:jc w:val="center"/>
              <w:rPr>
                <w:color w:val="auto"/>
                <w:szCs w:val="21"/>
                <w:highlight w:val="none"/>
              </w:rPr>
            </w:pPr>
          </w:p>
        </w:tc>
        <w:tc>
          <w:tcPr>
            <w:tcW w:w="1148" w:type="dxa"/>
            <w:vAlign w:val="center"/>
          </w:tcPr>
          <w:p w14:paraId="08588DD0">
            <w:pPr>
              <w:ind w:left="223" w:hanging="222" w:hangingChars="106"/>
              <w:jc w:val="center"/>
              <w:rPr>
                <w:color w:val="auto"/>
                <w:szCs w:val="21"/>
                <w:highlight w:val="none"/>
              </w:rPr>
            </w:pPr>
          </w:p>
        </w:tc>
        <w:tc>
          <w:tcPr>
            <w:tcW w:w="1148" w:type="dxa"/>
            <w:vAlign w:val="center"/>
          </w:tcPr>
          <w:p w14:paraId="484516FD">
            <w:pPr>
              <w:ind w:left="223" w:hanging="222" w:hangingChars="106"/>
              <w:jc w:val="center"/>
              <w:rPr>
                <w:color w:val="auto"/>
                <w:szCs w:val="21"/>
                <w:highlight w:val="none"/>
              </w:rPr>
            </w:pPr>
          </w:p>
        </w:tc>
        <w:tc>
          <w:tcPr>
            <w:tcW w:w="744" w:type="dxa"/>
            <w:vAlign w:val="center"/>
          </w:tcPr>
          <w:p w14:paraId="1D8FCB1E">
            <w:pPr>
              <w:ind w:left="223" w:hanging="222" w:hangingChars="106"/>
              <w:jc w:val="center"/>
              <w:rPr>
                <w:color w:val="auto"/>
                <w:szCs w:val="21"/>
                <w:highlight w:val="none"/>
              </w:rPr>
            </w:pPr>
          </w:p>
        </w:tc>
        <w:tc>
          <w:tcPr>
            <w:tcW w:w="1167" w:type="dxa"/>
            <w:vAlign w:val="center"/>
          </w:tcPr>
          <w:p w14:paraId="30700442">
            <w:pPr>
              <w:ind w:left="223" w:hanging="222" w:hangingChars="106"/>
              <w:jc w:val="center"/>
              <w:rPr>
                <w:color w:val="auto"/>
                <w:szCs w:val="21"/>
                <w:highlight w:val="none"/>
              </w:rPr>
            </w:pPr>
          </w:p>
        </w:tc>
        <w:tc>
          <w:tcPr>
            <w:tcW w:w="1276" w:type="dxa"/>
            <w:vAlign w:val="center"/>
          </w:tcPr>
          <w:p w14:paraId="546020F5">
            <w:pPr>
              <w:ind w:left="223" w:hanging="222" w:hangingChars="106"/>
              <w:jc w:val="center"/>
              <w:rPr>
                <w:color w:val="auto"/>
                <w:szCs w:val="21"/>
                <w:highlight w:val="none"/>
              </w:rPr>
            </w:pPr>
          </w:p>
        </w:tc>
      </w:tr>
      <w:tr w14:paraId="7738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E2EE592">
            <w:pPr>
              <w:jc w:val="left"/>
              <w:rPr>
                <w:color w:val="auto"/>
                <w:szCs w:val="21"/>
                <w:highlight w:val="none"/>
              </w:rPr>
            </w:pPr>
            <w:r>
              <w:rPr>
                <w:rFonts w:hint="eastAsia"/>
                <w:color w:val="auto"/>
                <w:szCs w:val="21"/>
                <w:highlight w:val="none"/>
              </w:rPr>
              <w:t>6.材料员</w:t>
            </w:r>
          </w:p>
        </w:tc>
        <w:tc>
          <w:tcPr>
            <w:tcW w:w="670" w:type="dxa"/>
            <w:vAlign w:val="center"/>
          </w:tcPr>
          <w:p w14:paraId="1829FF10">
            <w:pPr>
              <w:ind w:left="223" w:hanging="222" w:hangingChars="106"/>
              <w:jc w:val="center"/>
              <w:rPr>
                <w:color w:val="auto"/>
                <w:szCs w:val="21"/>
                <w:highlight w:val="none"/>
              </w:rPr>
            </w:pPr>
          </w:p>
        </w:tc>
        <w:tc>
          <w:tcPr>
            <w:tcW w:w="829" w:type="dxa"/>
            <w:vAlign w:val="center"/>
          </w:tcPr>
          <w:p w14:paraId="1E2AC761">
            <w:pPr>
              <w:ind w:left="223" w:hanging="222" w:hangingChars="106"/>
              <w:jc w:val="center"/>
              <w:rPr>
                <w:color w:val="auto"/>
                <w:szCs w:val="21"/>
                <w:highlight w:val="none"/>
              </w:rPr>
            </w:pPr>
          </w:p>
        </w:tc>
        <w:tc>
          <w:tcPr>
            <w:tcW w:w="816" w:type="dxa"/>
            <w:vAlign w:val="center"/>
          </w:tcPr>
          <w:p w14:paraId="6A2FA16A">
            <w:pPr>
              <w:ind w:left="223" w:hanging="222" w:hangingChars="106"/>
              <w:jc w:val="center"/>
              <w:rPr>
                <w:color w:val="auto"/>
                <w:szCs w:val="21"/>
                <w:highlight w:val="none"/>
              </w:rPr>
            </w:pPr>
          </w:p>
        </w:tc>
        <w:tc>
          <w:tcPr>
            <w:tcW w:w="1148" w:type="dxa"/>
            <w:vAlign w:val="center"/>
          </w:tcPr>
          <w:p w14:paraId="40503CCB">
            <w:pPr>
              <w:ind w:left="223" w:hanging="222" w:hangingChars="106"/>
              <w:jc w:val="center"/>
              <w:rPr>
                <w:color w:val="auto"/>
                <w:szCs w:val="21"/>
                <w:highlight w:val="none"/>
              </w:rPr>
            </w:pPr>
          </w:p>
        </w:tc>
        <w:tc>
          <w:tcPr>
            <w:tcW w:w="1148" w:type="dxa"/>
            <w:vAlign w:val="center"/>
          </w:tcPr>
          <w:p w14:paraId="6139170E">
            <w:pPr>
              <w:ind w:left="223" w:hanging="222" w:hangingChars="106"/>
              <w:jc w:val="center"/>
              <w:rPr>
                <w:color w:val="auto"/>
                <w:szCs w:val="21"/>
                <w:highlight w:val="none"/>
              </w:rPr>
            </w:pPr>
          </w:p>
        </w:tc>
        <w:tc>
          <w:tcPr>
            <w:tcW w:w="1148" w:type="dxa"/>
            <w:vAlign w:val="center"/>
          </w:tcPr>
          <w:p w14:paraId="66364FB9">
            <w:pPr>
              <w:ind w:left="223" w:hanging="222" w:hangingChars="106"/>
              <w:jc w:val="center"/>
              <w:rPr>
                <w:color w:val="auto"/>
                <w:szCs w:val="21"/>
                <w:highlight w:val="none"/>
              </w:rPr>
            </w:pPr>
          </w:p>
        </w:tc>
        <w:tc>
          <w:tcPr>
            <w:tcW w:w="744" w:type="dxa"/>
            <w:vAlign w:val="center"/>
          </w:tcPr>
          <w:p w14:paraId="4C9D4BAA">
            <w:pPr>
              <w:ind w:left="223" w:hanging="222" w:hangingChars="106"/>
              <w:jc w:val="center"/>
              <w:rPr>
                <w:color w:val="auto"/>
                <w:szCs w:val="21"/>
                <w:highlight w:val="none"/>
              </w:rPr>
            </w:pPr>
          </w:p>
        </w:tc>
        <w:tc>
          <w:tcPr>
            <w:tcW w:w="1167" w:type="dxa"/>
            <w:vAlign w:val="center"/>
          </w:tcPr>
          <w:p w14:paraId="496CA255">
            <w:pPr>
              <w:ind w:left="223" w:hanging="222" w:hangingChars="106"/>
              <w:jc w:val="center"/>
              <w:rPr>
                <w:color w:val="auto"/>
                <w:szCs w:val="21"/>
                <w:highlight w:val="none"/>
              </w:rPr>
            </w:pPr>
          </w:p>
        </w:tc>
        <w:tc>
          <w:tcPr>
            <w:tcW w:w="1276" w:type="dxa"/>
            <w:vAlign w:val="center"/>
          </w:tcPr>
          <w:p w14:paraId="679C6E18">
            <w:pPr>
              <w:ind w:left="223" w:hanging="222" w:hangingChars="106"/>
              <w:jc w:val="center"/>
              <w:rPr>
                <w:color w:val="auto"/>
                <w:szCs w:val="21"/>
                <w:highlight w:val="none"/>
              </w:rPr>
            </w:pPr>
          </w:p>
        </w:tc>
      </w:tr>
      <w:tr w14:paraId="6AE5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C886B2B">
            <w:pPr>
              <w:ind w:left="223" w:hanging="222" w:hangingChars="106"/>
              <w:jc w:val="center"/>
              <w:rPr>
                <w:color w:val="auto"/>
                <w:szCs w:val="21"/>
                <w:highlight w:val="none"/>
              </w:rPr>
            </w:pPr>
          </w:p>
        </w:tc>
        <w:tc>
          <w:tcPr>
            <w:tcW w:w="670" w:type="dxa"/>
            <w:vAlign w:val="center"/>
          </w:tcPr>
          <w:p w14:paraId="28843840">
            <w:pPr>
              <w:ind w:left="223" w:hanging="222" w:hangingChars="106"/>
              <w:jc w:val="center"/>
              <w:rPr>
                <w:color w:val="auto"/>
                <w:szCs w:val="21"/>
                <w:highlight w:val="none"/>
              </w:rPr>
            </w:pPr>
          </w:p>
        </w:tc>
        <w:tc>
          <w:tcPr>
            <w:tcW w:w="829" w:type="dxa"/>
            <w:vAlign w:val="center"/>
          </w:tcPr>
          <w:p w14:paraId="736EAABE">
            <w:pPr>
              <w:ind w:left="223" w:hanging="222" w:hangingChars="106"/>
              <w:jc w:val="center"/>
              <w:rPr>
                <w:color w:val="auto"/>
                <w:szCs w:val="21"/>
                <w:highlight w:val="none"/>
              </w:rPr>
            </w:pPr>
          </w:p>
        </w:tc>
        <w:tc>
          <w:tcPr>
            <w:tcW w:w="816" w:type="dxa"/>
            <w:vAlign w:val="center"/>
          </w:tcPr>
          <w:p w14:paraId="77991D67">
            <w:pPr>
              <w:ind w:left="223" w:hanging="222" w:hangingChars="106"/>
              <w:jc w:val="center"/>
              <w:rPr>
                <w:color w:val="auto"/>
                <w:szCs w:val="21"/>
                <w:highlight w:val="none"/>
              </w:rPr>
            </w:pPr>
          </w:p>
        </w:tc>
        <w:tc>
          <w:tcPr>
            <w:tcW w:w="1148" w:type="dxa"/>
            <w:vAlign w:val="center"/>
          </w:tcPr>
          <w:p w14:paraId="4809E54A">
            <w:pPr>
              <w:ind w:left="223" w:hanging="222" w:hangingChars="106"/>
              <w:jc w:val="center"/>
              <w:rPr>
                <w:color w:val="auto"/>
                <w:szCs w:val="21"/>
                <w:highlight w:val="none"/>
              </w:rPr>
            </w:pPr>
          </w:p>
        </w:tc>
        <w:tc>
          <w:tcPr>
            <w:tcW w:w="1148" w:type="dxa"/>
            <w:vAlign w:val="center"/>
          </w:tcPr>
          <w:p w14:paraId="3EAE1EE0">
            <w:pPr>
              <w:ind w:left="223" w:hanging="222" w:hangingChars="106"/>
              <w:jc w:val="center"/>
              <w:rPr>
                <w:color w:val="auto"/>
                <w:szCs w:val="21"/>
                <w:highlight w:val="none"/>
              </w:rPr>
            </w:pPr>
          </w:p>
        </w:tc>
        <w:tc>
          <w:tcPr>
            <w:tcW w:w="1148" w:type="dxa"/>
            <w:vAlign w:val="center"/>
          </w:tcPr>
          <w:p w14:paraId="38E34CCB">
            <w:pPr>
              <w:ind w:left="223" w:hanging="222" w:hangingChars="106"/>
              <w:jc w:val="center"/>
              <w:rPr>
                <w:color w:val="auto"/>
                <w:szCs w:val="21"/>
                <w:highlight w:val="none"/>
              </w:rPr>
            </w:pPr>
          </w:p>
        </w:tc>
        <w:tc>
          <w:tcPr>
            <w:tcW w:w="744" w:type="dxa"/>
            <w:vAlign w:val="center"/>
          </w:tcPr>
          <w:p w14:paraId="0305E449">
            <w:pPr>
              <w:ind w:left="223" w:hanging="222" w:hangingChars="106"/>
              <w:jc w:val="center"/>
              <w:rPr>
                <w:color w:val="auto"/>
                <w:szCs w:val="21"/>
                <w:highlight w:val="none"/>
              </w:rPr>
            </w:pPr>
          </w:p>
        </w:tc>
        <w:tc>
          <w:tcPr>
            <w:tcW w:w="1167" w:type="dxa"/>
            <w:vAlign w:val="center"/>
          </w:tcPr>
          <w:p w14:paraId="14138483">
            <w:pPr>
              <w:ind w:left="223" w:hanging="222" w:hangingChars="106"/>
              <w:jc w:val="center"/>
              <w:rPr>
                <w:color w:val="auto"/>
                <w:szCs w:val="21"/>
                <w:highlight w:val="none"/>
              </w:rPr>
            </w:pPr>
          </w:p>
        </w:tc>
        <w:tc>
          <w:tcPr>
            <w:tcW w:w="1276" w:type="dxa"/>
            <w:vAlign w:val="center"/>
          </w:tcPr>
          <w:p w14:paraId="4BCF4DB7">
            <w:pPr>
              <w:ind w:left="223" w:hanging="222" w:hangingChars="106"/>
              <w:jc w:val="center"/>
              <w:rPr>
                <w:color w:val="auto"/>
                <w:szCs w:val="21"/>
                <w:highlight w:val="none"/>
              </w:rPr>
            </w:pPr>
          </w:p>
        </w:tc>
      </w:tr>
      <w:tr w14:paraId="523E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75B595BD">
            <w:pPr>
              <w:ind w:firstLine="420" w:firstLineChars="200"/>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D12E38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18AF43E1">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16CBCB0F">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供应商应当在本表后附所有管理人员的身份证、职称证（如有）、执业或职业资格证书的复印件并加盖供应商电子签章。</w:t>
      </w:r>
    </w:p>
    <w:p w14:paraId="2339BA65">
      <w:pPr>
        <w:spacing w:line="360" w:lineRule="auto"/>
        <w:ind w:firstLine="480" w:firstLineChars="200"/>
        <w:contextualSpacing/>
        <w:jc w:val="left"/>
        <w:rPr>
          <w:rFonts w:hint="eastAsia" w:ascii="宋体" w:hAnsi="宋体"/>
          <w:color w:val="auto"/>
          <w:sz w:val="24"/>
          <w:szCs w:val="20"/>
          <w:highlight w:val="none"/>
        </w:rPr>
      </w:pPr>
    </w:p>
    <w:p w14:paraId="78B07427">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464F69A">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055444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7229BC9F">
      <w:pPr>
        <w:spacing w:before="100" w:line="225" w:lineRule="auto"/>
        <w:ind w:left="16"/>
        <w:outlineLvl w:val="1"/>
        <w:rPr>
          <w:rFonts w:ascii="Cambria" w:hAnsi="Cambria" w:eastAsia="Cambria" w:cs="Cambria"/>
          <w:color w:val="auto"/>
          <w:sz w:val="31"/>
          <w:szCs w:val="31"/>
          <w:highlight w:val="none"/>
        </w:rPr>
      </w:pPr>
      <w:r>
        <w:rPr>
          <w:rFonts w:ascii="宋体" w:hAnsi="宋体"/>
          <w:b/>
          <w:color w:val="auto"/>
          <w:sz w:val="32"/>
          <w:szCs w:val="32"/>
          <w:highlight w:val="none"/>
        </w:rPr>
        <w:br w:type="page"/>
      </w:r>
    </w:p>
    <w:p w14:paraId="463615A0">
      <w:pPr>
        <w:pStyle w:val="46"/>
        <w:spacing w:line="400" w:lineRule="exac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附：大型、 中型和小型、微型企业划型标准</w:t>
      </w:r>
    </w:p>
    <w:p w14:paraId="23E86A54">
      <w:pPr>
        <w:pStyle w:val="46"/>
        <w:spacing w:line="40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3544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2643CBC5">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行业名称</w:t>
            </w:r>
          </w:p>
        </w:tc>
        <w:tc>
          <w:tcPr>
            <w:tcW w:w="1187" w:type="dxa"/>
          </w:tcPr>
          <w:p w14:paraId="11ED0156">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指标名称</w:t>
            </w:r>
          </w:p>
        </w:tc>
        <w:tc>
          <w:tcPr>
            <w:tcW w:w="900" w:type="dxa"/>
          </w:tcPr>
          <w:p w14:paraId="4C58FFA2">
            <w:pPr>
              <w:spacing w:before="104" w:line="200" w:lineRule="exact"/>
              <w:ind w:left="22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单位</w:t>
            </w:r>
          </w:p>
        </w:tc>
        <w:tc>
          <w:tcPr>
            <w:tcW w:w="1399" w:type="dxa"/>
          </w:tcPr>
          <w:p w14:paraId="0D53B6F5">
            <w:pPr>
              <w:spacing w:before="104" w:line="200" w:lineRule="exact"/>
              <w:ind w:left="4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大型</w:t>
            </w:r>
          </w:p>
        </w:tc>
        <w:tc>
          <w:tcPr>
            <w:tcW w:w="1535" w:type="dxa"/>
          </w:tcPr>
          <w:p w14:paraId="5F9E84F5">
            <w:pPr>
              <w:spacing w:before="104" w:line="200" w:lineRule="exact"/>
              <w:ind w:left="5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中型</w:t>
            </w:r>
          </w:p>
        </w:tc>
        <w:tc>
          <w:tcPr>
            <w:tcW w:w="1295" w:type="dxa"/>
          </w:tcPr>
          <w:p w14:paraId="5F5F8E6F">
            <w:pPr>
              <w:spacing w:before="105" w:line="200" w:lineRule="exact"/>
              <w:ind w:left="42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小型</w:t>
            </w:r>
          </w:p>
        </w:tc>
        <w:tc>
          <w:tcPr>
            <w:tcW w:w="1004" w:type="dxa"/>
          </w:tcPr>
          <w:p w14:paraId="6FE81396">
            <w:pPr>
              <w:spacing w:before="104" w:line="200" w:lineRule="exact"/>
              <w:ind w:left="2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微型</w:t>
            </w:r>
          </w:p>
        </w:tc>
      </w:tr>
      <w:tr w14:paraId="476A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1703ADDA">
            <w:pPr>
              <w:spacing w:before="99"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农林牧渔</w:t>
            </w:r>
          </w:p>
        </w:tc>
        <w:tc>
          <w:tcPr>
            <w:tcW w:w="1187" w:type="dxa"/>
          </w:tcPr>
          <w:p w14:paraId="03313A26">
            <w:pPr>
              <w:spacing w:before="100"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2906EE4">
            <w:pPr>
              <w:spacing w:before="100"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FAE551">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393C1FA8">
            <w:pPr>
              <w:spacing w:before="141"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52973198">
            <w:pPr>
              <w:spacing w:before="141" w:line="200" w:lineRule="exact"/>
              <w:ind w:left="29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50-500</w:t>
            </w:r>
          </w:p>
        </w:tc>
        <w:tc>
          <w:tcPr>
            <w:tcW w:w="1004" w:type="dxa"/>
          </w:tcPr>
          <w:p w14:paraId="0D566B97">
            <w:pPr>
              <w:spacing w:before="10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521E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4F0F6342">
            <w:pPr>
              <w:spacing w:line="200" w:lineRule="exact"/>
              <w:rPr>
                <w:rFonts w:ascii="Arial"/>
                <w:color w:val="auto"/>
                <w:highlight w:val="none"/>
              </w:rPr>
            </w:pPr>
          </w:p>
          <w:p w14:paraId="1C5FC334">
            <w:pPr>
              <w:spacing w:before="7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工业</w:t>
            </w:r>
          </w:p>
        </w:tc>
        <w:tc>
          <w:tcPr>
            <w:tcW w:w="1187" w:type="dxa"/>
          </w:tcPr>
          <w:p w14:paraId="20D06EC5">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7363CFA">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6CE329C">
            <w:pPr>
              <w:spacing w:before="101"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5F788B2C">
            <w:pPr>
              <w:spacing w:before="142"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2E80049B">
            <w:pPr>
              <w:spacing w:before="142"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003D7E30">
            <w:pPr>
              <w:spacing w:before="101"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37E78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7B6D7D40">
            <w:pPr>
              <w:spacing w:line="200" w:lineRule="exact"/>
              <w:rPr>
                <w:rFonts w:ascii="Arial"/>
                <w:color w:val="auto"/>
                <w:highlight w:val="none"/>
              </w:rPr>
            </w:pPr>
          </w:p>
        </w:tc>
        <w:tc>
          <w:tcPr>
            <w:tcW w:w="1187" w:type="dxa"/>
          </w:tcPr>
          <w:p w14:paraId="326AF7C3">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CAFC2E4">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DD47082">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29ECF03D">
            <w:pPr>
              <w:spacing w:before="142"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2000-40000</w:t>
            </w:r>
          </w:p>
        </w:tc>
        <w:tc>
          <w:tcPr>
            <w:tcW w:w="1295" w:type="dxa"/>
          </w:tcPr>
          <w:p w14:paraId="01C912CE">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300-2000</w:t>
            </w:r>
          </w:p>
        </w:tc>
        <w:tc>
          <w:tcPr>
            <w:tcW w:w="1004" w:type="dxa"/>
          </w:tcPr>
          <w:p w14:paraId="19E3169F">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2252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47D57F00">
            <w:pPr>
              <w:spacing w:line="200" w:lineRule="exact"/>
              <w:rPr>
                <w:rFonts w:ascii="Arial"/>
                <w:color w:val="auto"/>
                <w:highlight w:val="none"/>
              </w:rPr>
            </w:pPr>
          </w:p>
          <w:p w14:paraId="6475F20C">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建筑业</w:t>
            </w:r>
          </w:p>
        </w:tc>
        <w:tc>
          <w:tcPr>
            <w:tcW w:w="1187" w:type="dxa"/>
          </w:tcPr>
          <w:p w14:paraId="1BD3A867">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1F03C6E">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84B069B">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11491618">
            <w:pPr>
              <w:spacing w:before="141" w:line="200" w:lineRule="exact"/>
              <w:ind w:left="17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6000-80000</w:t>
            </w:r>
          </w:p>
        </w:tc>
        <w:tc>
          <w:tcPr>
            <w:tcW w:w="1295" w:type="dxa"/>
          </w:tcPr>
          <w:p w14:paraId="3BE14985">
            <w:pPr>
              <w:spacing w:before="141"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300-6000</w:t>
            </w:r>
          </w:p>
        </w:tc>
        <w:tc>
          <w:tcPr>
            <w:tcW w:w="1004" w:type="dxa"/>
          </w:tcPr>
          <w:p w14:paraId="4CCE5300">
            <w:pPr>
              <w:spacing w:before="10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36FAE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6511ECC0">
            <w:pPr>
              <w:spacing w:line="200" w:lineRule="exact"/>
              <w:rPr>
                <w:rFonts w:ascii="Arial"/>
                <w:color w:val="auto"/>
                <w:highlight w:val="none"/>
              </w:rPr>
            </w:pPr>
          </w:p>
        </w:tc>
        <w:tc>
          <w:tcPr>
            <w:tcW w:w="1187" w:type="dxa"/>
          </w:tcPr>
          <w:p w14:paraId="7BB46D32">
            <w:pPr>
              <w:spacing w:before="101"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CE0323">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15B25D1">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40C67D12">
            <w:pPr>
              <w:spacing w:before="142"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5000-80000</w:t>
            </w:r>
          </w:p>
        </w:tc>
        <w:tc>
          <w:tcPr>
            <w:tcW w:w="1295" w:type="dxa"/>
          </w:tcPr>
          <w:p w14:paraId="19B8F395">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300-5000</w:t>
            </w:r>
          </w:p>
        </w:tc>
        <w:tc>
          <w:tcPr>
            <w:tcW w:w="1004" w:type="dxa"/>
          </w:tcPr>
          <w:p w14:paraId="67655F03">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70C8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524949A1">
            <w:pPr>
              <w:spacing w:line="200" w:lineRule="exact"/>
              <w:rPr>
                <w:rFonts w:ascii="Arial"/>
                <w:color w:val="auto"/>
                <w:highlight w:val="none"/>
              </w:rPr>
            </w:pPr>
          </w:p>
          <w:p w14:paraId="609A7908">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批发业</w:t>
            </w:r>
          </w:p>
        </w:tc>
        <w:tc>
          <w:tcPr>
            <w:tcW w:w="1187" w:type="dxa"/>
          </w:tcPr>
          <w:p w14:paraId="2122160E">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3B4CB03">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9DD0736">
            <w:pPr>
              <w:spacing w:before="101"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6F6A6347">
            <w:pPr>
              <w:spacing w:before="142" w:line="200" w:lineRule="exact"/>
              <w:ind w:left="41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20-200</w:t>
            </w:r>
          </w:p>
        </w:tc>
        <w:tc>
          <w:tcPr>
            <w:tcW w:w="1295" w:type="dxa"/>
          </w:tcPr>
          <w:p w14:paraId="5F6F91A1">
            <w:pPr>
              <w:spacing w:before="142" w:line="200" w:lineRule="exact"/>
              <w:ind w:left="4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5-20</w:t>
            </w:r>
          </w:p>
        </w:tc>
        <w:tc>
          <w:tcPr>
            <w:tcW w:w="1004" w:type="dxa"/>
          </w:tcPr>
          <w:p w14:paraId="5632AAA0">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w:t>
            </w:r>
          </w:p>
        </w:tc>
      </w:tr>
      <w:tr w14:paraId="552FF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58E92504">
            <w:pPr>
              <w:spacing w:line="200" w:lineRule="exact"/>
              <w:rPr>
                <w:rFonts w:ascii="Arial"/>
                <w:color w:val="auto"/>
                <w:highlight w:val="none"/>
              </w:rPr>
            </w:pPr>
          </w:p>
        </w:tc>
        <w:tc>
          <w:tcPr>
            <w:tcW w:w="1187" w:type="dxa"/>
          </w:tcPr>
          <w:p w14:paraId="033DE93E">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9299A6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C14778C">
            <w:pPr>
              <w:spacing w:before="102"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483B0D73">
            <w:pPr>
              <w:spacing w:before="143"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5000-40000</w:t>
            </w:r>
          </w:p>
        </w:tc>
        <w:tc>
          <w:tcPr>
            <w:tcW w:w="1295" w:type="dxa"/>
          </w:tcPr>
          <w:p w14:paraId="1C7FDB95">
            <w:pPr>
              <w:spacing w:before="14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004" w:type="dxa"/>
          </w:tcPr>
          <w:p w14:paraId="70179EB2">
            <w:pPr>
              <w:spacing w:before="102"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r>
      <w:tr w14:paraId="2DB0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2CE3E7EA">
            <w:pPr>
              <w:spacing w:line="200" w:lineRule="exact"/>
              <w:rPr>
                <w:rFonts w:ascii="Arial"/>
                <w:color w:val="auto"/>
                <w:highlight w:val="none"/>
              </w:rPr>
            </w:pPr>
          </w:p>
          <w:p w14:paraId="3E44DA45">
            <w:pPr>
              <w:spacing w:before="75" w:line="200" w:lineRule="exact"/>
              <w:ind w:left="24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零售业</w:t>
            </w:r>
          </w:p>
        </w:tc>
        <w:tc>
          <w:tcPr>
            <w:tcW w:w="1187" w:type="dxa"/>
          </w:tcPr>
          <w:p w14:paraId="72764FDF">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FE310CD">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5086CCE">
            <w:pPr>
              <w:spacing w:before="102"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F42D6A1">
            <w:pPr>
              <w:spacing w:before="143" w:line="200" w:lineRule="exact"/>
              <w:ind w:left="41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50-300</w:t>
            </w:r>
          </w:p>
        </w:tc>
        <w:tc>
          <w:tcPr>
            <w:tcW w:w="1295" w:type="dxa"/>
          </w:tcPr>
          <w:p w14:paraId="3230B661">
            <w:pPr>
              <w:spacing w:before="143" w:line="200" w:lineRule="exact"/>
              <w:ind w:left="3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10-50</w:t>
            </w:r>
          </w:p>
        </w:tc>
        <w:tc>
          <w:tcPr>
            <w:tcW w:w="1004" w:type="dxa"/>
          </w:tcPr>
          <w:p w14:paraId="11D1838E">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442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689E4FF7">
            <w:pPr>
              <w:spacing w:line="200" w:lineRule="exact"/>
              <w:rPr>
                <w:rFonts w:ascii="Arial"/>
                <w:color w:val="auto"/>
                <w:highlight w:val="none"/>
              </w:rPr>
            </w:pPr>
          </w:p>
        </w:tc>
        <w:tc>
          <w:tcPr>
            <w:tcW w:w="1187" w:type="dxa"/>
          </w:tcPr>
          <w:p w14:paraId="1C6EB7AF">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E897F34">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BE1C46E">
            <w:pPr>
              <w:spacing w:before="101" w:line="200" w:lineRule="exact"/>
              <w:ind w:left="30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7F39A84B">
            <w:pPr>
              <w:spacing w:before="142"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61FA3A82">
            <w:pPr>
              <w:spacing w:before="142"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100-500</w:t>
            </w:r>
          </w:p>
        </w:tc>
        <w:tc>
          <w:tcPr>
            <w:tcW w:w="1004" w:type="dxa"/>
          </w:tcPr>
          <w:p w14:paraId="57A37168">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53091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74DC1B21">
            <w:pPr>
              <w:spacing w:line="200" w:lineRule="exact"/>
              <w:rPr>
                <w:rFonts w:ascii="Arial"/>
                <w:color w:val="auto"/>
                <w:highlight w:val="none"/>
              </w:rPr>
            </w:pPr>
          </w:p>
          <w:p w14:paraId="3B09C2EA">
            <w:pPr>
              <w:spacing w:before="75"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交通运输</w:t>
            </w:r>
          </w:p>
        </w:tc>
        <w:tc>
          <w:tcPr>
            <w:tcW w:w="1187" w:type="dxa"/>
          </w:tcPr>
          <w:p w14:paraId="008763A7">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506AC92">
            <w:pPr>
              <w:spacing w:before="102"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4C175201">
            <w:pPr>
              <w:spacing w:before="10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35B1C40F">
            <w:pPr>
              <w:spacing w:before="143"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7FBB492A">
            <w:pPr>
              <w:spacing w:before="143"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4EF2C8AB">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0464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1FD332C4">
            <w:pPr>
              <w:spacing w:line="200" w:lineRule="exact"/>
              <w:rPr>
                <w:rFonts w:ascii="Arial"/>
                <w:color w:val="auto"/>
                <w:highlight w:val="none"/>
              </w:rPr>
            </w:pPr>
          </w:p>
        </w:tc>
        <w:tc>
          <w:tcPr>
            <w:tcW w:w="1187" w:type="dxa"/>
          </w:tcPr>
          <w:p w14:paraId="044F52B6">
            <w:pPr>
              <w:spacing w:before="105"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224CADC">
            <w:pPr>
              <w:spacing w:before="105"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887435A">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82F76B0">
            <w:pPr>
              <w:spacing w:before="145"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3000-30000</w:t>
            </w:r>
          </w:p>
        </w:tc>
        <w:tc>
          <w:tcPr>
            <w:tcW w:w="1295" w:type="dxa"/>
          </w:tcPr>
          <w:p w14:paraId="5FE9111B">
            <w:pPr>
              <w:spacing w:before="145" w:line="200" w:lineRule="exact"/>
              <w:ind w:left="17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200-3000</w:t>
            </w:r>
          </w:p>
        </w:tc>
        <w:tc>
          <w:tcPr>
            <w:tcW w:w="1004" w:type="dxa"/>
          </w:tcPr>
          <w:p w14:paraId="0B422A7A">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r>
      <w:tr w14:paraId="692F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7CB4872">
            <w:pPr>
              <w:spacing w:line="200" w:lineRule="exact"/>
              <w:rPr>
                <w:rFonts w:ascii="Arial"/>
                <w:color w:val="auto"/>
                <w:highlight w:val="none"/>
              </w:rPr>
            </w:pPr>
          </w:p>
          <w:p w14:paraId="6CA6E952">
            <w:pPr>
              <w:spacing w:before="75" w:line="200" w:lineRule="exact"/>
              <w:ind w:left="369"/>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仓储</w:t>
            </w:r>
          </w:p>
        </w:tc>
        <w:tc>
          <w:tcPr>
            <w:tcW w:w="1187" w:type="dxa"/>
          </w:tcPr>
          <w:p w14:paraId="5A51D990">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1143D03">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754B72">
            <w:pPr>
              <w:spacing w:before="104"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3EDC2676">
            <w:pPr>
              <w:spacing w:before="14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1EBC52BD">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20-100</w:t>
            </w:r>
          </w:p>
        </w:tc>
        <w:tc>
          <w:tcPr>
            <w:tcW w:w="1004" w:type="dxa"/>
          </w:tcPr>
          <w:p w14:paraId="39BED648">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6D4D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57FABA63">
            <w:pPr>
              <w:spacing w:line="200" w:lineRule="exact"/>
              <w:rPr>
                <w:rFonts w:ascii="Arial"/>
                <w:color w:val="auto"/>
                <w:highlight w:val="none"/>
              </w:rPr>
            </w:pPr>
          </w:p>
        </w:tc>
        <w:tc>
          <w:tcPr>
            <w:tcW w:w="1187" w:type="dxa"/>
          </w:tcPr>
          <w:p w14:paraId="48CD54E9">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083F4C89">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F67C7BB">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B665854">
            <w:pPr>
              <w:spacing w:before="145"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1000-30000</w:t>
            </w:r>
          </w:p>
        </w:tc>
        <w:tc>
          <w:tcPr>
            <w:tcW w:w="1295" w:type="dxa"/>
          </w:tcPr>
          <w:p w14:paraId="3057710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2598ADBB">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6807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56FEB4E6">
            <w:pPr>
              <w:spacing w:line="200" w:lineRule="exact"/>
              <w:rPr>
                <w:rFonts w:ascii="Arial"/>
                <w:color w:val="auto"/>
                <w:highlight w:val="none"/>
              </w:rPr>
            </w:pPr>
          </w:p>
          <w:p w14:paraId="046EB4CC">
            <w:pPr>
              <w:spacing w:before="75" w:line="200" w:lineRule="exact"/>
              <w:ind w:left="26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邮政业</w:t>
            </w:r>
          </w:p>
        </w:tc>
        <w:tc>
          <w:tcPr>
            <w:tcW w:w="1187" w:type="dxa"/>
          </w:tcPr>
          <w:p w14:paraId="261AB666">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9D43B0C">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DEA2CF4">
            <w:pPr>
              <w:spacing w:before="10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6BCB4E33">
            <w:pPr>
              <w:spacing w:before="145"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300- 1000</w:t>
            </w:r>
          </w:p>
        </w:tc>
        <w:tc>
          <w:tcPr>
            <w:tcW w:w="1295" w:type="dxa"/>
          </w:tcPr>
          <w:p w14:paraId="7183F841">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6ED7CE05">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5E0A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057D964B">
            <w:pPr>
              <w:spacing w:line="200" w:lineRule="exact"/>
              <w:rPr>
                <w:rFonts w:ascii="Arial"/>
                <w:color w:val="auto"/>
                <w:highlight w:val="none"/>
              </w:rPr>
            </w:pPr>
          </w:p>
        </w:tc>
        <w:tc>
          <w:tcPr>
            <w:tcW w:w="1187" w:type="dxa"/>
          </w:tcPr>
          <w:p w14:paraId="3DFB655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06C310B">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1A25CCD">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CCEC3DE">
            <w:pPr>
              <w:spacing w:before="145"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2000-30000</w:t>
            </w:r>
          </w:p>
        </w:tc>
        <w:tc>
          <w:tcPr>
            <w:tcW w:w="1295" w:type="dxa"/>
          </w:tcPr>
          <w:p w14:paraId="333CF99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4540B26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E5F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45A93377">
            <w:pPr>
              <w:spacing w:line="200" w:lineRule="exact"/>
              <w:rPr>
                <w:rFonts w:ascii="Arial"/>
                <w:color w:val="auto"/>
                <w:highlight w:val="none"/>
              </w:rPr>
            </w:pPr>
          </w:p>
          <w:p w14:paraId="07283912">
            <w:pPr>
              <w:spacing w:before="75"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住宿餐饮</w:t>
            </w:r>
          </w:p>
        </w:tc>
        <w:tc>
          <w:tcPr>
            <w:tcW w:w="1187" w:type="dxa"/>
          </w:tcPr>
          <w:p w14:paraId="2D221D0A">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0C0D6A3">
            <w:pPr>
              <w:spacing w:before="103"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F6E210">
            <w:pPr>
              <w:spacing w:before="103"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A4B5828">
            <w:pPr>
              <w:spacing w:before="14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2781AFEE">
            <w:pPr>
              <w:spacing w:before="144"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3546F62F">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184F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24B9DDA9">
            <w:pPr>
              <w:spacing w:line="200" w:lineRule="exact"/>
              <w:rPr>
                <w:rFonts w:ascii="Arial"/>
                <w:color w:val="auto"/>
                <w:highlight w:val="none"/>
              </w:rPr>
            </w:pPr>
          </w:p>
        </w:tc>
        <w:tc>
          <w:tcPr>
            <w:tcW w:w="1187" w:type="dxa"/>
          </w:tcPr>
          <w:p w14:paraId="09795E8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02D5657">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655F889">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1B2C6AB3">
            <w:pPr>
              <w:spacing w:before="144"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2000-10000</w:t>
            </w:r>
          </w:p>
        </w:tc>
        <w:tc>
          <w:tcPr>
            <w:tcW w:w="1295" w:type="dxa"/>
          </w:tcPr>
          <w:p w14:paraId="12062115">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102FE41F">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891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2F09F0A1">
            <w:pPr>
              <w:spacing w:before="172" w:line="200" w:lineRule="exact"/>
              <w:ind w:left="124" w:right="110" w:firstLine="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房地产 开发经营</w:t>
            </w:r>
          </w:p>
        </w:tc>
        <w:tc>
          <w:tcPr>
            <w:tcW w:w="1187" w:type="dxa"/>
          </w:tcPr>
          <w:p w14:paraId="2B61180C">
            <w:pPr>
              <w:spacing w:before="103"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46E449BE">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EEDDF81">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6A43DC4">
            <w:pPr>
              <w:spacing w:before="144"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5000-10000</w:t>
            </w:r>
          </w:p>
        </w:tc>
        <w:tc>
          <w:tcPr>
            <w:tcW w:w="1295" w:type="dxa"/>
          </w:tcPr>
          <w:p w14:paraId="25E2633E">
            <w:pPr>
              <w:spacing w:before="103" w:line="200" w:lineRule="exact"/>
              <w:ind w:left="11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2000&lt;5000</w:t>
            </w:r>
          </w:p>
        </w:tc>
        <w:tc>
          <w:tcPr>
            <w:tcW w:w="1004" w:type="dxa"/>
          </w:tcPr>
          <w:p w14:paraId="79060F98">
            <w:pPr>
              <w:spacing w:before="103"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r>
      <w:tr w14:paraId="5ED63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7807C122">
            <w:pPr>
              <w:spacing w:line="200" w:lineRule="exact"/>
              <w:rPr>
                <w:rFonts w:ascii="Arial"/>
                <w:color w:val="auto"/>
                <w:highlight w:val="none"/>
              </w:rPr>
            </w:pPr>
          </w:p>
        </w:tc>
        <w:tc>
          <w:tcPr>
            <w:tcW w:w="1187" w:type="dxa"/>
          </w:tcPr>
          <w:p w14:paraId="5C891C8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3184588">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53027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≥200000</w:t>
            </w:r>
          </w:p>
        </w:tc>
        <w:tc>
          <w:tcPr>
            <w:tcW w:w="1535" w:type="dxa"/>
          </w:tcPr>
          <w:p w14:paraId="4371FD8A">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1000-200000</w:t>
            </w:r>
          </w:p>
        </w:tc>
        <w:tc>
          <w:tcPr>
            <w:tcW w:w="1295" w:type="dxa"/>
          </w:tcPr>
          <w:p w14:paraId="07187C97">
            <w:pPr>
              <w:spacing w:before="10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100&lt;10000</w:t>
            </w:r>
          </w:p>
        </w:tc>
        <w:tc>
          <w:tcPr>
            <w:tcW w:w="1004" w:type="dxa"/>
          </w:tcPr>
          <w:p w14:paraId="51705E15">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47D4D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5A5987E4">
            <w:pPr>
              <w:spacing w:before="263"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物业管理</w:t>
            </w:r>
          </w:p>
        </w:tc>
        <w:tc>
          <w:tcPr>
            <w:tcW w:w="1187" w:type="dxa"/>
          </w:tcPr>
          <w:p w14:paraId="37BF1F2E">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A1BEA06">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BEDB880">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49CBFBEA">
            <w:pPr>
              <w:spacing w:before="81"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318C0BB0">
            <w:pPr>
              <w:spacing w:before="81"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004" w:type="dxa"/>
          </w:tcPr>
          <w:p w14:paraId="64A923F2">
            <w:pPr>
              <w:spacing w:before="4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292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4C9F0E84">
            <w:pPr>
              <w:spacing w:line="200" w:lineRule="exact"/>
              <w:rPr>
                <w:rFonts w:ascii="Arial"/>
                <w:color w:val="auto"/>
                <w:highlight w:val="none"/>
              </w:rPr>
            </w:pPr>
          </w:p>
        </w:tc>
        <w:tc>
          <w:tcPr>
            <w:tcW w:w="1187" w:type="dxa"/>
          </w:tcPr>
          <w:p w14:paraId="0CFCB71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609D995">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2ED013E">
            <w:pPr>
              <w:spacing w:before="103"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w:t>
            </w:r>
          </w:p>
        </w:tc>
        <w:tc>
          <w:tcPr>
            <w:tcW w:w="1535" w:type="dxa"/>
          </w:tcPr>
          <w:p w14:paraId="695598BD">
            <w:pPr>
              <w:spacing w:before="144"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295" w:type="dxa"/>
          </w:tcPr>
          <w:p w14:paraId="13D1761C">
            <w:pPr>
              <w:spacing w:before="144" w:line="200" w:lineRule="exact"/>
              <w:ind w:left="1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500- 1000</w:t>
            </w:r>
          </w:p>
        </w:tc>
        <w:tc>
          <w:tcPr>
            <w:tcW w:w="1004" w:type="dxa"/>
          </w:tcPr>
          <w:p w14:paraId="65ACD5C7">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w:t>
            </w:r>
          </w:p>
        </w:tc>
      </w:tr>
      <w:tr w14:paraId="6EAE8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C55D1C0">
            <w:pPr>
              <w:spacing w:before="263"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信息传输</w:t>
            </w:r>
          </w:p>
        </w:tc>
        <w:tc>
          <w:tcPr>
            <w:tcW w:w="1187" w:type="dxa"/>
          </w:tcPr>
          <w:p w14:paraId="735C8EE9">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40E36A85">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F7A3D1E">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c>
          <w:tcPr>
            <w:tcW w:w="1535" w:type="dxa"/>
          </w:tcPr>
          <w:p w14:paraId="3F8788B5">
            <w:pPr>
              <w:spacing w:before="8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4D94554E">
            <w:pPr>
              <w:spacing w:before="82"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4E996B19">
            <w:pPr>
              <w:spacing w:before="4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047D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39B68251">
            <w:pPr>
              <w:spacing w:line="200" w:lineRule="exact"/>
              <w:rPr>
                <w:rFonts w:ascii="Arial"/>
                <w:color w:val="auto"/>
                <w:highlight w:val="none"/>
              </w:rPr>
            </w:pPr>
          </w:p>
        </w:tc>
        <w:tc>
          <w:tcPr>
            <w:tcW w:w="1187" w:type="dxa"/>
          </w:tcPr>
          <w:p w14:paraId="29B22B4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3331211">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48F6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≥100000</w:t>
            </w:r>
          </w:p>
        </w:tc>
        <w:tc>
          <w:tcPr>
            <w:tcW w:w="1535" w:type="dxa"/>
          </w:tcPr>
          <w:p w14:paraId="0F2F4F7D">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1000-100000</w:t>
            </w:r>
          </w:p>
        </w:tc>
        <w:tc>
          <w:tcPr>
            <w:tcW w:w="1295" w:type="dxa"/>
          </w:tcPr>
          <w:p w14:paraId="25092E2D">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6C3D3DED">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4495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60D09E5C">
            <w:pPr>
              <w:spacing w:before="127" w:line="200" w:lineRule="exact"/>
              <w:ind w:left="124" w:right="110" w:firstLine="12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软件和 信息技术</w:t>
            </w:r>
          </w:p>
        </w:tc>
        <w:tc>
          <w:tcPr>
            <w:tcW w:w="1187" w:type="dxa"/>
          </w:tcPr>
          <w:p w14:paraId="3E582669">
            <w:pPr>
              <w:spacing w:before="57"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56C64EB4">
            <w:pPr>
              <w:spacing w:before="57"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0C630F3">
            <w:pPr>
              <w:spacing w:before="57"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E50A0CA">
            <w:pPr>
              <w:spacing w:before="98"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163515F0">
            <w:pPr>
              <w:spacing w:before="98"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D9766A4">
            <w:pPr>
              <w:spacing w:before="57"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5B17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0D565FFE">
            <w:pPr>
              <w:spacing w:line="200" w:lineRule="exact"/>
              <w:rPr>
                <w:rFonts w:ascii="Arial"/>
                <w:color w:val="auto"/>
                <w:highlight w:val="none"/>
              </w:rPr>
            </w:pPr>
          </w:p>
        </w:tc>
        <w:tc>
          <w:tcPr>
            <w:tcW w:w="1187" w:type="dxa"/>
          </w:tcPr>
          <w:p w14:paraId="45AD4EE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4B95754">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557EFB4">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993C374">
            <w:pPr>
              <w:spacing w:before="144"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w:t>
            </w:r>
          </w:p>
        </w:tc>
        <w:tc>
          <w:tcPr>
            <w:tcW w:w="1295" w:type="dxa"/>
          </w:tcPr>
          <w:p w14:paraId="44BE04BE">
            <w:pPr>
              <w:spacing w:before="144" w:line="200" w:lineRule="exact"/>
              <w:ind w:left="2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50-1000</w:t>
            </w:r>
          </w:p>
        </w:tc>
        <w:tc>
          <w:tcPr>
            <w:tcW w:w="1004" w:type="dxa"/>
          </w:tcPr>
          <w:p w14:paraId="48C8D16D">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17D5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22F52BFB">
            <w:pPr>
              <w:spacing w:before="117" w:line="200" w:lineRule="exact"/>
              <w:ind w:left="133" w:right="110" w:firstLine="11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租赁和 商务服务</w:t>
            </w:r>
          </w:p>
        </w:tc>
        <w:tc>
          <w:tcPr>
            <w:tcW w:w="1187" w:type="dxa"/>
          </w:tcPr>
          <w:p w14:paraId="32A4F282">
            <w:pPr>
              <w:spacing w:before="48"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CF83326">
            <w:pPr>
              <w:spacing w:before="48"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8CF3569">
            <w:pPr>
              <w:spacing w:before="48"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040D9AF">
            <w:pPr>
              <w:spacing w:before="89"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2EBCE8F">
            <w:pPr>
              <w:spacing w:before="89"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5B6048CC">
            <w:pPr>
              <w:spacing w:before="48"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2CC8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77E45F95">
            <w:pPr>
              <w:spacing w:line="200" w:lineRule="exact"/>
              <w:rPr>
                <w:rFonts w:ascii="Arial"/>
                <w:color w:val="auto"/>
                <w:highlight w:val="none"/>
              </w:rPr>
            </w:pPr>
          </w:p>
        </w:tc>
        <w:tc>
          <w:tcPr>
            <w:tcW w:w="1187" w:type="dxa"/>
          </w:tcPr>
          <w:p w14:paraId="0F33DED4">
            <w:pPr>
              <w:spacing w:before="102"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F81CB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0719C8C">
            <w:pPr>
              <w:spacing w:before="102"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≥120000</w:t>
            </w:r>
          </w:p>
        </w:tc>
        <w:tc>
          <w:tcPr>
            <w:tcW w:w="1535" w:type="dxa"/>
          </w:tcPr>
          <w:p w14:paraId="518F966D">
            <w:pPr>
              <w:spacing w:before="143" w:line="200" w:lineRule="exact"/>
              <w:ind w:left="11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8000-120000</w:t>
            </w:r>
          </w:p>
        </w:tc>
        <w:tc>
          <w:tcPr>
            <w:tcW w:w="1295" w:type="dxa"/>
          </w:tcPr>
          <w:p w14:paraId="0C8ABF46">
            <w:pPr>
              <w:spacing w:before="143"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100-8000</w:t>
            </w:r>
          </w:p>
        </w:tc>
        <w:tc>
          <w:tcPr>
            <w:tcW w:w="1004" w:type="dxa"/>
          </w:tcPr>
          <w:p w14:paraId="41D89494">
            <w:pPr>
              <w:spacing w:before="102"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3AE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30A4AF0C">
            <w:pPr>
              <w:spacing w:before="40" w:line="200" w:lineRule="exact"/>
              <w:ind w:left="259" w:right="110" w:hanging="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其他未列 明行业</w:t>
            </w:r>
          </w:p>
        </w:tc>
        <w:tc>
          <w:tcPr>
            <w:tcW w:w="1187" w:type="dxa"/>
          </w:tcPr>
          <w:p w14:paraId="38DC30F5">
            <w:pPr>
              <w:spacing w:before="195"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24EF96C">
            <w:pPr>
              <w:spacing w:before="195"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AC39CF1">
            <w:pPr>
              <w:spacing w:before="195"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D68BB5F">
            <w:pPr>
              <w:spacing w:before="236"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55E8DB9D">
            <w:pPr>
              <w:spacing w:before="236"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613E0766">
            <w:pPr>
              <w:spacing w:before="195"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bl>
    <w:p w14:paraId="040C256C">
      <w:pPr>
        <w:widowControl/>
        <w:spacing w:line="360" w:lineRule="auto"/>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61044AA4">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7CB06E6F">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7899801">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49925A0">
      <w:pPr>
        <w:snapToGrid w:val="0"/>
        <w:spacing w:before="156" w:beforeLines="50" w:after="50" w:line="360" w:lineRule="auto"/>
        <w:ind w:right="480" w:firstLine="321" w:firstLineChars="100"/>
        <w:jc w:val="center"/>
        <w:outlineLvl w:val="2"/>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其他文书、文件格式</w:t>
      </w:r>
    </w:p>
    <w:p w14:paraId="524514A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3F357CD1">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一、质疑供应商基本信息：</w:t>
      </w:r>
    </w:p>
    <w:p w14:paraId="02024255">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质疑供应商：</w:t>
      </w:r>
      <w:r>
        <w:rPr>
          <w:rFonts w:hint="eastAsia"/>
          <w:bCs/>
          <w:color w:val="auto"/>
          <w:highlight w:val="none"/>
          <w:u w:val="single"/>
          <w:lang w:bidi="ar"/>
        </w:rPr>
        <w:t xml:space="preserve">                                       </w:t>
      </w:r>
      <w:r>
        <w:rPr>
          <w:rFonts w:hint="eastAsia"/>
          <w:bCs/>
          <w:color w:val="auto"/>
          <w:highlight w:val="none"/>
          <w:lang w:bidi="ar"/>
        </w:rPr>
        <w:t xml:space="preserve">                 </w:t>
      </w:r>
    </w:p>
    <w:p w14:paraId="2BB779A4">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38C25C5A">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联系人：</w:t>
      </w:r>
      <w:r>
        <w:rPr>
          <w:rFonts w:hint="eastAsia"/>
          <w:bCs/>
          <w:color w:val="auto"/>
          <w:highlight w:val="none"/>
          <w:u w:val="single"/>
          <w:lang w:bidi="ar"/>
        </w:rPr>
        <w:t xml:space="preserve">                     </w:t>
      </w:r>
      <w:r>
        <w:rPr>
          <w:rFonts w:hint="eastAsia"/>
          <w:bCs/>
          <w:color w:val="auto"/>
          <w:highlight w:val="none"/>
          <w:lang w:bidi="ar"/>
        </w:rPr>
        <w:t>联系电话：</w:t>
      </w:r>
      <w:r>
        <w:rPr>
          <w:rFonts w:hint="eastAsia"/>
          <w:bCs/>
          <w:color w:val="auto"/>
          <w:highlight w:val="none"/>
          <w:u w:val="single"/>
          <w:lang w:bidi="ar"/>
        </w:rPr>
        <w:t xml:space="preserve">                 </w:t>
      </w:r>
    </w:p>
    <w:p w14:paraId="135DB606">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授权代表：</w:t>
      </w:r>
      <w:r>
        <w:rPr>
          <w:rFonts w:hint="eastAsia"/>
          <w:bCs/>
          <w:color w:val="auto"/>
          <w:highlight w:val="none"/>
          <w:u w:val="single"/>
          <w:lang w:bidi="ar"/>
        </w:rPr>
        <w:t xml:space="preserve">                      </w:t>
      </w:r>
    </w:p>
    <w:p w14:paraId="0D1CC90B">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联系电话：</w:t>
      </w:r>
      <w:r>
        <w:rPr>
          <w:rFonts w:hint="eastAsia"/>
          <w:bCs/>
          <w:color w:val="auto"/>
          <w:highlight w:val="none"/>
          <w:u w:val="single"/>
          <w:lang w:bidi="ar"/>
        </w:rPr>
        <w:t xml:space="preserve">                      </w:t>
      </w:r>
    </w:p>
    <w:p w14:paraId="24595BB4">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131FBE6B">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二、质疑项目基本情况：</w:t>
      </w:r>
    </w:p>
    <w:p w14:paraId="43D8C0EC">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项目的名称：</w:t>
      </w:r>
      <w:r>
        <w:rPr>
          <w:rFonts w:hint="eastAsia"/>
          <w:bCs/>
          <w:color w:val="auto"/>
          <w:highlight w:val="none"/>
          <w:u w:val="single"/>
          <w:lang w:bidi="ar"/>
        </w:rPr>
        <w:t xml:space="preserve">                                     </w:t>
      </w:r>
    </w:p>
    <w:p w14:paraId="6D6E0475">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项目的编号：</w:t>
      </w:r>
      <w:r>
        <w:rPr>
          <w:rFonts w:hint="eastAsia"/>
          <w:bCs/>
          <w:color w:val="auto"/>
          <w:highlight w:val="none"/>
          <w:u w:val="single"/>
          <w:lang w:bidi="ar"/>
        </w:rPr>
        <w:t xml:space="preserve">                                     </w:t>
      </w:r>
    </w:p>
    <w:p w14:paraId="30ADFDD5">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采购人名称：</w:t>
      </w:r>
      <w:r>
        <w:rPr>
          <w:rFonts w:hint="eastAsia"/>
          <w:bCs/>
          <w:color w:val="auto"/>
          <w:highlight w:val="none"/>
          <w:u w:val="single"/>
          <w:lang w:bidi="ar"/>
        </w:rPr>
        <w:t xml:space="preserve">                                         </w:t>
      </w:r>
    </w:p>
    <w:p w14:paraId="1DEF9BA3">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w:t>
      </w:r>
    </w:p>
    <w:p w14:paraId="0C328C18">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□采购文件   采购文件获取日期：</w:t>
      </w:r>
      <w:r>
        <w:rPr>
          <w:rFonts w:hint="eastAsia"/>
          <w:bCs/>
          <w:color w:val="auto"/>
          <w:highlight w:val="none"/>
          <w:u w:val="single"/>
          <w:lang w:bidi="ar"/>
        </w:rPr>
        <w:t xml:space="preserve">                                   </w:t>
      </w:r>
    </w:p>
    <w:p w14:paraId="0A3519F6">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□采购过程   </w:t>
      </w:r>
    </w:p>
    <w:p w14:paraId="3231B069">
      <w:pPr>
        <w:pStyle w:val="24"/>
        <w:widowControl w:val="0"/>
        <w:spacing w:before="0" w:beforeAutospacing="0" w:after="0" w:afterAutospacing="0" w:line="360" w:lineRule="auto"/>
        <w:ind w:left="25" w:leftChars="12" w:firstLine="352" w:firstLineChars="147"/>
        <w:jc w:val="both"/>
        <w:rPr>
          <w:rFonts w:hint="eastAsia"/>
          <w:bCs/>
          <w:color w:val="auto"/>
          <w:highlight w:val="none"/>
          <w:u w:val="single"/>
        </w:rPr>
      </w:pPr>
      <w:r>
        <w:rPr>
          <w:rFonts w:hint="eastAsia"/>
          <w:color w:val="auto"/>
          <w:highlight w:val="none"/>
          <w:lang w:bidi="ar"/>
        </w:rPr>
        <w:t xml:space="preserve">□成交结果   </w:t>
      </w:r>
    </w:p>
    <w:p w14:paraId="37496EE8">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rPr>
      </w:pPr>
      <w:r>
        <w:rPr>
          <w:rFonts w:hint="eastAsia"/>
          <w:b/>
          <w:color w:val="auto"/>
          <w:highlight w:val="none"/>
          <w:lang w:bidi="ar"/>
        </w:rPr>
        <w:t>三、质疑事项具体内容</w:t>
      </w:r>
    </w:p>
    <w:p w14:paraId="17308E0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质疑事项1：</w:t>
      </w:r>
      <w:r>
        <w:rPr>
          <w:rFonts w:hint="eastAsia"/>
          <w:bCs/>
          <w:color w:val="auto"/>
          <w:highlight w:val="none"/>
          <w:u w:val="single"/>
          <w:lang w:bidi="ar"/>
        </w:rPr>
        <w:t xml:space="preserve">                                                                    </w:t>
      </w:r>
    </w:p>
    <w:p w14:paraId="3CC66569">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事实依据：</w:t>
      </w:r>
      <w:r>
        <w:rPr>
          <w:rFonts w:hint="eastAsia"/>
          <w:bCs/>
          <w:color w:val="auto"/>
          <w:highlight w:val="none"/>
          <w:u w:val="single"/>
          <w:lang w:bidi="ar"/>
        </w:rPr>
        <w:t xml:space="preserve">                                                                      </w:t>
      </w:r>
    </w:p>
    <w:p w14:paraId="222D3B12">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法律依据：</w:t>
      </w:r>
      <w:r>
        <w:rPr>
          <w:rFonts w:hint="eastAsia"/>
          <w:color w:val="auto"/>
          <w:highlight w:val="none"/>
          <w:u w:val="single"/>
          <w:lang w:bidi="ar"/>
        </w:rPr>
        <w:t xml:space="preserve">                                                        </w:t>
      </w:r>
      <w:r>
        <w:rPr>
          <w:rFonts w:hint="eastAsia"/>
          <w:bCs/>
          <w:color w:val="auto"/>
          <w:highlight w:val="none"/>
          <w:u w:val="single"/>
          <w:lang w:bidi="ar"/>
        </w:rPr>
        <w:t xml:space="preserve">               </w:t>
      </w:r>
    </w:p>
    <w:p w14:paraId="3C3FF7C8">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质疑事项2</w:t>
      </w:r>
    </w:p>
    <w:p w14:paraId="7D11901D">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w:t>
      </w:r>
    </w:p>
    <w:p w14:paraId="25D2AE49">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lang w:bidi="ar"/>
        </w:rPr>
      </w:pPr>
      <w:r>
        <w:rPr>
          <w:rFonts w:hint="eastAsia"/>
          <w:b/>
          <w:color w:val="auto"/>
          <w:highlight w:val="none"/>
          <w:lang w:bidi="ar"/>
        </w:rPr>
        <w:t>四、与质疑事项相关的质疑请求：</w:t>
      </w:r>
    </w:p>
    <w:p w14:paraId="1E74E2D7">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请求：</w:t>
      </w:r>
      <w:r>
        <w:rPr>
          <w:rFonts w:hint="eastAsia"/>
          <w:bCs/>
          <w:color w:val="auto"/>
          <w:highlight w:val="none"/>
          <w:u w:val="single"/>
          <w:lang w:bidi="ar"/>
        </w:rPr>
        <w:t xml:space="preserve">                                                                </w:t>
      </w:r>
    </w:p>
    <w:p w14:paraId="052F0E0D">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793AC82F">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签字（签章）：                                       公章：</w:t>
      </w:r>
    </w:p>
    <w:p w14:paraId="5F1EAD81">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36F32693">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日期：</w:t>
      </w:r>
    </w:p>
    <w:p w14:paraId="291BA0C8">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 xml:space="preserve"> </w:t>
      </w:r>
    </w:p>
    <w:p w14:paraId="23F3E828">
      <w:pPr>
        <w:pStyle w:val="24"/>
        <w:widowControl w:val="0"/>
        <w:snapToGrid w:val="0"/>
        <w:spacing w:before="0" w:beforeAutospacing="0" w:after="0" w:afterAutospacing="0" w:line="360" w:lineRule="auto"/>
        <w:jc w:val="both"/>
        <w:rPr>
          <w:rFonts w:hint="eastAsia"/>
          <w:b/>
          <w:color w:val="auto"/>
          <w:highlight w:val="none"/>
          <w:lang w:bidi="ar"/>
        </w:rPr>
      </w:pPr>
    </w:p>
    <w:p w14:paraId="5F1E15A7">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说明：</w:t>
      </w:r>
    </w:p>
    <w:p w14:paraId="2031A0AE">
      <w:pPr>
        <w:pStyle w:val="24"/>
        <w:widowControl w:val="0"/>
        <w:spacing w:before="0" w:beforeAutospacing="0" w:after="0" w:afterAutospacing="0" w:line="360" w:lineRule="auto"/>
        <w:ind w:left="25" w:leftChars="12" w:firstLine="354" w:firstLineChars="147"/>
        <w:jc w:val="both"/>
        <w:rPr>
          <w:rFonts w:hint="eastAsia"/>
          <w:b/>
          <w:bCs/>
          <w:color w:val="auto"/>
          <w:highlight w:val="none"/>
        </w:rPr>
      </w:pPr>
      <w:r>
        <w:rPr>
          <w:rFonts w:hint="eastAsia"/>
          <w:b/>
          <w:color w:val="auto"/>
          <w:highlight w:val="none"/>
          <w:lang w:bidi="ar"/>
        </w:rPr>
        <w:t>1.供应商提出质疑时，应提交质疑函和必要的证明材料</w:t>
      </w:r>
      <w:r>
        <w:rPr>
          <w:rFonts w:hint="eastAsia"/>
          <w:b/>
          <w:bCs/>
          <w:color w:val="auto"/>
          <w:highlight w:val="none"/>
          <w:lang w:bidi="ar"/>
        </w:rPr>
        <w:t>。</w:t>
      </w:r>
    </w:p>
    <w:p w14:paraId="2AEDF41A">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BA4877">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3.质疑函的质疑事项应具体、明确，并有必要的事实依据和法律依据。</w:t>
      </w:r>
    </w:p>
    <w:p w14:paraId="567AA77D">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4.质疑函的质疑请求应与质疑事项相关。</w:t>
      </w:r>
    </w:p>
    <w:p w14:paraId="3A785155">
      <w:pPr>
        <w:pStyle w:val="24"/>
        <w:widowControl w:val="0"/>
        <w:spacing w:before="0" w:beforeAutospacing="0" w:after="0" w:afterAutospacing="0" w:line="360" w:lineRule="auto"/>
        <w:ind w:left="25" w:leftChars="12" w:firstLine="354" w:firstLineChars="147"/>
        <w:jc w:val="both"/>
        <w:rPr>
          <w:rFonts w:hint="eastAsia"/>
          <w:b/>
          <w:color w:val="auto"/>
          <w:sz w:val="20"/>
          <w:szCs w:val="20"/>
          <w:highlight w:val="none"/>
        </w:rPr>
      </w:pPr>
      <w:r>
        <w:rPr>
          <w:rFonts w:hint="eastAsia"/>
          <w:b/>
          <w:color w:val="auto"/>
          <w:highlight w:val="none"/>
          <w:lang w:bidi="ar"/>
        </w:rPr>
        <w:t>5.质疑供应商为法人或者其他组织的，质疑函应由法定代表人、主要负责人，或者其授权代表签字或者盖章，并加盖公章。</w:t>
      </w:r>
    </w:p>
    <w:p w14:paraId="34D50B70">
      <w:pPr>
        <w:pStyle w:val="3"/>
        <w:spacing w:line="600" w:lineRule="auto"/>
        <w:ind w:firstLine="843" w:firstLineChars="300"/>
        <w:rPr>
          <w:rFonts w:hint="eastAsia" w:ascii="宋体" w:hAnsi="宋体" w:cs="宋体"/>
          <w:color w:val="auto"/>
          <w:highlight w:val="none"/>
        </w:rPr>
      </w:pPr>
    </w:p>
    <w:p w14:paraId="6C248E31">
      <w:pPr>
        <w:rPr>
          <w:rFonts w:hint="eastAsia" w:ascii="宋体" w:hAnsi="宋体" w:cs="宋体"/>
          <w:color w:val="auto"/>
          <w:highlight w:val="none"/>
        </w:rPr>
      </w:pPr>
    </w:p>
    <w:p w14:paraId="516FEB15">
      <w:pPr>
        <w:pStyle w:val="10"/>
        <w:rPr>
          <w:rFonts w:hint="eastAsia" w:hAnsi="宋体" w:cs="宋体"/>
          <w:color w:val="auto"/>
          <w:highlight w:val="none"/>
        </w:rPr>
      </w:pPr>
    </w:p>
    <w:p w14:paraId="4D9A5314">
      <w:pPr>
        <w:pStyle w:val="10"/>
        <w:rPr>
          <w:rFonts w:hint="eastAsia" w:hAnsi="宋体" w:cs="宋体"/>
          <w:color w:val="auto"/>
          <w:highlight w:val="none"/>
        </w:rPr>
      </w:pPr>
    </w:p>
    <w:p w14:paraId="347206ED">
      <w:pPr>
        <w:pStyle w:val="10"/>
        <w:rPr>
          <w:rFonts w:hint="eastAsia" w:hAnsi="宋体" w:cs="宋体"/>
          <w:color w:val="auto"/>
          <w:highlight w:val="none"/>
        </w:rPr>
      </w:pPr>
    </w:p>
    <w:p w14:paraId="158071B7">
      <w:pPr>
        <w:pStyle w:val="10"/>
        <w:rPr>
          <w:rFonts w:hint="eastAsia" w:hAnsi="宋体" w:cs="宋体"/>
          <w:color w:val="auto"/>
          <w:highlight w:val="none"/>
        </w:rPr>
      </w:pPr>
    </w:p>
    <w:p w14:paraId="7B97351F">
      <w:pPr>
        <w:pStyle w:val="10"/>
        <w:rPr>
          <w:rFonts w:hint="eastAsia" w:hAnsi="宋体" w:cs="宋体"/>
          <w:color w:val="auto"/>
          <w:highlight w:val="none"/>
        </w:rPr>
      </w:pPr>
    </w:p>
    <w:p w14:paraId="72DDD694">
      <w:pPr>
        <w:pStyle w:val="10"/>
        <w:rPr>
          <w:rFonts w:hint="eastAsia" w:hAnsi="宋体" w:cs="宋体"/>
          <w:color w:val="auto"/>
          <w:highlight w:val="none"/>
        </w:rPr>
      </w:pPr>
    </w:p>
    <w:p w14:paraId="437DD065">
      <w:pPr>
        <w:pStyle w:val="10"/>
        <w:rPr>
          <w:rFonts w:hint="eastAsia" w:hAnsi="宋体" w:cs="宋体"/>
          <w:color w:val="auto"/>
          <w:highlight w:val="none"/>
        </w:rPr>
      </w:pPr>
    </w:p>
    <w:p w14:paraId="4CB08A6F">
      <w:pPr>
        <w:pStyle w:val="10"/>
        <w:rPr>
          <w:rFonts w:hint="eastAsia" w:hAnsi="宋体" w:cs="宋体"/>
          <w:color w:val="auto"/>
          <w:highlight w:val="none"/>
        </w:rPr>
      </w:pPr>
    </w:p>
    <w:p w14:paraId="2BBB92B3">
      <w:pPr>
        <w:pStyle w:val="10"/>
        <w:rPr>
          <w:rFonts w:hint="eastAsia" w:hAnsi="宋体" w:cs="宋体"/>
          <w:color w:val="auto"/>
          <w:highlight w:val="none"/>
        </w:rPr>
      </w:pPr>
    </w:p>
    <w:p w14:paraId="55F7B6B7">
      <w:pPr>
        <w:pStyle w:val="10"/>
        <w:rPr>
          <w:rFonts w:hint="eastAsia" w:hAnsi="宋体" w:cs="宋体"/>
          <w:color w:val="auto"/>
          <w:highlight w:val="none"/>
        </w:rPr>
      </w:pPr>
    </w:p>
    <w:p w14:paraId="1B297495">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投诉书（格式）</w:t>
      </w:r>
    </w:p>
    <w:p w14:paraId="206A3366">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25429D8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7A23D3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612C2B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8C4C39E">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3F9155D9">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45972A51">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33F400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C87A41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3AAE902C">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5DDB9F4">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33BAE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7996140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0D8AF76F">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27431B4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547AC80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0558FF87">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24F93FE">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01ED48B9">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070BA5B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64E051E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0CB2797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35EA155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70412E93">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0FA4AF4C">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3BE5ADA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7544D97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6D5730E6">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4FBC7D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A2E4652">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2C4C68A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0A5745E8">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51217F1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D157CD6">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0C62CB4D">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51E0D3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2CEE7C7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42A51A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768C2F4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7AFE203C">
      <w:pPr>
        <w:spacing w:line="360" w:lineRule="auto"/>
        <w:ind w:left="25" w:leftChars="12" w:firstLine="352" w:firstLineChars="147"/>
        <w:rPr>
          <w:rFonts w:hint="eastAsia" w:ascii="宋体" w:hAnsi="宋体" w:cs="宋体"/>
          <w:color w:val="auto"/>
          <w:kern w:val="0"/>
          <w:sz w:val="24"/>
          <w:highlight w:val="none"/>
        </w:rPr>
      </w:pPr>
    </w:p>
    <w:p w14:paraId="0227AA9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46C82205">
      <w:pPr>
        <w:spacing w:line="360" w:lineRule="auto"/>
        <w:rPr>
          <w:rFonts w:hint="eastAsia" w:ascii="宋体" w:hAnsi="宋体" w:cs="宋体"/>
          <w:color w:val="auto"/>
          <w:kern w:val="0"/>
          <w:sz w:val="24"/>
          <w:highlight w:val="none"/>
        </w:rPr>
      </w:pPr>
    </w:p>
    <w:p w14:paraId="06CDF86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26BE748F">
      <w:pPr>
        <w:snapToGrid w:val="0"/>
        <w:spacing w:line="360" w:lineRule="auto"/>
        <w:rPr>
          <w:rFonts w:hint="eastAsia" w:ascii="宋体" w:hAnsi="宋体" w:cs="宋体"/>
          <w:b/>
          <w:color w:val="auto"/>
          <w:kern w:val="0"/>
          <w:sz w:val="24"/>
          <w:highlight w:val="none"/>
        </w:rPr>
      </w:pPr>
    </w:p>
    <w:p w14:paraId="738A6B30">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203EF717">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2A9A0180">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3864A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B7AAD72">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4C5CA03E">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187C3C5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7123E34B">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p>
    <w:p w14:paraId="08D3A099">
      <w:pPr>
        <w:pStyle w:val="46"/>
        <w:spacing w:line="360" w:lineRule="auto"/>
        <w:jc w:val="both"/>
        <w:rPr>
          <w:rFonts w:hint="eastAsia" w:ascii="宋体" w:hAnsi="宋体" w:eastAsia="宋体" w:cs="宋体"/>
          <w:b/>
          <w:bCs/>
          <w:color w:val="auto"/>
          <w:highlight w:val="none"/>
        </w:rPr>
      </w:pPr>
    </w:p>
    <w:p w14:paraId="39C4B3DF">
      <w:pPr>
        <w:pStyle w:val="3"/>
        <w:numPr>
          <w:ilvl w:val="0"/>
          <w:numId w:val="2"/>
        </w:numPr>
        <w:spacing w:line="56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 xml:space="preserve">   </w:t>
      </w:r>
      <w:bookmarkStart w:id="76" w:name="_Toc3612"/>
      <w:r>
        <w:rPr>
          <w:rFonts w:hint="eastAsia" w:ascii="宋体" w:hAnsi="宋体" w:cs="宋体"/>
          <w:color w:val="auto"/>
          <w:kern w:val="0"/>
          <w:sz w:val="36"/>
          <w:szCs w:val="36"/>
          <w:highlight w:val="none"/>
        </w:rPr>
        <w:t>合同主要条款（参考格式</w:t>
      </w:r>
      <w:bookmarkEnd w:id="76"/>
      <w:r>
        <w:rPr>
          <w:rFonts w:hint="eastAsia" w:ascii="宋体" w:hAnsi="宋体" w:cs="宋体"/>
          <w:color w:val="auto"/>
          <w:kern w:val="0"/>
          <w:sz w:val="36"/>
          <w:szCs w:val="36"/>
          <w:highlight w:val="none"/>
        </w:rPr>
        <w:t>）</w:t>
      </w:r>
    </w:p>
    <w:p w14:paraId="4A3544E2">
      <w:pPr>
        <w:pStyle w:val="3"/>
        <w:spacing w:line="560" w:lineRule="exact"/>
        <w:jc w:val="center"/>
        <w:rPr>
          <w:rFonts w:hint="eastAsia" w:ascii="宋体" w:hAnsi="宋体" w:cs="宋体"/>
          <w:color w:val="auto"/>
          <w:kern w:val="0"/>
          <w:sz w:val="32"/>
          <w:szCs w:val="32"/>
          <w:highlight w:val="none"/>
        </w:rPr>
      </w:pPr>
      <w:bookmarkStart w:id="77" w:name="_Toc31567"/>
      <w:r>
        <w:rPr>
          <w:rFonts w:hint="eastAsia" w:ascii="宋体" w:hAnsi="宋体" w:cs="宋体"/>
          <w:color w:val="auto"/>
          <w:kern w:val="0"/>
          <w:sz w:val="32"/>
          <w:szCs w:val="32"/>
          <w:highlight w:val="none"/>
        </w:rPr>
        <w:t>（仅供参考，由双方按实际情况调整</w:t>
      </w:r>
      <w:bookmarkEnd w:id="77"/>
      <w:r>
        <w:rPr>
          <w:rFonts w:hint="eastAsia" w:ascii="宋体" w:hAnsi="宋体" w:cs="宋体"/>
          <w:color w:val="auto"/>
          <w:kern w:val="0"/>
          <w:sz w:val="32"/>
          <w:szCs w:val="32"/>
          <w:highlight w:val="none"/>
        </w:rPr>
        <w:t>）</w:t>
      </w:r>
    </w:p>
    <w:p w14:paraId="78A067E4">
      <w:pPr>
        <w:jc w:val="center"/>
        <w:rPr>
          <w:rFonts w:hint="eastAsia" w:ascii="宋体" w:hAnsi="宋体" w:cs="宋体"/>
          <w:b/>
          <w:bCs/>
          <w:color w:val="auto"/>
          <w:sz w:val="72"/>
          <w:szCs w:val="144"/>
          <w:highlight w:val="none"/>
        </w:rPr>
      </w:pPr>
    </w:p>
    <w:p w14:paraId="3CBE9535">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56"/>
          <w:szCs w:val="96"/>
          <w:highlight w:val="none"/>
        </w:rPr>
        <w:t xml:space="preserve">                      副本</w:t>
      </w:r>
    </w:p>
    <w:p w14:paraId="766EE3FF">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48"/>
          <w:szCs w:val="56"/>
          <w:highlight w:val="none"/>
        </w:rPr>
        <w:t xml:space="preserve">                         </w:t>
      </w:r>
      <w:r>
        <w:rPr>
          <w:rFonts w:hint="eastAsia" w:ascii="宋体" w:hAnsi="宋体" w:cs="宋体"/>
          <w:b/>
          <w:bCs/>
          <w:color w:val="auto"/>
          <w:spacing w:val="20"/>
          <w:sz w:val="56"/>
          <w:szCs w:val="96"/>
          <w:highlight w:val="none"/>
        </w:rPr>
        <w:t xml:space="preserve"> </w:t>
      </w:r>
    </w:p>
    <w:p w14:paraId="172DB45C">
      <w:pPr>
        <w:rPr>
          <w:rFonts w:hint="eastAsia" w:ascii="宋体" w:hAnsi="宋体" w:cs="宋体"/>
          <w:b/>
          <w:bCs/>
          <w:color w:val="auto"/>
          <w:spacing w:val="20"/>
          <w:sz w:val="48"/>
          <w:szCs w:val="56"/>
          <w:highlight w:val="none"/>
        </w:rPr>
      </w:pPr>
    </w:p>
    <w:p w14:paraId="4F6CF7AD">
      <w:pPr>
        <w:jc w:val="center"/>
        <w:rPr>
          <w:rFonts w:hint="eastAsia" w:ascii="宋体" w:hAnsi="宋体" w:cs="宋体"/>
          <w:b/>
          <w:bCs/>
          <w:color w:val="auto"/>
          <w:spacing w:val="20"/>
          <w:sz w:val="96"/>
          <w:szCs w:val="160"/>
          <w:highlight w:val="none"/>
        </w:rPr>
      </w:pPr>
      <w:r>
        <w:rPr>
          <w:rFonts w:hint="eastAsia" w:ascii="宋体" w:hAnsi="宋体" w:cs="宋体"/>
          <w:b/>
          <w:bCs/>
          <w:color w:val="auto"/>
          <w:spacing w:val="20"/>
          <w:sz w:val="72"/>
          <w:szCs w:val="144"/>
          <w:highlight w:val="none"/>
        </w:rPr>
        <w:t>施 工 承 包 合 同 书</w:t>
      </w:r>
    </w:p>
    <w:p w14:paraId="226681EA">
      <w:pPr>
        <w:jc w:val="center"/>
        <w:rPr>
          <w:rFonts w:hint="eastAsia" w:ascii="宋体" w:hAnsi="宋体" w:cs="宋体"/>
          <w:color w:val="auto"/>
          <w:spacing w:val="20"/>
          <w:sz w:val="32"/>
          <w:szCs w:val="40"/>
          <w:highlight w:val="none"/>
        </w:rPr>
      </w:pPr>
    </w:p>
    <w:p w14:paraId="5192AE38">
      <w:pPr>
        <w:jc w:val="center"/>
        <w:rPr>
          <w:rFonts w:hint="eastAsia" w:ascii="宋体" w:hAnsi="宋体" w:cs="宋体"/>
          <w:color w:val="auto"/>
          <w:spacing w:val="20"/>
          <w:sz w:val="32"/>
          <w:szCs w:val="40"/>
          <w:highlight w:val="none"/>
        </w:rPr>
      </w:pPr>
    </w:p>
    <w:p w14:paraId="03328DBD">
      <w:pPr>
        <w:jc w:val="center"/>
        <w:rPr>
          <w:rFonts w:hint="eastAsia" w:ascii="宋体" w:hAnsi="宋体" w:cs="宋体"/>
          <w:color w:val="auto"/>
          <w:spacing w:val="20"/>
          <w:sz w:val="32"/>
          <w:szCs w:val="40"/>
          <w:highlight w:val="none"/>
        </w:rPr>
      </w:pPr>
    </w:p>
    <w:p w14:paraId="457434A5">
      <w:pPr>
        <w:jc w:val="center"/>
        <w:rPr>
          <w:rFonts w:hint="eastAsia" w:ascii="宋体" w:hAnsi="宋体" w:cs="宋体"/>
          <w:color w:val="auto"/>
          <w:spacing w:val="20"/>
          <w:sz w:val="32"/>
          <w:szCs w:val="40"/>
          <w:highlight w:val="none"/>
        </w:rPr>
      </w:pPr>
    </w:p>
    <w:p w14:paraId="1614857F">
      <w:pPr>
        <w:rPr>
          <w:rFonts w:hint="eastAsia" w:ascii="宋体" w:hAnsi="宋体" w:cs="宋体"/>
          <w:b/>
          <w:bCs/>
          <w:color w:val="auto"/>
          <w:spacing w:val="20"/>
          <w:sz w:val="48"/>
          <w:szCs w:val="56"/>
          <w:highlight w:val="none"/>
        </w:rPr>
      </w:pPr>
      <w:r>
        <w:rPr>
          <w:rFonts w:hint="eastAsia" w:ascii="宋体" w:hAnsi="宋体" w:cs="宋体"/>
          <w:color w:val="auto"/>
          <w:spacing w:val="20"/>
          <w:sz w:val="28"/>
          <w:szCs w:val="28"/>
          <w:highlight w:val="none"/>
        </w:rPr>
        <w:t>工程名称：</w:t>
      </w:r>
      <w:r>
        <w:rPr>
          <w:rFonts w:hint="eastAsia" w:ascii="宋体" w:hAnsi="宋体" w:cs="宋体"/>
          <w:color w:val="auto"/>
          <w:sz w:val="28"/>
          <w:szCs w:val="28"/>
          <w:highlight w:val="none"/>
          <w:u w:val="single"/>
        </w:rPr>
        <w:t xml:space="preserve">                       </w:t>
      </w:r>
    </w:p>
    <w:p w14:paraId="2C5224AA">
      <w:pPr>
        <w:rPr>
          <w:rFonts w:hint="eastAsia" w:ascii="宋体" w:hAnsi="宋体" w:cs="宋体"/>
          <w:color w:val="auto"/>
          <w:spacing w:val="20"/>
          <w:sz w:val="28"/>
          <w:szCs w:val="36"/>
          <w:highlight w:val="none"/>
        </w:rPr>
      </w:pPr>
    </w:p>
    <w:p w14:paraId="66556B3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发包人（甲方）：</w:t>
      </w:r>
      <w:r>
        <w:rPr>
          <w:rFonts w:hint="eastAsia" w:ascii="宋体" w:hAnsi="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浦北县民政局</w:t>
      </w:r>
      <w:r>
        <w:rPr>
          <w:rFonts w:hint="eastAsia" w:ascii="宋体" w:hAnsi="宋体" w:cs="宋体"/>
          <w:color w:val="auto"/>
          <w:spacing w:val="20"/>
          <w:sz w:val="28"/>
          <w:szCs w:val="36"/>
          <w:highlight w:val="none"/>
          <w:u w:val="single"/>
        </w:rPr>
        <w:t xml:space="preserve"> </w:t>
      </w:r>
    </w:p>
    <w:p w14:paraId="75FE240B">
      <w:pPr>
        <w:rPr>
          <w:rFonts w:hint="eastAsia" w:ascii="宋体" w:hAnsi="宋体" w:cs="宋体"/>
          <w:color w:val="auto"/>
          <w:spacing w:val="20"/>
          <w:sz w:val="28"/>
          <w:szCs w:val="36"/>
          <w:highlight w:val="none"/>
        </w:rPr>
      </w:pPr>
    </w:p>
    <w:p w14:paraId="31B9B3C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承包人（乙方）：</w:t>
      </w:r>
      <w:r>
        <w:rPr>
          <w:rFonts w:hint="eastAsia" w:ascii="宋体" w:hAnsi="宋体" w:cs="宋体"/>
          <w:color w:val="auto"/>
          <w:spacing w:val="20"/>
          <w:sz w:val="28"/>
          <w:szCs w:val="36"/>
          <w:highlight w:val="none"/>
          <w:u w:val="single"/>
        </w:rPr>
        <w:t xml:space="preserve">                         </w:t>
      </w:r>
    </w:p>
    <w:p w14:paraId="3C31D366">
      <w:pPr>
        <w:rPr>
          <w:rFonts w:hint="eastAsia" w:ascii="宋体" w:hAnsi="宋体" w:cs="宋体"/>
          <w:color w:val="auto"/>
          <w:spacing w:val="20"/>
          <w:sz w:val="28"/>
          <w:szCs w:val="36"/>
          <w:highlight w:val="none"/>
        </w:rPr>
      </w:pPr>
    </w:p>
    <w:p w14:paraId="5E87B330">
      <w:pPr>
        <w:rPr>
          <w:rFonts w:hint="eastAsia" w:ascii="宋体" w:hAnsi="宋体" w:cs="宋体"/>
          <w:color w:val="auto"/>
          <w:spacing w:val="20"/>
          <w:sz w:val="32"/>
          <w:szCs w:val="40"/>
          <w:highlight w:val="none"/>
        </w:rPr>
      </w:pPr>
      <w:r>
        <w:rPr>
          <w:rFonts w:hint="eastAsia" w:ascii="宋体" w:hAnsi="宋体" w:cs="宋体"/>
          <w:color w:val="auto"/>
          <w:spacing w:val="20"/>
          <w:sz w:val="28"/>
          <w:szCs w:val="28"/>
          <w:highlight w:val="none"/>
        </w:rPr>
        <w:t>日      期：</w:t>
      </w:r>
      <w:r>
        <w:rPr>
          <w:rFonts w:hint="eastAsia" w:ascii="宋体" w:hAnsi="宋体" w:cs="宋体"/>
          <w:color w:val="auto"/>
          <w:spacing w:val="20"/>
          <w:sz w:val="28"/>
          <w:szCs w:val="28"/>
          <w:highlight w:val="none"/>
          <w:u w:val="single"/>
        </w:rPr>
        <w:t xml:space="preserve">     年   月   日</w:t>
      </w:r>
    </w:p>
    <w:p w14:paraId="16F22F0D">
      <w:pPr>
        <w:pStyle w:val="3"/>
        <w:rPr>
          <w:rFonts w:hint="eastAsia" w:ascii="宋体" w:hAnsi="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373478199"/>
      <w:bookmarkStart w:id="79" w:name="_Toc26265"/>
      <w:bookmarkStart w:id="80" w:name="_Toc12680"/>
      <w:bookmarkStart w:id="81" w:name="_Toc373227552"/>
      <w:bookmarkStart w:id="82" w:name="_Toc389065255"/>
      <w:bookmarkStart w:id="83" w:name="_Toc296503025"/>
      <w:bookmarkStart w:id="84" w:name="_Toc351203480"/>
      <w:bookmarkStart w:id="85" w:name="_Toc296890982"/>
    </w:p>
    <w:p w14:paraId="6403CDCD">
      <w:pPr>
        <w:pStyle w:val="3"/>
        <w:numPr>
          <w:ilvl w:val="0"/>
          <w:numId w:val="3"/>
        </w:numPr>
        <w:jc w:val="center"/>
        <w:rPr>
          <w:color w:val="auto"/>
          <w:highlight w:val="none"/>
        </w:rPr>
      </w:pPr>
      <w:r>
        <w:rPr>
          <w:rFonts w:hint="eastAsia" w:ascii="宋体" w:hAnsi="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00FB27A4">
      <w:pPr>
        <w:rPr>
          <w:color w:val="auto"/>
          <w:highlight w:val="none"/>
        </w:rPr>
      </w:pPr>
    </w:p>
    <w:p w14:paraId="3E2C5CD9">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浦北县民政局</w:t>
      </w:r>
      <w:r>
        <w:rPr>
          <w:rFonts w:hint="eastAsia" w:ascii="宋体" w:hAnsi="宋体" w:cs="宋体"/>
          <w:color w:val="auto"/>
          <w:spacing w:val="20"/>
          <w:sz w:val="24"/>
          <w:highlight w:val="none"/>
          <w:u w:val="single"/>
        </w:rPr>
        <w:t xml:space="preserve">   </w:t>
      </w:r>
    </w:p>
    <w:p w14:paraId="46F2D95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p>
    <w:p w14:paraId="6D896C4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lang w:eastAsia="zh-CN"/>
        </w:rPr>
        <w:t>浦北县民政局</w:t>
      </w:r>
      <w:r>
        <w:rPr>
          <w:rFonts w:hint="eastAsia" w:ascii="宋体" w:hAnsi="宋体" w:cs="宋体"/>
          <w:color w:val="auto"/>
          <w:spacing w:val="20"/>
          <w:sz w:val="24"/>
          <w:highlight w:val="none"/>
        </w:rPr>
        <w:t>（以下称发包人）为实施</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，根据《中华人民共和国合同法》、《中华人民共和国建筑法》及有关法律规定，遵循平等、自愿、公平和诚实信用的原则，双方就</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工程施工及有关事项协商一致，共同达成如下协议：</w:t>
      </w:r>
      <w:bookmarkStart w:id="86" w:name="_Toc351203481"/>
    </w:p>
    <w:p w14:paraId="4C0B88B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一、工程概况</w:t>
      </w:r>
      <w:bookmarkEnd w:id="86"/>
    </w:p>
    <w:p w14:paraId="7188421F">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1. 工程名称</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w:t>
      </w:r>
    </w:p>
    <w:p w14:paraId="135D8C3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工程地点：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06D8AB4B">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工程立项批准文号：</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41300E2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4. 资金来源：</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6B9BA098">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5. 工程内容：</w:t>
      </w:r>
      <w:r>
        <w:rPr>
          <w:rFonts w:hint="eastAsia" w:ascii="宋体" w:hAnsi="宋体" w:cs="宋体"/>
          <w:bCs/>
          <w:color w:val="auto"/>
          <w:spacing w:val="20"/>
          <w:sz w:val="24"/>
          <w:highlight w:val="none"/>
          <w:u w:val="single"/>
        </w:rPr>
        <w:t xml:space="preserve">                                      </w:t>
      </w:r>
      <w:r>
        <w:rPr>
          <w:rFonts w:hint="eastAsia" w:ascii="宋体" w:hAnsi="宋体" w:cs="宋体"/>
          <w:color w:val="auto"/>
          <w:spacing w:val="20"/>
          <w:sz w:val="24"/>
          <w:highlight w:val="none"/>
          <w:u w:val="single"/>
          <w:lang w:val="zh-CN"/>
        </w:rPr>
        <w:t>等</w:t>
      </w:r>
      <w:r>
        <w:rPr>
          <w:rFonts w:hint="eastAsia" w:ascii="宋体" w:hAnsi="宋体" w:cs="宋体"/>
          <w:color w:val="auto"/>
          <w:spacing w:val="20"/>
          <w:sz w:val="24"/>
          <w:highlight w:val="none"/>
          <w:u w:val="single"/>
        </w:rPr>
        <w:t>。</w:t>
      </w:r>
    </w:p>
    <w:p w14:paraId="4C6CCA6C">
      <w:pPr>
        <w:adjustRightInd w:val="0"/>
        <w:snapToGrid w:val="0"/>
        <w:spacing w:line="360" w:lineRule="auto"/>
        <w:ind w:firstLine="548" w:firstLineChars="196"/>
        <w:outlineLvl w:val="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6. 工程承包范围：</w:t>
      </w:r>
      <w:r>
        <w:rPr>
          <w:rFonts w:hint="eastAsia" w:ascii="宋体" w:hAnsi="宋体" w:cs="宋体"/>
          <w:color w:val="auto"/>
          <w:spacing w:val="20"/>
          <w:sz w:val="24"/>
          <w:highlight w:val="none"/>
          <w:u w:val="single"/>
        </w:rPr>
        <w:t xml:space="preserve"> 详见工程量清单所包含内容 </w:t>
      </w:r>
      <w:r>
        <w:rPr>
          <w:rFonts w:hint="eastAsia" w:ascii="宋体" w:hAnsi="宋体" w:cs="宋体"/>
          <w:color w:val="auto"/>
          <w:spacing w:val="20"/>
          <w:sz w:val="24"/>
          <w:highlight w:val="none"/>
        </w:rPr>
        <w:t>。</w:t>
      </w:r>
    </w:p>
    <w:p w14:paraId="049E7DF6">
      <w:pPr>
        <w:adjustRightInd w:val="0"/>
        <w:snapToGrid w:val="0"/>
        <w:spacing w:line="360" w:lineRule="auto"/>
        <w:ind w:firstLine="542" w:firstLineChars="193"/>
        <w:outlineLvl w:val="0"/>
        <w:rPr>
          <w:rFonts w:hint="eastAsia" w:ascii="宋体" w:hAnsi="宋体" w:cs="宋体"/>
          <w:b/>
          <w:bCs/>
          <w:color w:val="auto"/>
          <w:spacing w:val="20"/>
          <w:sz w:val="24"/>
          <w:highlight w:val="none"/>
        </w:rPr>
      </w:pPr>
      <w:bookmarkStart w:id="87" w:name="_Toc351203482"/>
      <w:r>
        <w:rPr>
          <w:rFonts w:hint="eastAsia" w:ascii="宋体" w:hAnsi="宋体" w:cs="宋体"/>
          <w:b/>
          <w:bCs/>
          <w:color w:val="auto"/>
          <w:spacing w:val="20"/>
          <w:sz w:val="24"/>
          <w:highlight w:val="none"/>
        </w:rPr>
        <w:t>二、合同工期</w:t>
      </w:r>
      <w:bookmarkEnd w:id="87"/>
    </w:p>
    <w:p w14:paraId="4F52E8FC">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计划开工日期：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日。（具体以开工令为准）</w:t>
      </w:r>
    </w:p>
    <w:p w14:paraId="3AC0E23D">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计划竣工日期：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14B41E12">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工期总日历天数：</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天。工期总日历天数与根据前述计划开竣工日期计算的工期天数不一致的，以工期总日历天数为准。</w:t>
      </w:r>
    </w:p>
    <w:p w14:paraId="5CF25F32">
      <w:pPr>
        <w:adjustRightInd w:val="0"/>
        <w:snapToGrid w:val="0"/>
        <w:spacing w:line="360" w:lineRule="auto"/>
        <w:ind w:firstLine="459"/>
        <w:outlineLvl w:val="0"/>
        <w:rPr>
          <w:rFonts w:hint="eastAsia" w:ascii="宋体" w:hAnsi="宋体" w:cs="宋体"/>
          <w:b/>
          <w:bCs/>
          <w:color w:val="auto"/>
          <w:spacing w:val="20"/>
          <w:sz w:val="24"/>
          <w:highlight w:val="none"/>
        </w:rPr>
      </w:pPr>
      <w:bookmarkStart w:id="88" w:name="_Toc351203483"/>
      <w:r>
        <w:rPr>
          <w:rFonts w:hint="eastAsia" w:ascii="宋体" w:hAnsi="宋体" w:cs="宋体"/>
          <w:b/>
          <w:bCs/>
          <w:color w:val="auto"/>
          <w:spacing w:val="20"/>
          <w:sz w:val="24"/>
          <w:highlight w:val="none"/>
        </w:rPr>
        <w:t>三、质量标准</w:t>
      </w:r>
      <w:bookmarkEnd w:id="88"/>
    </w:p>
    <w:p w14:paraId="593AE604">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工程质量符合</w:t>
      </w:r>
      <w:r>
        <w:rPr>
          <w:rFonts w:hint="eastAsia" w:ascii="宋体" w:hAnsi="宋体" w:cs="宋体"/>
          <w:color w:val="auto"/>
          <w:spacing w:val="20"/>
          <w:sz w:val="24"/>
          <w:highlight w:val="none"/>
          <w:u w:val="single"/>
        </w:rPr>
        <w:t>《工程施工质量验收规范》合格</w:t>
      </w:r>
      <w:r>
        <w:rPr>
          <w:rFonts w:hint="eastAsia" w:ascii="宋体" w:hAnsi="宋体" w:cs="宋体"/>
          <w:color w:val="auto"/>
          <w:spacing w:val="20"/>
          <w:sz w:val="24"/>
          <w:highlight w:val="none"/>
        </w:rPr>
        <w:t>标准。</w:t>
      </w:r>
    </w:p>
    <w:p w14:paraId="43971406">
      <w:pPr>
        <w:adjustRightInd w:val="0"/>
        <w:snapToGrid w:val="0"/>
        <w:spacing w:line="360" w:lineRule="auto"/>
        <w:ind w:firstLine="459"/>
        <w:outlineLvl w:val="0"/>
        <w:rPr>
          <w:rFonts w:hint="eastAsia" w:ascii="宋体" w:hAnsi="宋体" w:cs="宋体"/>
          <w:b/>
          <w:bCs/>
          <w:color w:val="auto"/>
          <w:spacing w:val="20"/>
          <w:sz w:val="24"/>
          <w:highlight w:val="none"/>
        </w:rPr>
      </w:pPr>
      <w:bookmarkStart w:id="89" w:name="_Toc351203484"/>
      <w:r>
        <w:rPr>
          <w:rFonts w:hint="eastAsia" w:ascii="宋体" w:hAnsi="宋体" w:cs="宋体"/>
          <w:b/>
          <w:bCs/>
          <w:color w:val="auto"/>
          <w:spacing w:val="20"/>
          <w:sz w:val="24"/>
          <w:highlight w:val="none"/>
        </w:rPr>
        <w:t>四、签约合同价与合同价格形式</w:t>
      </w:r>
      <w:bookmarkEnd w:id="89"/>
    </w:p>
    <w:p w14:paraId="15E80B97">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1. 签约合同价为：</w:t>
      </w:r>
    </w:p>
    <w:p w14:paraId="0211586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人民币（大写：</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6E7A2CC1">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最终执行：如果结算审计价高于合同的按合同价执行，如果低于合同价的按审计价执行。</w:t>
      </w:r>
    </w:p>
    <w:p w14:paraId="6013DC2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 合同价格形式：</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74F2A90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0" w:name="_Toc351203485"/>
      <w:r>
        <w:rPr>
          <w:rFonts w:hint="eastAsia" w:ascii="宋体" w:hAnsi="宋体" w:cs="宋体"/>
          <w:b/>
          <w:bCs/>
          <w:color w:val="auto"/>
          <w:spacing w:val="20"/>
          <w:sz w:val="24"/>
          <w:highlight w:val="none"/>
        </w:rPr>
        <w:t>五、</w:t>
      </w:r>
      <w:bookmarkEnd w:id="90"/>
      <w:r>
        <w:rPr>
          <w:rFonts w:hint="eastAsia" w:ascii="宋体" w:hAnsi="宋体" w:cs="宋体"/>
          <w:b/>
          <w:bCs/>
          <w:color w:val="auto"/>
          <w:spacing w:val="20"/>
          <w:sz w:val="24"/>
          <w:highlight w:val="none"/>
        </w:rPr>
        <w:t>项目经理</w:t>
      </w:r>
    </w:p>
    <w:p w14:paraId="1C4C377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承包人项目经理：</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32F948EB">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1" w:name="_Toc351203486"/>
      <w:r>
        <w:rPr>
          <w:rFonts w:hint="eastAsia" w:ascii="宋体" w:hAnsi="宋体" w:cs="宋体"/>
          <w:b/>
          <w:bCs/>
          <w:color w:val="auto"/>
          <w:spacing w:val="20"/>
          <w:sz w:val="24"/>
          <w:highlight w:val="none"/>
        </w:rPr>
        <w:t>六、合同文件构成</w:t>
      </w:r>
      <w:bookmarkEnd w:id="91"/>
    </w:p>
    <w:p w14:paraId="206F340B">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1.本协议书与下列文件一起构成合同文件：</w:t>
      </w:r>
    </w:p>
    <w:p w14:paraId="652C473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（1）中标通知书（如有）；</w:t>
      </w:r>
    </w:p>
    <w:p w14:paraId="6EB4CBD0">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（2）投标函及其附录（如有）； </w:t>
      </w:r>
    </w:p>
    <w:p w14:paraId="28FBEBAA">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（3）专用合同条款及其附件；</w:t>
      </w:r>
    </w:p>
    <w:p w14:paraId="638CB16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（4）通用合同条款；</w:t>
      </w:r>
    </w:p>
    <w:p w14:paraId="277E6B53">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（5）技术标准和要求；</w:t>
      </w:r>
    </w:p>
    <w:p w14:paraId="37E81DC1">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（6）已标价工程量清单或预算书； </w:t>
      </w:r>
    </w:p>
    <w:p w14:paraId="5ECA3D58">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（7）图纸；</w:t>
      </w:r>
    </w:p>
    <w:p w14:paraId="0FA036B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（8）其他合同文件。</w:t>
      </w:r>
    </w:p>
    <w:p w14:paraId="105F7A2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2.双方有关工程的洽商、变更等书面协议或文件视为本合同的组成部分。</w:t>
      </w:r>
    </w:p>
    <w:p w14:paraId="39DDC6B7">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0C1D3C31">
      <w:pPr>
        <w:autoSpaceDE w:val="0"/>
        <w:autoSpaceDN w:val="0"/>
        <w:adjustRightInd w:val="0"/>
        <w:snapToGrid w:val="0"/>
        <w:spacing w:line="360" w:lineRule="auto"/>
        <w:ind w:firstLine="562" w:firstLineChars="200"/>
        <w:jc w:val="left"/>
        <w:outlineLvl w:val="0"/>
        <w:rPr>
          <w:rFonts w:hint="eastAsia" w:ascii="宋体" w:hAnsi="宋体" w:cs="宋体"/>
          <w:b/>
          <w:bCs/>
          <w:color w:val="auto"/>
          <w:spacing w:val="20"/>
          <w:sz w:val="24"/>
          <w:highlight w:val="none"/>
        </w:rPr>
      </w:pPr>
      <w:bookmarkStart w:id="92" w:name="_Toc351203487"/>
      <w:r>
        <w:rPr>
          <w:rFonts w:hint="eastAsia" w:ascii="宋体" w:hAnsi="宋体" w:cs="宋体"/>
          <w:b/>
          <w:bCs/>
          <w:color w:val="auto"/>
          <w:spacing w:val="20"/>
          <w:sz w:val="24"/>
          <w:highlight w:val="none"/>
        </w:rPr>
        <w:t>七、承诺</w:t>
      </w:r>
      <w:bookmarkEnd w:id="92"/>
    </w:p>
    <w:p w14:paraId="589AD1E1">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 发包人承诺按照法律规定履行项目审批手续、筹集工程建设资金并按照合同约定的期限和方式支付合同价款。</w:t>
      </w:r>
    </w:p>
    <w:p w14:paraId="467299C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3582367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发包人和承包人签订的合同，双方理解并承诺不再就同一工程另行签订与合同实质性内容相背离的协议。</w:t>
      </w:r>
      <w:bookmarkStart w:id="93" w:name="_Toc351203488"/>
      <w:r>
        <w:rPr>
          <w:rFonts w:hint="eastAsia" w:ascii="宋体" w:hAnsi="宋体" w:cs="宋体"/>
          <w:bCs/>
          <w:color w:val="auto"/>
          <w:spacing w:val="20"/>
          <w:sz w:val="24"/>
          <w:highlight w:val="none"/>
        </w:rPr>
        <w:t xml:space="preserve">其他未说明的有关管理办法严格按浦政规〔2020〕1号及相关规范执行。比如 </w:t>
      </w:r>
    </w:p>
    <w:p w14:paraId="5F715963">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1A7F0E1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174C947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6FE8B30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4D2A1C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八、词语含义</w:t>
      </w:r>
      <w:bookmarkEnd w:id="93"/>
    </w:p>
    <w:p w14:paraId="639E6EA2">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本协议书中词语含义与第二部分通用合同条款中赋予的含义相同。</w:t>
      </w:r>
    </w:p>
    <w:p w14:paraId="5007181D">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4" w:name="_Toc351203489"/>
      <w:r>
        <w:rPr>
          <w:rFonts w:hint="eastAsia" w:ascii="宋体" w:hAnsi="宋体" w:cs="宋体"/>
          <w:b/>
          <w:bCs/>
          <w:color w:val="auto"/>
          <w:spacing w:val="20"/>
          <w:sz w:val="24"/>
          <w:highlight w:val="none"/>
        </w:rPr>
        <w:t>九、签订时间</w:t>
      </w:r>
      <w:bookmarkEnd w:id="94"/>
    </w:p>
    <w:p w14:paraId="3B34F38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本合同于</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年</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月</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日签订。</w:t>
      </w:r>
    </w:p>
    <w:p w14:paraId="796EE6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5" w:name="_Toc351203490"/>
      <w:r>
        <w:rPr>
          <w:rFonts w:hint="eastAsia" w:ascii="宋体" w:hAnsi="宋体" w:cs="宋体"/>
          <w:b/>
          <w:bCs/>
          <w:color w:val="auto"/>
          <w:spacing w:val="20"/>
          <w:sz w:val="24"/>
          <w:highlight w:val="none"/>
        </w:rPr>
        <w:t>十、签订地点</w:t>
      </w:r>
      <w:bookmarkEnd w:id="95"/>
    </w:p>
    <w:p w14:paraId="2E97E8E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本合同在</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签订。</w:t>
      </w:r>
    </w:p>
    <w:p w14:paraId="14CF084A">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6" w:name="_Toc351203491"/>
      <w:r>
        <w:rPr>
          <w:rFonts w:hint="eastAsia" w:ascii="宋体" w:hAnsi="宋体" w:cs="宋体"/>
          <w:b/>
          <w:bCs/>
          <w:color w:val="auto"/>
          <w:spacing w:val="20"/>
          <w:sz w:val="24"/>
          <w:highlight w:val="none"/>
        </w:rPr>
        <w:t>十一、补充协议</w:t>
      </w:r>
      <w:bookmarkEnd w:id="96"/>
    </w:p>
    <w:p w14:paraId="657DC9F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合同未尽事宜，合同当事人另行签订补充协议，补充协议是合同的组成部分。</w:t>
      </w:r>
    </w:p>
    <w:p w14:paraId="25B9BC5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7" w:name="_Toc351203492"/>
      <w:r>
        <w:rPr>
          <w:rFonts w:hint="eastAsia" w:ascii="宋体" w:hAnsi="宋体" w:cs="宋体"/>
          <w:b/>
          <w:bCs/>
          <w:color w:val="auto"/>
          <w:spacing w:val="20"/>
          <w:sz w:val="24"/>
          <w:highlight w:val="none"/>
        </w:rPr>
        <w:t>十二、合同生效</w:t>
      </w:r>
      <w:bookmarkEnd w:id="97"/>
    </w:p>
    <w:p w14:paraId="617BCEA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本合同自</w:t>
      </w:r>
      <w:r>
        <w:rPr>
          <w:rFonts w:hint="eastAsia" w:ascii="宋体" w:hAnsi="宋体" w:cs="宋体"/>
          <w:bCs/>
          <w:color w:val="auto"/>
          <w:spacing w:val="20"/>
          <w:sz w:val="24"/>
          <w:highlight w:val="none"/>
          <w:u w:val="single"/>
        </w:rPr>
        <w:t xml:space="preserve"> 双方法定代表人或其授权代理人签字并加盖单位公章之日起 </w:t>
      </w:r>
      <w:r>
        <w:rPr>
          <w:rFonts w:hint="eastAsia" w:ascii="宋体" w:hAnsi="宋体" w:cs="宋体"/>
          <w:bCs/>
          <w:color w:val="auto"/>
          <w:spacing w:val="20"/>
          <w:sz w:val="24"/>
          <w:highlight w:val="none"/>
        </w:rPr>
        <w:t>生效。</w:t>
      </w:r>
    </w:p>
    <w:p w14:paraId="65B4474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8" w:name="_Toc351203493"/>
      <w:r>
        <w:rPr>
          <w:rFonts w:hint="eastAsia" w:ascii="宋体" w:hAnsi="宋体" w:cs="宋体"/>
          <w:b/>
          <w:bCs/>
          <w:color w:val="auto"/>
          <w:spacing w:val="20"/>
          <w:sz w:val="24"/>
          <w:highlight w:val="none"/>
        </w:rPr>
        <w:t>十三、合同份数</w:t>
      </w:r>
      <w:bookmarkEnd w:id="98"/>
    </w:p>
    <w:p w14:paraId="501EF10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本合同一式</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份，均具有同等法律效力，发包人执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份，承包人执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w:t>
      </w:r>
    </w:p>
    <w:p w14:paraId="4E11F7B4">
      <w:pPr>
        <w:adjustRightInd w:val="0"/>
        <w:snapToGrid w:val="0"/>
        <w:spacing w:line="360" w:lineRule="auto"/>
        <w:rPr>
          <w:rFonts w:hint="eastAsia" w:ascii="宋体" w:hAnsi="宋体" w:cs="宋体"/>
          <w:bCs/>
          <w:color w:val="auto"/>
          <w:spacing w:val="20"/>
          <w:sz w:val="24"/>
          <w:highlight w:val="none"/>
        </w:rPr>
      </w:pPr>
    </w:p>
    <w:p w14:paraId="2258A3E3">
      <w:pPr>
        <w:adjustRightInd w:val="0"/>
        <w:snapToGrid w:val="0"/>
        <w:spacing w:line="420" w:lineRule="exact"/>
        <w:rPr>
          <w:rFonts w:hint="eastAsia" w:ascii="宋体" w:hAnsi="宋体" w:cs="宋体"/>
          <w:color w:val="auto"/>
          <w:spacing w:val="20"/>
          <w:sz w:val="24"/>
          <w:highlight w:val="none"/>
        </w:rPr>
      </w:pPr>
      <w:bookmarkStart w:id="99" w:name="_Toc439779029"/>
      <w:bookmarkStart w:id="100" w:name="_Toc389065256"/>
      <w:bookmarkStart w:id="101" w:name="_Toc461982824"/>
      <w:bookmarkStart w:id="102" w:name="_Toc16007"/>
      <w:bookmarkStart w:id="103" w:name="_Toc21285"/>
      <w:bookmarkStart w:id="104" w:name="_Toc425437329"/>
      <w:bookmarkStart w:id="105" w:name="_Toc373227691"/>
      <w:bookmarkStart w:id="106" w:name="_Toc351203632"/>
      <w:bookmarkStart w:id="107" w:name="_Toc373478338"/>
      <w:r>
        <w:rPr>
          <w:rFonts w:hint="eastAsia" w:ascii="宋体" w:hAnsi="宋体" w:cs="宋体"/>
          <w:color w:val="auto"/>
          <w:spacing w:val="20"/>
          <w:sz w:val="24"/>
          <w:highlight w:val="none"/>
        </w:rPr>
        <w:t>发包人：  （公章）              承包人：  （公章）</w:t>
      </w:r>
    </w:p>
    <w:p w14:paraId="3D93F9BB">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lang w:eastAsia="zh-CN"/>
        </w:rPr>
        <w:t>浦北县民政局</w:t>
      </w:r>
      <w:r>
        <w:rPr>
          <w:rFonts w:hint="eastAsia" w:ascii="宋体" w:hAnsi="宋体" w:cs="宋体"/>
          <w:color w:val="auto"/>
          <w:spacing w:val="20"/>
          <w:sz w:val="24"/>
          <w:highlight w:val="none"/>
        </w:rPr>
        <w:t xml:space="preserve">                                                                                                </w:t>
      </w:r>
    </w:p>
    <w:p w14:paraId="70E0529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68CDA55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344D4B95">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rPr>
        <w:t xml:space="preserve">                       </w:t>
      </w:r>
    </w:p>
    <w:p w14:paraId="14595D76">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p>
    <w:p w14:paraId="4363328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rPr>
        <w:t xml:space="preserve">             </w:t>
      </w:r>
    </w:p>
    <w:p w14:paraId="4F96943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rPr>
        <w:t xml:space="preserve">                      </w:t>
      </w:r>
    </w:p>
    <w:p w14:paraId="5EC14278">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371FE7C9">
      <w:pPr>
        <w:pStyle w:val="3"/>
        <w:keepNext w:val="0"/>
        <w:keepLines w:val="0"/>
        <w:spacing w:line="312" w:lineRule="auto"/>
        <w:jc w:val="center"/>
        <w:rPr>
          <w:rFonts w:hint="eastAsia" w:ascii="宋体" w:hAnsi="宋体" w:cs="宋体"/>
          <w:color w:val="auto"/>
          <w:spacing w:val="20"/>
          <w:szCs w:val="32"/>
          <w:highlight w:val="none"/>
        </w:rPr>
      </w:pPr>
    </w:p>
    <w:p w14:paraId="5E0BDCF7">
      <w:pPr>
        <w:rPr>
          <w:rFonts w:hint="eastAsia" w:ascii="宋体" w:hAnsi="宋体" w:cs="宋体"/>
          <w:color w:val="auto"/>
          <w:spacing w:val="20"/>
          <w:szCs w:val="32"/>
          <w:highlight w:val="none"/>
        </w:rPr>
      </w:pPr>
    </w:p>
    <w:p w14:paraId="0828CC7F">
      <w:pPr>
        <w:rPr>
          <w:rFonts w:hint="eastAsia" w:ascii="宋体" w:hAnsi="宋体" w:cs="宋体"/>
          <w:color w:val="auto"/>
          <w:spacing w:val="20"/>
          <w:szCs w:val="32"/>
          <w:highlight w:val="none"/>
        </w:rPr>
      </w:pPr>
    </w:p>
    <w:p w14:paraId="2039D2AB">
      <w:pPr>
        <w:rPr>
          <w:rFonts w:hint="eastAsia" w:ascii="宋体" w:hAnsi="宋体" w:cs="宋体"/>
          <w:color w:val="auto"/>
          <w:spacing w:val="20"/>
          <w:szCs w:val="32"/>
          <w:highlight w:val="none"/>
        </w:rPr>
      </w:pPr>
    </w:p>
    <w:p w14:paraId="6553BC3E">
      <w:pPr>
        <w:rPr>
          <w:rFonts w:hint="eastAsia" w:ascii="宋体" w:hAnsi="宋体" w:cs="宋体"/>
          <w:color w:val="auto"/>
          <w:spacing w:val="20"/>
          <w:szCs w:val="32"/>
          <w:highlight w:val="none"/>
        </w:rPr>
      </w:pPr>
    </w:p>
    <w:p w14:paraId="5869735C">
      <w:pPr>
        <w:rPr>
          <w:rFonts w:hint="eastAsia" w:ascii="宋体" w:hAnsi="宋体" w:cs="宋体"/>
          <w:color w:val="auto"/>
          <w:spacing w:val="20"/>
          <w:szCs w:val="32"/>
          <w:highlight w:val="none"/>
        </w:rPr>
      </w:pPr>
    </w:p>
    <w:p w14:paraId="607B6C48">
      <w:pPr>
        <w:pStyle w:val="3"/>
        <w:keepNext w:val="0"/>
        <w:keepLines w:val="0"/>
        <w:spacing w:line="312" w:lineRule="auto"/>
        <w:jc w:val="center"/>
        <w:rPr>
          <w:rFonts w:hint="eastAsia" w:ascii="宋体" w:hAnsi="宋体" w:cs="宋体"/>
          <w:color w:val="auto"/>
          <w:spacing w:val="20"/>
          <w:szCs w:val="32"/>
          <w:highlight w:val="none"/>
        </w:rPr>
        <w:sectPr>
          <w:headerReference r:id="rId5" w:type="default"/>
          <w:footerReference r:id="rId6" w:type="default"/>
          <w:pgSz w:w="11906" w:h="16838"/>
          <w:pgMar w:top="1440" w:right="1080" w:bottom="1440" w:left="1080" w:header="567" w:footer="567" w:gutter="567"/>
          <w:cols w:space="0" w:num="1"/>
          <w:docGrid w:type="lines" w:linePitch="312" w:charSpace="0"/>
        </w:sectPr>
      </w:pPr>
    </w:p>
    <w:p w14:paraId="79F5FA84">
      <w:pPr>
        <w:pStyle w:val="3"/>
        <w:keepNext w:val="0"/>
        <w:keepLines w:val="0"/>
        <w:spacing w:line="312" w:lineRule="auto"/>
        <w:jc w:val="center"/>
        <w:rPr>
          <w:rFonts w:hint="eastAsia" w:ascii="宋体" w:hAnsi="宋体" w:cs="宋体"/>
          <w:color w:val="auto"/>
          <w:spacing w:val="20"/>
          <w:szCs w:val="32"/>
          <w:highlight w:val="none"/>
        </w:rPr>
      </w:pPr>
      <w:r>
        <w:rPr>
          <w:rFonts w:hint="eastAsia" w:ascii="宋体" w:hAnsi="宋体" w:cs="宋体"/>
          <w:color w:val="auto"/>
          <w:spacing w:val="20"/>
          <w:szCs w:val="32"/>
          <w:highlight w:val="none"/>
        </w:rPr>
        <w:t>第二部分 通用合同条款</w:t>
      </w:r>
      <w:bookmarkEnd w:id="99"/>
      <w:bookmarkEnd w:id="100"/>
      <w:bookmarkEnd w:id="101"/>
      <w:bookmarkEnd w:id="102"/>
      <w:bookmarkEnd w:id="103"/>
      <w:bookmarkEnd w:id="104"/>
    </w:p>
    <w:p w14:paraId="6C989D86">
      <w:pPr>
        <w:pStyle w:val="5"/>
        <w:spacing w:before="120" w:after="120" w:line="312" w:lineRule="auto"/>
        <w:rPr>
          <w:rFonts w:hint="eastAsia"/>
          <w:b w:val="0"/>
          <w:color w:val="auto"/>
          <w:sz w:val="24"/>
          <w:szCs w:val="24"/>
          <w:highlight w:val="none"/>
        </w:rPr>
      </w:pPr>
      <w:bookmarkStart w:id="108" w:name="_Toc351203495"/>
      <w:bookmarkStart w:id="109" w:name="_Toc25546"/>
      <w:bookmarkStart w:id="110" w:name="_Toc439779030"/>
      <w:bookmarkStart w:id="111" w:name="_Toc461982825"/>
      <w:bookmarkStart w:id="112" w:name="_Toc1320"/>
      <w:bookmarkStart w:id="113" w:name="_Toc389065257"/>
      <w:bookmarkStart w:id="114" w:name="_Toc425437330"/>
      <w:r>
        <w:rPr>
          <w:rFonts w:hint="eastAsia"/>
          <w:b w:val="0"/>
          <w:color w:val="auto"/>
          <w:sz w:val="24"/>
          <w:szCs w:val="24"/>
          <w:highlight w:val="none"/>
        </w:rPr>
        <w:t>1.</w:t>
      </w:r>
      <w:bookmarkStart w:id="115" w:name="_Toc303538973"/>
      <w:bookmarkEnd w:id="115"/>
      <w:bookmarkStart w:id="116" w:name="_Toc303538972"/>
      <w:bookmarkEnd w:id="116"/>
      <w:bookmarkStart w:id="117" w:name="_Toc303538974"/>
      <w:bookmarkEnd w:id="117"/>
      <w:bookmarkStart w:id="118" w:name="_Toc303538975"/>
      <w:bookmarkEnd w:id="118"/>
      <w:bookmarkStart w:id="119" w:name="_Toc303538976"/>
      <w:bookmarkEnd w:id="119"/>
      <w:bookmarkStart w:id="120" w:name="_Toc296503027"/>
      <w:bookmarkStart w:id="121" w:name="_Toc296346528"/>
      <w:r>
        <w:rPr>
          <w:rFonts w:hint="eastAsia"/>
          <w:b w:val="0"/>
          <w:color w:val="auto"/>
          <w:sz w:val="24"/>
          <w:szCs w:val="24"/>
          <w:highlight w:val="none"/>
        </w:rPr>
        <w:t xml:space="preserve"> 一般约定</w:t>
      </w:r>
      <w:bookmarkEnd w:id="108"/>
      <w:bookmarkEnd w:id="120"/>
      <w:bookmarkEnd w:id="121"/>
    </w:p>
    <w:p w14:paraId="35E01C62">
      <w:pPr>
        <w:pStyle w:val="6"/>
        <w:spacing w:before="120" w:after="120" w:line="312" w:lineRule="auto"/>
        <w:ind w:firstLine="480" w:firstLineChars="200"/>
        <w:rPr>
          <w:rFonts w:hint="eastAsia" w:ascii="宋体" w:hAnsi="宋体" w:cs="宋体"/>
          <w:b w:val="0"/>
          <w:color w:val="auto"/>
          <w:sz w:val="24"/>
          <w:szCs w:val="24"/>
          <w:highlight w:val="none"/>
        </w:rPr>
      </w:pPr>
      <w:bookmarkStart w:id="122" w:name="_Toc337558728"/>
      <w:bookmarkStart w:id="123" w:name="_Toc296346529"/>
      <w:bookmarkStart w:id="124" w:name="_Toc296503028"/>
      <w:bookmarkStart w:id="125" w:name="_Toc351203496"/>
      <w:r>
        <w:rPr>
          <w:rFonts w:hint="eastAsia" w:ascii="宋体" w:hAnsi="宋体" w:cs="宋体"/>
          <w:b w:val="0"/>
          <w:color w:val="auto"/>
          <w:sz w:val="24"/>
          <w:szCs w:val="24"/>
          <w:highlight w:val="none"/>
        </w:rPr>
        <w:t>1.1词语定义</w:t>
      </w:r>
      <w:bookmarkEnd w:id="122"/>
      <w:bookmarkEnd w:id="123"/>
      <w:bookmarkEnd w:id="124"/>
      <w:r>
        <w:rPr>
          <w:rFonts w:hint="eastAsia" w:ascii="宋体" w:hAnsi="宋体" w:cs="宋体"/>
          <w:b w:val="0"/>
          <w:color w:val="auto"/>
          <w:sz w:val="24"/>
          <w:szCs w:val="24"/>
          <w:highlight w:val="none"/>
        </w:rPr>
        <w:t>与解释</w:t>
      </w:r>
      <w:bookmarkEnd w:id="125"/>
    </w:p>
    <w:p w14:paraId="71ADBB6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合同协议书、通用合同条款、专用合同条款中的下列词语具有本款所赋予的含义：</w:t>
      </w:r>
    </w:p>
    <w:p w14:paraId="30FC7761">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1.1.1 合同</w:t>
      </w:r>
    </w:p>
    <w:p w14:paraId="607C86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、通用合同条款、技术标准和要求、图纸、已标价工程量清单或预算书以及其他合同文件。</w:t>
      </w:r>
    </w:p>
    <w:p w14:paraId="2453DE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合同协议书：是指构成合同的由发包人和承包人共同签署的称为“合同协议书”的书面文件。</w:t>
      </w:r>
    </w:p>
    <w:p w14:paraId="409608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中标通知书：是指构成合同的由发包人通知承包人中标的书面文件。</w:t>
      </w:r>
    </w:p>
    <w:p w14:paraId="56C773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1.1.1.4 投标函：是指构成合同的由承包人填写并签署的用于投标的称为“投标函”的文件。</w:t>
      </w:r>
    </w:p>
    <w:p w14:paraId="3CA84B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1.1.1.5 投标函附录：是指构成合同的附在投标函后的称为“投标函附录”的文件。</w:t>
      </w:r>
    </w:p>
    <w:p w14:paraId="1F607E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1.1.1.6 技术标准和要求：是指构成合同的施工应当遵守的或指导施工的国家、行业或地方的技术标准和要求，以及合同约定的技术标准和要求。</w:t>
      </w:r>
    </w:p>
    <w:p w14:paraId="53DB88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81544BB">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1.1.1.8 已标价工程量清单：是指构成合同的由承包人按照规定的格式和要求填写并标明价格的工程量清单，包括说明和表格。</w:t>
      </w:r>
    </w:p>
    <w:p w14:paraId="52FA9545">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1.1.1.9 预算书：是指构成合同的由承包人按照发包人规定的格式和要求编制的工程预算文件。</w:t>
      </w:r>
    </w:p>
    <w:p w14:paraId="723D620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37E60726">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1.1.2 合同当事人及其他相关方</w:t>
      </w:r>
    </w:p>
    <w:p w14:paraId="0EAD12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1.1.2.1 合同当事人：是指发包人和（或）承包人。</w:t>
      </w:r>
    </w:p>
    <w:p w14:paraId="20AF50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1.1.2.2 发包人：是指与承包人签订合同协议书的当事人及取得该当事人资格的合法继承人。</w:t>
      </w:r>
    </w:p>
    <w:p w14:paraId="00B3CF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1.1.2.3 承包人：是指与发包人签订合同协议书的，具有相应工程施工承包资质的当事人及取得该当事人资格的合法继承人。</w:t>
      </w:r>
    </w:p>
    <w:p w14:paraId="0D25A9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1.1.2.4 监理人：是指在专用合同条款中指明的，受发包人委托按照法律规定进行工程监督管理的法人或其他组织。</w:t>
      </w:r>
    </w:p>
    <w:p w14:paraId="78F2C0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1.1.2.5 设计人：是指在专用合同条款中指明的，受发包人委托负责工程设计并具备相应工程设计资质的法人或其他组织。</w:t>
      </w:r>
    </w:p>
    <w:p w14:paraId="13CF0651">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1.1.2.6 分包人：</w:t>
      </w:r>
      <w:bookmarkStart w:id="126" w:name="#go5"/>
      <w:bookmarkEnd w:id="126"/>
      <w:r>
        <w:rPr>
          <w:rFonts w:hint="eastAsia" w:ascii="宋体" w:hAnsi="宋体" w:cs="宋体"/>
          <w:color w:val="auto"/>
          <w:kern w:val="0"/>
          <w:sz w:val="24"/>
          <w:highlight w:val="none"/>
        </w:rPr>
        <w:t>是指按照法律规定和合同约定，分包部分工程或工作，并与承包人签订分包合同的具有相应资质的法人。</w:t>
      </w:r>
    </w:p>
    <w:p w14:paraId="083202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1.1.2.7 发包人代表：是指由发包人任命并派驻施工现场在发包人授权范围内行使发包人权利的人。</w:t>
      </w:r>
    </w:p>
    <w:p w14:paraId="018B68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1.1.2.8 项目经理：是指由承包人任命并派驻施工现场，在承包人授权范围内负责合同履行，且按照法律规定具有相应资格的项目负责人。</w:t>
      </w:r>
    </w:p>
    <w:p w14:paraId="5C2B0D2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1.1.2.9 总监理工程师：是指由监理人任命并派驻施工现场进行工程监理的总负责人。</w:t>
      </w:r>
    </w:p>
    <w:p w14:paraId="7AA584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 工程和设备</w:t>
      </w:r>
    </w:p>
    <w:p w14:paraId="3AE502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 工程：是指与合同协议书中工程承包范围对应的永久工程和（或）临时工程。</w:t>
      </w:r>
    </w:p>
    <w:p w14:paraId="7E9C867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1.1.3.2 永久工程：是指按合同约定建造并移交给发包人的工程，包括工程设备。</w:t>
      </w:r>
    </w:p>
    <w:p w14:paraId="55DE768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1.1.3.3 临时工程：是指为完成合同约定的永久工程所修建的各类临时性工程，不包括施工设备。</w:t>
      </w:r>
    </w:p>
    <w:p w14:paraId="52757B4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1.1.3.4 单位工程：是指在合同协议书中指明的，具备独立施工条件并能形成独立使用功能的永久工程。</w:t>
      </w:r>
    </w:p>
    <w:p w14:paraId="0007E82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1.1.3.5 工程设备：是指构成永久工程的机电设备、金属结构设备、仪器及其他类似的设备和装置。</w:t>
      </w:r>
    </w:p>
    <w:p w14:paraId="4A62F0D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1.1.3.6 施工设备：是指为完成合同约定的各项工作所需的设备、器具和其他物品，但不包括工程设备、临时工程和材料。</w:t>
      </w:r>
    </w:p>
    <w:p w14:paraId="50BD86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1.1.3.7 施工现场：是指用于工程施工的场所，以及在专用合同条款中指明作为施工场所组成部分的其他场所，包括永久占地和临时占地。</w:t>
      </w:r>
    </w:p>
    <w:p w14:paraId="11D9E3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1.1.3.8临时设施：是指为完成合同约定的各项工作所服务的临时性生产和生活设施。</w:t>
      </w:r>
    </w:p>
    <w:p w14:paraId="6F09D20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1.1.3.9 永久占地：是指专用合同条款中指明为实施工程需永久占用的土地。</w:t>
      </w:r>
    </w:p>
    <w:p w14:paraId="66CAB1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1.1.3.10 临时占地：是指专用合同条款中指明为实施工程需要临时占用的土地。</w:t>
      </w:r>
    </w:p>
    <w:p w14:paraId="0917CB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 日期和期限</w:t>
      </w:r>
    </w:p>
    <w:p w14:paraId="70EC8C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DCD512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08AE761F">
      <w:pPr>
        <w:spacing w:line="312" w:lineRule="auto"/>
        <w:ind w:firstLine="487" w:firstLineChars="203"/>
        <w:rPr>
          <w:rFonts w:hint="eastAsia" w:ascii="宋体" w:hAnsi="宋体" w:cs="宋体"/>
          <w:color w:val="auto"/>
          <w:sz w:val="24"/>
          <w:highlight w:val="none"/>
        </w:rPr>
      </w:pPr>
      <w:r>
        <w:rPr>
          <w:rFonts w:hint="eastAsia" w:ascii="宋体" w:hAnsi="宋体" w:cs="宋体"/>
          <w:color w:val="auto"/>
          <w:kern w:val="0"/>
          <w:sz w:val="24"/>
          <w:highlight w:val="none"/>
        </w:rPr>
        <w:t>1.1.4.3 工期：是指在合同协议书约定的承包人完成工程所需的期限，包括按照合同约定所作的期限变更。</w:t>
      </w:r>
    </w:p>
    <w:p w14:paraId="27F644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1.1.4.4 缺陷责任期：是指承包人按照合同约定承担缺陷修复义务，且发包人预留质量保证金的期限，自工程实际竣工日期起计算。</w:t>
      </w:r>
    </w:p>
    <w:p w14:paraId="2DBE0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1.1.4.5 保修期：是指承包人按照合同约定对工程承担保修责任的期限，从工程竣工验收合格之日起计算。</w:t>
      </w:r>
    </w:p>
    <w:p w14:paraId="6E8E3D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1.1.4.6 基准日期：招标发包的工程以投标截止日前28天的日期为基准日期，直接发包的工程以合同签订日前28天的日期为基准日期。</w:t>
      </w:r>
    </w:p>
    <w:p w14:paraId="61DE2B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1.1.4.7 天：除特别指明外，均指日历天。合同中按天计算时间的，开始当天不计入，从次日开始计算，期限最后一天的截止时间为当天24：00时。</w:t>
      </w:r>
    </w:p>
    <w:p w14:paraId="233C0AD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 合同价格和费用</w:t>
      </w:r>
    </w:p>
    <w:p w14:paraId="5177B32A">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1.1.5.1 签约合同价：是指</w:t>
      </w:r>
      <w:r>
        <w:rPr>
          <w:rFonts w:hint="eastAsia" w:ascii="宋体" w:hAnsi="宋体" w:cs="宋体"/>
          <w:color w:val="auto"/>
          <w:sz w:val="24"/>
          <w:highlight w:val="none"/>
        </w:rPr>
        <w:t>发包人和承包人在合同协议书中确定的总金额，包括安全文明施工费、暂估价及暂列金额等。</w:t>
      </w:r>
    </w:p>
    <w:p w14:paraId="782137C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2D65F8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1.1.5.3 费用：是指为履行合同所发生的或将要发生的所有必需的开支，包括管理费和应分摊的其他费用，但不包括利润。</w:t>
      </w:r>
    </w:p>
    <w:p w14:paraId="3BFE28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20683F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A576F7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675B89F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1.1.5.7 质量保证金</w:t>
      </w:r>
      <w:bookmarkStart w:id="127" w:name="#go2"/>
      <w:bookmarkEnd w:id="127"/>
      <w:r>
        <w:rPr>
          <w:rFonts w:hint="eastAsia" w:ascii="宋体" w:hAnsi="宋体" w:cs="宋体"/>
          <w:color w:val="auto"/>
          <w:kern w:val="0"/>
          <w:sz w:val="24"/>
          <w:highlight w:val="none"/>
        </w:rPr>
        <w:t>：是指按照第15.3款〔质量保证金〕约定承包人用于保证其在缺陷责任期内履行缺陷修补义务的担保</w:t>
      </w:r>
      <w:r>
        <w:rPr>
          <w:rFonts w:hint="eastAsia" w:ascii="宋体" w:hAnsi="宋体" w:cs="宋体"/>
          <w:color w:val="auto"/>
          <w:sz w:val="24"/>
          <w:highlight w:val="none"/>
        </w:rPr>
        <w:t>。</w:t>
      </w:r>
    </w:p>
    <w:p w14:paraId="3DC86D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4D1E6846">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 其他</w:t>
      </w:r>
    </w:p>
    <w:p w14:paraId="229320E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1.1.6.1 书面形式：是指合同文件、信函、电报、传真等可以有形地表现所载内容的形式。</w:t>
      </w:r>
    </w:p>
    <w:p w14:paraId="0162A8E6">
      <w:pPr>
        <w:pStyle w:val="6"/>
        <w:spacing w:before="120" w:after="120" w:line="312"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w:t>
      </w:r>
      <w:bookmarkStart w:id="128" w:name="_Toc296346530"/>
      <w:bookmarkStart w:id="129" w:name="_Toc337558729"/>
      <w:bookmarkStart w:id="130" w:name="_Toc351203497"/>
      <w:bookmarkStart w:id="131" w:name="_Toc296503029"/>
      <w:r>
        <w:rPr>
          <w:rFonts w:hint="eastAsia" w:ascii="宋体" w:hAnsi="宋体" w:cs="宋体"/>
          <w:b w:val="0"/>
          <w:color w:val="auto"/>
          <w:sz w:val="24"/>
          <w:szCs w:val="24"/>
          <w:highlight w:val="none"/>
        </w:rPr>
        <w:t>1.2语言文字</w:t>
      </w:r>
      <w:bookmarkEnd w:id="128"/>
      <w:bookmarkEnd w:id="129"/>
      <w:bookmarkEnd w:id="130"/>
      <w:bookmarkEnd w:id="131"/>
    </w:p>
    <w:p w14:paraId="40F624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合同以中国的汉语简体文字编写、解释和说明。合同当事人在专用合同条款中约定使用两种以上语言时，汉语为优先解释和说明合同的语言。</w:t>
      </w:r>
    </w:p>
    <w:p w14:paraId="3DE8A469">
      <w:pPr>
        <w:pStyle w:val="6"/>
        <w:spacing w:before="120" w:after="120" w:line="312" w:lineRule="auto"/>
        <w:ind w:firstLine="480" w:firstLineChars="200"/>
        <w:rPr>
          <w:rFonts w:hint="eastAsia" w:ascii="宋体" w:hAnsi="宋体" w:cs="宋体"/>
          <w:b w:val="0"/>
          <w:color w:val="auto"/>
          <w:sz w:val="24"/>
          <w:szCs w:val="24"/>
          <w:highlight w:val="none"/>
        </w:rPr>
      </w:pPr>
      <w:bookmarkStart w:id="132" w:name="_Toc296346531"/>
      <w:bookmarkStart w:id="133" w:name="_Toc296503030"/>
      <w:bookmarkStart w:id="134" w:name="_Toc351203498"/>
      <w:bookmarkStart w:id="135" w:name="_Toc337558730"/>
      <w:r>
        <w:rPr>
          <w:rFonts w:hint="eastAsia" w:ascii="宋体" w:hAnsi="宋体" w:cs="宋体"/>
          <w:b w:val="0"/>
          <w:color w:val="auto"/>
          <w:sz w:val="24"/>
          <w:szCs w:val="24"/>
          <w:highlight w:val="none"/>
        </w:rPr>
        <w:t>1.3法律</w:t>
      </w:r>
      <w:bookmarkEnd w:id="132"/>
      <w:bookmarkEnd w:id="133"/>
      <w:bookmarkEnd w:id="134"/>
      <w:bookmarkEnd w:id="135"/>
    </w:p>
    <w:p w14:paraId="20F826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合同所称法律是指中华人民共和国法律、行政法规、部门规章，以及工程所在地的地方性法规、自治条例、单行条例和地方政府规章等。</w:t>
      </w:r>
    </w:p>
    <w:p w14:paraId="6AEE20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合同当事人可以在专用合同条款中约定合同适用的其他规范性文件。</w:t>
      </w:r>
    </w:p>
    <w:p w14:paraId="4C4FF2A7">
      <w:pPr>
        <w:pStyle w:val="6"/>
        <w:spacing w:before="120" w:after="120" w:line="312" w:lineRule="auto"/>
        <w:ind w:firstLine="480" w:firstLineChars="200"/>
        <w:rPr>
          <w:rFonts w:hint="eastAsia" w:ascii="宋体" w:hAnsi="宋体" w:cs="宋体"/>
          <w:b w:val="0"/>
          <w:color w:val="auto"/>
          <w:sz w:val="24"/>
          <w:szCs w:val="24"/>
          <w:highlight w:val="none"/>
        </w:rPr>
      </w:pPr>
      <w:bookmarkStart w:id="136" w:name="_Toc351203499"/>
      <w:r>
        <w:rPr>
          <w:rFonts w:hint="eastAsia" w:ascii="宋体" w:hAnsi="宋体" w:cs="宋体"/>
          <w:b w:val="0"/>
          <w:color w:val="auto"/>
          <w:sz w:val="24"/>
          <w:szCs w:val="24"/>
          <w:highlight w:val="none"/>
        </w:rPr>
        <w:t>1.4 标准和规范</w:t>
      </w:r>
      <w:bookmarkEnd w:id="136"/>
    </w:p>
    <w:p w14:paraId="321CD466">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1.4.1 适用于工程的国家标准、行业标准、工程所在地的地方性标准，以及相应的规范、规程等，合同当事人有特别要求的，应在专用合同条款中约定。</w:t>
      </w:r>
    </w:p>
    <w:p w14:paraId="170D1DD5">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1.4.2 发包人要求使用国外标准、规范的，发包人负责提供原文版本和中文译本，并在专用合同条款中约定提供标准规范的名称、份数和时间。</w:t>
      </w:r>
    </w:p>
    <w:p w14:paraId="6D3E2082">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3721AE9">
      <w:pPr>
        <w:pStyle w:val="6"/>
        <w:spacing w:before="120" w:after="120" w:line="312" w:lineRule="auto"/>
        <w:ind w:firstLine="480" w:firstLineChars="200"/>
        <w:rPr>
          <w:rFonts w:hint="eastAsia" w:ascii="宋体" w:hAnsi="宋体" w:cs="宋体"/>
          <w:b w:val="0"/>
          <w:color w:val="auto"/>
          <w:sz w:val="24"/>
          <w:szCs w:val="24"/>
          <w:highlight w:val="none"/>
        </w:rPr>
      </w:pPr>
      <w:bookmarkStart w:id="137" w:name="_Toc351203500"/>
      <w:r>
        <w:rPr>
          <w:rFonts w:hint="eastAsia" w:ascii="宋体" w:hAnsi="宋体" w:cs="宋体"/>
          <w:b w:val="0"/>
          <w:color w:val="auto"/>
          <w:sz w:val="24"/>
          <w:szCs w:val="24"/>
          <w:highlight w:val="none"/>
        </w:rPr>
        <w:t>1</w:t>
      </w:r>
      <w:bookmarkStart w:id="138" w:name="_Toc337558731"/>
      <w:bookmarkStart w:id="139" w:name="_Toc296503031"/>
      <w:bookmarkStart w:id="140" w:name="_Toc296346532"/>
      <w:r>
        <w:rPr>
          <w:rFonts w:hint="eastAsia" w:ascii="宋体" w:hAnsi="宋体" w:cs="宋体"/>
          <w:b w:val="0"/>
          <w:color w:val="auto"/>
          <w:sz w:val="24"/>
          <w:szCs w:val="24"/>
          <w:highlight w:val="none"/>
        </w:rPr>
        <w:t>.5 合同文件的优先顺序</w:t>
      </w:r>
      <w:bookmarkEnd w:id="137"/>
    </w:p>
    <w:bookmarkEnd w:id="138"/>
    <w:bookmarkEnd w:id="139"/>
    <w:bookmarkEnd w:id="140"/>
    <w:p w14:paraId="4B7EFD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组成合同的各项文件应互相解释，互为说明。除专用合同条款另有约定外，解释合同文件的优先顺序如下：</w:t>
      </w:r>
    </w:p>
    <w:p w14:paraId="61D167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（1）合同协议书；</w:t>
      </w:r>
    </w:p>
    <w:p w14:paraId="396983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（2）中标通知书（如果有）；</w:t>
      </w:r>
    </w:p>
    <w:p w14:paraId="1FE011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（3）投标函及其附录（如果有）；</w:t>
      </w:r>
    </w:p>
    <w:p w14:paraId="721C4D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w:t>
      </w:r>
    </w:p>
    <w:p w14:paraId="42D5D4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（5）通用合同条款；</w:t>
      </w:r>
    </w:p>
    <w:p w14:paraId="2055A51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（6）技术标准和要求；</w:t>
      </w:r>
    </w:p>
    <w:p w14:paraId="10AC4B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（7）图纸；</w:t>
      </w:r>
    </w:p>
    <w:p w14:paraId="3CE345D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（8）已标价工程量清单或预算书；</w:t>
      </w:r>
    </w:p>
    <w:p w14:paraId="75FB2650">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（9）其他合同文件。</w:t>
      </w:r>
    </w:p>
    <w:p w14:paraId="3EF9C9C4">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w:t>
      </w:r>
    </w:p>
    <w:p w14:paraId="0FBE440A">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在合同订立及履行过程中形成的与合同有关的文件均构成合同文件组成部分，并根据其性质确定优先解释顺序。</w:t>
      </w:r>
    </w:p>
    <w:p w14:paraId="1144F353">
      <w:pPr>
        <w:pStyle w:val="6"/>
        <w:spacing w:before="120" w:after="120" w:line="312" w:lineRule="auto"/>
        <w:ind w:firstLine="480" w:firstLineChars="200"/>
        <w:rPr>
          <w:rFonts w:hint="eastAsia" w:ascii="宋体" w:hAnsi="宋体" w:cs="宋体"/>
          <w:b w:val="0"/>
          <w:color w:val="auto"/>
          <w:sz w:val="24"/>
          <w:szCs w:val="24"/>
          <w:highlight w:val="none"/>
        </w:rPr>
      </w:pPr>
      <w:bookmarkStart w:id="141" w:name="_Toc351203501"/>
      <w:r>
        <w:rPr>
          <w:rFonts w:hint="eastAsia" w:ascii="宋体" w:hAnsi="宋体" w:cs="宋体"/>
          <w:b w:val="0"/>
          <w:color w:val="auto"/>
          <w:sz w:val="24"/>
          <w:szCs w:val="24"/>
          <w:highlight w:val="none"/>
        </w:rPr>
        <w:t>1</w:t>
      </w:r>
      <w:bookmarkStart w:id="142" w:name="_Toc296346533"/>
      <w:bookmarkStart w:id="143" w:name="_Toc337558732"/>
      <w:bookmarkStart w:id="144" w:name="_Toc296503032"/>
      <w:r>
        <w:rPr>
          <w:rFonts w:hint="eastAsia" w:ascii="宋体" w:hAnsi="宋体" w:cs="宋体"/>
          <w:b w:val="0"/>
          <w:color w:val="auto"/>
          <w:sz w:val="24"/>
          <w:szCs w:val="24"/>
          <w:highlight w:val="none"/>
        </w:rPr>
        <w:t>.6图纸和承包人文件</w:t>
      </w:r>
      <w:bookmarkEnd w:id="141"/>
    </w:p>
    <w:bookmarkEnd w:id="142"/>
    <w:bookmarkEnd w:id="143"/>
    <w:bookmarkEnd w:id="144"/>
    <w:p w14:paraId="1D3779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 图纸的提供和交底</w:t>
      </w:r>
    </w:p>
    <w:p w14:paraId="74471A0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6BEB03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因发包人未按合同约定提供图纸导致承包人费用增加和（或）工期延误的，按照第7.5.1项〔因发包人原因导致工期延误〕约定办理。</w:t>
      </w:r>
    </w:p>
    <w:p w14:paraId="3C7A61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 图纸的错误</w:t>
      </w:r>
    </w:p>
    <w:p w14:paraId="3E05F38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55D1D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1.6.3 图纸的修改和补充</w:t>
      </w:r>
    </w:p>
    <w:p w14:paraId="6030315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3E2E5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1.6.4 承包人文件</w:t>
      </w:r>
    </w:p>
    <w:p w14:paraId="228941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06AC15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2C0C20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1.6.5 图纸和承包人文件的保管</w:t>
      </w:r>
    </w:p>
    <w:p w14:paraId="07E0AF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51B9D8B4">
      <w:pPr>
        <w:pStyle w:val="6"/>
        <w:spacing w:before="120" w:after="120" w:line="312" w:lineRule="auto"/>
        <w:ind w:firstLine="480" w:firstLineChars="200"/>
        <w:rPr>
          <w:rFonts w:hint="eastAsia" w:ascii="宋体" w:hAnsi="宋体" w:cs="宋体"/>
          <w:b w:val="0"/>
          <w:color w:val="auto"/>
          <w:sz w:val="24"/>
          <w:szCs w:val="24"/>
          <w:highlight w:val="none"/>
        </w:rPr>
      </w:pPr>
      <w:bookmarkStart w:id="145" w:name="_Toc351203502"/>
      <w:r>
        <w:rPr>
          <w:rFonts w:hint="eastAsia" w:ascii="宋体" w:hAnsi="宋体" w:cs="宋体"/>
          <w:b w:val="0"/>
          <w:color w:val="auto"/>
          <w:sz w:val="24"/>
          <w:szCs w:val="24"/>
          <w:highlight w:val="none"/>
        </w:rPr>
        <w:t>1</w:t>
      </w:r>
      <w:bookmarkStart w:id="146" w:name="_Toc296346534"/>
      <w:bookmarkStart w:id="147" w:name="_Toc337558733"/>
      <w:bookmarkStart w:id="148" w:name="_Toc296503033"/>
      <w:r>
        <w:rPr>
          <w:rFonts w:hint="eastAsia" w:ascii="宋体" w:hAnsi="宋体" w:cs="宋体"/>
          <w:b w:val="0"/>
          <w:color w:val="auto"/>
          <w:sz w:val="24"/>
          <w:szCs w:val="24"/>
          <w:highlight w:val="none"/>
        </w:rPr>
        <w:t>.7联络</w:t>
      </w:r>
      <w:bookmarkEnd w:id="145"/>
    </w:p>
    <w:bookmarkEnd w:id="146"/>
    <w:bookmarkEnd w:id="147"/>
    <w:bookmarkEnd w:id="148"/>
    <w:p w14:paraId="61BB60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6C6C83A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1A02D2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794D2501">
      <w:pPr>
        <w:pStyle w:val="6"/>
        <w:spacing w:before="120" w:after="120" w:line="312" w:lineRule="auto"/>
        <w:ind w:firstLine="480" w:firstLineChars="200"/>
        <w:rPr>
          <w:rFonts w:hint="eastAsia" w:ascii="宋体" w:hAnsi="宋体" w:cs="宋体"/>
          <w:b w:val="0"/>
          <w:color w:val="auto"/>
          <w:sz w:val="24"/>
          <w:szCs w:val="24"/>
          <w:highlight w:val="none"/>
        </w:rPr>
      </w:pPr>
      <w:bookmarkStart w:id="149" w:name="_Toc351203503"/>
      <w:r>
        <w:rPr>
          <w:rFonts w:hint="eastAsia" w:ascii="宋体" w:hAnsi="宋体" w:cs="宋体"/>
          <w:b w:val="0"/>
          <w:color w:val="auto"/>
          <w:sz w:val="24"/>
          <w:szCs w:val="24"/>
          <w:highlight w:val="none"/>
        </w:rPr>
        <w:t>1</w:t>
      </w:r>
      <w:bookmarkStart w:id="150" w:name="_Toc296346536"/>
      <w:bookmarkStart w:id="151" w:name="_Toc337558734"/>
      <w:bookmarkStart w:id="152" w:name="_Toc296503035"/>
      <w:r>
        <w:rPr>
          <w:rFonts w:hint="eastAsia" w:ascii="宋体" w:hAnsi="宋体" w:cs="宋体"/>
          <w:b w:val="0"/>
          <w:color w:val="auto"/>
          <w:sz w:val="24"/>
          <w:szCs w:val="24"/>
          <w:highlight w:val="none"/>
        </w:rPr>
        <w:t>.8严禁贿赂</w:t>
      </w:r>
      <w:bookmarkEnd w:id="149"/>
    </w:p>
    <w:bookmarkEnd w:id="150"/>
    <w:bookmarkEnd w:id="151"/>
    <w:bookmarkEnd w:id="152"/>
    <w:p w14:paraId="1F9194C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2F060C4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6120C83">
      <w:pPr>
        <w:pStyle w:val="6"/>
        <w:spacing w:before="120" w:after="120" w:line="312" w:lineRule="auto"/>
        <w:ind w:firstLine="480" w:firstLineChars="200"/>
        <w:rPr>
          <w:rFonts w:hint="eastAsia" w:ascii="宋体" w:hAnsi="宋体" w:cs="宋体"/>
          <w:b w:val="0"/>
          <w:color w:val="auto"/>
          <w:sz w:val="24"/>
          <w:szCs w:val="24"/>
          <w:highlight w:val="none"/>
        </w:rPr>
      </w:pPr>
      <w:bookmarkStart w:id="153" w:name="_Toc351203504"/>
      <w:r>
        <w:rPr>
          <w:rFonts w:hint="eastAsia" w:ascii="宋体" w:hAnsi="宋体" w:cs="宋体"/>
          <w:b w:val="0"/>
          <w:color w:val="auto"/>
          <w:sz w:val="24"/>
          <w:szCs w:val="24"/>
          <w:highlight w:val="none"/>
        </w:rPr>
        <w:t>1</w:t>
      </w:r>
      <w:bookmarkStart w:id="154" w:name="_Toc337558735"/>
      <w:bookmarkStart w:id="155" w:name="_Toc296346537"/>
      <w:bookmarkStart w:id="156" w:name="_Toc296503036"/>
      <w:r>
        <w:rPr>
          <w:rFonts w:hint="eastAsia" w:ascii="宋体" w:hAnsi="宋体" w:cs="宋体"/>
          <w:b w:val="0"/>
          <w:color w:val="auto"/>
          <w:sz w:val="24"/>
          <w:szCs w:val="24"/>
          <w:highlight w:val="none"/>
        </w:rPr>
        <w:t>.9化石、文物</w:t>
      </w:r>
      <w:bookmarkEnd w:id="153"/>
    </w:p>
    <w:bookmarkEnd w:id="154"/>
    <w:bookmarkEnd w:id="155"/>
    <w:bookmarkEnd w:id="156"/>
    <w:p w14:paraId="4D76B5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E25E2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发包人、监理人和承包人应按有关政府行政管理部门要求采取妥善的保护措施，由此增加的费用和（或）延误的工期由发包人承担。</w:t>
      </w:r>
    </w:p>
    <w:p w14:paraId="6E7BC5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承包人发现文物后不及时报告或隐瞒不报，致使文物丢失或损坏的，应赔偿损失，并承担相应的法律责任。</w:t>
      </w:r>
    </w:p>
    <w:p w14:paraId="1D526582">
      <w:pPr>
        <w:pStyle w:val="6"/>
        <w:spacing w:before="120" w:after="120" w:line="312" w:lineRule="auto"/>
        <w:ind w:firstLine="480" w:firstLineChars="200"/>
        <w:rPr>
          <w:rFonts w:hint="eastAsia" w:ascii="宋体" w:hAnsi="宋体" w:cs="宋体"/>
          <w:b w:val="0"/>
          <w:color w:val="auto"/>
          <w:sz w:val="24"/>
          <w:szCs w:val="24"/>
          <w:highlight w:val="none"/>
        </w:rPr>
      </w:pPr>
      <w:bookmarkStart w:id="157" w:name="_Toc351203505"/>
      <w:r>
        <w:rPr>
          <w:rFonts w:hint="eastAsia" w:ascii="宋体" w:hAnsi="宋体" w:cs="宋体"/>
          <w:b w:val="0"/>
          <w:color w:val="auto"/>
          <w:sz w:val="24"/>
          <w:szCs w:val="24"/>
          <w:highlight w:val="none"/>
        </w:rPr>
        <w:t>1</w:t>
      </w:r>
      <w:bookmarkStart w:id="158" w:name="_Toc337558736"/>
      <w:r>
        <w:rPr>
          <w:rFonts w:hint="eastAsia" w:ascii="宋体" w:hAnsi="宋体" w:cs="宋体"/>
          <w:b w:val="0"/>
          <w:color w:val="auto"/>
          <w:sz w:val="24"/>
          <w:szCs w:val="24"/>
          <w:highlight w:val="none"/>
        </w:rPr>
        <w:t>.10交通运输</w:t>
      </w:r>
      <w:bookmarkEnd w:id="157"/>
    </w:p>
    <w:bookmarkEnd w:id="158"/>
    <w:p w14:paraId="7D0CDD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1.10.1 出入现场的权利</w:t>
      </w:r>
    </w:p>
    <w:p w14:paraId="719E51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1B080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B3B34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1.10.2 场外交通</w:t>
      </w:r>
    </w:p>
    <w:p w14:paraId="395081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096F78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1.10.3场内交通</w:t>
      </w:r>
    </w:p>
    <w:p w14:paraId="1AA41B7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4BD86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5DDF5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场外交通和场内交通的边界由合同当事人在专用合同条款中约定。</w:t>
      </w:r>
    </w:p>
    <w:p w14:paraId="7F202C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1.10.4 超大件和超重件的运输</w:t>
      </w:r>
    </w:p>
    <w:p w14:paraId="104EA4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3F6DE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1.10.5 道路和桥梁的损坏责任</w:t>
      </w:r>
    </w:p>
    <w:p w14:paraId="20B860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因承包人运输造成施工场地内外公共道路和桥梁损坏的，由承包人承担修复损坏的全部费用和可能引起的赔偿。</w:t>
      </w:r>
    </w:p>
    <w:p w14:paraId="5C65F9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1.10.6 水路和航空运输</w:t>
      </w:r>
    </w:p>
    <w:p w14:paraId="4F2848F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78369B8">
      <w:pPr>
        <w:pStyle w:val="6"/>
        <w:spacing w:before="120" w:after="120" w:line="312" w:lineRule="auto"/>
        <w:ind w:firstLine="480" w:firstLineChars="200"/>
        <w:rPr>
          <w:rFonts w:hint="eastAsia" w:ascii="宋体" w:hAnsi="宋体" w:cs="宋体"/>
          <w:b w:val="0"/>
          <w:color w:val="auto"/>
          <w:sz w:val="24"/>
          <w:szCs w:val="24"/>
          <w:highlight w:val="none"/>
        </w:rPr>
      </w:pPr>
      <w:bookmarkStart w:id="159" w:name="_Toc351203506"/>
      <w:r>
        <w:rPr>
          <w:rFonts w:hint="eastAsia" w:ascii="宋体" w:hAnsi="宋体" w:cs="宋体"/>
          <w:b w:val="0"/>
          <w:color w:val="auto"/>
          <w:sz w:val="24"/>
          <w:szCs w:val="24"/>
          <w:highlight w:val="none"/>
        </w:rPr>
        <w:t>1</w:t>
      </w:r>
      <w:bookmarkStart w:id="160" w:name="_Toc337558737"/>
      <w:bookmarkStart w:id="161" w:name="_Toc296503037"/>
      <w:bookmarkStart w:id="162" w:name="_Toc296346538"/>
      <w:r>
        <w:rPr>
          <w:rFonts w:hint="eastAsia" w:ascii="宋体" w:hAnsi="宋体" w:cs="宋体"/>
          <w:b w:val="0"/>
          <w:color w:val="auto"/>
          <w:sz w:val="24"/>
          <w:szCs w:val="24"/>
          <w:highlight w:val="none"/>
        </w:rPr>
        <w:t>.11知识产权</w:t>
      </w:r>
      <w:bookmarkEnd w:id="159"/>
      <w:r>
        <w:rPr>
          <w:rFonts w:hint="eastAsia" w:ascii="宋体" w:hAnsi="宋体" w:cs="宋体"/>
          <w:b w:val="0"/>
          <w:color w:val="auto"/>
          <w:sz w:val="24"/>
          <w:szCs w:val="24"/>
          <w:highlight w:val="none"/>
        </w:rPr>
        <w:t xml:space="preserve"> </w:t>
      </w:r>
      <w:bookmarkEnd w:id="160"/>
    </w:p>
    <w:bookmarkEnd w:id="161"/>
    <w:bookmarkEnd w:id="162"/>
    <w:p w14:paraId="677B90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A6B59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365C1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1C4B963">
      <w:pPr>
        <w:spacing w:line="312" w:lineRule="auto"/>
        <w:rPr>
          <w:rFonts w:hint="eastAsia" w:ascii="宋体" w:hAnsi="宋体" w:cs="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sz w:val="24"/>
          <w:highlight w:val="none"/>
        </w:rPr>
        <w:t>1.11.4 除专用合同条款另有约定外，承包人在合同签订前和签订时已确定采用的专利、专有技术、技术秘密的使用费已包含在签约合同价中。</w:t>
      </w:r>
    </w:p>
    <w:p w14:paraId="7308B7C5">
      <w:pPr>
        <w:pStyle w:val="6"/>
        <w:spacing w:before="120" w:after="120" w:line="312" w:lineRule="auto"/>
        <w:ind w:firstLine="480" w:firstLineChars="200"/>
        <w:rPr>
          <w:rFonts w:hint="eastAsia" w:ascii="宋体" w:hAnsi="宋体" w:cs="宋体"/>
          <w:b w:val="0"/>
          <w:color w:val="auto"/>
          <w:sz w:val="24"/>
          <w:szCs w:val="24"/>
          <w:highlight w:val="none"/>
        </w:rPr>
      </w:pPr>
      <w:bookmarkStart w:id="163" w:name="_Toc351203507"/>
      <w:r>
        <w:rPr>
          <w:rFonts w:hint="eastAsia" w:ascii="宋体" w:hAnsi="宋体" w:cs="宋体"/>
          <w:b w:val="0"/>
          <w:color w:val="auto"/>
          <w:sz w:val="24"/>
          <w:szCs w:val="24"/>
          <w:highlight w:val="none"/>
        </w:rPr>
        <w:t>1</w:t>
      </w:r>
      <w:bookmarkStart w:id="164" w:name="_Toc337558738"/>
      <w:r>
        <w:rPr>
          <w:rFonts w:hint="eastAsia" w:ascii="宋体" w:hAnsi="宋体" w:cs="宋体"/>
          <w:b w:val="0"/>
          <w:color w:val="auto"/>
          <w:sz w:val="24"/>
          <w:szCs w:val="24"/>
          <w:highlight w:val="none"/>
        </w:rPr>
        <w:t>.12保密</w:t>
      </w:r>
      <w:bookmarkEnd w:id="163"/>
    </w:p>
    <w:bookmarkEnd w:id="164"/>
    <w:p w14:paraId="307EF2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111FC7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0B2ED210">
      <w:pPr>
        <w:pStyle w:val="6"/>
        <w:spacing w:before="120" w:after="120" w:line="312" w:lineRule="auto"/>
        <w:ind w:firstLine="480" w:firstLineChars="200"/>
        <w:rPr>
          <w:rFonts w:hint="eastAsia" w:ascii="宋体" w:hAnsi="宋体" w:cs="宋体"/>
          <w:b w:val="0"/>
          <w:color w:val="auto"/>
          <w:sz w:val="24"/>
          <w:szCs w:val="24"/>
          <w:highlight w:val="none"/>
        </w:rPr>
      </w:pPr>
      <w:bookmarkStart w:id="165" w:name="_Toc351203508"/>
      <w:r>
        <w:rPr>
          <w:rFonts w:hint="eastAsia" w:ascii="宋体" w:hAnsi="宋体" w:cs="宋体"/>
          <w:b w:val="0"/>
          <w:color w:val="auto"/>
          <w:sz w:val="24"/>
          <w:szCs w:val="24"/>
          <w:highlight w:val="none"/>
        </w:rPr>
        <w:t>1.13工程量清单错误的修正</w:t>
      </w:r>
      <w:bookmarkEnd w:id="165"/>
    </w:p>
    <w:p w14:paraId="1E3D5C8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33142B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（1）工程量清单存在缺项、漏项的；</w:t>
      </w:r>
    </w:p>
    <w:p w14:paraId="27C9E9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（2）工程量清单偏差超出专用合同条款约定的工程量偏差范围的；</w:t>
      </w:r>
    </w:p>
    <w:p w14:paraId="081BC9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（3）未按照国家现行计量规范强制性规定计量的。</w:t>
      </w:r>
    </w:p>
    <w:p w14:paraId="2D196CE7">
      <w:pPr>
        <w:pStyle w:val="5"/>
        <w:spacing w:before="120" w:after="120" w:line="312" w:lineRule="auto"/>
        <w:rPr>
          <w:rFonts w:hint="eastAsia"/>
          <w:b w:val="0"/>
          <w:color w:val="auto"/>
          <w:sz w:val="24"/>
          <w:szCs w:val="24"/>
          <w:highlight w:val="none"/>
        </w:rPr>
      </w:pPr>
      <w:bookmarkStart w:id="166" w:name="_Toc351203509"/>
      <w:r>
        <w:rPr>
          <w:rFonts w:hint="eastAsia"/>
          <w:b w:val="0"/>
          <w:color w:val="auto"/>
          <w:sz w:val="24"/>
          <w:szCs w:val="24"/>
          <w:highlight w:val="none"/>
        </w:rPr>
        <w:t>2</w:t>
      </w:r>
      <w:bookmarkStart w:id="167" w:name="_Toc296503038"/>
      <w:bookmarkStart w:id="168" w:name="_Toc337558739"/>
      <w:bookmarkStart w:id="169" w:name="_Toc296346539"/>
      <w:bookmarkStart w:id="170" w:name="OLE_LINK1"/>
      <w:bookmarkStart w:id="171" w:name="OLE_LINK2"/>
      <w:r>
        <w:rPr>
          <w:rFonts w:hint="eastAsia"/>
          <w:b w:val="0"/>
          <w:color w:val="auto"/>
          <w:sz w:val="24"/>
          <w:szCs w:val="24"/>
          <w:highlight w:val="none"/>
        </w:rPr>
        <w:t>. 发包人</w:t>
      </w:r>
      <w:bookmarkEnd w:id="166"/>
    </w:p>
    <w:bookmarkEnd w:id="167"/>
    <w:bookmarkEnd w:id="168"/>
    <w:bookmarkEnd w:id="169"/>
    <w:p w14:paraId="4373B2EF">
      <w:pPr>
        <w:pStyle w:val="6"/>
        <w:spacing w:before="120" w:after="120" w:line="312" w:lineRule="auto"/>
        <w:ind w:firstLine="480" w:firstLineChars="200"/>
        <w:rPr>
          <w:rFonts w:hint="eastAsia" w:ascii="宋体" w:hAnsi="宋体" w:cs="宋体"/>
          <w:b w:val="0"/>
          <w:color w:val="auto"/>
          <w:sz w:val="24"/>
          <w:szCs w:val="24"/>
          <w:highlight w:val="none"/>
        </w:rPr>
      </w:pPr>
      <w:bookmarkStart w:id="172" w:name="_Toc351203510"/>
      <w:r>
        <w:rPr>
          <w:rFonts w:hint="eastAsia" w:ascii="宋体" w:hAnsi="宋体" w:cs="宋体"/>
          <w:b w:val="0"/>
          <w:color w:val="auto"/>
          <w:sz w:val="24"/>
          <w:szCs w:val="24"/>
          <w:highlight w:val="none"/>
        </w:rPr>
        <w:t>2</w:t>
      </w:r>
      <w:bookmarkStart w:id="173" w:name="_Toc337558740"/>
      <w:bookmarkStart w:id="174" w:name="_Toc296346540"/>
      <w:bookmarkStart w:id="175" w:name="_Toc296503039"/>
      <w:r>
        <w:rPr>
          <w:rFonts w:hint="eastAsia" w:ascii="宋体" w:hAnsi="宋体" w:cs="宋体"/>
          <w:b w:val="0"/>
          <w:color w:val="auto"/>
          <w:sz w:val="24"/>
          <w:szCs w:val="24"/>
          <w:highlight w:val="none"/>
        </w:rPr>
        <w:t>.1 许可或批准</w:t>
      </w:r>
      <w:bookmarkEnd w:id="172"/>
    </w:p>
    <w:p w14:paraId="48A44C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21A5D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因发包人原因未能及时办理完毕前述许可、批准或备案，由发包人承担由此增加的费用和（或）延误的工期，并支付承包人合理的利润。</w:t>
      </w:r>
    </w:p>
    <w:p w14:paraId="287DDC29">
      <w:pPr>
        <w:pStyle w:val="6"/>
        <w:spacing w:before="120" w:after="120" w:line="312" w:lineRule="auto"/>
        <w:ind w:firstLine="480" w:firstLineChars="200"/>
        <w:rPr>
          <w:rFonts w:hint="eastAsia" w:ascii="宋体" w:hAnsi="宋体" w:cs="宋体"/>
          <w:b w:val="0"/>
          <w:color w:val="auto"/>
          <w:sz w:val="24"/>
          <w:szCs w:val="24"/>
          <w:highlight w:val="none"/>
        </w:rPr>
      </w:pPr>
      <w:bookmarkStart w:id="176" w:name="_Toc351203511"/>
      <w:r>
        <w:rPr>
          <w:rFonts w:hint="eastAsia" w:ascii="宋体" w:hAnsi="宋体" w:cs="宋体"/>
          <w:b w:val="0"/>
          <w:color w:val="auto"/>
          <w:sz w:val="24"/>
          <w:szCs w:val="24"/>
          <w:highlight w:val="none"/>
        </w:rPr>
        <w:t>2.2 发包人代表</w:t>
      </w:r>
      <w:bookmarkEnd w:id="176"/>
    </w:p>
    <w:p w14:paraId="7F73DD0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AF2F7A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发包人代表不能按照合同约定履行其职责及义务，并导致合同无法继续正常履行的，承包人可以要求发包人撤换发包人代表。</w:t>
      </w:r>
    </w:p>
    <w:p w14:paraId="7612F49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不属于法定必须监理的工程，监理人的职权可以由发包人代表或发包人指定的其他人员行使。</w:t>
      </w:r>
    </w:p>
    <w:p w14:paraId="503D3C09">
      <w:pPr>
        <w:pStyle w:val="6"/>
        <w:spacing w:before="120" w:after="120" w:line="312" w:lineRule="auto"/>
        <w:ind w:firstLine="480" w:firstLineChars="200"/>
        <w:rPr>
          <w:rFonts w:hint="eastAsia" w:ascii="宋体" w:hAnsi="宋体" w:cs="宋体"/>
          <w:b w:val="0"/>
          <w:color w:val="auto"/>
          <w:sz w:val="24"/>
          <w:szCs w:val="24"/>
          <w:highlight w:val="none"/>
        </w:rPr>
      </w:pPr>
      <w:bookmarkStart w:id="177" w:name="_Toc351203512"/>
      <w:r>
        <w:rPr>
          <w:rFonts w:hint="eastAsia" w:ascii="宋体" w:hAnsi="宋体" w:cs="宋体"/>
          <w:b w:val="0"/>
          <w:color w:val="auto"/>
          <w:sz w:val="24"/>
          <w:szCs w:val="24"/>
          <w:highlight w:val="none"/>
        </w:rPr>
        <w:t>2.3 发包人人员</w:t>
      </w:r>
      <w:bookmarkEnd w:id="177"/>
    </w:p>
    <w:p w14:paraId="58350B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060E911F">
      <w:pPr>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发包人人员包括发包人代表及其他由发包人派驻施工现场的人员。</w:t>
      </w:r>
      <w:bookmarkEnd w:id="173"/>
      <w:bookmarkEnd w:id="174"/>
      <w:bookmarkEnd w:id="175"/>
    </w:p>
    <w:p w14:paraId="77E2037D">
      <w:pPr>
        <w:pStyle w:val="6"/>
        <w:spacing w:before="120" w:after="120" w:line="312" w:lineRule="auto"/>
        <w:ind w:firstLine="480" w:firstLineChars="200"/>
        <w:rPr>
          <w:rFonts w:hint="eastAsia" w:ascii="宋体" w:hAnsi="宋体" w:cs="宋体"/>
          <w:b w:val="0"/>
          <w:color w:val="auto"/>
          <w:sz w:val="24"/>
          <w:szCs w:val="24"/>
          <w:highlight w:val="none"/>
        </w:rPr>
      </w:pPr>
      <w:bookmarkStart w:id="178" w:name="_Toc351203513"/>
      <w:r>
        <w:rPr>
          <w:rFonts w:hint="eastAsia" w:ascii="宋体" w:hAnsi="宋体" w:cs="宋体"/>
          <w:b w:val="0"/>
          <w:color w:val="auto"/>
          <w:sz w:val="24"/>
          <w:szCs w:val="24"/>
          <w:highlight w:val="none"/>
        </w:rPr>
        <w:t>2</w:t>
      </w:r>
      <w:bookmarkStart w:id="179" w:name="_Toc337558741"/>
      <w:bookmarkStart w:id="180" w:name="_Toc296346541"/>
      <w:bookmarkStart w:id="181" w:name="_Toc296503040"/>
      <w:r>
        <w:rPr>
          <w:rFonts w:hint="eastAsia" w:ascii="宋体" w:hAnsi="宋体" w:cs="宋体"/>
          <w:b w:val="0"/>
          <w:color w:val="auto"/>
          <w:sz w:val="24"/>
          <w:szCs w:val="24"/>
          <w:highlight w:val="none"/>
        </w:rPr>
        <w:t>.4 施工现场、施工条件和基础资料的提供</w:t>
      </w:r>
      <w:bookmarkEnd w:id="178"/>
      <w:r>
        <w:rPr>
          <w:rFonts w:hint="eastAsia" w:ascii="宋体" w:hAnsi="宋体" w:cs="宋体"/>
          <w:b w:val="0"/>
          <w:color w:val="auto"/>
          <w:sz w:val="24"/>
          <w:szCs w:val="24"/>
          <w:highlight w:val="none"/>
        </w:rPr>
        <w:t xml:space="preserve"> </w:t>
      </w:r>
      <w:bookmarkEnd w:id="179"/>
      <w:bookmarkEnd w:id="180"/>
      <w:bookmarkEnd w:id="181"/>
      <w:r>
        <w:rPr>
          <w:rFonts w:hint="eastAsia" w:ascii="宋体" w:hAnsi="宋体" w:cs="宋体"/>
          <w:b w:val="0"/>
          <w:color w:val="auto"/>
          <w:sz w:val="24"/>
          <w:szCs w:val="24"/>
          <w:highlight w:val="none"/>
        </w:rPr>
        <w:t xml:space="preserve"> </w:t>
      </w:r>
    </w:p>
    <w:p w14:paraId="34ACB9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2.4.1 提供施工现场</w:t>
      </w:r>
    </w:p>
    <w:p w14:paraId="614A2E8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w:t>
      </w:r>
      <w:bookmarkEnd w:id="170"/>
      <w:bookmarkEnd w:id="171"/>
      <w:r>
        <w:rPr>
          <w:rFonts w:hint="eastAsia" w:ascii="宋体" w:hAnsi="宋体" w:cs="宋体"/>
          <w:color w:val="auto"/>
          <w:kern w:val="0"/>
          <w:sz w:val="24"/>
          <w:highlight w:val="none"/>
        </w:rPr>
        <w:t>专用合同条款另有约定外，发包人应最迟于开工日期7天前向承包人移交施工现场。</w:t>
      </w:r>
    </w:p>
    <w:p w14:paraId="75E89A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2.4.2 提供施工条件</w:t>
      </w:r>
    </w:p>
    <w:p w14:paraId="7770CB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除专用合同条款另有约定外，发包人应负责提供施工所需要的条件，包括：</w:t>
      </w:r>
    </w:p>
    <w:p w14:paraId="3D4C39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（1）将施工用水、电力、通讯线路等施工所必需的条件接至施工现场内；</w:t>
      </w:r>
    </w:p>
    <w:p w14:paraId="305483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（2）保证向承包人提供正常施工所需要的进入施工现场的交通条件；</w:t>
      </w:r>
    </w:p>
    <w:p w14:paraId="3532FE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（3）协调处理施工现场周围地下管线和邻近建筑物、构筑物、古树名木的保护工作，并承担相关费用；</w:t>
      </w:r>
    </w:p>
    <w:p w14:paraId="006CA4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（4）按照专用合同条款约定应提供的其他设施和条件。</w:t>
      </w:r>
    </w:p>
    <w:p w14:paraId="62ED8B45">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2.4.3 提供基础资料</w:t>
      </w:r>
    </w:p>
    <w:p w14:paraId="4E04B8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624E5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708BE5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2.4.4 逾期提供的责任</w:t>
      </w:r>
    </w:p>
    <w:p w14:paraId="41FAEB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因发包人原因未能按合同约定及时向承包人提供施工现场、施工条件、基础资料的，由发包人承担由此增加的费用和（或）延误的工期。</w:t>
      </w:r>
    </w:p>
    <w:p w14:paraId="522A1A44">
      <w:pPr>
        <w:pStyle w:val="6"/>
        <w:spacing w:before="120" w:after="120" w:line="312" w:lineRule="auto"/>
        <w:ind w:firstLine="480" w:firstLineChars="200"/>
        <w:rPr>
          <w:rFonts w:hint="eastAsia" w:ascii="宋体" w:hAnsi="宋体" w:cs="宋体"/>
          <w:b w:val="0"/>
          <w:color w:val="auto"/>
          <w:sz w:val="24"/>
          <w:szCs w:val="24"/>
          <w:highlight w:val="none"/>
        </w:rPr>
      </w:pPr>
      <w:bookmarkStart w:id="182" w:name="_Toc351203514"/>
      <w:r>
        <w:rPr>
          <w:rFonts w:hint="eastAsia" w:ascii="宋体" w:hAnsi="宋体" w:cs="宋体"/>
          <w:b w:val="0"/>
          <w:color w:val="auto"/>
          <w:sz w:val="24"/>
          <w:szCs w:val="24"/>
          <w:highlight w:val="none"/>
        </w:rPr>
        <w:t>2</w:t>
      </w:r>
      <w:bookmarkStart w:id="183" w:name="_Toc337558745"/>
      <w:bookmarkStart w:id="184" w:name="_Toc296503042"/>
      <w:bookmarkStart w:id="185" w:name="_Toc296346543"/>
      <w:r>
        <w:rPr>
          <w:rFonts w:hint="eastAsia" w:ascii="宋体" w:hAnsi="宋体" w:cs="宋体"/>
          <w:b w:val="0"/>
          <w:color w:val="auto"/>
          <w:sz w:val="24"/>
          <w:szCs w:val="24"/>
          <w:highlight w:val="none"/>
        </w:rPr>
        <w:t>.5 资</w:t>
      </w:r>
      <w:bookmarkEnd w:id="183"/>
      <w:bookmarkEnd w:id="184"/>
      <w:bookmarkEnd w:id="185"/>
      <w:r>
        <w:rPr>
          <w:rFonts w:hint="eastAsia" w:ascii="宋体" w:hAnsi="宋体" w:cs="宋体"/>
          <w:b w:val="0"/>
          <w:color w:val="auto"/>
          <w:sz w:val="24"/>
          <w:szCs w:val="24"/>
          <w:highlight w:val="none"/>
        </w:rPr>
        <w:t>金来源证明及支付担保</w:t>
      </w:r>
      <w:bookmarkEnd w:id="182"/>
    </w:p>
    <w:p w14:paraId="343E91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5F5EAE1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4E495C81">
      <w:pPr>
        <w:pStyle w:val="6"/>
        <w:spacing w:before="120" w:after="120" w:line="312" w:lineRule="auto"/>
        <w:ind w:firstLine="480" w:firstLineChars="200"/>
        <w:rPr>
          <w:rFonts w:hint="eastAsia" w:ascii="宋体" w:hAnsi="宋体" w:cs="宋体"/>
          <w:b w:val="0"/>
          <w:color w:val="auto"/>
          <w:sz w:val="24"/>
          <w:szCs w:val="24"/>
          <w:highlight w:val="none"/>
        </w:rPr>
      </w:pPr>
      <w:bookmarkStart w:id="186" w:name="_Toc351203515"/>
      <w:r>
        <w:rPr>
          <w:rFonts w:hint="eastAsia" w:ascii="宋体" w:hAnsi="宋体" w:cs="宋体"/>
          <w:b w:val="0"/>
          <w:color w:val="auto"/>
          <w:sz w:val="24"/>
          <w:szCs w:val="24"/>
          <w:highlight w:val="none"/>
        </w:rPr>
        <w:t>2.6 支付合同价款</w:t>
      </w:r>
      <w:bookmarkEnd w:id="186"/>
    </w:p>
    <w:p w14:paraId="6F6EAAE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发包人应按合同约定向承包人及时支付合同价款。</w:t>
      </w:r>
    </w:p>
    <w:p w14:paraId="039EA122">
      <w:pPr>
        <w:pStyle w:val="6"/>
        <w:spacing w:before="120" w:after="120" w:line="312" w:lineRule="auto"/>
        <w:ind w:firstLine="480" w:firstLineChars="200"/>
        <w:rPr>
          <w:rFonts w:hint="eastAsia" w:ascii="宋体" w:hAnsi="宋体" w:cs="宋体"/>
          <w:b w:val="0"/>
          <w:color w:val="auto"/>
          <w:sz w:val="24"/>
          <w:szCs w:val="24"/>
          <w:highlight w:val="none"/>
        </w:rPr>
      </w:pPr>
      <w:bookmarkStart w:id="187" w:name="_Toc351203516"/>
      <w:r>
        <w:rPr>
          <w:rFonts w:hint="eastAsia" w:ascii="宋体" w:hAnsi="宋体" w:cs="宋体"/>
          <w:b w:val="0"/>
          <w:color w:val="auto"/>
          <w:sz w:val="24"/>
          <w:szCs w:val="24"/>
          <w:highlight w:val="none"/>
        </w:rPr>
        <w:t>2.7 组织竣工验收</w:t>
      </w:r>
      <w:bookmarkEnd w:id="187"/>
    </w:p>
    <w:p w14:paraId="779840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发包人应按合同约定及时组织竣工验收。</w:t>
      </w:r>
    </w:p>
    <w:p w14:paraId="26F84CA8">
      <w:pPr>
        <w:pStyle w:val="6"/>
        <w:spacing w:before="120" w:after="120" w:line="312" w:lineRule="auto"/>
        <w:ind w:firstLine="480" w:firstLineChars="200"/>
        <w:rPr>
          <w:rFonts w:hint="eastAsia" w:ascii="宋体" w:hAnsi="宋体" w:cs="宋体"/>
          <w:b w:val="0"/>
          <w:color w:val="auto"/>
          <w:sz w:val="24"/>
          <w:szCs w:val="24"/>
          <w:highlight w:val="none"/>
        </w:rPr>
      </w:pPr>
      <w:bookmarkStart w:id="188" w:name="_Toc351203517"/>
      <w:r>
        <w:rPr>
          <w:rFonts w:hint="eastAsia" w:ascii="宋体" w:hAnsi="宋体" w:cs="宋体"/>
          <w:b w:val="0"/>
          <w:color w:val="auto"/>
          <w:sz w:val="24"/>
          <w:szCs w:val="24"/>
          <w:highlight w:val="none"/>
        </w:rPr>
        <w:t>2.8 现场统一管理协议</w:t>
      </w:r>
      <w:bookmarkEnd w:id="188"/>
    </w:p>
    <w:p w14:paraId="1EA193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379C3196">
      <w:pPr>
        <w:pStyle w:val="5"/>
        <w:spacing w:before="120" w:after="120" w:line="312" w:lineRule="auto"/>
        <w:rPr>
          <w:rFonts w:hint="eastAsia"/>
          <w:b w:val="0"/>
          <w:color w:val="auto"/>
          <w:sz w:val="24"/>
          <w:szCs w:val="24"/>
          <w:highlight w:val="none"/>
        </w:rPr>
      </w:pPr>
      <w:bookmarkStart w:id="189" w:name="_Toc351203518"/>
      <w:r>
        <w:rPr>
          <w:rFonts w:hint="eastAsia"/>
          <w:b w:val="0"/>
          <w:color w:val="auto"/>
          <w:sz w:val="24"/>
          <w:szCs w:val="24"/>
          <w:highlight w:val="none"/>
        </w:rPr>
        <w:t>3</w:t>
      </w:r>
      <w:bookmarkStart w:id="190" w:name="_Toc296503045"/>
      <w:bookmarkStart w:id="191" w:name="_Toc296346546"/>
      <w:bookmarkStart w:id="192" w:name="_Toc337558746"/>
      <w:r>
        <w:rPr>
          <w:rFonts w:hint="eastAsia"/>
          <w:b w:val="0"/>
          <w:color w:val="auto"/>
          <w:sz w:val="24"/>
          <w:szCs w:val="24"/>
          <w:highlight w:val="none"/>
        </w:rPr>
        <w:t>. 承包人</w:t>
      </w:r>
      <w:bookmarkEnd w:id="189"/>
    </w:p>
    <w:bookmarkEnd w:id="190"/>
    <w:bookmarkEnd w:id="191"/>
    <w:bookmarkEnd w:id="192"/>
    <w:p w14:paraId="7E2707B4">
      <w:pPr>
        <w:pStyle w:val="6"/>
        <w:spacing w:before="120" w:after="120" w:line="312" w:lineRule="auto"/>
        <w:ind w:firstLine="480" w:firstLineChars="200"/>
        <w:rPr>
          <w:rFonts w:hint="eastAsia" w:ascii="宋体" w:hAnsi="宋体" w:cs="宋体"/>
          <w:b w:val="0"/>
          <w:color w:val="auto"/>
          <w:sz w:val="24"/>
          <w:szCs w:val="24"/>
          <w:highlight w:val="none"/>
        </w:rPr>
      </w:pPr>
      <w:bookmarkStart w:id="193" w:name="_Toc351203519"/>
      <w:r>
        <w:rPr>
          <w:rFonts w:hint="eastAsia" w:ascii="宋体" w:hAnsi="宋体" w:cs="宋体"/>
          <w:b w:val="0"/>
          <w:color w:val="auto"/>
          <w:sz w:val="24"/>
          <w:szCs w:val="24"/>
          <w:highlight w:val="none"/>
        </w:rPr>
        <w:t>3</w:t>
      </w:r>
      <w:bookmarkStart w:id="194" w:name="_Toc296346547"/>
      <w:bookmarkStart w:id="195" w:name="_Toc337558747"/>
      <w:bookmarkStart w:id="196" w:name="_Toc296503046"/>
      <w:r>
        <w:rPr>
          <w:rFonts w:hint="eastAsia" w:ascii="宋体" w:hAnsi="宋体" w:cs="宋体"/>
          <w:b w:val="0"/>
          <w:color w:val="auto"/>
          <w:sz w:val="24"/>
          <w:szCs w:val="24"/>
          <w:highlight w:val="none"/>
        </w:rPr>
        <w:t>.1 承包人的一般义务</w:t>
      </w:r>
      <w:bookmarkEnd w:id="193"/>
    </w:p>
    <w:bookmarkEnd w:id="194"/>
    <w:bookmarkEnd w:id="195"/>
    <w:bookmarkEnd w:id="196"/>
    <w:p w14:paraId="3A5F77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承包人在履行合同过程中应遵守法律和工程建设标准规范，并履行以下义务：</w:t>
      </w:r>
    </w:p>
    <w:p w14:paraId="7B830301">
      <w:pPr>
        <w:numPr>
          <w:ilvl w:val="0"/>
          <w:numId w:val="4"/>
        </w:num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办理法律规定应由承包人办理的许可和批准，并将办理结果书面报送发包人留存；</w:t>
      </w:r>
    </w:p>
    <w:p w14:paraId="6C1724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（2）按法律规定和合同约定完成工程，并在保修期内承担保修义务；</w:t>
      </w:r>
    </w:p>
    <w:p w14:paraId="4EF0000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（3）按法律规定和合同约定采取施工安全和环境保护措施，办理工伤保险，确保工程及人员、材料、设备和设施的安全；</w:t>
      </w:r>
    </w:p>
    <w:p w14:paraId="683E9A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（4）按合同约定的工作内容和施工进度要求，编制施工组织设计和施工措施计划，并对所有施工作业和施工方法的完备性和安全可靠性负责；</w:t>
      </w:r>
    </w:p>
    <w:p w14:paraId="44BA58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BDD2A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（6）按照第6.3款〔环境保护〕约定负责施工场地及其周边环境与生态的保护工作；</w:t>
      </w:r>
    </w:p>
    <w:p w14:paraId="2EC672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（7）按第6.1款〔安全文明施工〕约定采取施工安全措施，确保工程及其人员、材料、设备和设施的安全，防止因工程施工造成的人身伤害和财产损失；</w:t>
      </w:r>
    </w:p>
    <w:p w14:paraId="0E3545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（8）将发包人按合同约定支付的各项价款专用于合同工程，且应及时支付其雇用人员工资，并及时向分包人支付合同价款；</w:t>
      </w:r>
    </w:p>
    <w:p w14:paraId="2CC28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（9）按照法律规定和合同约定编制竣工资料，完成竣工资料立卷及归档，并按专用合同条款约定的竣工资料的套数、内容、时间等要求移交发包人；</w:t>
      </w:r>
    </w:p>
    <w:p w14:paraId="3CD49B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（10）应履行的其他义务。</w:t>
      </w:r>
    </w:p>
    <w:p w14:paraId="43502C96">
      <w:pPr>
        <w:pStyle w:val="6"/>
        <w:spacing w:before="120" w:after="120" w:line="312" w:lineRule="auto"/>
        <w:ind w:firstLine="480" w:firstLineChars="200"/>
        <w:rPr>
          <w:rFonts w:hint="eastAsia" w:ascii="宋体" w:hAnsi="宋体" w:cs="宋体"/>
          <w:b w:val="0"/>
          <w:color w:val="auto"/>
          <w:sz w:val="24"/>
          <w:szCs w:val="24"/>
          <w:highlight w:val="none"/>
        </w:rPr>
      </w:pPr>
      <w:bookmarkStart w:id="197" w:name="_Toc351203520"/>
      <w:r>
        <w:rPr>
          <w:rFonts w:hint="eastAsia" w:ascii="宋体" w:hAnsi="宋体" w:cs="宋体"/>
          <w:b w:val="0"/>
          <w:color w:val="auto"/>
          <w:sz w:val="24"/>
          <w:szCs w:val="24"/>
          <w:highlight w:val="none"/>
        </w:rPr>
        <w:t>3</w:t>
      </w:r>
      <w:bookmarkStart w:id="198" w:name="_Toc337558748"/>
      <w:bookmarkStart w:id="199" w:name="_Toc296503047"/>
      <w:bookmarkStart w:id="200" w:name="_Toc296346548"/>
      <w:r>
        <w:rPr>
          <w:rFonts w:hint="eastAsia" w:ascii="宋体" w:hAnsi="宋体" w:cs="宋体"/>
          <w:b w:val="0"/>
          <w:color w:val="auto"/>
          <w:sz w:val="24"/>
          <w:szCs w:val="24"/>
          <w:highlight w:val="none"/>
        </w:rPr>
        <w:t xml:space="preserve">.2 </w:t>
      </w:r>
      <w:bookmarkEnd w:id="197"/>
      <w:r>
        <w:rPr>
          <w:rFonts w:hint="eastAsia" w:ascii="宋体" w:hAnsi="宋体" w:cs="宋体"/>
          <w:b w:val="0"/>
          <w:color w:val="auto"/>
          <w:sz w:val="24"/>
          <w:szCs w:val="24"/>
          <w:highlight w:val="none"/>
        </w:rPr>
        <w:t>项目经理</w:t>
      </w:r>
    </w:p>
    <w:bookmarkEnd w:id="198"/>
    <w:bookmarkEnd w:id="199"/>
    <w:bookmarkEnd w:id="200"/>
    <w:p w14:paraId="75CB4A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2E429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615A1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承包人违反上述约定的，应按照专用合同条款的约定，承担违约责任。</w:t>
      </w:r>
    </w:p>
    <w:p w14:paraId="16F2A3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5893F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D646B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08E92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88FC7A6">
      <w:pPr>
        <w:pStyle w:val="6"/>
        <w:spacing w:before="120" w:after="120" w:line="312" w:lineRule="auto"/>
        <w:ind w:firstLine="480" w:firstLineChars="200"/>
        <w:rPr>
          <w:rFonts w:hint="eastAsia" w:ascii="宋体" w:hAnsi="宋体" w:cs="宋体"/>
          <w:b w:val="0"/>
          <w:color w:val="auto"/>
          <w:sz w:val="24"/>
          <w:szCs w:val="24"/>
          <w:highlight w:val="none"/>
        </w:rPr>
      </w:pPr>
      <w:bookmarkStart w:id="201" w:name="_Toc351203521"/>
      <w:r>
        <w:rPr>
          <w:rFonts w:hint="eastAsia" w:ascii="宋体" w:hAnsi="宋体" w:cs="宋体"/>
          <w:b w:val="0"/>
          <w:color w:val="auto"/>
          <w:sz w:val="24"/>
          <w:szCs w:val="24"/>
          <w:highlight w:val="none"/>
        </w:rPr>
        <w:t>3</w:t>
      </w:r>
      <w:bookmarkStart w:id="202" w:name="_Toc296503048"/>
      <w:bookmarkStart w:id="203" w:name="_Toc296346549"/>
      <w:bookmarkStart w:id="204" w:name="_Toc337558749"/>
      <w:r>
        <w:rPr>
          <w:rFonts w:hint="eastAsia" w:ascii="宋体" w:hAnsi="宋体" w:cs="宋体"/>
          <w:b w:val="0"/>
          <w:color w:val="auto"/>
          <w:sz w:val="24"/>
          <w:szCs w:val="24"/>
          <w:highlight w:val="none"/>
        </w:rPr>
        <w:t xml:space="preserve">.3 </w:t>
      </w:r>
      <w:bookmarkEnd w:id="202"/>
      <w:bookmarkEnd w:id="203"/>
      <w:r>
        <w:rPr>
          <w:rFonts w:hint="eastAsia" w:ascii="宋体" w:hAnsi="宋体" w:cs="宋体"/>
          <w:b w:val="0"/>
          <w:color w:val="auto"/>
          <w:sz w:val="24"/>
          <w:szCs w:val="24"/>
          <w:highlight w:val="none"/>
        </w:rPr>
        <w:t>承包人人员</w:t>
      </w:r>
      <w:bookmarkEnd w:id="201"/>
    </w:p>
    <w:bookmarkEnd w:id="204"/>
    <w:p w14:paraId="3EEB1B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C7E53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55E0F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特殊工种作业人员均应持有相应的资格证明，监理人可以随时检查。</w:t>
      </w:r>
    </w:p>
    <w:p w14:paraId="348E75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8514A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1B30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3.3.5 承包人擅自更换主要施工管理人员，或前述人员未经监理人或发包人同意擅自离开施工现场的，应按照专用合同条款约定承担违约责任。</w:t>
      </w:r>
    </w:p>
    <w:p w14:paraId="0B3332A9">
      <w:pPr>
        <w:pStyle w:val="6"/>
        <w:spacing w:before="120" w:after="120" w:line="312" w:lineRule="auto"/>
        <w:ind w:firstLine="480" w:firstLineChars="200"/>
        <w:rPr>
          <w:rFonts w:hint="eastAsia" w:ascii="宋体" w:hAnsi="宋体" w:cs="宋体"/>
          <w:b w:val="0"/>
          <w:color w:val="auto"/>
          <w:sz w:val="24"/>
          <w:szCs w:val="24"/>
          <w:highlight w:val="none"/>
        </w:rPr>
      </w:pPr>
      <w:bookmarkStart w:id="205" w:name="_Toc351203522"/>
      <w:r>
        <w:rPr>
          <w:rFonts w:hint="eastAsia" w:ascii="宋体" w:hAnsi="宋体" w:cs="宋体"/>
          <w:b w:val="0"/>
          <w:color w:val="auto"/>
          <w:sz w:val="24"/>
          <w:szCs w:val="24"/>
          <w:highlight w:val="none"/>
        </w:rPr>
        <w:t>3</w:t>
      </w:r>
      <w:bookmarkStart w:id="206" w:name="_Toc337558750"/>
      <w:bookmarkStart w:id="207" w:name="_Toc296346551"/>
      <w:bookmarkStart w:id="208" w:name="_Toc296503050"/>
      <w:r>
        <w:rPr>
          <w:rFonts w:hint="eastAsia" w:ascii="宋体" w:hAnsi="宋体" w:cs="宋体"/>
          <w:b w:val="0"/>
          <w:color w:val="auto"/>
          <w:sz w:val="24"/>
          <w:szCs w:val="24"/>
          <w:highlight w:val="none"/>
        </w:rPr>
        <w:t>.4 承包人现场查勘</w:t>
      </w:r>
      <w:bookmarkEnd w:id="205"/>
    </w:p>
    <w:bookmarkEnd w:id="206"/>
    <w:bookmarkEnd w:id="207"/>
    <w:bookmarkEnd w:id="208"/>
    <w:p w14:paraId="462B43FA">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04DBAB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A570914">
      <w:pPr>
        <w:pStyle w:val="6"/>
        <w:spacing w:before="120" w:after="120" w:line="312" w:lineRule="auto"/>
        <w:ind w:firstLine="480" w:firstLineChars="200"/>
        <w:rPr>
          <w:rFonts w:hint="eastAsia" w:ascii="宋体" w:hAnsi="宋体" w:cs="宋体"/>
          <w:b w:val="0"/>
          <w:color w:val="auto"/>
          <w:sz w:val="24"/>
          <w:szCs w:val="24"/>
          <w:highlight w:val="none"/>
        </w:rPr>
      </w:pPr>
      <w:bookmarkStart w:id="209" w:name="_Toc351203523"/>
      <w:r>
        <w:rPr>
          <w:rFonts w:hint="eastAsia" w:ascii="宋体" w:hAnsi="宋体" w:cs="宋体"/>
          <w:b w:val="0"/>
          <w:color w:val="auto"/>
          <w:sz w:val="24"/>
          <w:szCs w:val="24"/>
          <w:highlight w:val="none"/>
        </w:rPr>
        <w:t>3</w:t>
      </w:r>
      <w:bookmarkStart w:id="210" w:name="_Toc296346552"/>
      <w:bookmarkStart w:id="211" w:name="_Toc337558751"/>
      <w:bookmarkStart w:id="212" w:name="_Toc296503051"/>
      <w:r>
        <w:rPr>
          <w:rFonts w:hint="eastAsia" w:ascii="宋体" w:hAnsi="宋体" w:cs="宋体"/>
          <w:b w:val="0"/>
          <w:color w:val="auto"/>
          <w:sz w:val="24"/>
          <w:szCs w:val="24"/>
          <w:highlight w:val="none"/>
        </w:rPr>
        <w:t>.5 分包</w:t>
      </w:r>
      <w:bookmarkEnd w:id="209"/>
    </w:p>
    <w:bookmarkEnd w:id="210"/>
    <w:bookmarkEnd w:id="211"/>
    <w:bookmarkEnd w:id="212"/>
    <w:p w14:paraId="78044BA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3.5.1 分包的一般约定</w:t>
      </w:r>
    </w:p>
    <w:p w14:paraId="57D774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FAD7C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承包人不得以劳务分包的名义转包或违法分包工程。</w:t>
      </w:r>
    </w:p>
    <w:p w14:paraId="3D8FAF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3.5.2 分包的确定</w:t>
      </w:r>
    </w:p>
    <w:p w14:paraId="4C3FFA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D7376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3.5.3 分包管理</w:t>
      </w:r>
    </w:p>
    <w:p w14:paraId="619334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675F4F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3.5.4 分包合同价款</w:t>
      </w:r>
    </w:p>
    <w:p w14:paraId="4E735C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3AA8C97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（2）生效法律文书要求发包人向分包人支付分包合同价款的，发包人有权从应付承包人工程款中扣除该部分款项。</w:t>
      </w:r>
    </w:p>
    <w:p w14:paraId="7844DB3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3.5.5 分包合同权益的转让</w:t>
      </w:r>
    </w:p>
    <w:p w14:paraId="049B1E7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4DED296D">
      <w:pPr>
        <w:pStyle w:val="6"/>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3.6 工程照管与成品、半成品保护</w:t>
      </w:r>
      <w:bookmarkEnd w:id="213"/>
    </w:p>
    <w:p w14:paraId="1E5B25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29ACE1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（2）在承包人负责照管期间，因承包人原因造成工程、材料、工程设备损坏的，由承包人负责修复或更换，并承担由此增加的费用和（或）延误的工期。</w:t>
      </w:r>
    </w:p>
    <w:p w14:paraId="685486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DB5FF02">
      <w:pPr>
        <w:pStyle w:val="6"/>
        <w:spacing w:before="120" w:after="120" w:line="312" w:lineRule="auto"/>
        <w:ind w:firstLine="480" w:firstLineChars="200"/>
        <w:rPr>
          <w:rFonts w:hint="eastAsia" w:ascii="宋体" w:hAnsi="宋体" w:cs="宋体"/>
          <w:b w:val="0"/>
          <w:color w:val="auto"/>
          <w:sz w:val="24"/>
          <w:szCs w:val="24"/>
          <w:highlight w:val="none"/>
        </w:rPr>
      </w:pPr>
      <w:bookmarkStart w:id="214" w:name="_Toc351203525"/>
      <w:r>
        <w:rPr>
          <w:rFonts w:hint="eastAsia" w:ascii="宋体" w:hAnsi="宋体" w:cs="宋体"/>
          <w:b w:val="0"/>
          <w:color w:val="auto"/>
          <w:sz w:val="24"/>
          <w:szCs w:val="24"/>
          <w:highlight w:val="none"/>
        </w:rPr>
        <w:t>3</w:t>
      </w:r>
      <w:bookmarkStart w:id="215" w:name="_Toc296346553"/>
      <w:bookmarkStart w:id="216" w:name="_Toc337558752"/>
      <w:bookmarkStart w:id="217" w:name="_Toc296503052"/>
      <w:r>
        <w:rPr>
          <w:rFonts w:hint="eastAsia" w:ascii="宋体" w:hAnsi="宋体" w:cs="宋体"/>
          <w:b w:val="0"/>
          <w:color w:val="auto"/>
          <w:sz w:val="24"/>
          <w:szCs w:val="24"/>
          <w:highlight w:val="none"/>
        </w:rPr>
        <w:t>.7 履约担保</w:t>
      </w:r>
      <w:bookmarkEnd w:id="214"/>
    </w:p>
    <w:bookmarkEnd w:id="215"/>
    <w:bookmarkEnd w:id="216"/>
    <w:bookmarkEnd w:id="217"/>
    <w:p w14:paraId="1A04A96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FE468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389669A1">
      <w:pPr>
        <w:pStyle w:val="6"/>
        <w:spacing w:before="120" w:after="120" w:line="312" w:lineRule="auto"/>
        <w:ind w:firstLine="480" w:firstLineChars="200"/>
        <w:rPr>
          <w:rFonts w:hint="eastAsia" w:ascii="宋体" w:hAnsi="宋体" w:cs="宋体"/>
          <w:b w:val="0"/>
          <w:color w:val="auto"/>
          <w:sz w:val="24"/>
          <w:szCs w:val="24"/>
          <w:highlight w:val="none"/>
        </w:rPr>
      </w:pPr>
      <w:bookmarkStart w:id="218" w:name="_Toc351203526"/>
      <w:r>
        <w:rPr>
          <w:rFonts w:hint="eastAsia" w:ascii="宋体" w:hAnsi="宋体" w:cs="宋体"/>
          <w:b w:val="0"/>
          <w:color w:val="auto"/>
          <w:sz w:val="24"/>
          <w:szCs w:val="24"/>
          <w:highlight w:val="none"/>
        </w:rPr>
        <w:t>3.8 联合体</w:t>
      </w:r>
      <w:bookmarkEnd w:id="218"/>
    </w:p>
    <w:p w14:paraId="7D5F0C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3.8.1 联合体各方应共同与发包人签订合同协议书。联合体各方应为履行合同向发包人承担连带责任。</w:t>
      </w:r>
    </w:p>
    <w:p w14:paraId="426D4BC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3.8.2 联合体协议经发包人确认后作为合同附件。在履行合同过程中，未经发包人同意，不得修改联合体协议。</w:t>
      </w:r>
    </w:p>
    <w:p w14:paraId="7600ED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3.8.3 联合体牵头人负责与发包人和监理人联系，并接受指示，负责组织联合体各成员全面履行合同。</w:t>
      </w:r>
    </w:p>
    <w:p w14:paraId="1CA544E3">
      <w:pPr>
        <w:pStyle w:val="5"/>
        <w:spacing w:before="120" w:after="120" w:line="312" w:lineRule="auto"/>
        <w:rPr>
          <w:rFonts w:hint="eastAsia"/>
          <w:b w:val="0"/>
          <w:color w:val="auto"/>
          <w:sz w:val="24"/>
          <w:szCs w:val="24"/>
          <w:highlight w:val="none"/>
        </w:rPr>
      </w:pPr>
      <w:bookmarkStart w:id="219" w:name="_Toc351203527"/>
      <w:r>
        <w:rPr>
          <w:rFonts w:hint="eastAsia"/>
          <w:b w:val="0"/>
          <w:color w:val="auto"/>
          <w:sz w:val="24"/>
          <w:szCs w:val="24"/>
          <w:highlight w:val="none"/>
        </w:rPr>
        <w:t>4</w:t>
      </w:r>
      <w:bookmarkStart w:id="220" w:name="_Toc296503053"/>
      <w:bookmarkStart w:id="221" w:name="_Toc296346554"/>
      <w:bookmarkStart w:id="222" w:name="_Toc337558753"/>
      <w:r>
        <w:rPr>
          <w:rFonts w:hint="eastAsia"/>
          <w:b w:val="0"/>
          <w:color w:val="auto"/>
          <w:sz w:val="24"/>
          <w:szCs w:val="24"/>
          <w:highlight w:val="none"/>
        </w:rPr>
        <w:t>. 监</w:t>
      </w:r>
      <w:bookmarkEnd w:id="220"/>
      <w:bookmarkEnd w:id="221"/>
      <w:r>
        <w:rPr>
          <w:rFonts w:hint="eastAsia"/>
          <w:b w:val="0"/>
          <w:color w:val="auto"/>
          <w:sz w:val="24"/>
          <w:szCs w:val="24"/>
          <w:highlight w:val="none"/>
        </w:rPr>
        <w:t>理人</w:t>
      </w:r>
      <w:bookmarkEnd w:id="219"/>
    </w:p>
    <w:bookmarkEnd w:id="222"/>
    <w:p w14:paraId="0B508139">
      <w:pPr>
        <w:pStyle w:val="6"/>
        <w:spacing w:before="120" w:after="120" w:line="312" w:lineRule="auto"/>
        <w:ind w:firstLine="480" w:firstLineChars="200"/>
        <w:rPr>
          <w:rFonts w:hint="eastAsia" w:ascii="宋体" w:hAnsi="宋体" w:cs="宋体"/>
          <w:b w:val="0"/>
          <w:color w:val="auto"/>
          <w:sz w:val="24"/>
          <w:szCs w:val="24"/>
          <w:highlight w:val="none"/>
        </w:rPr>
      </w:pPr>
      <w:bookmarkStart w:id="223" w:name="_Toc351203528"/>
      <w:r>
        <w:rPr>
          <w:rFonts w:hint="eastAsia" w:ascii="宋体" w:hAnsi="宋体" w:cs="宋体"/>
          <w:b w:val="0"/>
          <w:color w:val="auto"/>
          <w:sz w:val="24"/>
          <w:szCs w:val="24"/>
          <w:highlight w:val="none"/>
        </w:rPr>
        <w:t>4</w:t>
      </w:r>
      <w:bookmarkStart w:id="224" w:name="_Toc296346555"/>
      <w:bookmarkStart w:id="225" w:name="_Toc337558754"/>
      <w:bookmarkStart w:id="226" w:name="_Toc296503054"/>
      <w:r>
        <w:rPr>
          <w:rFonts w:hint="eastAsia" w:ascii="宋体" w:hAnsi="宋体" w:cs="宋体"/>
          <w:b w:val="0"/>
          <w:color w:val="auto"/>
          <w:sz w:val="24"/>
          <w:szCs w:val="24"/>
          <w:highlight w:val="none"/>
        </w:rPr>
        <w:t>.1监理人的一般规定</w:t>
      </w:r>
      <w:bookmarkEnd w:id="223"/>
    </w:p>
    <w:bookmarkEnd w:id="224"/>
    <w:bookmarkEnd w:id="225"/>
    <w:bookmarkEnd w:id="226"/>
    <w:p w14:paraId="2A7A297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B96B30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除专用合同条款另有约定外，监理人在施工现场的办公场所、生活场所由承包人提供，所发生的费用由发包人承担。</w:t>
      </w:r>
    </w:p>
    <w:p w14:paraId="4F5F98E4">
      <w:pPr>
        <w:pStyle w:val="6"/>
        <w:spacing w:before="120" w:after="120" w:line="312" w:lineRule="auto"/>
        <w:ind w:firstLine="480" w:firstLineChars="200"/>
        <w:rPr>
          <w:rFonts w:hint="eastAsia" w:ascii="宋体" w:hAnsi="宋体" w:cs="宋体"/>
          <w:b w:val="0"/>
          <w:color w:val="auto"/>
          <w:sz w:val="24"/>
          <w:szCs w:val="24"/>
          <w:highlight w:val="none"/>
        </w:rPr>
      </w:pPr>
      <w:bookmarkStart w:id="227" w:name="_Toc351203529"/>
      <w:r>
        <w:rPr>
          <w:rFonts w:hint="eastAsia" w:ascii="宋体" w:hAnsi="宋体" w:cs="宋体"/>
          <w:b w:val="0"/>
          <w:color w:val="auto"/>
          <w:sz w:val="24"/>
          <w:szCs w:val="24"/>
          <w:highlight w:val="none"/>
        </w:rPr>
        <w:t>4</w:t>
      </w:r>
      <w:bookmarkStart w:id="228" w:name="_Toc337558755"/>
      <w:r>
        <w:rPr>
          <w:rFonts w:hint="eastAsia" w:ascii="宋体" w:hAnsi="宋体" w:cs="宋体"/>
          <w:b w:val="0"/>
          <w:color w:val="auto"/>
          <w:sz w:val="24"/>
          <w:szCs w:val="24"/>
          <w:highlight w:val="none"/>
        </w:rPr>
        <w:t>.2监理人员</w:t>
      </w:r>
      <w:bookmarkEnd w:id="227"/>
    </w:p>
    <w:bookmarkEnd w:id="228"/>
    <w:p w14:paraId="217952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655188C">
      <w:pPr>
        <w:pStyle w:val="6"/>
        <w:spacing w:before="120" w:after="120" w:line="312" w:lineRule="auto"/>
        <w:ind w:firstLine="480" w:firstLineChars="200"/>
        <w:rPr>
          <w:rFonts w:hint="eastAsia" w:ascii="宋体" w:hAnsi="宋体" w:cs="宋体"/>
          <w:b w:val="0"/>
          <w:color w:val="auto"/>
          <w:sz w:val="24"/>
          <w:szCs w:val="24"/>
          <w:highlight w:val="none"/>
        </w:rPr>
      </w:pPr>
      <w:bookmarkStart w:id="229" w:name="_Toc351203530"/>
      <w:r>
        <w:rPr>
          <w:rFonts w:hint="eastAsia" w:ascii="宋体" w:hAnsi="宋体" w:cs="宋体"/>
          <w:b w:val="0"/>
          <w:color w:val="auto"/>
          <w:sz w:val="24"/>
          <w:szCs w:val="24"/>
          <w:highlight w:val="none"/>
        </w:rPr>
        <w:t>4</w:t>
      </w:r>
      <w:bookmarkStart w:id="230" w:name="_Toc296503055"/>
      <w:bookmarkStart w:id="231" w:name="_Toc296346556"/>
      <w:bookmarkStart w:id="232" w:name="_Toc337558756"/>
      <w:r>
        <w:rPr>
          <w:rFonts w:hint="eastAsia" w:ascii="宋体" w:hAnsi="宋体" w:cs="宋体"/>
          <w:b w:val="0"/>
          <w:color w:val="auto"/>
          <w:sz w:val="24"/>
          <w:szCs w:val="24"/>
          <w:highlight w:val="none"/>
        </w:rPr>
        <w:t>.3</w:t>
      </w:r>
      <w:bookmarkEnd w:id="230"/>
      <w:bookmarkEnd w:id="231"/>
      <w:r>
        <w:rPr>
          <w:rFonts w:hint="eastAsia" w:ascii="宋体" w:hAnsi="宋体" w:cs="宋体"/>
          <w:b w:val="0"/>
          <w:color w:val="auto"/>
          <w:sz w:val="24"/>
          <w:szCs w:val="24"/>
          <w:highlight w:val="none"/>
        </w:rPr>
        <w:t>监理人的指</w:t>
      </w:r>
      <w:bookmarkEnd w:id="232"/>
      <w:r>
        <w:rPr>
          <w:rFonts w:hint="eastAsia" w:ascii="宋体" w:hAnsi="宋体" w:cs="宋体"/>
          <w:b w:val="0"/>
          <w:color w:val="auto"/>
          <w:sz w:val="24"/>
          <w:szCs w:val="24"/>
          <w:highlight w:val="none"/>
        </w:rPr>
        <w:t>示</w:t>
      </w:r>
      <w:bookmarkEnd w:id="229"/>
    </w:p>
    <w:p w14:paraId="499B8E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FBC3D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389ED9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7D6BF8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226F14D">
      <w:pPr>
        <w:pStyle w:val="5"/>
        <w:spacing w:before="120" w:after="120" w:line="312" w:lineRule="auto"/>
        <w:ind w:firstLine="480" w:firstLineChars="200"/>
        <w:rPr>
          <w:rFonts w:hint="eastAsia"/>
          <w:b w:val="0"/>
          <w:color w:val="auto"/>
          <w:sz w:val="24"/>
          <w:szCs w:val="24"/>
          <w:highlight w:val="none"/>
        </w:rPr>
      </w:pPr>
      <w:bookmarkStart w:id="233" w:name="_Toc351203531"/>
      <w:r>
        <w:rPr>
          <w:rFonts w:hint="eastAsia"/>
          <w:b w:val="0"/>
          <w:color w:val="auto"/>
          <w:sz w:val="24"/>
          <w:szCs w:val="24"/>
          <w:highlight w:val="none"/>
        </w:rPr>
        <w:t>4</w:t>
      </w:r>
      <w:bookmarkStart w:id="234" w:name="_Toc296346558"/>
      <w:bookmarkStart w:id="235" w:name="_Toc337558757"/>
      <w:bookmarkStart w:id="236" w:name="_Toc296503057"/>
      <w:r>
        <w:rPr>
          <w:rFonts w:hint="eastAsia"/>
          <w:b w:val="0"/>
          <w:color w:val="auto"/>
          <w:sz w:val="24"/>
          <w:szCs w:val="24"/>
          <w:highlight w:val="none"/>
        </w:rPr>
        <w:t>.4 商定或确定</w:t>
      </w:r>
      <w:bookmarkEnd w:id="233"/>
    </w:p>
    <w:bookmarkEnd w:id="234"/>
    <w:bookmarkEnd w:id="235"/>
    <w:bookmarkEnd w:id="236"/>
    <w:p w14:paraId="1B03E0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7EC1C9A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B63303D">
      <w:pPr>
        <w:pStyle w:val="5"/>
        <w:spacing w:before="120" w:after="120" w:line="312" w:lineRule="auto"/>
        <w:rPr>
          <w:rFonts w:hint="eastAsia"/>
          <w:b w:val="0"/>
          <w:color w:val="auto"/>
          <w:sz w:val="24"/>
          <w:szCs w:val="24"/>
          <w:highlight w:val="none"/>
        </w:rPr>
      </w:pPr>
      <w:bookmarkStart w:id="237" w:name="_Toc351203532"/>
      <w:r>
        <w:rPr>
          <w:rFonts w:hint="eastAsia"/>
          <w:b w:val="0"/>
          <w:color w:val="auto"/>
          <w:sz w:val="24"/>
          <w:szCs w:val="24"/>
          <w:highlight w:val="none"/>
        </w:rPr>
        <w:t>5</w:t>
      </w:r>
      <w:bookmarkStart w:id="238" w:name="_Toc337558758"/>
      <w:r>
        <w:rPr>
          <w:rFonts w:hint="eastAsia"/>
          <w:b w:val="0"/>
          <w:color w:val="auto"/>
          <w:sz w:val="24"/>
          <w:szCs w:val="24"/>
          <w:highlight w:val="none"/>
        </w:rPr>
        <w:t>. 工程质量</w:t>
      </w:r>
      <w:bookmarkEnd w:id="237"/>
    </w:p>
    <w:bookmarkEnd w:id="238"/>
    <w:p w14:paraId="573E8321">
      <w:pPr>
        <w:pStyle w:val="6"/>
        <w:spacing w:before="120" w:after="120" w:line="312" w:lineRule="auto"/>
        <w:ind w:firstLine="480" w:firstLineChars="200"/>
        <w:rPr>
          <w:rFonts w:hint="eastAsia" w:ascii="宋体" w:hAnsi="宋体" w:cs="宋体"/>
          <w:b w:val="0"/>
          <w:color w:val="auto"/>
          <w:sz w:val="24"/>
          <w:szCs w:val="24"/>
          <w:highlight w:val="none"/>
        </w:rPr>
      </w:pPr>
      <w:bookmarkStart w:id="239" w:name="_Toc351203533"/>
      <w:r>
        <w:rPr>
          <w:rFonts w:hint="eastAsia" w:ascii="宋体" w:hAnsi="宋体" w:cs="宋体"/>
          <w:b w:val="0"/>
          <w:color w:val="auto"/>
          <w:sz w:val="24"/>
          <w:szCs w:val="24"/>
          <w:highlight w:val="none"/>
        </w:rPr>
        <w:t>5</w:t>
      </w:r>
      <w:bookmarkStart w:id="240" w:name="_Toc337558759"/>
      <w:r>
        <w:rPr>
          <w:rFonts w:hint="eastAsia" w:ascii="宋体" w:hAnsi="宋体" w:cs="宋体"/>
          <w:b w:val="0"/>
          <w:color w:val="auto"/>
          <w:sz w:val="24"/>
          <w:szCs w:val="24"/>
          <w:highlight w:val="none"/>
        </w:rPr>
        <w:t>.1质量要求</w:t>
      </w:r>
      <w:bookmarkEnd w:id="239"/>
    </w:p>
    <w:bookmarkEnd w:id="240"/>
    <w:p w14:paraId="143963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78A26F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5.1.2 因发包人原因造成工程质量未达到合同约定标准的，由发包人承担由此增加的费用和（或）延误的工期，并支付承包人合理的利润。</w:t>
      </w:r>
    </w:p>
    <w:p w14:paraId="0AAC24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0907AB09">
      <w:pPr>
        <w:pStyle w:val="6"/>
        <w:spacing w:before="120" w:after="120" w:line="312" w:lineRule="auto"/>
        <w:ind w:firstLine="480" w:firstLineChars="200"/>
        <w:rPr>
          <w:rFonts w:hint="eastAsia" w:ascii="宋体" w:hAnsi="宋体" w:cs="宋体"/>
          <w:b w:val="0"/>
          <w:color w:val="auto"/>
          <w:sz w:val="24"/>
          <w:szCs w:val="24"/>
          <w:highlight w:val="none"/>
        </w:rPr>
      </w:pPr>
      <w:bookmarkStart w:id="241" w:name="_Toc351203534"/>
      <w:r>
        <w:rPr>
          <w:rFonts w:hint="eastAsia" w:ascii="宋体" w:hAnsi="宋体" w:cs="宋体"/>
          <w:b w:val="0"/>
          <w:color w:val="auto"/>
          <w:sz w:val="24"/>
          <w:szCs w:val="24"/>
          <w:highlight w:val="none"/>
        </w:rPr>
        <w:t>5</w:t>
      </w:r>
      <w:bookmarkStart w:id="242" w:name="_Toc337558760"/>
      <w:r>
        <w:rPr>
          <w:rFonts w:hint="eastAsia" w:ascii="宋体" w:hAnsi="宋体" w:cs="宋体"/>
          <w:b w:val="0"/>
          <w:color w:val="auto"/>
          <w:sz w:val="24"/>
          <w:szCs w:val="24"/>
          <w:highlight w:val="none"/>
        </w:rPr>
        <w:t>.2质量保证措施</w:t>
      </w:r>
      <w:bookmarkEnd w:id="241"/>
    </w:p>
    <w:bookmarkEnd w:id="242"/>
    <w:p w14:paraId="063935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5.2.1 发包人的质量管理</w:t>
      </w:r>
    </w:p>
    <w:p w14:paraId="5BD41E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发包人应按照法律规定及合同约定完成与工程质量有关的各项工作。</w:t>
      </w:r>
    </w:p>
    <w:p w14:paraId="73A6C0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5.2.2 承包人的质量管理</w:t>
      </w:r>
    </w:p>
    <w:p w14:paraId="5F2399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3CC718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承包人应对施工人员进行质量教育和技术培训，定期考核施工人员的劳动技能，严格执行施工规范和操作规程。</w:t>
      </w:r>
    </w:p>
    <w:p w14:paraId="052BE1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F663CC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5.2.3 监理人的质量检查和检验</w:t>
      </w:r>
    </w:p>
    <w:p w14:paraId="1036F5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77A49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964902D">
      <w:pPr>
        <w:pStyle w:val="6"/>
        <w:spacing w:before="120" w:after="120" w:line="312" w:lineRule="auto"/>
        <w:ind w:firstLine="480" w:firstLineChars="200"/>
        <w:rPr>
          <w:rFonts w:hint="eastAsia" w:ascii="宋体" w:hAnsi="宋体" w:cs="宋体"/>
          <w:b w:val="0"/>
          <w:color w:val="auto"/>
          <w:sz w:val="24"/>
          <w:szCs w:val="24"/>
          <w:highlight w:val="none"/>
        </w:rPr>
      </w:pPr>
      <w:bookmarkStart w:id="243" w:name="_Toc351203535"/>
      <w:r>
        <w:rPr>
          <w:rFonts w:hint="eastAsia" w:ascii="宋体" w:hAnsi="宋体" w:cs="宋体"/>
          <w:b w:val="0"/>
          <w:color w:val="auto"/>
          <w:sz w:val="24"/>
          <w:szCs w:val="24"/>
          <w:highlight w:val="none"/>
        </w:rPr>
        <w:t>5</w:t>
      </w:r>
      <w:bookmarkStart w:id="244" w:name="_Toc337558761"/>
      <w:r>
        <w:rPr>
          <w:rFonts w:hint="eastAsia" w:ascii="宋体" w:hAnsi="宋体" w:cs="宋体"/>
          <w:b w:val="0"/>
          <w:color w:val="auto"/>
          <w:sz w:val="24"/>
          <w:szCs w:val="24"/>
          <w:highlight w:val="none"/>
        </w:rPr>
        <w:t>.3 隐蔽工程检查</w:t>
      </w:r>
      <w:bookmarkEnd w:id="243"/>
    </w:p>
    <w:bookmarkEnd w:id="244"/>
    <w:p w14:paraId="41FBBB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5.3.1承包人自检</w:t>
      </w:r>
    </w:p>
    <w:p w14:paraId="715BD7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承包人应当对工程隐蔽部位进行自检，并经自检确认是否具备覆盖条件。</w:t>
      </w:r>
    </w:p>
    <w:p w14:paraId="6B7797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5.3.2检查程序</w:t>
      </w:r>
    </w:p>
    <w:p w14:paraId="65FC2C2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63754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3B734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67093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5.3.3 重新检查</w:t>
      </w:r>
    </w:p>
    <w:p w14:paraId="27CEF49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98A30F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5.3.4 承包人私自覆盖</w:t>
      </w:r>
    </w:p>
    <w:p w14:paraId="5585C4C8">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07DAFDF5">
      <w:pPr>
        <w:pStyle w:val="6"/>
        <w:spacing w:before="120" w:after="120" w:line="312" w:lineRule="auto"/>
        <w:ind w:firstLine="480" w:firstLineChars="200"/>
        <w:rPr>
          <w:rFonts w:hint="eastAsia" w:ascii="宋体" w:hAnsi="宋体" w:cs="宋体"/>
          <w:b w:val="0"/>
          <w:color w:val="auto"/>
          <w:sz w:val="24"/>
          <w:szCs w:val="24"/>
          <w:highlight w:val="none"/>
        </w:rPr>
      </w:pPr>
      <w:bookmarkStart w:id="245" w:name="_Toc351203536"/>
      <w:r>
        <w:rPr>
          <w:rFonts w:hint="eastAsia" w:ascii="宋体" w:hAnsi="宋体" w:cs="宋体"/>
          <w:b w:val="0"/>
          <w:color w:val="auto"/>
          <w:sz w:val="24"/>
          <w:szCs w:val="24"/>
          <w:highlight w:val="none"/>
        </w:rPr>
        <w:t>5</w:t>
      </w:r>
      <w:bookmarkStart w:id="246" w:name="_Toc337558762"/>
      <w:r>
        <w:rPr>
          <w:rFonts w:hint="eastAsia" w:ascii="宋体" w:hAnsi="宋体" w:cs="宋体"/>
          <w:b w:val="0"/>
          <w:color w:val="auto"/>
          <w:sz w:val="24"/>
          <w:szCs w:val="24"/>
          <w:highlight w:val="none"/>
        </w:rPr>
        <w:t>.4不合格工程的处理</w:t>
      </w:r>
      <w:bookmarkEnd w:id="245"/>
    </w:p>
    <w:bookmarkEnd w:id="246"/>
    <w:p w14:paraId="774D568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CFE42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5.4.2 因发包人原因造成工程不合格的，由此增加的费用和（或）延误的工期由发包人承担，并支付承包人合理的利润。</w:t>
      </w:r>
    </w:p>
    <w:p w14:paraId="7138DD0A">
      <w:pPr>
        <w:pStyle w:val="6"/>
        <w:spacing w:before="120" w:after="120" w:line="312" w:lineRule="auto"/>
        <w:ind w:firstLine="480" w:firstLineChars="200"/>
        <w:rPr>
          <w:rFonts w:hint="eastAsia" w:ascii="宋体" w:hAnsi="宋体" w:cs="宋体"/>
          <w:b w:val="0"/>
          <w:color w:val="auto"/>
          <w:sz w:val="24"/>
          <w:szCs w:val="24"/>
          <w:highlight w:val="none"/>
        </w:rPr>
      </w:pPr>
      <w:bookmarkStart w:id="247" w:name="_Toc351203537"/>
      <w:r>
        <w:rPr>
          <w:rFonts w:hint="eastAsia" w:ascii="宋体" w:hAnsi="宋体" w:cs="宋体"/>
          <w:b w:val="0"/>
          <w:color w:val="auto"/>
          <w:sz w:val="24"/>
          <w:szCs w:val="24"/>
          <w:highlight w:val="none"/>
        </w:rPr>
        <w:t>5.5 质量争议检测</w:t>
      </w:r>
      <w:bookmarkEnd w:id="247"/>
    </w:p>
    <w:p w14:paraId="2D84AD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合同当事人对工程质量有争议的，由双方协商确定的工程质量检测机构鉴定，由此产生的费用及因此造成的损失，由责任方承担。</w:t>
      </w:r>
    </w:p>
    <w:p w14:paraId="55F7BB14">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合同当事人均有责任的，由双方根据其责任分别承担。合同当事人无法达成一致的，按照第4.4款〔商定或确定〕执行。</w:t>
      </w:r>
    </w:p>
    <w:p w14:paraId="1BD0E302">
      <w:pPr>
        <w:pStyle w:val="5"/>
        <w:spacing w:before="120" w:after="120" w:line="312" w:lineRule="auto"/>
        <w:rPr>
          <w:rFonts w:hint="eastAsia"/>
          <w:b w:val="0"/>
          <w:color w:val="auto"/>
          <w:sz w:val="24"/>
          <w:szCs w:val="24"/>
          <w:highlight w:val="none"/>
        </w:rPr>
      </w:pPr>
      <w:bookmarkStart w:id="248" w:name="_Toc351203538"/>
      <w:r>
        <w:rPr>
          <w:rFonts w:hint="eastAsia"/>
          <w:b w:val="0"/>
          <w:color w:val="auto"/>
          <w:sz w:val="24"/>
          <w:szCs w:val="24"/>
          <w:highlight w:val="none"/>
        </w:rPr>
        <w:t>6</w:t>
      </w:r>
      <w:bookmarkStart w:id="249" w:name="_Toc337558763"/>
      <w:r>
        <w:rPr>
          <w:rFonts w:hint="eastAsia"/>
          <w:b w:val="0"/>
          <w:color w:val="auto"/>
          <w:sz w:val="24"/>
          <w:szCs w:val="24"/>
          <w:highlight w:val="none"/>
        </w:rPr>
        <w:t>. 安全文明施工与环境保护</w:t>
      </w:r>
      <w:bookmarkEnd w:id="248"/>
    </w:p>
    <w:bookmarkEnd w:id="249"/>
    <w:p w14:paraId="37A1770E">
      <w:pPr>
        <w:pStyle w:val="6"/>
        <w:spacing w:before="120" w:after="120" w:line="312" w:lineRule="auto"/>
        <w:ind w:firstLine="480" w:firstLineChars="200"/>
        <w:rPr>
          <w:rFonts w:hint="eastAsia" w:ascii="宋体" w:hAnsi="宋体" w:cs="宋体"/>
          <w:b w:val="0"/>
          <w:color w:val="auto"/>
          <w:sz w:val="24"/>
          <w:szCs w:val="24"/>
          <w:highlight w:val="none"/>
        </w:rPr>
      </w:pPr>
      <w:bookmarkStart w:id="250" w:name="_Toc351203539"/>
      <w:r>
        <w:rPr>
          <w:rFonts w:hint="eastAsia" w:ascii="宋体" w:hAnsi="宋体" w:cs="宋体"/>
          <w:b w:val="0"/>
          <w:color w:val="auto"/>
          <w:sz w:val="24"/>
          <w:szCs w:val="24"/>
          <w:highlight w:val="none"/>
        </w:rPr>
        <w:t>6</w:t>
      </w:r>
      <w:bookmarkStart w:id="251" w:name="_Toc337558764"/>
      <w:r>
        <w:rPr>
          <w:rFonts w:hint="eastAsia" w:ascii="宋体" w:hAnsi="宋体" w:cs="宋体"/>
          <w:b w:val="0"/>
          <w:color w:val="auto"/>
          <w:sz w:val="24"/>
          <w:szCs w:val="24"/>
          <w:highlight w:val="none"/>
        </w:rPr>
        <w:t>.1安全文明施工</w:t>
      </w:r>
      <w:bookmarkEnd w:id="250"/>
    </w:p>
    <w:bookmarkEnd w:id="251"/>
    <w:p w14:paraId="486117D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6.1.1安全生产要求</w:t>
      </w:r>
    </w:p>
    <w:p w14:paraId="4FDBB4E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AB88F3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 w:val="24"/>
          <w:highlight w:val="none"/>
        </w:rPr>
        <w:t>政府有关行政管理部门</w:t>
      </w:r>
      <w:r>
        <w:rPr>
          <w:rFonts w:hint="eastAsia" w:ascii="宋体" w:hAnsi="宋体" w:cs="宋体"/>
          <w:color w:val="auto"/>
          <w:sz w:val="24"/>
          <w:highlight w:val="none"/>
        </w:rPr>
        <w:t>采取应急措施。</w:t>
      </w:r>
    </w:p>
    <w:p w14:paraId="555ADD6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因安全生产需要暂停施工的，按照第7.8款〔暂停施工〕的约定执行。</w:t>
      </w:r>
    </w:p>
    <w:p w14:paraId="19ECFA5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 安全生产保证措施</w:t>
      </w:r>
    </w:p>
    <w:p w14:paraId="334C6C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承包人应当按照有关</w:t>
      </w:r>
      <w:r>
        <w:rPr>
          <w:rFonts w:hint="eastAsia" w:ascii="宋体" w:hAnsi="宋体" w:cs="宋体"/>
          <w:color w:val="auto"/>
          <w:kern w:val="0"/>
          <w:sz w:val="24"/>
          <w:highlight w:val="none"/>
        </w:rPr>
        <w:t>规定编制安全技术措施或者专项施工方案，</w:t>
      </w:r>
      <w:r>
        <w:rPr>
          <w:rFonts w:hint="eastAsia" w:ascii="宋体" w:hAnsi="宋体" w:cs="宋体"/>
          <w:color w:val="auto"/>
          <w:sz w:val="24"/>
          <w:highlight w:val="none"/>
        </w:rPr>
        <w:t>建立安全生产责任制度、治安保卫制度及安全生产教育培训制度，并</w:t>
      </w:r>
      <w:r>
        <w:rPr>
          <w:rFonts w:hint="eastAsia" w:ascii="宋体" w:hAnsi="宋体" w:cs="宋体"/>
          <w:color w:val="auto"/>
          <w:kern w:val="0"/>
          <w:sz w:val="24"/>
          <w:highlight w:val="none"/>
        </w:rPr>
        <w:t>按安全生产法律规定及合同约定履行安全职责，如实</w:t>
      </w:r>
      <w:r>
        <w:rPr>
          <w:rFonts w:hint="eastAsia" w:ascii="宋体" w:hAnsi="宋体" w:cs="宋体"/>
          <w:color w:val="auto"/>
          <w:sz w:val="24"/>
          <w:highlight w:val="none"/>
        </w:rPr>
        <w:t>编制工程安全生产的有关记录，</w:t>
      </w:r>
      <w:r>
        <w:rPr>
          <w:rFonts w:hint="eastAsia" w:ascii="宋体" w:hAnsi="宋体" w:cs="宋体"/>
          <w:color w:val="auto"/>
          <w:kern w:val="0"/>
          <w:sz w:val="24"/>
          <w:highlight w:val="none"/>
        </w:rPr>
        <w:t>接受发包人、监理人及政府安全监督部门的检查与监督。</w:t>
      </w:r>
    </w:p>
    <w:p w14:paraId="15D8A6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6.1.3特别安全生产事项</w:t>
      </w:r>
    </w:p>
    <w:p w14:paraId="3384D08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940D01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67CD92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EA3873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7287C90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 治安保卫</w:t>
      </w:r>
    </w:p>
    <w:p w14:paraId="5E37451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09635F4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发包人和承包人除应协助现场治安管理机构或联防组织维护施工场地的社会治安外，还应做好包括生活区在内的各自管辖区的治安保卫工作。</w:t>
      </w:r>
    </w:p>
    <w:p w14:paraId="4449DB7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074329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6.1.5 文明施工</w:t>
      </w:r>
    </w:p>
    <w:p w14:paraId="64C517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832E5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3950E1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6.1.6 安全文明施工费</w:t>
      </w:r>
    </w:p>
    <w:p w14:paraId="1849D6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63AC5B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63BE45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2B4FB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42D123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6.1.7 紧急情况处理</w:t>
      </w:r>
    </w:p>
    <w:p w14:paraId="2021601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B6F1E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6.1.8 事故处理</w:t>
      </w:r>
    </w:p>
    <w:p w14:paraId="30F5DD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331E7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 安全生产责任</w:t>
      </w:r>
    </w:p>
    <w:p w14:paraId="0C8BEF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6.1.9.1 发包人的安全责任</w:t>
      </w:r>
    </w:p>
    <w:p w14:paraId="6F5D8FD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发包人应负责赔偿以下各种情况造成的损失：</w:t>
      </w:r>
    </w:p>
    <w:p w14:paraId="73653DE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14:paraId="0E054D6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（2）由于发包人原因在施工场地及其毗邻地带造成的第三者人身伤亡和财产损失；</w:t>
      </w:r>
    </w:p>
    <w:p w14:paraId="7C76DA4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（3）由于发包人原因对承包人、监理人造成的人员人身伤亡和财产损失；</w:t>
      </w:r>
    </w:p>
    <w:p w14:paraId="769FE32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（4）由于发包人原因造成的发包人自身人员的人身伤害以及财产损失。</w:t>
      </w:r>
    </w:p>
    <w:p w14:paraId="6EDA2C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6.1.9.2 承包人的安全责任</w:t>
      </w:r>
    </w:p>
    <w:p w14:paraId="42EDFD44">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由于承包人原因在施工场地内及其毗邻地带造成的发包人、监理人以及第三者人员伤亡和财产损失，由承包人负责赔偿。</w:t>
      </w:r>
    </w:p>
    <w:p w14:paraId="3F19F424">
      <w:pPr>
        <w:pStyle w:val="6"/>
        <w:spacing w:before="120" w:after="120" w:line="312" w:lineRule="auto"/>
        <w:ind w:firstLine="480" w:firstLineChars="200"/>
        <w:rPr>
          <w:rFonts w:hint="eastAsia" w:ascii="宋体" w:hAnsi="宋体" w:cs="宋体"/>
          <w:b w:val="0"/>
          <w:color w:val="auto"/>
          <w:sz w:val="24"/>
          <w:szCs w:val="24"/>
          <w:highlight w:val="none"/>
        </w:rPr>
      </w:pPr>
      <w:bookmarkStart w:id="252" w:name="_Toc351203540"/>
      <w:r>
        <w:rPr>
          <w:rFonts w:hint="eastAsia" w:ascii="宋体" w:hAnsi="宋体" w:cs="宋体"/>
          <w:b w:val="0"/>
          <w:color w:val="auto"/>
          <w:sz w:val="24"/>
          <w:szCs w:val="24"/>
          <w:highlight w:val="none"/>
        </w:rPr>
        <w:t>6</w:t>
      </w:r>
      <w:bookmarkStart w:id="253" w:name="_Toc337558765"/>
      <w:r>
        <w:rPr>
          <w:rFonts w:hint="eastAsia" w:ascii="宋体" w:hAnsi="宋体" w:cs="宋体"/>
          <w:b w:val="0"/>
          <w:color w:val="auto"/>
          <w:sz w:val="24"/>
          <w:szCs w:val="24"/>
          <w:highlight w:val="none"/>
        </w:rPr>
        <w:t>.2 职业健康</w:t>
      </w:r>
      <w:bookmarkEnd w:id="252"/>
    </w:p>
    <w:bookmarkEnd w:id="253"/>
    <w:p w14:paraId="61B7EC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6.2.1 劳动保护</w:t>
      </w:r>
    </w:p>
    <w:p w14:paraId="67EAB3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1E716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967CB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DE897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6.2.2 生活条件</w:t>
      </w:r>
    </w:p>
    <w:p w14:paraId="0F19C2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367444">
      <w:pPr>
        <w:pStyle w:val="6"/>
        <w:spacing w:before="120" w:after="120" w:line="312" w:lineRule="auto"/>
        <w:ind w:firstLine="480" w:firstLineChars="200"/>
        <w:rPr>
          <w:rFonts w:hint="eastAsia" w:ascii="宋体" w:hAnsi="宋体" w:cs="宋体"/>
          <w:b w:val="0"/>
          <w:color w:val="auto"/>
          <w:sz w:val="24"/>
          <w:szCs w:val="24"/>
          <w:highlight w:val="none"/>
        </w:rPr>
      </w:pPr>
      <w:bookmarkStart w:id="254" w:name="_Toc351203541"/>
      <w:r>
        <w:rPr>
          <w:rFonts w:hint="eastAsia" w:ascii="宋体" w:hAnsi="宋体" w:cs="宋体"/>
          <w:b w:val="0"/>
          <w:color w:val="auto"/>
          <w:sz w:val="24"/>
          <w:szCs w:val="24"/>
          <w:highlight w:val="none"/>
        </w:rPr>
        <w:t>6</w:t>
      </w:r>
      <w:bookmarkStart w:id="255" w:name="_Toc337558766"/>
      <w:r>
        <w:rPr>
          <w:rFonts w:hint="eastAsia" w:ascii="宋体" w:hAnsi="宋体" w:cs="宋体"/>
          <w:b w:val="0"/>
          <w:color w:val="auto"/>
          <w:sz w:val="24"/>
          <w:szCs w:val="24"/>
          <w:highlight w:val="none"/>
        </w:rPr>
        <w:t>.3 环境保护</w:t>
      </w:r>
      <w:bookmarkEnd w:id="254"/>
    </w:p>
    <w:bookmarkEnd w:id="255"/>
    <w:p w14:paraId="4617451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5C2953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14E4381A">
      <w:pPr>
        <w:pStyle w:val="5"/>
        <w:spacing w:before="120" w:after="120" w:line="312" w:lineRule="auto"/>
        <w:rPr>
          <w:rFonts w:hint="eastAsia"/>
          <w:b w:val="0"/>
          <w:color w:val="auto"/>
          <w:sz w:val="24"/>
          <w:szCs w:val="24"/>
          <w:highlight w:val="none"/>
        </w:rPr>
      </w:pPr>
      <w:bookmarkStart w:id="256" w:name="_Toc351203542"/>
      <w:r>
        <w:rPr>
          <w:rFonts w:hint="eastAsia"/>
          <w:b w:val="0"/>
          <w:color w:val="auto"/>
          <w:sz w:val="24"/>
          <w:szCs w:val="24"/>
          <w:highlight w:val="none"/>
        </w:rPr>
        <w:t>7</w:t>
      </w:r>
      <w:bookmarkStart w:id="257" w:name="_Toc337558767"/>
      <w:r>
        <w:rPr>
          <w:rFonts w:hint="eastAsia"/>
          <w:b w:val="0"/>
          <w:color w:val="auto"/>
          <w:sz w:val="24"/>
          <w:szCs w:val="24"/>
          <w:highlight w:val="none"/>
        </w:rPr>
        <w:t>. 工期和进度</w:t>
      </w:r>
      <w:bookmarkEnd w:id="256"/>
    </w:p>
    <w:bookmarkEnd w:id="257"/>
    <w:p w14:paraId="1249095A">
      <w:pPr>
        <w:pStyle w:val="6"/>
        <w:spacing w:before="120" w:after="120" w:line="312" w:lineRule="auto"/>
        <w:ind w:firstLine="480" w:firstLineChars="200"/>
        <w:rPr>
          <w:rFonts w:hint="eastAsia" w:ascii="宋体" w:hAnsi="宋体" w:cs="宋体"/>
          <w:b w:val="0"/>
          <w:color w:val="auto"/>
          <w:sz w:val="24"/>
          <w:szCs w:val="24"/>
          <w:highlight w:val="none"/>
        </w:rPr>
      </w:pPr>
      <w:bookmarkStart w:id="258" w:name="_Toc351203543"/>
      <w:r>
        <w:rPr>
          <w:rFonts w:hint="eastAsia" w:ascii="宋体" w:hAnsi="宋体" w:cs="宋体"/>
          <w:b w:val="0"/>
          <w:color w:val="auto"/>
          <w:sz w:val="24"/>
          <w:szCs w:val="24"/>
          <w:highlight w:val="none"/>
        </w:rPr>
        <w:t>7</w:t>
      </w:r>
      <w:bookmarkStart w:id="259" w:name="_Toc337558768"/>
      <w:bookmarkStart w:id="260" w:name="_Toc296503066"/>
      <w:bookmarkStart w:id="261" w:name="_Toc296346567"/>
      <w:r>
        <w:rPr>
          <w:rFonts w:hint="eastAsia" w:ascii="宋体" w:hAnsi="宋体" w:cs="宋体"/>
          <w:b w:val="0"/>
          <w:color w:val="auto"/>
          <w:sz w:val="24"/>
          <w:szCs w:val="24"/>
          <w:highlight w:val="none"/>
        </w:rPr>
        <w:t>.1施工组织设计</w:t>
      </w:r>
      <w:bookmarkEnd w:id="258"/>
    </w:p>
    <w:bookmarkEnd w:id="259"/>
    <w:p w14:paraId="16F875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7.1.1 </w:t>
      </w:r>
      <w:r>
        <w:rPr>
          <w:rFonts w:hint="eastAsia" w:ascii="宋体" w:hAnsi="宋体" w:cs="宋体"/>
          <w:color w:val="auto"/>
          <w:kern w:val="0"/>
          <w:sz w:val="24"/>
          <w:highlight w:val="none"/>
        </w:rPr>
        <w:t>施工组织设计的内容</w:t>
      </w:r>
    </w:p>
    <w:p w14:paraId="54B6CA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施工组织设计应包含以下内容：</w:t>
      </w:r>
    </w:p>
    <w:p w14:paraId="038472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（1）施工方案； </w:t>
      </w:r>
    </w:p>
    <w:p w14:paraId="0B2235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（2）施工现场平面布置图；</w:t>
      </w:r>
    </w:p>
    <w:p w14:paraId="3A7182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（3）施工进度计划和保证措施； </w:t>
      </w:r>
    </w:p>
    <w:p w14:paraId="2FBB01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（4）劳动力及材料供应计划；</w:t>
      </w:r>
    </w:p>
    <w:p w14:paraId="343AF9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（5）施工机械设备的选用；</w:t>
      </w:r>
    </w:p>
    <w:p w14:paraId="558A0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（6）质量保证体系及措施；</w:t>
      </w:r>
    </w:p>
    <w:p w14:paraId="2BD27A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（7）安全生产、文明施工措施；</w:t>
      </w:r>
    </w:p>
    <w:p w14:paraId="44C177A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（8）环境保护、成本控制措施；</w:t>
      </w:r>
    </w:p>
    <w:p w14:paraId="4D1776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（9）合同当事人约定的其他内容。</w:t>
      </w:r>
    </w:p>
    <w:p w14:paraId="1838D8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7.1.2 </w:t>
      </w:r>
      <w:r>
        <w:rPr>
          <w:rFonts w:hint="eastAsia" w:ascii="宋体" w:hAnsi="宋体" w:cs="宋体"/>
          <w:color w:val="auto"/>
          <w:kern w:val="0"/>
          <w:sz w:val="24"/>
          <w:highlight w:val="none"/>
        </w:rPr>
        <w:t>施工组织设计的提交和修改</w:t>
      </w:r>
    </w:p>
    <w:p w14:paraId="57C45E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35D07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施工进度计划的编制和修改按照第7.2款〔施工进度计划〕执行。</w:t>
      </w:r>
    </w:p>
    <w:p w14:paraId="42FBC426">
      <w:pPr>
        <w:pStyle w:val="6"/>
        <w:spacing w:before="120" w:after="120" w:line="312" w:lineRule="auto"/>
        <w:ind w:firstLine="480" w:firstLineChars="200"/>
        <w:rPr>
          <w:rFonts w:hint="eastAsia" w:ascii="宋体" w:hAnsi="宋体" w:cs="宋体"/>
          <w:b w:val="0"/>
          <w:color w:val="auto"/>
          <w:sz w:val="24"/>
          <w:szCs w:val="24"/>
          <w:highlight w:val="none"/>
        </w:rPr>
      </w:pPr>
      <w:bookmarkStart w:id="262" w:name="_Toc351203544"/>
      <w:r>
        <w:rPr>
          <w:rFonts w:hint="eastAsia" w:ascii="宋体" w:hAnsi="宋体" w:cs="宋体"/>
          <w:b w:val="0"/>
          <w:color w:val="auto"/>
          <w:sz w:val="24"/>
          <w:szCs w:val="24"/>
          <w:highlight w:val="none"/>
        </w:rPr>
        <w:t>7</w:t>
      </w:r>
      <w:bookmarkStart w:id="263" w:name="_Toc337558769"/>
      <w:r>
        <w:rPr>
          <w:rFonts w:hint="eastAsia" w:ascii="宋体" w:hAnsi="宋体" w:cs="宋体"/>
          <w:b w:val="0"/>
          <w:color w:val="auto"/>
          <w:sz w:val="24"/>
          <w:szCs w:val="24"/>
          <w:highlight w:val="none"/>
        </w:rPr>
        <w:t>.2 施工进度计划</w:t>
      </w:r>
      <w:bookmarkEnd w:id="262"/>
    </w:p>
    <w:bookmarkEnd w:id="263"/>
    <w:p w14:paraId="4FA0B2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7.2.1 施工进度计划的编制</w:t>
      </w:r>
    </w:p>
    <w:p w14:paraId="62FC44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2E085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7.2.2 施工进度计划的修订</w:t>
      </w:r>
    </w:p>
    <w:p w14:paraId="7A5B9F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7FD22AE">
      <w:pPr>
        <w:pStyle w:val="6"/>
        <w:spacing w:before="120" w:after="120" w:line="312" w:lineRule="auto"/>
        <w:ind w:firstLine="480" w:firstLineChars="200"/>
        <w:rPr>
          <w:rFonts w:hint="eastAsia" w:ascii="宋体" w:hAnsi="宋体" w:cs="宋体"/>
          <w:b w:val="0"/>
          <w:color w:val="auto"/>
          <w:sz w:val="24"/>
          <w:szCs w:val="24"/>
          <w:highlight w:val="none"/>
        </w:rPr>
      </w:pPr>
      <w:bookmarkStart w:id="264" w:name="_Toc351203545"/>
      <w:r>
        <w:rPr>
          <w:rFonts w:hint="eastAsia" w:ascii="宋体" w:hAnsi="宋体" w:cs="宋体"/>
          <w:b w:val="0"/>
          <w:color w:val="auto"/>
          <w:sz w:val="24"/>
          <w:szCs w:val="24"/>
          <w:highlight w:val="none"/>
        </w:rPr>
        <w:t>7</w:t>
      </w:r>
      <w:bookmarkStart w:id="265" w:name="_Toc337558770"/>
      <w:r>
        <w:rPr>
          <w:rFonts w:hint="eastAsia" w:ascii="宋体" w:hAnsi="宋体" w:cs="宋体"/>
          <w:b w:val="0"/>
          <w:color w:val="auto"/>
          <w:sz w:val="24"/>
          <w:szCs w:val="24"/>
          <w:highlight w:val="none"/>
        </w:rPr>
        <w:t>.3 开工</w:t>
      </w:r>
      <w:bookmarkEnd w:id="264"/>
    </w:p>
    <w:p w14:paraId="352835A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7.3.1 开工准备</w:t>
      </w:r>
    </w:p>
    <w:p w14:paraId="629FAD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2CBF8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除专用合同条款另有约定外，合同当事人应按约定完成开工准备工作。</w:t>
      </w:r>
    </w:p>
    <w:p w14:paraId="060717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7.3.2 开工通知</w:t>
      </w:r>
    </w:p>
    <w:bookmarkEnd w:id="265"/>
    <w:p w14:paraId="59295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2FCA5B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16F64AE">
      <w:pPr>
        <w:pStyle w:val="6"/>
        <w:spacing w:before="120" w:after="120" w:line="312" w:lineRule="auto"/>
        <w:ind w:firstLine="480" w:firstLineChars="200"/>
        <w:rPr>
          <w:rFonts w:hint="eastAsia" w:ascii="宋体" w:hAnsi="宋体" w:cs="宋体"/>
          <w:b w:val="0"/>
          <w:color w:val="auto"/>
          <w:sz w:val="24"/>
          <w:szCs w:val="24"/>
          <w:highlight w:val="none"/>
        </w:rPr>
      </w:pPr>
      <w:bookmarkStart w:id="266" w:name="_Toc351203546"/>
      <w:r>
        <w:rPr>
          <w:rFonts w:hint="eastAsia" w:ascii="宋体" w:hAnsi="宋体" w:cs="宋体"/>
          <w:b w:val="0"/>
          <w:color w:val="auto"/>
          <w:sz w:val="24"/>
          <w:szCs w:val="24"/>
          <w:highlight w:val="none"/>
        </w:rPr>
        <w:t>7.4测量放线</w:t>
      </w:r>
      <w:bookmarkEnd w:id="266"/>
    </w:p>
    <w:p w14:paraId="39764E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AA72A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A166F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9C91C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施工过程中对施工现场内水准点等测量标志物的保护工作由承包人负责。</w:t>
      </w:r>
      <w:bookmarkStart w:id="267" w:name="_Toc351203547"/>
    </w:p>
    <w:p w14:paraId="13608DA0">
      <w:pPr>
        <w:pStyle w:val="6"/>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w:t>
      </w:r>
      <w:bookmarkEnd w:id="260"/>
      <w:bookmarkEnd w:id="261"/>
      <w:bookmarkStart w:id="268" w:name="_Toc337558772"/>
      <w:bookmarkStart w:id="269" w:name="_Toc296346574"/>
      <w:bookmarkStart w:id="270" w:name="_Toc296503073"/>
      <w:r>
        <w:rPr>
          <w:rFonts w:hint="eastAsia" w:ascii="宋体" w:hAnsi="宋体" w:cs="宋体"/>
          <w:b w:val="0"/>
          <w:color w:val="auto"/>
          <w:sz w:val="24"/>
          <w:szCs w:val="24"/>
          <w:highlight w:val="none"/>
        </w:rPr>
        <w:t>.5 工期延误</w:t>
      </w:r>
      <w:bookmarkEnd w:id="267"/>
    </w:p>
    <w:bookmarkEnd w:id="268"/>
    <w:bookmarkEnd w:id="269"/>
    <w:bookmarkEnd w:id="270"/>
    <w:p w14:paraId="7A25FC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7.5.1 因发包人原因导致工期延误</w:t>
      </w:r>
    </w:p>
    <w:p w14:paraId="1E53CDD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100D16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（1）发包人未能按合同约定提供图纸或所提供图纸不符合合同约定的；</w:t>
      </w:r>
    </w:p>
    <w:p w14:paraId="6112478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（2）发包人未能按合同约定提供施工现场、施工条件、基础资料、许可、批准等开工条件的；</w:t>
      </w:r>
    </w:p>
    <w:p w14:paraId="155003F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（3）发包人提供的测量基准点、基准线和水准点及其书面资料存在错误或疏漏的；</w:t>
      </w:r>
    </w:p>
    <w:p w14:paraId="39B47AA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（4）发包人未能在计划开工日期之日起7天内同意下达开工通知的；</w:t>
      </w:r>
    </w:p>
    <w:p w14:paraId="5BD2891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（5）发包人未能按合同约定日期支付工程预付款、进度款或竣工结算款的；</w:t>
      </w:r>
    </w:p>
    <w:p w14:paraId="36E361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（6）监理人未按合同约定发出指示、批准等文件的；</w:t>
      </w:r>
    </w:p>
    <w:p w14:paraId="4C1C58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（7）专用合同条款中约定的其他情形。</w:t>
      </w:r>
    </w:p>
    <w:p w14:paraId="767DF28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8CE5F63">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7.5.2 因承包人原因导致工期延误</w:t>
      </w:r>
    </w:p>
    <w:p w14:paraId="002E4F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bookmarkStart w:id="271" w:name="_Toc296346577"/>
      <w:bookmarkStart w:id="272" w:name="_Toc296503076"/>
      <w:r>
        <w:rPr>
          <w:rFonts w:hint="eastAsia" w:ascii="宋体" w:hAnsi="宋体" w:cs="宋体"/>
          <w:color w:val="auto"/>
          <w:kern w:val="0"/>
          <w:sz w:val="24"/>
          <w:highlight w:val="none"/>
        </w:rPr>
        <w:t>因</w:t>
      </w:r>
      <w:bookmarkEnd w:id="271"/>
      <w:bookmarkEnd w:id="272"/>
      <w:r>
        <w:rPr>
          <w:rFonts w:hint="eastAsia" w:ascii="宋体" w:hAnsi="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BA4295E">
      <w:pPr>
        <w:pStyle w:val="6"/>
        <w:spacing w:before="120" w:after="120" w:line="312" w:lineRule="auto"/>
        <w:ind w:firstLine="480" w:firstLineChars="200"/>
        <w:rPr>
          <w:rFonts w:hint="eastAsia" w:ascii="宋体" w:hAnsi="宋体" w:cs="宋体"/>
          <w:b w:val="0"/>
          <w:color w:val="auto"/>
          <w:sz w:val="24"/>
          <w:szCs w:val="24"/>
          <w:highlight w:val="none"/>
        </w:rPr>
      </w:pPr>
      <w:bookmarkStart w:id="273" w:name="_Toc351203548"/>
      <w:r>
        <w:rPr>
          <w:rFonts w:hint="eastAsia" w:ascii="宋体" w:hAnsi="宋体" w:cs="宋体"/>
          <w:b w:val="0"/>
          <w:color w:val="auto"/>
          <w:sz w:val="24"/>
          <w:szCs w:val="24"/>
          <w:highlight w:val="none"/>
        </w:rPr>
        <w:t>7</w:t>
      </w:r>
      <w:bookmarkStart w:id="274" w:name="_Toc337558773"/>
      <w:bookmarkStart w:id="275" w:name="_Toc296346575"/>
      <w:bookmarkStart w:id="276" w:name="_Toc296503074"/>
      <w:bookmarkStart w:id="277" w:name="_Toc296346578"/>
      <w:bookmarkStart w:id="278" w:name="_Toc296503077"/>
      <w:r>
        <w:rPr>
          <w:rFonts w:hint="eastAsia" w:ascii="宋体" w:hAnsi="宋体" w:cs="宋体"/>
          <w:b w:val="0"/>
          <w:color w:val="auto"/>
          <w:sz w:val="24"/>
          <w:szCs w:val="24"/>
          <w:highlight w:val="none"/>
        </w:rPr>
        <w:t>.6 不利物质条件</w:t>
      </w:r>
      <w:bookmarkEnd w:id="273"/>
    </w:p>
    <w:bookmarkEnd w:id="274"/>
    <w:bookmarkEnd w:id="275"/>
    <w:bookmarkEnd w:id="276"/>
    <w:p w14:paraId="33D3B51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BD645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623E64A">
      <w:pPr>
        <w:pStyle w:val="6"/>
        <w:spacing w:before="120" w:after="120" w:line="312" w:lineRule="auto"/>
        <w:ind w:firstLine="480" w:firstLineChars="200"/>
        <w:rPr>
          <w:rFonts w:hint="eastAsia" w:ascii="宋体" w:hAnsi="宋体" w:cs="宋体"/>
          <w:b w:val="0"/>
          <w:color w:val="auto"/>
          <w:sz w:val="24"/>
          <w:szCs w:val="24"/>
          <w:highlight w:val="none"/>
        </w:rPr>
      </w:pPr>
      <w:bookmarkStart w:id="279" w:name="_Toc351203549"/>
      <w:r>
        <w:rPr>
          <w:rFonts w:hint="eastAsia" w:ascii="宋体" w:hAnsi="宋体" w:cs="宋体"/>
          <w:b w:val="0"/>
          <w:color w:val="auto"/>
          <w:sz w:val="24"/>
          <w:szCs w:val="24"/>
          <w:highlight w:val="none"/>
        </w:rPr>
        <w:t>7</w:t>
      </w:r>
      <w:bookmarkStart w:id="280" w:name="_Toc337558774"/>
      <w:bookmarkStart w:id="281" w:name="_Toc296503075"/>
      <w:bookmarkStart w:id="282" w:name="_Toc296346576"/>
      <w:r>
        <w:rPr>
          <w:rFonts w:hint="eastAsia" w:ascii="宋体" w:hAnsi="宋体" w:cs="宋体"/>
          <w:b w:val="0"/>
          <w:color w:val="auto"/>
          <w:sz w:val="24"/>
          <w:szCs w:val="24"/>
          <w:highlight w:val="none"/>
        </w:rPr>
        <w:t>.7 异常恶劣的气候条件</w:t>
      </w:r>
      <w:bookmarkEnd w:id="279"/>
    </w:p>
    <w:bookmarkEnd w:id="280"/>
    <w:bookmarkEnd w:id="281"/>
    <w:bookmarkEnd w:id="282"/>
    <w:p w14:paraId="6A468F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00A93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20C05A18">
      <w:pPr>
        <w:autoSpaceDE w:val="0"/>
        <w:autoSpaceDN w:val="0"/>
        <w:adjustRightInd w:val="0"/>
        <w:spacing w:line="312"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7</w:t>
      </w:r>
      <w:bookmarkStart w:id="284" w:name="_Toc337558775"/>
      <w:r>
        <w:rPr>
          <w:rFonts w:hint="eastAsia" w:ascii="宋体" w:hAnsi="宋体" w:cs="宋体"/>
          <w:bCs/>
          <w:color w:val="auto"/>
          <w:sz w:val="24"/>
          <w:highlight w:val="none"/>
        </w:rPr>
        <w:t>.8 暂停施工</w:t>
      </w:r>
      <w:bookmarkEnd w:id="283"/>
    </w:p>
    <w:bookmarkEnd w:id="277"/>
    <w:bookmarkEnd w:id="278"/>
    <w:bookmarkEnd w:id="284"/>
    <w:p w14:paraId="0E4CFB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7.8.1发包人原因引起的暂停施工</w:t>
      </w:r>
    </w:p>
    <w:p w14:paraId="3A5EDA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63E6FB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因发包人原因引起的暂停施工，发包人应承担由此增加的费用和（或）延误的工期，并支付承包人合理的利润。</w:t>
      </w:r>
    </w:p>
    <w:p w14:paraId="2F589B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7.8.2 承包人原因引起的暂停施工</w:t>
      </w:r>
    </w:p>
    <w:p w14:paraId="755958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FB71E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7.8.3 指示暂停施工</w:t>
      </w:r>
    </w:p>
    <w:p w14:paraId="2F18F5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监理人认为有必要时，并经发包人批准后，可向承包人作出暂停施工的指示，承包人应按监理人指示暂停施工。</w:t>
      </w:r>
    </w:p>
    <w:p w14:paraId="6B9D7E3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7.8.4 紧急情况下的暂停施工</w:t>
      </w:r>
    </w:p>
    <w:p w14:paraId="13FF2C9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F5F64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7.8.5 暂停施工后的复工</w:t>
      </w:r>
    </w:p>
    <w:p w14:paraId="49B1411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01A84F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046AE1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7.8.6 暂停施工持续56天以上</w:t>
      </w:r>
    </w:p>
    <w:p w14:paraId="13681D6D">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C3DAA47">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4BA2ACE">
      <w:pPr>
        <w:spacing w:line="312" w:lineRule="auto"/>
        <w:ind w:left="16"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7.8.7 暂停施工期间的工程照管</w:t>
      </w:r>
    </w:p>
    <w:p w14:paraId="7508DF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暂停施工期间，承包人应负责妥善照管工程并提供安全保障，由此增加的费用由责任方承担。</w:t>
      </w:r>
    </w:p>
    <w:p w14:paraId="70721F7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7.8.8 暂停施工的措施</w:t>
      </w:r>
    </w:p>
    <w:p w14:paraId="652DF1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暂停施工期间，发包人和承包人均应采取必要的措施确保工程质量及安全，防止因暂停施工扩大损失。</w:t>
      </w:r>
    </w:p>
    <w:p w14:paraId="2E956F52">
      <w:pPr>
        <w:pStyle w:val="6"/>
        <w:spacing w:before="120" w:after="120" w:line="312" w:lineRule="auto"/>
        <w:ind w:firstLine="480" w:firstLineChars="200"/>
        <w:rPr>
          <w:rFonts w:hint="eastAsia" w:ascii="宋体" w:hAnsi="宋体" w:cs="宋体"/>
          <w:b w:val="0"/>
          <w:color w:val="auto"/>
          <w:sz w:val="24"/>
          <w:szCs w:val="24"/>
          <w:highlight w:val="none"/>
        </w:rPr>
      </w:pPr>
      <w:bookmarkStart w:id="285" w:name="_Toc351203551"/>
      <w:r>
        <w:rPr>
          <w:rFonts w:hint="eastAsia" w:ascii="宋体" w:hAnsi="宋体" w:cs="宋体"/>
          <w:b w:val="0"/>
          <w:color w:val="auto"/>
          <w:sz w:val="24"/>
          <w:szCs w:val="24"/>
          <w:highlight w:val="none"/>
        </w:rPr>
        <w:t>7.9提前竣工</w:t>
      </w:r>
      <w:bookmarkEnd w:id="285"/>
    </w:p>
    <w:p w14:paraId="35DC77C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5EAEE3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00C1C2A6">
      <w:pPr>
        <w:pStyle w:val="5"/>
        <w:spacing w:before="120" w:after="120" w:line="312" w:lineRule="auto"/>
        <w:rPr>
          <w:rFonts w:hint="eastAsia"/>
          <w:b w:val="0"/>
          <w:color w:val="auto"/>
          <w:sz w:val="24"/>
          <w:szCs w:val="24"/>
          <w:highlight w:val="none"/>
        </w:rPr>
      </w:pPr>
      <w:bookmarkStart w:id="286" w:name="_Toc351203552"/>
      <w:r>
        <w:rPr>
          <w:rFonts w:hint="eastAsia"/>
          <w:b w:val="0"/>
          <w:color w:val="auto"/>
          <w:sz w:val="24"/>
          <w:szCs w:val="24"/>
          <w:highlight w:val="none"/>
        </w:rPr>
        <w:t>8</w:t>
      </w:r>
      <w:bookmarkStart w:id="287" w:name="_Toc337558776"/>
      <w:bookmarkStart w:id="288" w:name="_Toc296346559"/>
      <w:bookmarkStart w:id="289" w:name="_Toc296503058"/>
      <w:r>
        <w:rPr>
          <w:rFonts w:hint="eastAsia"/>
          <w:b w:val="0"/>
          <w:color w:val="auto"/>
          <w:sz w:val="24"/>
          <w:szCs w:val="24"/>
          <w:highlight w:val="none"/>
        </w:rPr>
        <w:t>. 材料与设备</w:t>
      </w:r>
      <w:bookmarkEnd w:id="286"/>
    </w:p>
    <w:bookmarkEnd w:id="287"/>
    <w:bookmarkEnd w:id="288"/>
    <w:bookmarkEnd w:id="289"/>
    <w:p w14:paraId="245507CA">
      <w:pPr>
        <w:pStyle w:val="6"/>
        <w:spacing w:before="120" w:after="120" w:line="312" w:lineRule="auto"/>
        <w:ind w:firstLine="480" w:firstLineChars="200"/>
        <w:rPr>
          <w:rFonts w:hint="eastAsia" w:ascii="宋体" w:hAnsi="宋体" w:cs="宋体"/>
          <w:b w:val="0"/>
          <w:color w:val="auto"/>
          <w:sz w:val="24"/>
          <w:szCs w:val="24"/>
          <w:highlight w:val="none"/>
        </w:rPr>
      </w:pPr>
      <w:bookmarkStart w:id="290" w:name="_Toc351203553"/>
      <w:r>
        <w:rPr>
          <w:rFonts w:hint="eastAsia" w:ascii="宋体" w:hAnsi="宋体" w:cs="宋体"/>
          <w:b w:val="0"/>
          <w:color w:val="auto"/>
          <w:sz w:val="24"/>
          <w:szCs w:val="24"/>
          <w:highlight w:val="none"/>
        </w:rPr>
        <w:t>8</w:t>
      </w:r>
      <w:bookmarkStart w:id="291" w:name="_Toc337558777"/>
      <w:bookmarkStart w:id="292" w:name="_Toc296503059"/>
      <w:bookmarkStart w:id="293" w:name="_Toc296346560"/>
      <w:bookmarkStart w:id="294" w:name="_Toc468936960"/>
      <w:r>
        <w:rPr>
          <w:rFonts w:hint="eastAsia" w:ascii="宋体" w:hAnsi="宋体" w:cs="宋体"/>
          <w:b w:val="0"/>
          <w:color w:val="auto"/>
          <w:sz w:val="24"/>
          <w:szCs w:val="24"/>
          <w:highlight w:val="none"/>
        </w:rPr>
        <w:t>.1发包人供应材料与工程设备</w:t>
      </w:r>
      <w:bookmarkEnd w:id="290"/>
    </w:p>
    <w:bookmarkEnd w:id="291"/>
    <w:bookmarkEnd w:id="292"/>
    <w:bookmarkEnd w:id="293"/>
    <w:p w14:paraId="6D188D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61FFFB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452EC8C">
      <w:pPr>
        <w:pStyle w:val="6"/>
        <w:spacing w:before="120" w:after="120" w:line="312" w:lineRule="auto"/>
        <w:ind w:firstLine="480" w:firstLineChars="200"/>
        <w:rPr>
          <w:rFonts w:hint="eastAsia" w:ascii="宋体" w:hAnsi="宋体" w:cs="宋体"/>
          <w:color w:val="auto"/>
          <w:sz w:val="24"/>
          <w:szCs w:val="24"/>
          <w:highlight w:val="none"/>
        </w:rPr>
      </w:pPr>
      <w:bookmarkStart w:id="295" w:name="_Toc351203554"/>
      <w:r>
        <w:rPr>
          <w:rFonts w:hint="eastAsia" w:ascii="宋体" w:hAnsi="宋体" w:cs="宋体"/>
          <w:b w:val="0"/>
          <w:color w:val="auto"/>
          <w:sz w:val="24"/>
          <w:szCs w:val="24"/>
          <w:highlight w:val="none"/>
        </w:rPr>
        <w:t>8</w:t>
      </w:r>
      <w:bookmarkStart w:id="296" w:name="_Toc296346561"/>
      <w:bookmarkStart w:id="297" w:name="_Toc296503060"/>
      <w:bookmarkStart w:id="298" w:name="_Toc337558778"/>
      <w:r>
        <w:rPr>
          <w:rFonts w:hint="eastAsia" w:ascii="宋体" w:hAnsi="宋体" w:cs="宋体"/>
          <w:b w:val="0"/>
          <w:color w:val="auto"/>
          <w:sz w:val="24"/>
          <w:szCs w:val="24"/>
          <w:highlight w:val="none"/>
        </w:rPr>
        <w:t>.2承包人采购材料与工程设备</w:t>
      </w:r>
      <w:bookmarkEnd w:id="295"/>
    </w:p>
    <w:bookmarkEnd w:id="296"/>
    <w:bookmarkEnd w:id="297"/>
    <w:bookmarkEnd w:id="298"/>
    <w:p w14:paraId="6C4987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BDF649B">
      <w:pPr>
        <w:pStyle w:val="6"/>
        <w:spacing w:before="120" w:after="120" w:line="312" w:lineRule="auto"/>
        <w:ind w:firstLine="480" w:firstLineChars="200"/>
        <w:rPr>
          <w:rFonts w:hint="eastAsia" w:ascii="宋体" w:hAnsi="宋体" w:cs="宋体"/>
          <w:b w:val="0"/>
          <w:color w:val="auto"/>
          <w:sz w:val="24"/>
          <w:szCs w:val="24"/>
          <w:highlight w:val="none"/>
        </w:rPr>
      </w:pPr>
      <w:bookmarkStart w:id="299" w:name="_Toc351203555"/>
      <w:r>
        <w:rPr>
          <w:rFonts w:hint="eastAsia" w:ascii="宋体" w:hAnsi="宋体" w:cs="宋体"/>
          <w:b w:val="0"/>
          <w:color w:val="auto"/>
          <w:sz w:val="24"/>
          <w:szCs w:val="24"/>
          <w:highlight w:val="none"/>
        </w:rPr>
        <w:t>8</w:t>
      </w:r>
      <w:bookmarkStart w:id="300" w:name="_Toc296346562"/>
      <w:bookmarkStart w:id="301" w:name="_Toc296503061"/>
      <w:bookmarkStart w:id="302" w:name="_Toc337558779"/>
      <w:r>
        <w:rPr>
          <w:rFonts w:hint="eastAsia" w:ascii="宋体" w:hAnsi="宋体" w:cs="宋体"/>
          <w:b w:val="0"/>
          <w:color w:val="auto"/>
          <w:sz w:val="24"/>
          <w:szCs w:val="24"/>
          <w:highlight w:val="none"/>
        </w:rPr>
        <w:t>.3材料与工程设备的接收与拒收</w:t>
      </w:r>
      <w:bookmarkEnd w:id="299"/>
    </w:p>
    <w:bookmarkEnd w:id="300"/>
    <w:bookmarkEnd w:id="301"/>
    <w:bookmarkEnd w:id="302"/>
    <w:p w14:paraId="24236F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E8A3E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187A65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2A8E8982">
      <w:pPr>
        <w:autoSpaceDE w:val="0"/>
        <w:autoSpaceDN w:val="0"/>
        <w:adjustRightInd w:val="0"/>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93DFDF8">
      <w:pPr>
        <w:pStyle w:val="6"/>
        <w:spacing w:before="120" w:after="120" w:line="312" w:lineRule="auto"/>
        <w:ind w:firstLine="480" w:firstLineChars="200"/>
        <w:rPr>
          <w:rFonts w:hint="eastAsia" w:ascii="宋体" w:hAnsi="宋体" w:cs="宋体"/>
          <w:b w:val="0"/>
          <w:color w:val="auto"/>
          <w:sz w:val="24"/>
          <w:szCs w:val="24"/>
          <w:highlight w:val="none"/>
        </w:rPr>
      </w:pPr>
      <w:bookmarkStart w:id="304" w:name="_Toc351203556"/>
      <w:r>
        <w:rPr>
          <w:rFonts w:hint="eastAsia" w:ascii="宋体" w:hAnsi="宋体" w:cs="宋体"/>
          <w:b w:val="0"/>
          <w:color w:val="auto"/>
          <w:sz w:val="24"/>
          <w:szCs w:val="24"/>
          <w:highlight w:val="none"/>
        </w:rPr>
        <w:t>8</w:t>
      </w:r>
      <w:bookmarkStart w:id="305" w:name="_Toc337558780"/>
      <w:bookmarkStart w:id="306" w:name="_Toc296503062"/>
      <w:bookmarkStart w:id="307" w:name="_Toc296346563"/>
      <w:r>
        <w:rPr>
          <w:rFonts w:hint="eastAsia" w:ascii="宋体" w:hAnsi="宋体" w:cs="宋体"/>
          <w:b w:val="0"/>
          <w:color w:val="auto"/>
          <w:sz w:val="24"/>
          <w:szCs w:val="24"/>
          <w:highlight w:val="none"/>
        </w:rPr>
        <w:t>.4材料与工程设备的保管与使用</w:t>
      </w:r>
      <w:bookmarkEnd w:id="304"/>
    </w:p>
    <w:bookmarkEnd w:id="305"/>
    <w:bookmarkEnd w:id="306"/>
    <w:bookmarkEnd w:id="307"/>
    <w:p w14:paraId="1A44E0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8.4.1 发包人供应</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5F5F743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BFA89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发包人供应的材料和工程设备使用前，由承包人负责检验，检验费用由发包人承担，不合格的不得使用。</w:t>
      </w:r>
    </w:p>
    <w:p w14:paraId="0588F2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8.4.2 承包人采购</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71C090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380E9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039D41CA">
      <w:pPr>
        <w:pStyle w:val="6"/>
        <w:spacing w:before="120" w:after="120" w:line="312" w:lineRule="auto"/>
        <w:ind w:firstLine="480" w:firstLineChars="200"/>
        <w:rPr>
          <w:rFonts w:hint="eastAsia" w:ascii="宋体" w:hAnsi="宋体" w:cs="宋体"/>
          <w:b w:val="0"/>
          <w:color w:val="auto"/>
          <w:sz w:val="24"/>
          <w:szCs w:val="24"/>
          <w:highlight w:val="none"/>
        </w:rPr>
      </w:pPr>
      <w:bookmarkStart w:id="308" w:name="_Toc351203557"/>
      <w:r>
        <w:rPr>
          <w:rFonts w:hint="eastAsia" w:ascii="宋体" w:hAnsi="宋体" w:cs="宋体"/>
          <w:b w:val="0"/>
          <w:color w:val="auto"/>
          <w:sz w:val="24"/>
          <w:szCs w:val="24"/>
          <w:highlight w:val="none"/>
        </w:rPr>
        <w:t>8.5禁止使用不合格的材料和工程设备</w:t>
      </w:r>
      <w:bookmarkEnd w:id="308"/>
    </w:p>
    <w:p w14:paraId="42F1A2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4AFA74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05535D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6A469B91">
      <w:pPr>
        <w:pStyle w:val="6"/>
        <w:spacing w:before="120" w:after="120" w:line="312" w:lineRule="auto"/>
        <w:ind w:firstLine="480" w:firstLineChars="200"/>
        <w:rPr>
          <w:rFonts w:hint="eastAsia" w:ascii="宋体" w:hAnsi="宋体" w:cs="宋体"/>
          <w:b w:val="0"/>
          <w:color w:val="auto"/>
          <w:sz w:val="24"/>
          <w:szCs w:val="24"/>
          <w:highlight w:val="none"/>
        </w:rPr>
      </w:pPr>
      <w:bookmarkStart w:id="309" w:name="_Toc351203558"/>
      <w:r>
        <w:rPr>
          <w:rFonts w:hint="eastAsia" w:ascii="宋体" w:hAnsi="宋体" w:cs="宋体"/>
          <w:b w:val="0"/>
          <w:color w:val="auto"/>
          <w:sz w:val="24"/>
          <w:szCs w:val="24"/>
          <w:highlight w:val="none"/>
        </w:rPr>
        <w:t>8.6 样品</w:t>
      </w:r>
      <w:bookmarkEnd w:id="309"/>
    </w:p>
    <w:p w14:paraId="31CB07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54E7F2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需要承包人报送样品的材料或工程设备，样品的种类、名称、规格、数量等要求均应在专用合同条款中约定。样品的报送程序如下：</w:t>
      </w:r>
    </w:p>
    <w:p w14:paraId="6155C5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278DE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1F523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1454B6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0E60A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8.6.2 样品的保管</w:t>
      </w:r>
    </w:p>
    <w:p w14:paraId="641F21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经批准的样品应由监理人负责封存于现场，承包人应在现场为保存样品提供适当和固定的场所并保持适当和良好的存储环境条件。</w:t>
      </w:r>
    </w:p>
    <w:p w14:paraId="1951339A">
      <w:pPr>
        <w:pStyle w:val="6"/>
        <w:spacing w:before="120" w:after="120" w:line="312" w:lineRule="auto"/>
        <w:ind w:firstLine="480" w:firstLineChars="200"/>
        <w:rPr>
          <w:rFonts w:hint="eastAsia" w:ascii="宋体" w:hAnsi="宋体" w:cs="宋体"/>
          <w:b w:val="0"/>
          <w:color w:val="auto"/>
          <w:sz w:val="24"/>
          <w:szCs w:val="24"/>
          <w:highlight w:val="none"/>
        </w:rPr>
      </w:pPr>
      <w:bookmarkStart w:id="310" w:name="_Toc351203559"/>
      <w:r>
        <w:rPr>
          <w:rFonts w:hint="eastAsia" w:ascii="宋体" w:hAnsi="宋体" w:cs="宋体"/>
          <w:b w:val="0"/>
          <w:color w:val="auto"/>
          <w:sz w:val="24"/>
          <w:szCs w:val="24"/>
          <w:highlight w:val="none"/>
        </w:rPr>
        <w:t>8.7材料与工程设备的替代</w:t>
      </w:r>
      <w:bookmarkEnd w:id="310"/>
    </w:p>
    <w:p w14:paraId="5B3563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8.7.1 出现下列情况需要使用替代材料和工程设备的，承包人应按照第8.7.2项约定的程序执行：</w:t>
      </w:r>
    </w:p>
    <w:p w14:paraId="2A4471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（1）基准日期后生效的法律规定禁止使用的；</w:t>
      </w:r>
    </w:p>
    <w:p w14:paraId="1ED328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（2）发包人要求使用替代品的；</w:t>
      </w:r>
    </w:p>
    <w:p w14:paraId="25C1B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（3）因其他原因必须使用替代品的。</w:t>
      </w:r>
    </w:p>
    <w:p w14:paraId="149764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8.7.2 承包人应在使用替代材料和工程设备28天前书面通知监理人，并附下列文件：</w:t>
      </w:r>
    </w:p>
    <w:p w14:paraId="0EF39E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（1）被替代的材料和工程设备的名称、数量、规格、型号、品牌、性能、价格及其他相关资料；</w:t>
      </w:r>
    </w:p>
    <w:p w14:paraId="330A1C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（2）替代品的名称、数量、规格、型号、品牌、性能、价格及其他相关资料；</w:t>
      </w:r>
    </w:p>
    <w:p w14:paraId="260620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（3）替代品与被替代产品之间的差异以及使用替代品可能对工程产生的影响；</w:t>
      </w:r>
    </w:p>
    <w:p w14:paraId="5410F0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（4）替代品与被替代产品的价格差异；</w:t>
      </w:r>
    </w:p>
    <w:p w14:paraId="28E82F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（5）使用替代品的理由和原因说明；</w:t>
      </w:r>
    </w:p>
    <w:p w14:paraId="6E6E68E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（6）监理人要求的其他文件。</w:t>
      </w:r>
    </w:p>
    <w:p w14:paraId="1CBAC5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监理人应在收到通知后14天内向承包人发出经发包人签认的书面指示；监理人逾期发出书面指示的，视为发包人和监理人同意使用替代品。</w:t>
      </w:r>
    </w:p>
    <w:p w14:paraId="443F39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89FC60C">
      <w:pPr>
        <w:pStyle w:val="6"/>
        <w:spacing w:before="120" w:after="120" w:line="312" w:lineRule="auto"/>
        <w:ind w:firstLine="480" w:firstLineChars="200"/>
        <w:rPr>
          <w:rFonts w:hint="eastAsia" w:ascii="宋体" w:hAnsi="宋体" w:cs="宋体"/>
          <w:b w:val="0"/>
          <w:color w:val="auto"/>
          <w:sz w:val="24"/>
          <w:szCs w:val="24"/>
          <w:highlight w:val="none"/>
        </w:rPr>
      </w:pPr>
      <w:bookmarkStart w:id="311" w:name="_Toc351203560"/>
      <w:r>
        <w:rPr>
          <w:rFonts w:hint="eastAsia" w:ascii="宋体" w:hAnsi="宋体" w:cs="宋体"/>
          <w:b w:val="0"/>
          <w:color w:val="auto"/>
          <w:sz w:val="24"/>
          <w:szCs w:val="24"/>
          <w:highlight w:val="none"/>
        </w:rPr>
        <w:t>8.8施工设备和临时设施</w:t>
      </w:r>
      <w:bookmarkEnd w:id="311"/>
    </w:p>
    <w:p w14:paraId="347D83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8.8.1 承包人提供的施工设备和临时设施</w:t>
      </w:r>
    </w:p>
    <w:p w14:paraId="4E3896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BEE63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除专用合同条款另有约定外，承包人应自行承担修建临时设施的费用，需要临时占地的，应由发包人办理申请手续并承担相应费用。</w:t>
      </w:r>
    </w:p>
    <w:p w14:paraId="3375AC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8.8.2发包人提供的施工设备和临时设施</w:t>
      </w:r>
    </w:p>
    <w:p w14:paraId="44636B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发包人提供的施工设备或临时设施在专用合同条款中约定。</w:t>
      </w:r>
    </w:p>
    <w:p w14:paraId="350E62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8.8.3要求承包人增加或更换施工设备</w:t>
      </w:r>
    </w:p>
    <w:p w14:paraId="03E023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8B871C2">
      <w:pPr>
        <w:pStyle w:val="6"/>
        <w:spacing w:before="120" w:after="120" w:line="312" w:lineRule="auto"/>
        <w:ind w:firstLine="480" w:firstLineChars="200"/>
        <w:rPr>
          <w:rFonts w:hint="eastAsia" w:ascii="宋体" w:hAnsi="宋体" w:cs="宋体"/>
          <w:b w:val="0"/>
          <w:color w:val="auto"/>
          <w:sz w:val="24"/>
          <w:szCs w:val="24"/>
          <w:highlight w:val="none"/>
        </w:rPr>
      </w:pPr>
      <w:bookmarkStart w:id="312" w:name="_Toc351203561"/>
      <w:r>
        <w:rPr>
          <w:rFonts w:hint="eastAsia" w:ascii="宋体" w:hAnsi="宋体" w:cs="宋体"/>
          <w:b w:val="0"/>
          <w:color w:val="auto"/>
          <w:sz w:val="24"/>
          <w:szCs w:val="24"/>
          <w:highlight w:val="none"/>
        </w:rPr>
        <w:t>8</w:t>
      </w:r>
      <w:bookmarkStart w:id="313" w:name="_Toc337558781"/>
      <w:bookmarkStart w:id="314" w:name="_Toc296503063"/>
      <w:bookmarkStart w:id="315" w:name="_Toc296346564"/>
      <w:r>
        <w:rPr>
          <w:rFonts w:hint="eastAsia" w:ascii="宋体" w:hAnsi="宋体" w:cs="宋体"/>
          <w:b w:val="0"/>
          <w:color w:val="auto"/>
          <w:sz w:val="24"/>
          <w:szCs w:val="24"/>
          <w:highlight w:val="none"/>
        </w:rPr>
        <w:t>.9材料与设备专用</w:t>
      </w:r>
      <w:bookmarkEnd w:id="312"/>
      <w:r>
        <w:rPr>
          <w:rFonts w:hint="eastAsia" w:ascii="宋体" w:hAnsi="宋体" w:cs="宋体"/>
          <w:b w:val="0"/>
          <w:color w:val="auto"/>
          <w:sz w:val="24"/>
          <w:szCs w:val="24"/>
          <w:highlight w:val="none"/>
        </w:rPr>
        <w:t>要求</w:t>
      </w:r>
    </w:p>
    <w:bookmarkEnd w:id="313"/>
    <w:bookmarkEnd w:id="314"/>
    <w:bookmarkEnd w:id="315"/>
    <w:p w14:paraId="66F0FF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cs="宋体"/>
          <w:color w:val="auto"/>
          <w:kern w:val="0"/>
          <w:sz w:val="24"/>
          <w:highlight w:val="none"/>
        </w:rPr>
        <w:t>经发包人批准，承包人可以根据施工进度计划撤走闲置的施工设备和其他物品。</w:t>
      </w:r>
    </w:p>
    <w:p w14:paraId="467F5FC0">
      <w:pPr>
        <w:pStyle w:val="5"/>
        <w:spacing w:before="120" w:after="120" w:line="312" w:lineRule="auto"/>
        <w:rPr>
          <w:rFonts w:hint="eastAsia"/>
          <w:b w:val="0"/>
          <w:color w:val="auto"/>
          <w:sz w:val="24"/>
          <w:szCs w:val="24"/>
          <w:highlight w:val="none"/>
        </w:rPr>
      </w:pPr>
      <w:bookmarkStart w:id="316" w:name="_Toc351203562"/>
      <w:r>
        <w:rPr>
          <w:rFonts w:hint="eastAsia"/>
          <w:b w:val="0"/>
          <w:color w:val="auto"/>
          <w:sz w:val="24"/>
          <w:szCs w:val="24"/>
          <w:highlight w:val="none"/>
        </w:rPr>
        <w:t>9</w:t>
      </w:r>
      <w:bookmarkStart w:id="317" w:name="_Toc337558782"/>
      <w:bookmarkStart w:id="318" w:name="_Toc296346584"/>
      <w:bookmarkStart w:id="319" w:name="_Toc296503083"/>
      <w:r>
        <w:rPr>
          <w:rFonts w:hint="eastAsia"/>
          <w:b w:val="0"/>
          <w:color w:val="auto"/>
          <w:sz w:val="24"/>
          <w:szCs w:val="24"/>
          <w:highlight w:val="none"/>
        </w:rPr>
        <w:t>. 试验与检验</w:t>
      </w:r>
      <w:bookmarkEnd w:id="316"/>
    </w:p>
    <w:bookmarkEnd w:id="317"/>
    <w:p w14:paraId="1F8931BA">
      <w:pPr>
        <w:pStyle w:val="6"/>
        <w:spacing w:before="120" w:after="120" w:line="312" w:lineRule="auto"/>
        <w:ind w:firstLine="480" w:firstLineChars="200"/>
        <w:rPr>
          <w:rFonts w:hint="eastAsia" w:ascii="宋体" w:hAnsi="宋体" w:cs="宋体"/>
          <w:b w:val="0"/>
          <w:color w:val="auto"/>
          <w:sz w:val="24"/>
          <w:szCs w:val="24"/>
          <w:highlight w:val="none"/>
        </w:rPr>
      </w:pPr>
      <w:bookmarkStart w:id="320" w:name="_Toc351203563"/>
      <w:r>
        <w:rPr>
          <w:rFonts w:hint="eastAsia" w:ascii="宋体" w:hAnsi="宋体" w:cs="宋体"/>
          <w:b w:val="0"/>
          <w:color w:val="auto"/>
          <w:sz w:val="24"/>
          <w:szCs w:val="24"/>
          <w:highlight w:val="none"/>
        </w:rPr>
        <w:t>9</w:t>
      </w:r>
      <w:bookmarkStart w:id="321" w:name="_Toc337558783"/>
      <w:r>
        <w:rPr>
          <w:rFonts w:hint="eastAsia" w:ascii="宋体" w:hAnsi="宋体" w:cs="宋体"/>
          <w:b w:val="0"/>
          <w:color w:val="auto"/>
          <w:sz w:val="24"/>
          <w:szCs w:val="24"/>
          <w:highlight w:val="none"/>
        </w:rPr>
        <w:t>.1试验设备与试验人员</w:t>
      </w:r>
      <w:bookmarkEnd w:id="320"/>
    </w:p>
    <w:bookmarkEnd w:id="321"/>
    <w:p w14:paraId="6D45726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C42BE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9.1.2 承包人应按专用合同条款的约定提供试验设备、取样装置、试验场所和试验条件，并向监理人提交相应进场计划表。</w:t>
      </w:r>
    </w:p>
    <w:p w14:paraId="478D29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0D811D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2D5113CA">
      <w:pPr>
        <w:pStyle w:val="6"/>
        <w:spacing w:before="120" w:after="120" w:line="312" w:lineRule="auto"/>
        <w:ind w:firstLine="480" w:firstLineChars="200"/>
        <w:rPr>
          <w:rFonts w:hint="eastAsia" w:ascii="宋体" w:hAnsi="宋体" w:cs="宋体"/>
          <w:b w:val="0"/>
          <w:color w:val="auto"/>
          <w:sz w:val="24"/>
          <w:szCs w:val="24"/>
          <w:highlight w:val="none"/>
        </w:rPr>
      </w:pPr>
      <w:bookmarkStart w:id="322" w:name="_Toc351203564"/>
      <w:r>
        <w:rPr>
          <w:rFonts w:hint="eastAsia" w:ascii="宋体" w:hAnsi="宋体" w:cs="宋体"/>
          <w:b w:val="0"/>
          <w:color w:val="auto"/>
          <w:sz w:val="24"/>
          <w:szCs w:val="24"/>
          <w:highlight w:val="none"/>
        </w:rPr>
        <w:t>9</w:t>
      </w:r>
      <w:bookmarkStart w:id="323" w:name="_Toc337558784"/>
      <w:r>
        <w:rPr>
          <w:rFonts w:hint="eastAsia" w:ascii="宋体" w:hAnsi="宋体" w:cs="宋体"/>
          <w:b w:val="0"/>
          <w:color w:val="auto"/>
          <w:sz w:val="24"/>
          <w:szCs w:val="24"/>
          <w:highlight w:val="none"/>
        </w:rPr>
        <w:t>.2取样</w:t>
      </w:r>
      <w:bookmarkEnd w:id="322"/>
    </w:p>
    <w:bookmarkEnd w:id="323"/>
    <w:p w14:paraId="1A7108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试验属于自检性质的，承包人可以单独取样。试验属于监理人抽检性质的，可由监理人取样，也可由承包人的试验人员在监理人的监督下取样。</w:t>
      </w:r>
    </w:p>
    <w:p w14:paraId="7D5BE6A0">
      <w:pPr>
        <w:pStyle w:val="6"/>
        <w:spacing w:before="120" w:after="120" w:line="312" w:lineRule="auto"/>
        <w:ind w:firstLine="480" w:firstLineChars="200"/>
        <w:rPr>
          <w:rFonts w:hint="eastAsia" w:ascii="宋体" w:hAnsi="宋体" w:cs="宋体"/>
          <w:b w:val="0"/>
          <w:color w:val="auto"/>
          <w:sz w:val="24"/>
          <w:szCs w:val="24"/>
          <w:highlight w:val="none"/>
        </w:rPr>
      </w:pPr>
      <w:bookmarkStart w:id="324" w:name="_Toc351203565"/>
      <w:r>
        <w:rPr>
          <w:rFonts w:hint="eastAsia" w:ascii="宋体" w:hAnsi="宋体" w:cs="宋体"/>
          <w:b w:val="0"/>
          <w:color w:val="auto"/>
          <w:sz w:val="24"/>
          <w:szCs w:val="24"/>
          <w:highlight w:val="none"/>
        </w:rPr>
        <w:t>9</w:t>
      </w:r>
      <w:bookmarkStart w:id="325" w:name="_Toc337558785"/>
      <w:r>
        <w:rPr>
          <w:rFonts w:hint="eastAsia" w:ascii="宋体" w:hAnsi="宋体" w:cs="宋体"/>
          <w:b w:val="0"/>
          <w:color w:val="auto"/>
          <w:sz w:val="24"/>
          <w:szCs w:val="24"/>
          <w:highlight w:val="none"/>
        </w:rPr>
        <w:t>.3材料、工程设备和工程的试验和检验</w:t>
      </w:r>
      <w:bookmarkEnd w:id="324"/>
    </w:p>
    <w:bookmarkEnd w:id="325"/>
    <w:p w14:paraId="49AB837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3DEF8B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BF977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C70FBD8">
      <w:pPr>
        <w:pStyle w:val="6"/>
        <w:spacing w:before="120" w:after="120" w:line="312" w:lineRule="auto"/>
        <w:ind w:firstLine="480" w:firstLineChars="200"/>
        <w:rPr>
          <w:rFonts w:hint="eastAsia" w:ascii="宋体" w:hAnsi="宋体" w:cs="宋体"/>
          <w:b w:val="0"/>
          <w:color w:val="auto"/>
          <w:sz w:val="24"/>
          <w:szCs w:val="24"/>
          <w:highlight w:val="none"/>
        </w:rPr>
      </w:pPr>
      <w:bookmarkStart w:id="326" w:name="_Toc351203566"/>
      <w:r>
        <w:rPr>
          <w:rFonts w:hint="eastAsia" w:ascii="宋体" w:hAnsi="宋体" w:cs="宋体"/>
          <w:b w:val="0"/>
          <w:color w:val="auto"/>
          <w:sz w:val="24"/>
          <w:szCs w:val="24"/>
          <w:highlight w:val="none"/>
        </w:rPr>
        <w:t>9</w:t>
      </w:r>
      <w:bookmarkStart w:id="327" w:name="_Toc337558786"/>
      <w:r>
        <w:rPr>
          <w:rFonts w:hint="eastAsia" w:ascii="宋体" w:hAnsi="宋体" w:cs="宋体"/>
          <w:b w:val="0"/>
          <w:color w:val="auto"/>
          <w:sz w:val="24"/>
          <w:szCs w:val="24"/>
          <w:highlight w:val="none"/>
        </w:rPr>
        <w:t>.4现场工艺试验</w:t>
      </w:r>
      <w:bookmarkEnd w:id="326"/>
    </w:p>
    <w:bookmarkEnd w:id="327"/>
    <w:p w14:paraId="357A58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1A98C97">
      <w:pPr>
        <w:pStyle w:val="5"/>
        <w:spacing w:before="120" w:after="120" w:line="312" w:lineRule="auto"/>
        <w:rPr>
          <w:rFonts w:hint="eastAsia"/>
          <w:b w:val="0"/>
          <w:color w:val="auto"/>
          <w:sz w:val="24"/>
          <w:szCs w:val="24"/>
          <w:highlight w:val="none"/>
        </w:rPr>
      </w:pPr>
      <w:bookmarkStart w:id="328" w:name="_Toc351203567"/>
      <w:r>
        <w:rPr>
          <w:rFonts w:hint="eastAsia"/>
          <w:b w:val="0"/>
          <w:color w:val="auto"/>
          <w:sz w:val="24"/>
          <w:szCs w:val="24"/>
          <w:highlight w:val="none"/>
        </w:rPr>
        <w:t>1</w:t>
      </w:r>
      <w:bookmarkStart w:id="329" w:name="_Toc337558787"/>
      <w:r>
        <w:rPr>
          <w:rFonts w:hint="eastAsia"/>
          <w:b w:val="0"/>
          <w:color w:val="auto"/>
          <w:sz w:val="24"/>
          <w:szCs w:val="24"/>
          <w:highlight w:val="none"/>
        </w:rPr>
        <w:t>0. 变更</w:t>
      </w:r>
      <w:bookmarkEnd w:id="318"/>
      <w:bookmarkEnd w:id="319"/>
      <w:bookmarkEnd w:id="328"/>
    </w:p>
    <w:bookmarkEnd w:id="329"/>
    <w:p w14:paraId="50835439">
      <w:pPr>
        <w:pStyle w:val="6"/>
        <w:spacing w:before="120" w:after="120" w:line="312" w:lineRule="auto"/>
        <w:ind w:firstLine="480" w:firstLineChars="200"/>
        <w:rPr>
          <w:rFonts w:hint="eastAsia" w:ascii="宋体" w:hAnsi="宋体" w:cs="宋体"/>
          <w:b w:val="0"/>
          <w:color w:val="auto"/>
          <w:sz w:val="24"/>
          <w:szCs w:val="24"/>
          <w:highlight w:val="none"/>
        </w:rPr>
      </w:pPr>
      <w:bookmarkStart w:id="330" w:name="_Toc351203568"/>
      <w:r>
        <w:rPr>
          <w:rFonts w:hint="eastAsia" w:ascii="宋体" w:hAnsi="宋体" w:cs="宋体"/>
          <w:b w:val="0"/>
          <w:color w:val="auto"/>
          <w:sz w:val="24"/>
          <w:szCs w:val="24"/>
          <w:highlight w:val="none"/>
        </w:rPr>
        <w:t>1</w:t>
      </w:r>
      <w:bookmarkStart w:id="331" w:name="_Toc337558788"/>
      <w:bookmarkStart w:id="332" w:name="_Toc296503084"/>
      <w:bookmarkStart w:id="333" w:name="_Toc296346585"/>
      <w:r>
        <w:rPr>
          <w:rFonts w:hint="eastAsia" w:ascii="宋体" w:hAnsi="宋体" w:cs="宋体"/>
          <w:b w:val="0"/>
          <w:color w:val="auto"/>
          <w:sz w:val="24"/>
          <w:szCs w:val="24"/>
          <w:highlight w:val="none"/>
        </w:rPr>
        <w:t>0.1变更的范围</w:t>
      </w:r>
      <w:bookmarkEnd w:id="330"/>
    </w:p>
    <w:bookmarkEnd w:id="331"/>
    <w:bookmarkEnd w:id="332"/>
    <w:bookmarkEnd w:id="333"/>
    <w:p w14:paraId="5942E0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除专用合同条款另有约定外，合同履行过程中发生以下情形的，应按照本条约定进行变更：</w:t>
      </w:r>
    </w:p>
    <w:p w14:paraId="75AF62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（1）增加或减少合同中任何工作，或追加额外的工作；</w:t>
      </w:r>
    </w:p>
    <w:p w14:paraId="6458A6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（2）取消合同中任何工作，但转由他人实施的工作除外；</w:t>
      </w:r>
    </w:p>
    <w:p w14:paraId="37F3F0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（3）改变合同中任何工作的质量标准或其他特性；</w:t>
      </w:r>
    </w:p>
    <w:p w14:paraId="246E2F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（4）改变工程的基线、标高、位置和尺寸；</w:t>
      </w:r>
    </w:p>
    <w:p w14:paraId="322AC4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（5）改变工程的时间安排或实施顺序。</w:t>
      </w:r>
    </w:p>
    <w:p w14:paraId="2DBE3DC0">
      <w:pPr>
        <w:pStyle w:val="6"/>
        <w:spacing w:before="120" w:after="120" w:line="312" w:lineRule="auto"/>
        <w:ind w:firstLine="480" w:firstLineChars="200"/>
        <w:rPr>
          <w:rFonts w:hint="eastAsia" w:ascii="宋体" w:hAnsi="宋体" w:cs="宋体"/>
          <w:b w:val="0"/>
          <w:color w:val="auto"/>
          <w:sz w:val="24"/>
          <w:szCs w:val="24"/>
          <w:highlight w:val="none"/>
        </w:rPr>
      </w:pPr>
      <w:bookmarkStart w:id="334" w:name="_Toc351203569"/>
      <w:r>
        <w:rPr>
          <w:rFonts w:hint="eastAsia" w:ascii="宋体" w:hAnsi="宋体" w:cs="宋体"/>
          <w:b w:val="0"/>
          <w:color w:val="auto"/>
          <w:sz w:val="24"/>
          <w:szCs w:val="24"/>
          <w:highlight w:val="none"/>
        </w:rPr>
        <w:t>1</w:t>
      </w:r>
      <w:bookmarkStart w:id="335" w:name="_Toc296346586"/>
      <w:bookmarkStart w:id="336" w:name="_Toc296503085"/>
      <w:bookmarkStart w:id="337" w:name="_Toc337558789"/>
      <w:r>
        <w:rPr>
          <w:rFonts w:hint="eastAsia" w:ascii="宋体" w:hAnsi="宋体" w:cs="宋体"/>
          <w:b w:val="0"/>
          <w:color w:val="auto"/>
          <w:sz w:val="24"/>
          <w:szCs w:val="24"/>
          <w:highlight w:val="none"/>
        </w:rPr>
        <w:t>0.2变更权</w:t>
      </w:r>
      <w:bookmarkEnd w:id="334"/>
    </w:p>
    <w:bookmarkEnd w:id="335"/>
    <w:bookmarkEnd w:id="336"/>
    <w:bookmarkEnd w:id="337"/>
    <w:p w14:paraId="7653B2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3F040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32F316F2">
      <w:pPr>
        <w:pStyle w:val="6"/>
        <w:spacing w:before="120" w:after="120" w:line="312" w:lineRule="auto"/>
        <w:ind w:firstLine="480" w:firstLineChars="200"/>
        <w:rPr>
          <w:rFonts w:hint="eastAsia" w:ascii="宋体" w:hAnsi="宋体" w:cs="宋体"/>
          <w:b w:val="0"/>
          <w:color w:val="auto"/>
          <w:sz w:val="24"/>
          <w:szCs w:val="24"/>
          <w:highlight w:val="none"/>
        </w:rPr>
      </w:pPr>
      <w:bookmarkStart w:id="338" w:name="_Toc351203570"/>
      <w:r>
        <w:rPr>
          <w:rFonts w:hint="eastAsia" w:ascii="宋体" w:hAnsi="宋体" w:cs="宋体"/>
          <w:b w:val="0"/>
          <w:color w:val="auto"/>
          <w:sz w:val="24"/>
          <w:szCs w:val="24"/>
          <w:highlight w:val="none"/>
        </w:rPr>
        <w:t>1</w:t>
      </w:r>
      <w:bookmarkStart w:id="339" w:name="_Toc296346587"/>
      <w:bookmarkStart w:id="340" w:name="_Toc296503086"/>
      <w:bookmarkStart w:id="341" w:name="_Toc337558790"/>
      <w:r>
        <w:rPr>
          <w:rFonts w:hint="eastAsia" w:ascii="宋体" w:hAnsi="宋体" w:cs="宋体"/>
          <w:b w:val="0"/>
          <w:color w:val="auto"/>
          <w:sz w:val="24"/>
          <w:szCs w:val="24"/>
          <w:highlight w:val="none"/>
        </w:rPr>
        <w:t>0.3变更程序</w:t>
      </w:r>
      <w:bookmarkEnd w:id="338"/>
    </w:p>
    <w:bookmarkEnd w:id="339"/>
    <w:bookmarkEnd w:id="340"/>
    <w:bookmarkEnd w:id="341"/>
    <w:p w14:paraId="32C422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.3.1 发包人提出变更</w:t>
      </w:r>
    </w:p>
    <w:p w14:paraId="2963A18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发包人提出变更的，应通过监理人向承包人发出变更指示，变更指示应说明计划变更的工程范围和变更的内容。</w:t>
      </w:r>
    </w:p>
    <w:p w14:paraId="6E38D0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.3.2 监理人提出变更建议</w:t>
      </w:r>
    </w:p>
    <w:p w14:paraId="14B2D00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AE2CF7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10.3.3 变更执行</w:t>
      </w:r>
    </w:p>
    <w:p w14:paraId="5A3CFF6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11F456B">
      <w:pPr>
        <w:pStyle w:val="6"/>
        <w:spacing w:before="120" w:after="120" w:line="312" w:lineRule="auto"/>
        <w:ind w:firstLine="480" w:firstLineChars="200"/>
        <w:rPr>
          <w:rFonts w:hint="eastAsia" w:ascii="宋体" w:hAnsi="宋体" w:cs="宋体"/>
          <w:b w:val="0"/>
          <w:color w:val="auto"/>
          <w:sz w:val="24"/>
          <w:szCs w:val="24"/>
          <w:highlight w:val="none"/>
        </w:rPr>
      </w:pPr>
      <w:bookmarkStart w:id="342" w:name="_Toc351203571"/>
      <w:r>
        <w:rPr>
          <w:rFonts w:hint="eastAsia" w:ascii="宋体" w:hAnsi="宋体" w:cs="宋体"/>
          <w:b w:val="0"/>
          <w:color w:val="auto"/>
          <w:sz w:val="24"/>
          <w:szCs w:val="24"/>
          <w:highlight w:val="none"/>
        </w:rPr>
        <w:t>1</w:t>
      </w:r>
      <w:bookmarkStart w:id="343" w:name="_Toc296503087"/>
      <w:bookmarkStart w:id="344" w:name="_Toc296346588"/>
      <w:bookmarkStart w:id="345" w:name="_Toc337558791"/>
      <w:r>
        <w:rPr>
          <w:rFonts w:hint="eastAsia" w:ascii="宋体" w:hAnsi="宋体" w:cs="宋体"/>
          <w:b w:val="0"/>
          <w:color w:val="auto"/>
          <w:sz w:val="24"/>
          <w:szCs w:val="24"/>
          <w:highlight w:val="none"/>
        </w:rPr>
        <w:t>0.4变更估价</w:t>
      </w:r>
      <w:bookmarkEnd w:id="342"/>
    </w:p>
    <w:bookmarkEnd w:id="343"/>
    <w:bookmarkEnd w:id="344"/>
    <w:bookmarkEnd w:id="345"/>
    <w:p w14:paraId="57B717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10.4.1 变更估价原则</w:t>
      </w:r>
    </w:p>
    <w:p w14:paraId="261700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除专用合同条款另有约定外，变更估价按照本款约定处理：</w:t>
      </w:r>
    </w:p>
    <w:p w14:paraId="5B7E3A2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（1）已标价工程量清单或预算书有相同项目的，按照相同项目单价认定；</w:t>
      </w:r>
    </w:p>
    <w:p w14:paraId="148ADF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（2）已标价工程量清单或预算书中无相同项目，但有类似项目的，参照类似项目的单价认定；</w:t>
      </w:r>
    </w:p>
    <w:p w14:paraId="2EB428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08CF2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10.4.2 变更估价程序</w:t>
      </w:r>
    </w:p>
    <w:p w14:paraId="4A3FBF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A9B3D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因变更引起的价格调整应计入最近一期的进度款中支付。</w:t>
      </w:r>
    </w:p>
    <w:p w14:paraId="008D5EA5">
      <w:pPr>
        <w:pStyle w:val="6"/>
        <w:spacing w:before="120" w:after="120" w:line="312" w:lineRule="auto"/>
        <w:ind w:firstLine="480" w:firstLineChars="200"/>
        <w:rPr>
          <w:rFonts w:hint="eastAsia" w:ascii="宋体" w:hAnsi="宋体" w:cs="宋体"/>
          <w:b w:val="0"/>
          <w:color w:val="auto"/>
          <w:sz w:val="24"/>
          <w:szCs w:val="24"/>
          <w:highlight w:val="none"/>
        </w:rPr>
      </w:pPr>
      <w:bookmarkStart w:id="346" w:name="_Toc351203572"/>
      <w:r>
        <w:rPr>
          <w:rFonts w:hint="eastAsia" w:ascii="宋体" w:hAnsi="宋体" w:cs="宋体"/>
          <w:b w:val="0"/>
          <w:color w:val="auto"/>
          <w:sz w:val="24"/>
          <w:szCs w:val="24"/>
          <w:highlight w:val="none"/>
        </w:rPr>
        <w:t>1</w:t>
      </w:r>
      <w:bookmarkStart w:id="347" w:name="_Toc337558792"/>
      <w:bookmarkStart w:id="348" w:name="_Toc296503094"/>
      <w:bookmarkStart w:id="349" w:name="_Toc296346595"/>
      <w:r>
        <w:rPr>
          <w:rFonts w:hint="eastAsia" w:ascii="宋体" w:hAnsi="宋体" w:cs="宋体"/>
          <w:b w:val="0"/>
          <w:color w:val="auto"/>
          <w:sz w:val="24"/>
          <w:szCs w:val="24"/>
          <w:highlight w:val="none"/>
        </w:rPr>
        <w:t>0.5承包人的合理化建议</w:t>
      </w:r>
      <w:bookmarkEnd w:id="346"/>
    </w:p>
    <w:bookmarkEnd w:id="347"/>
    <w:bookmarkEnd w:id="348"/>
    <w:bookmarkEnd w:id="349"/>
    <w:p w14:paraId="4A7495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承包人提出合理化建议的，应向监理人提交合理化建议说明，说明建议的内容和理由，以及实施该建议对合同价格和工期的影响。</w:t>
      </w:r>
    </w:p>
    <w:p w14:paraId="758D3E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6A143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合理化建议降低了合同价格或者提高了工程经济效益的，发包人可对承包人给予奖励，奖励的方法和金额在专用合同条款中约定。</w:t>
      </w:r>
    </w:p>
    <w:p w14:paraId="33B005EC">
      <w:pPr>
        <w:pStyle w:val="6"/>
        <w:spacing w:before="120" w:after="120" w:line="312" w:lineRule="auto"/>
        <w:ind w:firstLine="480" w:firstLineChars="200"/>
        <w:rPr>
          <w:rFonts w:hint="eastAsia" w:ascii="宋体" w:hAnsi="宋体" w:cs="宋体"/>
          <w:color w:val="auto"/>
          <w:sz w:val="24"/>
          <w:szCs w:val="24"/>
          <w:highlight w:val="none"/>
        </w:rPr>
      </w:pPr>
      <w:bookmarkStart w:id="350" w:name="_Toc351203573"/>
      <w:r>
        <w:rPr>
          <w:rFonts w:hint="eastAsia" w:ascii="宋体" w:hAnsi="宋体" w:cs="宋体"/>
          <w:b w:val="0"/>
          <w:color w:val="auto"/>
          <w:sz w:val="24"/>
          <w:szCs w:val="24"/>
          <w:highlight w:val="none"/>
        </w:rPr>
        <w:t>1</w:t>
      </w:r>
      <w:bookmarkStart w:id="351" w:name="_Toc337558793"/>
      <w:r>
        <w:rPr>
          <w:rFonts w:hint="eastAsia" w:ascii="宋体" w:hAnsi="宋体" w:cs="宋体"/>
          <w:b w:val="0"/>
          <w:color w:val="auto"/>
          <w:sz w:val="24"/>
          <w:szCs w:val="24"/>
          <w:highlight w:val="none"/>
        </w:rPr>
        <w:t>0.6变更引起的工期调整</w:t>
      </w:r>
      <w:bookmarkEnd w:id="350"/>
      <w:r>
        <w:rPr>
          <w:rFonts w:hint="eastAsia" w:ascii="宋体" w:hAnsi="宋体" w:cs="宋体"/>
          <w:b w:val="0"/>
          <w:color w:val="auto"/>
          <w:sz w:val="24"/>
          <w:szCs w:val="24"/>
          <w:highlight w:val="none"/>
        </w:rPr>
        <w:t xml:space="preserve"> </w:t>
      </w:r>
      <w:bookmarkEnd w:id="351"/>
      <w:r>
        <w:rPr>
          <w:rFonts w:hint="eastAsia" w:ascii="宋体" w:hAnsi="宋体" w:cs="宋体"/>
          <w:b w:val="0"/>
          <w:color w:val="auto"/>
          <w:sz w:val="24"/>
          <w:szCs w:val="24"/>
          <w:highlight w:val="none"/>
        </w:rPr>
        <w:t xml:space="preserve"> </w:t>
      </w:r>
      <w:r>
        <w:rPr>
          <w:rFonts w:hint="eastAsia" w:ascii="宋体" w:hAnsi="宋体" w:cs="宋体"/>
          <w:color w:val="auto"/>
          <w:sz w:val="24"/>
          <w:szCs w:val="24"/>
          <w:highlight w:val="none"/>
        </w:rPr>
        <w:t xml:space="preserve"> </w:t>
      </w:r>
    </w:p>
    <w:p w14:paraId="02DFEF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64040B9F">
      <w:pPr>
        <w:pStyle w:val="6"/>
        <w:spacing w:before="120" w:after="120" w:line="312" w:lineRule="auto"/>
        <w:ind w:firstLine="480" w:firstLineChars="200"/>
        <w:rPr>
          <w:rFonts w:hint="eastAsia" w:ascii="宋体" w:hAnsi="宋体" w:cs="宋体"/>
          <w:b w:val="0"/>
          <w:color w:val="auto"/>
          <w:sz w:val="24"/>
          <w:szCs w:val="24"/>
          <w:highlight w:val="none"/>
        </w:rPr>
      </w:pPr>
      <w:bookmarkStart w:id="352" w:name="_Toc351203574"/>
      <w:r>
        <w:rPr>
          <w:rFonts w:hint="eastAsia" w:ascii="宋体" w:hAnsi="宋体" w:cs="宋体"/>
          <w:b w:val="0"/>
          <w:color w:val="auto"/>
          <w:sz w:val="24"/>
          <w:szCs w:val="24"/>
          <w:highlight w:val="none"/>
        </w:rPr>
        <w:t>10.7暂估价</w:t>
      </w:r>
      <w:bookmarkEnd w:id="352"/>
    </w:p>
    <w:p w14:paraId="0A3EB94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暂估价专业分包工程、服务、材料和工程设备的明细由合同当事人在专用合同条款中约定。</w:t>
      </w:r>
    </w:p>
    <w:p w14:paraId="235642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10.7.1</w:t>
      </w:r>
      <w:r>
        <w:rPr>
          <w:rFonts w:hint="eastAsia" w:ascii="宋体" w:hAnsi="宋体" w:cs="宋体"/>
          <w:color w:val="auto"/>
          <w:kern w:val="0"/>
          <w:sz w:val="24"/>
          <w:highlight w:val="none"/>
        </w:rPr>
        <w:t xml:space="preserve"> 依法必须招标的暂估价项目</w:t>
      </w:r>
    </w:p>
    <w:p w14:paraId="3F4C239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对于依法必须招标的暂估价项目，采取以下第1种方式确定。合同当事人也可以在专用合同条款中选择其他招标方式。</w:t>
      </w:r>
    </w:p>
    <w:p w14:paraId="66FED9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第1种方式：对于依法必须招标的暂估价项目，由承包人招标，对该暂估价项目的确认和批准按照以下约定执行：</w:t>
      </w:r>
    </w:p>
    <w:p w14:paraId="59E38A0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933490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F8619AB">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69373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1C154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10.7.2</w:t>
      </w:r>
      <w:r>
        <w:rPr>
          <w:rFonts w:hint="eastAsia" w:ascii="宋体" w:hAnsi="宋体" w:cs="宋体"/>
          <w:color w:val="auto"/>
          <w:kern w:val="0"/>
          <w:sz w:val="24"/>
          <w:highlight w:val="none"/>
        </w:rPr>
        <w:t>不属于依法必须招标的暂估价项目</w:t>
      </w:r>
    </w:p>
    <w:p w14:paraId="70D39C2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除专用合同条款另有约定外，对于不属于依法必须招标的暂估价项目，采取以下第1种方式确定： </w:t>
      </w:r>
    </w:p>
    <w:p w14:paraId="011A3BF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第1种方式：对于不属于依法必须招标的暂估价项目，按本项约定确认和批准：</w:t>
      </w:r>
    </w:p>
    <w:p w14:paraId="667C56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B0084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（2）发包人认为承包人确定的供应商、分包人无法满足工程质量或合同要求的，发包人可以要求承包人重新确定暂估价项目的供应商、分包人;</w:t>
      </w:r>
    </w:p>
    <w:p w14:paraId="6DE36D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（3）承包人应当在签订暂估价合同后7天内，将暂估价合同副本报送发包人留存。</w:t>
      </w:r>
    </w:p>
    <w:p w14:paraId="48EBE54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第2种方式：承包人按照第10.7.1项〔依法必须招标的暂估价项目〕约定的第1种方式确定暂估价项目。</w:t>
      </w:r>
    </w:p>
    <w:p w14:paraId="1CC75C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27461B7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479967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31AB7BF">
      <w:pPr>
        <w:pStyle w:val="6"/>
        <w:spacing w:before="120" w:after="120" w:line="312" w:lineRule="auto"/>
        <w:ind w:firstLine="480" w:firstLineChars="200"/>
        <w:rPr>
          <w:rFonts w:hint="eastAsia" w:ascii="宋体" w:hAnsi="宋体" w:cs="宋体"/>
          <w:b w:val="0"/>
          <w:color w:val="auto"/>
          <w:sz w:val="24"/>
          <w:szCs w:val="24"/>
          <w:highlight w:val="none"/>
        </w:rPr>
      </w:pPr>
      <w:bookmarkStart w:id="353" w:name="_Toc351203575"/>
      <w:r>
        <w:rPr>
          <w:rFonts w:hint="eastAsia" w:ascii="宋体" w:hAnsi="宋体" w:cs="宋体"/>
          <w:b w:val="0"/>
          <w:color w:val="auto"/>
          <w:sz w:val="24"/>
          <w:szCs w:val="24"/>
          <w:highlight w:val="none"/>
        </w:rPr>
        <w:t>1</w:t>
      </w:r>
      <w:bookmarkStart w:id="354" w:name="_Toc337558794"/>
      <w:bookmarkStart w:id="355" w:name="_Toc296503090"/>
      <w:bookmarkStart w:id="356" w:name="_Toc296346591"/>
      <w:bookmarkStart w:id="357" w:name="_Toc322522561"/>
      <w:r>
        <w:rPr>
          <w:rFonts w:hint="eastAsia" w:ascii="宋体" w:hAnsi="宋体" w:cs="宋体"/>
          <w:b w:val="0"/>
          <w:color w:val="auto"/>
          <w:sz w:val="24"/>
          <w:szCs w:val="24"/>
          <w:highlight w:val="none"/>
        </w:rPr>
        <w:t>0.8暂列金额</w:t>
      </w:r>
      <w:bookmarkEnd w:id="353"/>
    </w:p>
    <w:bookmarkEnd w:id="354"/>
    <w:p w14:paraId="13080E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372AB8F6">
      <w:pPr>
        <w:pStyle w:val="6"/>
        <w:spacing w:before="120" w:after="120" w:line="312" w:lineRule="auto"/>
        <w:ind w:firstLine="480" w:firstLineChars="200"/>
        <w:rPr>
          <w:rFonts w:hint="eastAsia" w:ascii="宋体" w:hAnsi="宋体" w:cs="宋体"/>
          <w:b w:val="0"/>
          <w:color w:val="auto"/>
          <w:sz w:val="24"/>
          <w:szCs w:val="24"/>
          <w:highlight w:val="none"/>
        </w:rPr>
      </w:pPr>
      <w:bookmarkStart w:id="358" w:name="_Toc351203576"/>
      <w:r>
        <w:rPr>
          <w:rFonts w:hint="eastAsia" w:ascii="宋体" w:hAnsi="宋体" w:cs="宋体"/>
          <w:b w:val="0"/>
          <w:color w:val="auto"/>
          <w:sz w:val="24"/>
          <w:szCs w:val="24"/>
          <w:highlight w:val="none"/>
        </w:rPr>
        <w:t>1</w:t>
      </w:r>
      <w:bookmarkStart w:id="359" w:name="_Toc337558796"/>
      <w:bookmarkStart w:id="360" w:name="_Toc296346592"/>
      <w:bookmarkStart w:id="361" w:name="_Toc296503091"/>
      <w:r>
        <w:rPr>
          <w:rFonts w:hint="eastAsia" w:ascii="宋体" w:hAnsi="宋体" w:cs="宋体"/>
          <w:b w:val="0"/>
          <w:color w:val="auto"/>
          <w:sz w:val="24"/>
          <w:szCs w:val="24"/>
          <w:highlight w:val="none"/>
        </w:rPr>
        <w:t>0.9计日工</w:t>
      </w:r>
      <w:bookmarkEnd w:id="358"/>
      <w:r>
        <w:rPr>
          <w:rFonts w:hint="eastAsia" w:ascii="宋体" w:hAnsi="宋体" w:cs="宋体"/>
          <w:b w:val="0"/>
          <w:color w:val="auto"/>
          <w:sz w:val="24"/>
          <w:szCs w:val="24"/>
          <w:highlight w:val="none"/>
        </w:rPr>
        <w:t xml:space="preserve"> </w:t>
      </w:r>
      <w:bookmarkEnd w:id="359"/>
      <w:bookmarkEnd w:id="360"/>
      <w:bookmarkEnd w:id="361"/>
    </w:p>
    <w:p w14:paraId="7D068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7F7738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采用计日工计价的任何一项工作，承包人应在该项工作实施过程中，每天提交以下报表和有关凭证报送监理人审查：</w:t>
      </w:r>
    </w:p>
    <w:p w14:paraId="1BBFD8D4">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（1）工作名称、内容和数量；</w:t>
      </w:r>
    </w:p>
    <w:p w14:paraId="29EDEB6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（2）投入该工作的所有人员的姓名、专业、工种、级别和耗用工时；</w:t>
      </w:r>
    </w:p>
    <w:p w14:paraId="276C6C3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（3）投入该工作的材料类别和数量；</w:t>
      </w:r>
    </w:p>
    <w:p w14:paraId="0581453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（4）投入该工作的施工设备型号、台数和耗用台时；</w:t>
      </w:r>
    </w:p>
    <w:p w14:paraId="4B4A104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（5）其他有关资料和凭证。</w:t>
      </w:r>
    </w:p>
    <w:p w14:paraId="735F2278">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23BA5C04">
      <w:pPr>
        <w:numPr>
          <w:ilvl w:val="0"/>
          <w:numId w:val="5"/>
        </w:numPr>
        <w:spacing w:line="312"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价格调整</w:t>
      </w:r>
      <w:bookmarkEnd w:id="362"/>
      <w:bookmarkStart w:id="363" w:name="_Toc351203578"/>
      <w:bookmarkStart w:id="364" w:name="_Toc296346593"/>
      <w:bookmarkStart w:id="365" w:name="_Toc296503092"/>
      <w:bookmarkStart w:id="366" w:name="_Toc337558797"/>
    </w:p>
    <w:p w14:paraId="3F68DA3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11.1市场价格波动引起的调整</w:t>
      </w:r>
      <w:bookmarkEnd w:id="363"/>
    </w:p>
    <w:bookmarkEnd w:id="364"/>
    <w:bookmarkEnd w:id="365"/>
    <w:bookmarkEnd w:id="366"/>
    <w:p w14:paraId="34879AB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51471D3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第1种方式：采用价格指数进行价格调整。</w:t>
      </w:r>
    </w:p>
    <w:p w14:paraId="3037E247">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（1）价格调整公式</w:t>
      </w:r>
    </w:p>
    <w:p w14:paraId="6AF092D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因人工、材料和设备等价格波动影响合同价格时，根据专用合同条款中约定的数据，按以下公式计算差额并调整合同价格：</w:t>
      </w:r>
    </w:p>
    <w:p w14:paraId="2A3DFBCD">
      <w:pPr>
        <w:tabs>
          <w:tab w:val="left" w:pos="0"/>
          <w:tab w:val="left" w:pos="360"/>
          <w:tab w:val="left" w:pos="540"/>
        </w:tabs>
        <w:spacing w:line="312" w:lineRule="auto"/>
        <w:ind w:firstLine="480" w:firstLineChars="200"/>
        <w:rPr>
          <w:rFonts w:hint="eastAsia" w:ascii="宋体" w:hAnsi="宋体" w:cs="宋体"/>
          <w:color w:val="auto"/>
          <w:sz w:val="24"/>
          <w:highlight w:val="none"/>
        </w:rPr>
      </w:pPr>
    </w:p>
    <w:p w14:paraId="26F1BC38">
      <w:pPr>
        <w:tabs>
          <w:tab w:val="left" w:pos="0"/>
          <w:tab w:val="left" w:pos="360"/>
          <w:tab w:val="left" w:pos="540"/>
        </w:tabs>
        <w:spacing w:line="312" w:lineRule="auto"/>
        <w:ind w:firstLine="600" w:firstLineChars="200"/>
        <w:rPr>
          <w:rFonts w:hint="eastAsia" w:ascii="宋体" w:hAnsi="宋体" w:cs="宋体"/>
          <w:color w:val="auto"/>
          <w:sz w:val="24"/>
          <w:highlight w:val="none"/>
        </w:rPr>
      </w:pPr>
      <w:r>
        <w:rPr>
          <w:rFonts w:hint="eastAsia" w:eastAsia="仿宋_GB2312"/>
          <w:color w:val="auto"/>
          <w:position w:val="-30"/>
          <w:sz w:val="30"/>
          <w:szCs w:val="32"/>
          <w:highlight w:val="none"/>
        </w:rPr>
        <w:object>
          <v:shape id="_x0000_i1025" o:spt="75" type="#_x0000_t75" style="height:45pt;width:339.75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14:paraId="22CE7488">
      <w:pPr>
        <w:tabs>
          <w:tab w:val="left" w:pos="0"/>
          <w:tab w:val="left" w:pos="360"/>
          <w:tab w:val="left" w:pos="540"/>
        </w:tabs>
        <w:spacing w:line="312" w:lineRule="auto"/>
        <w:ind w:firstLine="640"/>
        <w:rPr>
          <w:rFonts w:hint="eastAsia" w:ascii="宋体" w:hAnsi="宋体" w:cs="宋体"/>
          <w:color w:val="auto"/>
          <w:sz w:val="24"/>
          <w:highlight w:val="none"/>
        </w:rPr>
      </w:pPr>
      <w:r>
        <w:rPr>
          <w:rFonts w:hint="eastAsia" w:ascii="宋体" w:hAnsi="宋体" w:cs="宋体"/>
          <w:color w:val="auto"/>
          <w:sz w:val="24"/>
          <w:highlight w:val="none"/>
        </w:rPr>
        <w:t>公式中：ΔP——需调整的价格差额；</w:t>
      </w:r>
    </w:p>
    <w:p w14:paraId="6559441F">
      <w:pPr>
        <w:tabs>
          <w:tab w:val="left" w:pos="0"/>
          <w:tab w:val="left" w:pos="360"/>
          <w:tab w:val="left" w:pos="540"/>
        </w:tabs>
        <w:spacing w:line="312" w:lineRule="auto"/>
        <w:ind w:firstLine="1440" w:firstLineChars="600"/>
        <w:rPr>
          <w:rFonts w:hint="eastAsia" w:ascii="宋体" w:hAnsi="宋体" w:cs="宋体"/>
          <w:color w:val="auto"/>
          <w:sz w:val="24"/>
          <w:highlight w:val="none"/>
        </w:rPr>
      </w:pPr>
      <w:r>
        <w:rPr>
          <w:rFonts w:hint="eastAsia" w:ascii="宋体" w:hAnsi="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2C973460">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A——定值权重（即不调部分的权重）；</w:t>
      </w:r>
    </w:p>
    <w:p w14:paraId="3FC11BE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7" o:spt="75" type="#_x0000_t75" style="height:21pt;width:101.25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cs="宋体"/>
          <w:color w:val="auto"/>
          <w:sz w:val="24"/>
          <w:highlight w:val="none"/>
        </w:rPr>
        <w:t>——各可调因子的变值权重（即可调部分的权重），为各可调因子在签约合同价中所占的比例；</w:t>
      </w:r>
    </w:p>
    <w:p w14:paraId="6E58E66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8" o:spt="75" type="#_x0000_t75" style="height:20.25pt;width:102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ascii="宋体" w:hAnsi="宋体" w:cs="宋体"/>
          <w:color w:val="auto"/>
          <w:sz w:val="24"/>
          <w:highlight w:val="none"/>
        </w:rPr>
        <w:t>——各可调因子的现行价格指数，指约定的付款证书相关周期最后一天的前42天的各可调因子的价格指数；</w:t>
      </w:r>
    </w:p>
    <w:p w14:paraId="638CDE8E">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9" o:spt="75" type="#_x0000_t75" style="height:20.25pt;width:108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hint="eastAsia" w:ascii="宋体" w:hAnsi="宋体" w:cs="宋体"/>
          <w:color w:val="auto"/>
          <w:sz w:val="24"/>
          <w:highlight w:val="none"/>
        </w:rPr>
        <w:t>——各可调因子的基本价格指数，指基准日期的各可调因子的价格指数。</w:t>
      </w:r>
    </w:p>
    <w:p w14:paraId="2E42CA4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356AD5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（2）暂时确定调整差额</w:t>
      </w:r>
    </w:p>
    <w:p w14:paraId="3F45524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在计算调整差额时无现行价格指数的，合同当事人同意暂用前次价格指数计算。实际价格指数有调整的，合同当事人进行相应调整。</w:t>
      </w:r>
    </w:p>
    <w:p w14:paraId="6173306F">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（3）权重的调整</w:t>
      </w:r>
    </w:p>
    <w:p w14:paraId="1B15F1B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因变更导致合同约定的权重不合理时，按照第4.4款〔商定或确定〕执行。</w:t>
      </w:r>
    </w:p>
    <w:p w14:paraId="33E68F5C">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（4）因承包人原因工期延误后的价格调整</w:t>
      </w:r>
    </w:p>
    <w:p w14:paraId="2F1697C3">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0C8D76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第2种方式：采用造价信息进行价格调整。</w:t>
      </w:r>
    </w:p>
    <w:p w14:paraId="03FD444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631C6F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EAAC3C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（2）材料、工程设备价格变化的价款调整按照发包人提供的基准价格，按以下风险范围规定执行：</w:t>
      </w:r>
    </w:p>
    <w:p w14:paraId="58257F2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18C27E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8E2B05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5B94C08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4AA74E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A53797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（3）施工机械台班单价或施工机械使用费发生变化超过省级或行业建设主管部门或其授权的工程造价管理机构规定的范围时，按规定调整合同价格。</w:t>
      </w:r>
    </w:p>
    <w:p w14:paraId="7F66AE7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第3种方式：专用合同条款约定的其他方式。</w:t>
      </w:r>
    </w:p>
    <w:p w14:paraId="213F8025">
      <w:pPr>
        <w:pStyle w:val="6"/>
        <w:spacing w:before="120" w:after="120" w:line="312" w:lineRule="auto"/>
        <w:ind w:firstLine="480" w:firstLineChars="200"/>
        <w:rPr>
          <w:rFonts w:hint="eastAsia" w:ascii="宋体" w:hAnsi="宋体" w:cs="宋体"/>
          <w:b w:val="0"/>
          <w:color w:val="auto"/>
          <w:sz w:val="24"/>
          <w:szCs w:val="24"/>
          <w:highlight w:val="none"/>
        </w:rPr>
      </w:pPr>
      <w:bookmarkStart w:id="367" w:name="_Toc351203579"/>
      <w:bookmarkStart w:id="368" w:name="_Toc337558798"/>
      <w:bookmarkStart w:id="369" w:name="_Toc296503093"/>
      <w:bookmarkStart w:id="370" w:name="_Toc296346594"/>
      <w:r>
        <w:rPr>
          <w:rFonts w:hint="eastAsia" w:ascii="宋体" w:hAnsi="宋体" w:cs="宋体"/>
          <w:b w:val="0"/>
          <w:color w:val="auto"/>
          <w:sz w:val="24"/>
          <w:szCs w:val="24"/>
          <w:highlight w:val="none"/>
        </w:rPr>
        <w:t>11.2法律变化引起的调整</w:t>
      </w:r>
      <w:bookmarkEnd w:id="367"/>
    </w:p>
    <w:bookmarkEnd w:id="368"/>
    <w:bookmarkEnd w:id="369"/>
    <w:bookmarkEnd w:id="370"/>
    <w:p w14:paraId="1C23C36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30C874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因法律变化引起的合同价格和工期调整，合同当事人无法达成一致的，由总监理工程师按第4.4款〔商定或确定〕的约定处理。</w:t>
      </w:r>
    </w:p>
    <w:p w14:paraId="32AEC3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因承包人原因造成工期延误，在工期延误期间出现法律变化的，由此增加的费用和（或）延误的工期由承包人承担。</w:t>
      </w:r>
    </w:p>
    <w:p w14:paraId="759B5A5A">
      <w:pPr>
        <w:pStyle w:val="5"/>
        <w:spacing w:before="120" w:after="120" w:line="312" w:lineRule="auto"/>
        <w:rPr>
          <w:rFonts w:hint="eastAsia"/>
          <w:b w:val="0"/>
          <w:color w:val="auto"/>
          <w:sz w:val="24"/>
          <w:szCs w:val="24"/>
          <w:highlight w:val="none"/>
        </w:rPr>
      </w:pPr>
      <w:bookmarkStart w:id="371" w:name="_Toc351203580"/>
      <w:bookmarkStart w:id="372" w:name="_Toc337558799"/>
      <w:bookmarkStart w:id="373" w:name="_Toc296503096"/>
      <w:bookmarkStart w:id="374" w:name="_Toc296346597"/>
      <w:r>
        <w:rPr>
          <w:rFonts w:hint="eastAsia"/>
          <w:b w:val="0"/>
          <w:color w:val="auto"/>
          <w:sz w:val="24"/>
          <w:szCs w:val="24"/>
          <w:highlight w:val="none"/>
        </w:rPr>
        <w:t>12. 合同价格、计量与支付</w:t>
      </w:r>
      <w:bookmarkEnd w:id="371"/>
    </w:p>
    <w:bookmarkEnd w:id="372"/>
    <w:p w14:paraId="63E633B1">
      <w:pPr>
        <w:pStyle w:val="6"/>
        <w:spacing w:before="120" w:after="120" w:line="312" w:lineRule="auto"/>
        <w:ind w:firstLine="480" w:firstLineChars="200"/>
        <w:rPr>
          <w:rFonts w:hint="eastAsia" w:ascii="宋体" w:hAnsi="宋体" w:cs="宋体"/>
          <w:b w:val="0"/>
          <w:color w:val="auto"/>
          <w:sz w:val="24"/>
          <w:szCs w:val="24"/>
          <w:highlight w:val="none"/>
        </w:rPr>
      </w:pPr>
      <w:bookmarkStart w:id="375" w:name="_Toc351203581"/>
      <w:bookmarkStart w:id="376" w:name="_Toc337558800"/>
      <w:r>
        <w:rPr>
          <w:rFonts w:hint="eastAsia" w:ascii="宋体" w:hAnsi="宋体" w:cs="宋体"/>
          <w:b w:val="0"/>
          <w:color w:val="auto"/>
          <w:sz w:val="24"/>
          <w:szCs w:val="24"/>
          <w:highlight w:val="none"/>
        </w:rPr>
        <w:t>12.1 合同价</w:t>
      </w:r>
      <w:bookmarkEnd w:id="373"/>
      <w:bookmarkEnd w:id="374"/>
      <w:r>
        <w:rPr>
          <w:rFonts w:hint="eastAsia" w:ascii="宋体" w:hAnsi="宋体" w:cs="宋体"/>
          <w:b w:val="0"/>
          <w:color w:val="auto"/>
          <w:sz w:val="24"/>
          <w:szCs w:val="24"/>
          <w:highlight w:val="none"/>
        </w:rPr>
        <w:t>格形式</w:t>
      </w:r>
      <w:bookmarkEnd w:id="375"/>
    </w:p>
    <w:bookmarkEnd w:id="376"/>
    <w:p w14:paraId="1159F7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发包人和承包人应在合同协议书中选择下列一种合同价格形式： </w:t>
      </w:r>
    </w:p>
    <w:p w14:paraId="436686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w:t>
      </w:r>
    </w:p>
    <w:p w14:paraId="4F3C4C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cs="宋体"/>
          <w:color w:val="auto"/>
          <w:sz w:val="24"/>
          <w:highlight w:val="none"/>
        </w:rPr>
        <w:t>在约定的范围内合同单价不作调整</w:t>
      </w:r>
      <w:r>
        <w:rPr>
          <w:rFonts w:hint="eastAsia" w:ascii="宋体" w:hAnsi="宋体" w:cs="宋体"/>
          <w:color w:val="auto"/>
          <w:kern w:val="0"/>
          <w:sz w:val="24"/>
          <w:highlight w:val="none"/>
        </w:rPr>
        <w:t>。合同当事人应在专用合同条款中约定综合单价包含的风险范围和风险费用的计算方法</w:t>
      </w:r>
      <w:r>
        <w:rPr>
          <w:rFonts w:hint="eastAsia" w:ascii="宋体" w:hAnsi="宋体" w:cs="宋体"/>
          <w:color w:val="auto"/>
          <w:sz w:val="24"/>
          <w:highlight w:val="none"/>
        </w:rPr>
        <w:t>，</w:t>
      </w:r>
      <w:r>
        <w:rPr>
          <w:rFonts w:hint="eastAsia" w:ascii="宋体" w:hAnsi="宋体" w:cs="宋体"/>
          <w:color w:val="auto"/>
          <w:kern w:val="0"/>
          <w:sz w:val="24"/>
          <w:highlight w:val="none"/>
        </w:rPr>
        <w:t>并约定风险范围以外的合同价格的调整方法，其中因市场价格波动引起的调整按第11.1款〔市场价格波动引起的调整〕约定执行。</w:t>
      </w:r>
    </w:p>
    <w:p w14:paraId="57614A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w:t>
      </w:r>
    </w:p>
    <w:p w14:paraId="4A6BD9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cs="宋体"/>
          <w:color w:val="auto"/>
          <w:sz w:val="24"/>
          <w:highlight w:val="none"/>
        </w:rPr>
        <w:t>在约定的范围内合同总价不作调整</w:t>
      </w:r>
      <w:r>
        <w:rPr>
          <w:rFonts w:hint="eastAsia" w:ascii="宋体" w:hAnsi="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67CC98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3、其它价格形式</w:t>
      </w:r>
    </w:p>
    <w:p w14:paraId="1C4AFB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合同当事人可在专用合同条款中约定其他合同价格形式。</w:t>
      </w:r>
    </w:p>
    <w:p w14:paraId="039F7310">
      <w:pPr>
        <w:pStyle w:val="6"/>
        <w:spacing w:before="120" w:after="120" w:line="312" w:lineRule="auto"/>
        <w:ind w:firstLine="480" w:firstLineChars="200"/>
        <w:rPr>
          <w:rFonts w:hint="eastAsia" w:ascii="宋体" w:hAnsi="宋体" w:cs="宋体"/>
          <w:b w:val="0"/>
          <w:color w:val="auto"/>
          <w:sz w:val="24"/>
          <w:szCs w:val="24"/>
          <w:highlight w:val="none"/>
        </w:rPr>
      </w:pPr>
      <w:bookmarkStart w:id="377" w:name="_Toc296503097"/>
      <w:bookmarkStart w:id="378" w:name="_Toc296346598"/>
      <w:bookmarkStart w:id="379" w:name="_Toc351203582"/>
      <w:bookmarkStart w:id="380" w:name="_Toc337558801"/>
      <w:r>
        <w:rPr>
          <w:rFonts w:hint="eastAsia" w:ascii="宋体" w:hAnsi="宋体" w:cs="宋体"/>
          <w:b w:val="0"/>
          <w:color w:val="auto"/>
          <w:sz w:val="24"/>
          <w:szCs w:val="24"/>
          <w:highlight w:val="none"/>
        </w:rPr>
        <w:t>12.2预</w:t>
      </w:r>
      <w:bookmarkEnd w:id="377"/>
      <w:bookmarkEnd w:id="378"/>
      <w:bookmarkStart w:id="381" w:name="_Toc296503100"/>
      <w:bookmarkStart w:id="382" w:name="_Toc296346601"/>
      <w:r>
        <w:rPr>
          <w:rFonts w:hint="eastAsia" w:ascii="宋体" w:hAnsi="宋体" w:cs="宋体"/>
          <w:b w:val="0"/>
          <w:color w:val="auto"/>
          <w:sz w:val="24"/>
          <w:szCs w:val="24"/>
          <w:highlight w:val="none"/>
        </w:rPr>
        <w:t>付款</w:t>
      </w:r>
      <w:bookmarkEnd w:id="379"/>
    </w:p>
    <w:bookmarkEnd w:id="380"/>
    <w:bookmarkEnd w:id="381"/>
    <w:bookmarkEnd w:id="382"/>
    <w:p w14:paraId="170DCF3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w:t>
      </w:r>
      <w:r>
        <w:rPr>
          <w:rFonts w:hint="eastAsia" w:ascii="宋体" w:hAnsi="宋体" w:cs="宋体"/>
          <w:color w:val="auto"/>
          <w:kern w:val="0"/>
          <w:sz w:val="24"/>
          <w:highlight w:val="none"/>
        </w:rPr>
        <w:t>1预付款的支付</w:t>
      </w:r>
    </w:p>
    <w:p w14:paraId="07D2E60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40CFF9E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05B2FED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3EE660F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12.2.2 预付款担保</w:t>
      </w:r>
    </w:p>
    <w:p w14:paraId="27235A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260EC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发包人在工程款中逐期扣回预付款后，预付款担保额度应相应减少，但剩余的预付款担保金额不得低于未被扣回的预付款金额。</w:t>
      </w:r>
    </w:p>
    <w:p w14:paraId="2B546703">
      <w:pPr>
        <w:pStyle w:val="6"/>
        <w:spacing w:before="120" w:after="120" w:line="312" w:lineRule="auto"/>
        <w:ind w:firstLine="480" w:firstLineChars="200"/>
        <w:rPr>
          <w:rFonts w:hint="eastAsia" w:ascii="宋体" w:hAnsi="宋体" w:cs="宋体"/>
          <w:b w:val="0"/>
          <w:color w:val="auto"/>
          <w:sz w:val="24"/>
          <w:szCs w:val="24"/>
          <w:highlight w:val="none"/>
        </w:rPr>
      </w:pPr>
      <w:bookmarkStart w:id="383" w:name="_Toc351203583"/>
      <w:bookmarkStart w:id="384" w:name="_Toc337558802"/>
      <w:r>
        <w:rPr>
          <w:rFonts w:hint="eastAsia" w:ascii="宋体" w:hAnsi="宋体" w:cs="宋体"/>
          <w:b w:val="0"/>
          <w:color w:val="auto"/>
          <w:sz w:val="24"/>
          <w:szCs w:val="24"/>
          <w:highlight w:val="none"/>
        </w:rPr>
        <w:t>12.3计量</w:t>
      </w:r>
      <w:bookmarkEnd w:id="383"/>
    </w:p>
    <w:bookmarkEnd w:id="384"/>
    <w:p w14:paraId="6000990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12.3.1 计量原则</w:t>
      </w:r>
    </w:p>
    <w:p w14:paraId="11FCAC6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256F41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12.3.2 计量周期</w:t>
      </w:r>
    </w:p>
    <w:p w14:paraId="383BAF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除专用合同条款另有约定外，工程量的计量按月进行。</w:t>
      </w:r>
    </w:p>
    <w:p w14:paraId="64D09D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12.3.3 单价合同的计量</w:t>
      </w:r>
    </w:p>
    <w:p w14:paraId="324956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除专用合同条款另有约定外，单价合同的计量按照本项约定执行：</w:t>
      </w:r>
    </w:p>
    <w:p w14:paraId="42971ED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3A8769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7EB6C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1DAA60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12.3.4 总价合同的计量</w:t>
      </w:r>
    </w:p>
    <w:p w14:paraId="2C32671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除专用合同条款另有约定外，按月计量支付的总价合同，按照本项约定执行：</w:t>
      </w:r>
    </w:p>
    <w:p w14:paraId="24A913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056884E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5BF29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（3）监理人未在收到承包人提交的工程量报表后的7天内完成复核的，承包人提交的工程量报告中的工程量视为承包人实际完成的工程量。</w:t>
      </w:r>
    </w:p>
    <w:p w14:paraId="61AB955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12.3.5 总价合同采用支付分解表计量支付的，可以按照第12.3.4项〔总价合同的计量〕约定进行计量，但合同价款按照支付分解表进行支付。</w:t>
      </w:r>
    </w:p>
    <w:p w14:paraId="0E8D24B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12.3.6 其他价格形式合同的计量</w:t>
      </w:r>
    </w:p>
    <w:p w14:paraId="57C7435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合同当事人可在专用合同条款中约定其他价格形式合同的计量方式和程序。</w:t>
      </w:r>
    </w:p>
    <w:p w14:paraId="126F7B43">
      <w:pPr>
        <w:pStyle w:val="6"/>
        <w:spacing w:before="120" w:after="120" w:line="312" w:lineRule="auto"/>
        <w:ind w:firstLine="480" w:firstLineChars="200"/>
        <w:rPr>
          <w:rFonts w:hint="eastAsia" w:ascii="宋体" w:hAnsi="宋体" w:cs="宋体"/>
          <w:b w:val="0"/>
          <w:color w:val="auto"/>
          <w:sz w:val="24"/>
          <w:szCs w:val="24"/>
          <w:highlight w:val="none"/>
        </w:rPr>
      </w:pPr>
      <w:bookmarkStart w:id="385" w:name="_Toc296346602"/>
      <w:bookmarkStart w:id="386" w:name="_Toc296503101"/>
      <w:bookmarkStart w:id="387" w:name="_Toc351203584"/>
      <w:bookmarkStart w:id="388" w:name="_Toc337558803"/>
      <w:r>
        <w:rPr>
          <w:rFonts w:hint="eastAsia" w:ascii="宋体" w:hAnsi="宋体" w:cs="宋体"/>
          <w:b w:val="0"/>
          <w:color w:val="auto"/>
          <w:sz w:val="24"/>
          <w:szCs w:val="24"/>
          <w:highlight w:val="none"/>
        </w:rPr>
        <w:t>12.4工程进度款支</w:t>
      </w:r>
      <w:bookmarkEnd w:id="385"/>
      <w:bookmarkEnd w:id="386"/>
      <w:r>
        <w:rPr>
          <w:rFonts w:hint="eastAsia" w:ascii="宋体" w:hAnsi="宋体" w:cs="宋体"/>
          <w:b w:val="0"/>
          <w:color w:val="auto"/>
          <w:sz w:val="24"/>
          <w:szCs w:val="24"/>
          <w:highlight w:val="none"/>
        </w:rPr>
        <w:t>付</w:t>
      </w:r>
      <w:bookmarkEnd w:id="387"/>
    </w:p>
    <w:bookmarkEnd w:id="388"/>
    <w:p w14:paraId="59D869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.1 付款周期</w:t>
      </w:r>
    </w:p>
    <w:p w14:paraId="5E4965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除专用合同条款另有约定外，付款周期应按照第12.3.2项〔计量周期〕的约定与计量周期保持一致。</w:t>
      </w:r>
    </w:p>
    <w:p w14:paraId="40D36F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.2 进度付款申请单的编制</w:t>
      </w:r>
    </w:p>
    <w:p w14:paraId="0A5E99F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除专用合同条款另有约定外，进度付款申请单应包括下列内容：</w:t>
      </w:r>
    </w:p>
    <w:p w14:paraId="6A44DA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（1）截至本次付款周期已完成工作对应的金额；</w:t>
      </w:r>
    </w:p>
    <w:p w14:paraId="6E83A2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（2）根据第10条〔变更〕应增加和扣减的变更金额；</w:t>
      </w:r>
    </w:p>
    <w:p w14:paraId="4B10713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（3）根据第12.2款〔预付款〕约定应支付的预付款和扣减的返还预付款；</w:t>
      </w:r>
    </w:p>
    <w:p w14:paraId="50D52D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（4）根据第15.3款〔质量保证金〕约定应扣减的质量保证金；</w:t>
      </w:r>
    </w:p>
    <w:p w14:paraId="1D3855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（5）根据第19条〔索赔〕应增加和扣减的索赔金额；</w:t>
      </w:r>
    </w:p>
    <w:p w14:paraId="1532A1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（6）对已签发的进度款支付证书中出现错误的修正，应在本次进度付款中支付或扣除的金额；</w:t>
      </w:r>
    </w:p>
    <w:p w14:paraId="5275EF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（7）根据合同约定应增加和扣减的其他金额。</w:t>
      </w:r>
    </w:p>
    <w:p w14:paraId="117098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12.4.3 进度付款申请单的提交</w:t>
      </w:r>
    </w:p>
    <w:p w14:paraId="279ED7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（1）单价合同进度付款申请单的提交</w:t>
      </w:r>
    </w:p>
    <w:p w14:paraId="13B0E1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3DA73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（2）总价合同进度付款申请单的提交</w:t>
      </w:r>
    </w:p>
    <w:p w14:paraId="6E81CE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04E885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总价合同按支付分解表支付的，承包人应按照第12.4.6项〔支付分解表〕及第12.4.2项〔进度付款申请单的编制〕的约定向监理人提交进度付款申请单。</w:t>
      </w:r>
    </w:p>
    <w:p w14:paraId="67530A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（3）其他价格形式合同的进度付款申请单的提交</w:t>
      </w:r>
    </w:p>
    <w:p w14:paraId="77CC65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合同当事人可在专用合同条款中约定其他价格形式合同的进度付款申请单的编制和提交程序。</w:t>
      </w:r>
    </w:p>
    <w:p w14:paraId="7764D8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.4 进度款审核和支付</w:t>
      </w:r>
    </w:p>
    <w:p w14:paraId="72D9BF1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6859A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E728D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BAF3A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（3）发包人签发进度款支付证书或临时进度款支付证书，不表明发包人已同意、批准或接受了承包人完成的相应部分的工作。</w:t>
      </w:r>
    </w:p>
    <w:p w14:paraId="2ABA62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(4)农民工工资支付</w:t>
      </w:r>
    </w:p>
    <w:p w14:paraId="3C1CA31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25%分帐出来的农民工工资转入承包人工人工资支付专用账户专户，转入专户环节必须有银行流水凭证。</w:t>
      </w:r>
    </w:p>
    <w:p w14:paraId="0C046A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2）发包人依据工程进度，审核承包人申报的工程进度款的比例25%，将人工费及时足额拨付至承包人的农民工工资专用账户，其余工程进度款项由发包人支付到承包人的单位基本户。</w:t>
      </w:r>
    </w:p>
    <w:p w14:paraId="3A2474C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3）承包人凡未向付款单位提供农民工工资专户的，或者承包人在申请工程进度款时未将人工费单列的，发包人有权拒绝支付工程进度款。</w:t>
      </w:r>
    </w:p>
    <w:p w14:paraId="2ECB667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4）农民工工资使用要求：专款专用，除发放工人工资外，不得用于其他用途。</w:t>
      </w:r>
    </w:p>
    <w:p w14:paraId="1118D4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5）承包人将农民工工资支付情况定期报告发包人和监理单位，并提供相应的材料接受建 设行政主管部门和劳动保障行政主管部门对此事项监管。</w:t>
      </w:r>
    </w:p>
    <w:p w14:paraId="4157CA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(5)农民工工资支付专用账户：××××公司农民工工资支付专用账户 。账号：</w:t>
      </w:r>
    </w:p>
    <w:p w14:paraId="4C5DFC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12.4.5 进度付款的修正</w:t>
      </w:r>
    </w:p>
    <w:p w14:paraId="4CBD5B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175ECA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12.4.6 支付分解表</w:t>
      </w:r>
    </w:p>
    <w:p w14:paraId="2A896B1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1、支付分解表的编制要求</w:t>
      </w:r>
    </w:p>
    <w:p w14:paraId="74DEAFA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（1）支付分解表中所列的每期付款金额，应为第12.4.2项〔进度付款申请单的编制〕第（1）目的估算金额；</w:t>
      </w:r>
    </w:p>
    <w:p w14:paraId="1E060A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（2）实际进度与施工进度计划不一致的，合同当事人可按照第4.4款〔商定或确定〕修改支付分解表；</w:t>
      </w:r>
    </w:p>
    <w:p w14:paraId="68C1AF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（3）不采用支付分解表的，承包人应向发包人和监理人提交按季度编制的支付估算分解表，用于支付参考。</w:t>
      </w:r>
    </w:p>
    <w:p w14:paraId="6988C9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2、总价合同支付分解表的编制与审批</w:t>
      </w:r>
    </w:p>
    <w:p w14:paraId="3FB2E8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D955D4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6289FF2">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0F8CEC5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3、单价合同的总价项目支付分解表的编制与审批</w:t>
      </w:r>
    </w:p>
    <w:p w14:paraId="2C54A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7065E34">
      <w:pPr>
        <w:pStyle w:val="6"/>
        <w:spacing w:before="120" w:after="120" w:line="312" w:lineRule="auto"/>
        <w:ind w:firstLine="480" w:firstLineChars="200"/>
        <w:rPr>
          <w:rFonts w:hint="eastAsia" w:ascii="宋体" w:hAnsi="宋体" w:cs="宋体"/>
          <w:b w:val="0"/>
          <w:color w:val="auto"/>
          <w:sz w:val="24"/>
          <w:szCs w:val="24"/>
          <w:highlight w:val="none"/>
        </w:rPr>
      </w:pPr>
      <w:bookmarkStart w:id="389" w:name="_Toc351203585"/>
      <w:r>
        <w:rPr>
          <w:rFonts w:hint="eastAsia" w:ascii="宋体" w:hAnsi="宋体" w:cs="宋体"/>
          <w:b w:val="0"/>
          <w:color w:val="auto"/>
          <w:sz w:val="24"/>
          <w:szCs w:val="24"/>
          <w:highlight w:val="none"/>
        </w:rPr>
        <w:t>12.5支付账户</w:t>
      </w:r>
      <w:bookmarkEnd w:id="389"/>
    </w:p>
    <w:p w14:paraId="5A58CA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发包人应将合同价款支付至合同协议书中约定的承包人账户。</w:t>
      </w:r>
    </w:p>
    <w:p w14:paraId="1B6079DE">
      <w:pPr>
        <w:pStyle w:val="5"/>
        <w:spacing w:before="120" w:after="120" w:line="312" w:lineRule="auto"/>
        <w:rPr>
          <w:rFonts w:hint="eastAsia"/>
          <w:b w:val="0"/>
          <w:color w:val="auto"/>
          <w:sz w:val="24"/>
          <w:szCs w:val="24"/>
          <w:highlight w:val="none"/>
        </w:rPr>
      </w:pPr>
      <w:bookmarkStart w:id="390" w:name="_Toc351203586"/>
      <w:bookmarkStart w:id="391" w:name="_Toc296346607"/>
      <w:bookmarkStart w:id="392" w:name="_Toc296503106"/>
      <w:bookmarkStart w:id="393" w:name="_Toc322522574"/>
      <w:bookmarkStart w:id="394" w:name="_Toc337558804"/>
      <w:r>
        <w:rPr>
          <w:rFonts w:hint="eastAsia"/>
          <w:b w:val="0"/>
          <w:color w:val="auto"/>
          <w:sz w:val="24"/>
          <w:szCs w:val="24"/>
          <w:highlight w:val="none"/>
        </w:rPr>
        <w:t>13. 验收和工程试车</w:t>
      </w:r>
      <w:bookmarkEnd w:id="390"/>
    </w:p>
    <w:bookmarkEnd w:id="391"/>
    <w:bookmarkEnd w:id="392"/>
    <w:bookmarkEnd w:id="393"/>
    <w:bookmarkEnd w:id="394"/>
    <w:p w14:paraId="5F2FF4EA">
      <w:pPr>
        <w:pStyle w:val="6"/>
        <w:spacing w:before="120" w:after="120" w:line="312" w:lineRule="auto"/>
        <w:ind w:firstLine="480" w:firstLineChars="200"/>
        <w:rPr>
          <w:rFonts w:hint="eastAsia" w:ascii="宋体" w:hAnsi="宋体" w:cs="宋体"/>
          <w:b w:val="0"/>
          <w:color w:val="auto"/>
          <w:sz w:val="24"/>
          <w:szCs w:val="24"/>
          <w:highlight w:val="none"/>
        </w:rPr>
      </w:pPr>
      <w:bookmarkStart w:id="395" w:name="_Toc351203587"/>
      <w:bookmarkStart w:id="396" w:name="_Toc337558805"/>
      <w:bookmarkStart w:id="397" w:name="_Toc296346611"/>
      <w:bookmarkStart w:id="398" w:name="_Toc296503110"/>
      <w:r>
        <w:rPr>
          <w:rFonts w:hint="eastAsia" w:ascii="宋体" w:hAnsi="宋体" w:cs="宋体"/>
          <w:b w:val="0"/>
          <w:color w:val="auto"/>
          <w:sz w:val="24"/>
          <w:szCs w:val="24"/>
          <w:highlight w:val="none"/>
        </w:rPr>
        <w:t>13.1分部分项工程验收</w:t>
      </w:r>
      <w:bookmarkEnd w:id="395"/>
    </w:p>
    <w:bookmarkEnd w:id="396"/>
    <w:p w14:paraId="4DD3A8D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分部分项工程质量应符合国家有关工程施工验收规范、标准及合同约定，承包人应按照施工组织设计的要求完成分部分项工程施工。</w:t>
      </w:r>
    </w:p>
    <w:p w14:paraId="4C015FA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 w:val="24"/>
          <w:highlight w:val="none"/>
        </w:rPr>
        <w:t>分部分项工程未经验收的，不得进入下一道工序施工。</w:t>
      </w:r>
    </w:p>
    <w:p w14:paraId="6BBE724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分部分项工程的验收资料应当作为竣工资料的组成部分。</w:t>
      </w:r>
    </w:p>
    <w:p w14:paraId="04344434">
      <w:pPr>
        <w:pStyle w:val="6"/>
        <w:spacing w:before="120" w:after="120" w:line="312" w:lineRule="auto"/>
        <w:ind w:firstLine="480" w:firstLineChars="200"/>
        <w:rPr>
          <w:rFonts w:hint="eastAsia" w:ascii="宋体" w:hAnsi="宋体" w:cs="宋体"/>
          <w:b w:val="0"/>
          <w:color w:val="auto"/>
          <w:sz w:val="24"/>
          <w:szCs w:val="24"/>
          <w:highlight w:val="none"/>
        </w:rPr>
      </w:pPr>
      <w:bookmarkStart w:id="399" w:name="_Toc351203588"/>
      <w:bookmarkStart w:id="400" w:name="_Toc337558806"/>
      <w:r>
        <w:rPr>
          <w:rFonts w:hint="eastAsia" w:ascii="宋体" w:hAnsi="宋体" w:cs="宋体"/>
          <w:b w:val="0"/>
          <w:color w:val="auto"/>
          <w:sz w:val="24"/>
          <w:szCs w:val="24"/>
          <w:highlight w:val="none"/>
        </w:rPr>
        <w:t>13.2竣工验收</w:t>
      </w:r>
      <w:bookmarkEnd w:id="399"/>
    </w:p>
    <w:bookmarkEnd w:id="397"/>
    <w:bookmarkEnd w:id="398"/>
    <w:bookmarkEnd w:id="400"/>
    <w:p w14:paraId="642929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13.2.1竣工验收条件</w:t>
      </w:r>
    </w:p>
    <w:p w14:paraId="1A3C20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工程具备以下条件的，承包人可以申请竣工验收：</w:t>
      </w:r>
    </w:p>
    <w:p w14:paraId="0FB02A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746B90B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（2）已按合同约定编制了甩项工作和缺陷修补工作清单以及相应的施工计划；</w:t>
      </w:r>
    </w:p>
    <w:p w14:paraId="5D9C06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（3）已按合同约定的内容和份数备齐竣工资料。</w:t>
      </w:r>
    </w:p>
    <w:p w14:paraId="45A358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13.2.2竣工验收程序</w:t>
      </w:r>
    </w:p>
    <w:p w14:paraId="268A220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除专用合同条款另有约定外，承包人申请竣工验收的，应当按照以下程序进行：</w:t>
      </w:r>
    </w:p>
    <w:p w14:paraId="1C4713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DC888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1251E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48177F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88A41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AFCDF2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20A560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13.2.3竣工日期</w:t>
      </w:r>
    </w:p>
    <w:p w14:paraId="719329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color w:val="auto"/>
          <w:kern w:val="0"/>
          <w:sz w:val="24"/>
          <w:highlight w:val="none"/>
        </w:rPr>
        <w:t>收申请报告的日期为实际竣工日期；工程未经竣工验收，发包人擅自使用的，以转移占有工程之日为实际竣工日期。</w:t>
      </w:r>
    </w:p>
    <w:p w14:paraId="35AB0C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13.2.4 拒绝接收全部或部分工程</w:t>
      </w:r>
    </w:p>
    <w:p w14:paraId="7E0A98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78A8F0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13.2.5 移交、接收全部与部分工程</w:t>
      </w:r>
    </w:p>
    <w:p w14:paraId="199E79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除专用合同条款另有约定外，合同当事人应当在颁发工程接收证书后7天内完成工程的移交。</w:t>
      </w:r>
    </w:p>
    <w:p w14:paraId="6FB0C19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AFFA2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C11E679">
      <w:pPr>
        <w:pStyle w:val="6"/>
        <w:spacing w:before="120" w:after="120" w:line="312" w:lineRule="auto"/>
        <w:ind w:firstLine="480" w:firstLineChars="200"/>
        <w:rPr>
          <w:rFonts w:hint="eastAsia" w:ascii="宋体" w:hAnsi="宋体" w:cs="宋体"/>
          <w:b w:val="0"/>
          <w:color w:val="auto"/>
          <w:sz w:val="24"/>
          <w:szCs w:val="24"/>
          <w:highlight w:val="none"/>
        </w:rPr>
      </w:pPr>
      <w:bookmarkStart w:id="402" w:name="_Toc351203589"/>
      <w:bookmarkStart w:id="403" w:name="_Toc296346612"/>
      <w:bookmarkStart w:id="404" w:name="_Toc296503111"/>
      <w:bookmarkStart w:id="405" w:name="_Toc337558807"/>
      <w:r>
        <w:rPr>
          <w:rFonts w:hint="eastAsia" w:ascii="宋体" w:hAnsi="宋体" w:cs="宋体"/>
          <w:b w:val="0"/>
          <w:color w:val="auto"/>
          <w:sz w:val="24"/>
          <w:szCs w:val="24"/>
          <w:highlight w:val="none"/>
        </w:rPr>
        <w:t>13.3工程试车</w:t>
      </w:r>
      <w:bookmarkEnd w:id="402"/>
    </w:p>
    <w:bookmarkEnd w:id="403"/>
    <w:bookmarkEnd w:id="404"/>
    <w:bookmarkEnd w:id="405"/>
    <w:p w14:paraId="05C39F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13.3.1试车程序</w:t>
      </w:r>
    </w:p>
    <w:p w14:paraId="3CC6039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工程需要试车的，除专用合同条款另有约定外，试车内容应与承包人承包范围相一致，试车费用由承包人承担。工程试车应按如下程序进行：</w:t>
      </w:r>
    </w:p>
    <w:p w14:paraId="13855A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EAF0D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9277C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AE873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13.3.2 试车中的责任</w:t>
      </w:r>
    </w:p>
    <w:p w14:paraId="029BAC9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937B9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9C6C0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13.3.3 投料试车</w:t>
      </w:r>
    </w:p>
    <w:p w14:paraId="38D0C30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3BD5DA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61AF2A7">
      <w:pPr>
        <w:pStyle w:val="6"/>
        <w:spacing w:before="120" w:after="120" w:line="312" w:lineRule="auto"/>
        <w:rPr>
          <w:rFonts w:hint="eastAsia" w:ascii="宋体" w:hAnsi="宋体" w:cs="宋体"/>
          <w:b w:val="0"/>
          <w:color w:val="auto"/>
          <w:sz w:val="24"/>
          <w:szCs w:val="24"/>
          <w:highlight w:val="none"/>
        </w:rPr>
      </w:pPr>
      <w:bookmarkStart w:id="406" w:name="_Toc337558808"/>
      <w:r>
        <w:rPr>
          <w:rFonts w:hint="eastAsia" w:ascii="宋体" w:hAnsi="宋体" w:cs="宋体"/>
          <w:b w:val="0"/>
          <w:color w:val="auto"/>
          <w:sz w:val="24"/>
          <w:szCs w:val="24"/>
          <w:highlight w:val="none"/>
        </w:rPr>
        <w:t xml:space="preserve">    </w:t>
      </w:r>
      <w:bookmarkStart w:id="407" w:name="_Toc351203590"/>
      <w:r>
        <w:rPr>
          <w:rFonts w:hint="eastAsia" w:ascii="宋体" w:hAnsi="宋体" w:cs="宋体"/>
          <w:b w:val="0"/>
          <w:color w:val="auto"/>
          <w:sz w:val="24"/>
          <w:szCs w:val="24"/>
          <w:highlight w:val="none"/>
        </w:rPr>
        <w:t>13.4提前交付单位工程的验收</w:t>
      </w:r>
      <w:bookmarkEnd w:id="407"/>
    </w:p>
    <w:bookmarkEnd w:id="406"/>
    <w:p w14:paraId="22DBA0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5EAAF75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FDEE4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04E44E98">
      <w:pPr>
        <w:pStyle w:val="6"/>
        <w:spacing w:before="120" w:after="120" w:line="312" w:lineRule="auto"/>
        <w:ind w:firstLine="480" w:firstLineChars="200"/>
        <w:rPr>
          <w:rFonts w:hint="eastAsia" w:ascii="宋体" w:hAnsi="宋体" w:cs="宋体"/>
          <w:b w:val="0"/>
          <w:color w:val="auto"/>
          <w:sz w:val="24"/>
          <w:szCs w:val="24"/>
          <w:highlight w:val="none"/>
        </w:rPr>
      </w:pPr>
      <w:bookmarkStart w:id="408" w:name="_Toc351203591"/>
      <w:r>
        <w:rPr>
          <w:rFonts w:hint="eastAsia" w:ascii="宋体" w:hAnsi="宋体" w:cs="宋体"/>
          <w:b w:val="0"/>
          <w:color w:val="auto"/>
          <w:sz w:val="24"/>
          <w:szCs w:val="24"/>
          <w:highlight w:val="none"/>
        </w:rPr>
        <w:t>13.5 施工期运行</w:t>
      </w:r>
      <w:bookmarkEnd w:id="408"/>
    </w:p>
    <w:p w14:paraId="45A7D2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2378B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13.5.2 在施工期运行中发现工程或工程设备损坏或存在缺陷的，由承包人按第15.2款〔缺陷责任期〕约定进行修复。</w:t>
      </w:r>
    </w:p>
    <w:p w14:paraId="37F91872">
      <w:pPr>
        <w:pStyle w:val="6"/>
        <w:spacing w:before="120" w:after="120" w:line="312" w:lineRule="auto"/>
        <w:ind w:firstLine="480" w:firstLineChars="200"/>
        <w:rPr>
          <w:rFonts w:hint="eastAsia" w:ascii="宋体" w:hAnsi="宋体" w:cs="宋体"/>
          <w:b w:val="0"/>
          <w:color w:val="auto"/>
          <w:sz w:val="24"/>
          <w:szCs w:val="24"/>
          <w:highlight w:val="none"/>
        </w:rPr>
      </w:pPr>
      <w:bookmarkStart w:id="409" w:name="_Toc296503112"/>
      <w:bookmarkStart w:id="410" w:name="_Toc296346613"/>
      <w:bookmarkStart w:id="411" w:name="_Toc351203592"/>
      <w:bookmarkStart w:id="412" w:name="_Toc337558809"/>
      <w:r>
        <w:rPr>
          <w:rFonts w:hint="eastAsia" w:ascii="宋体" w:hAnsi="宋体" w:cs="宋体"/>
          <w:b w:val="0"/>
          <w:color w:val="auto"/>
          <w:sz w:val="24"/>
          <w:szCs w:val="24"/>
          <w:highlight w:val="none"/>
        </w:rPr>
        <w:t>13.6 竣工退</w:t>
      </w:r>
      <w:bookmarkEnd w:id="409"/>
      <w:bookmarkEnd w:id="410"/>
      <w:r>
        <w:rPr>
          <w:rFonts w:hint="eastAsia" w:ascii="宋体" w:hAnsi="宋体" w:cs="宋体"/>
          <w:b w:val="0"/>
          <w:color w:val="auto"/>
          <w:sz w:val="24"/>
          <w:szCs w:val="24"/>
          <w:highlight w:val="none"/>
        </w:rPr>
        <w:t>场</w:t>
      </w:r>
      <w:bookmarkEnd w:id="411"/>
    </w:p>
    <w:bookmarkEnd w:id="412"/>
    <w:p w14:paraId="6A2BA32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13.6.1 竣工退场</w:t>
      </w:r>
    </w:p>
    <w:p w14:paraId="271E21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颁发工程接收证书后，承包人应按以下要求对施工现场进行清理：</w:t>
      </w:r>
    </w:p>
    <w:p w14:paraId="49F41BE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（1）施工现场内残留的垃圾已全部清除出场；</w:t>
      </w:r>
    </w:p>
    <w:p w14:paraId="34E00C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（2）临时工程已拆除，场地已进行清理、平整或复原；</w:t>
      </w:r>
    </w:p>
    <w:p w14:paraId="1254BC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（3）按合同约定应撤离的人员、承包人施工设备和剩余的材料，包括废弃的施工设备和材料，已按计划撤离施工现场；</w:t>
      </w:r>
    </w:p>
    <w:p w14:paraId="57CF285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（4）施工现场周边及其附近道路、河道的施工堆积物，已全部清理；</w:t>
      </w:r>
    </w:p>
    <w:p w14:paraId="414AE51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（5）施工现场其他场地清理工作已全部完成。</w:t>
      </w:r>
    </w:p>
    <w:p w14:paraId="7143CD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1416D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13.6.2 地表还原</w:t>
      </w:r>
    </w:p>
    <w:p w14:paraId="560FA9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31DD7829">
      <w:pPr>
        <w:pStyle w:val="5"/>
        <w:spacing w:before="120" w:after="120" w:line="312" w:lineRule="auto"/>
        <w:rPr>
          <w:rFonts w:hint="eastAsia"/>
          <w:b w:val="0"/>
          <w:color w:val="auto"/>
          <w:sz w:val="24"/>
          <w:szCs w:val="24"/>
          <w:highlight w:val="none"/>
        </w:rPr>
      </w:pPr>
      <w:bookmarkStart w:id="413" w:name="_Toc351203593"/>
      <w:bookmarkStart w:id="414" w:name="_Toc337558810"/>
      <w:bookmarkStart w:id="415" w:name="_Toc296503113"/>
      <w:bookmarkStart w:id="416" w:name="_Toc296346614"/>
      <w:r>
        <w:rPr>
          <w:rFonts w:hint="eastAsia"/>
          <w:b w:val="0"/>
          <w:color w:val="auto"/>
          <w:sz w:val="24"/>
          <w:szCs w:val="24"/>
          <w:highlight w:val="none"/>
        </w:rPr>
        <w:t>14. 竣工结算</w:t>
      </w:r>
      <w:bookmarkEnd w:id="413"/>
    </w:p>
    <w:bookmarkEnd w:id="414"/>
    <w:p w14:paraId="18578A4C">
      <w:pPr>
        <w:pStyle w:val="6"/>
        <w:spacing w:before="120" w:after="120" w:line="312" w:lineRule="auto"/>
        <w:ind w:firstLine="480" w:firstLineChars="200"/>
        <w:rPr>
          <w:rFonts w:hint="eastAsia" w:ascii="宋体" w:hAnsi="宋体" w:cs="宋体"/>
          <w:b w:val="0"/>
          <w:color w:val="auto"/>
          <w:sz w:val="24"/>
          <w:szCs w:val="24"/>
          <w:highlight w:val="none"/>
        </w:rPr>
      </w:pPr>
      <w:bookmarkStart w:id="417" w:name="_Toc351203594"/>
      <w:bookmarkStart w:id="418" w:name="_Toc337558811"/>
      <w:r>
        <w:rPr>
          <w:rFonts w:hint="eastAsia" w:ascii="宋体" w:hAnsi="宋体" w:cs="宋体"/>
          <w:b w:val="0"/>
          <w:color w:val="auto"/>
          <w:sz w:val="24"/>
          <w:szCs w:val="24"/>
          <w:highlight w:val="none"/>
        </w:rPr>
        <w:t>14.1 竣工结算申请</w:t>
      </w:r>
      <w:bookmarkEnd w:id="417"/>
    </w:p>
    <w:bookmarkEnd w:id="418"/>
    <w:p w14:paraId="7161516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除专用合同条款另有约定外，</w:t>
      </w:r>
      <w:r>
        <w:rPr>
          <w:rFonts w:hint="eastAsia" w:ascii="宋体" w:hAnsi="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3D7E08A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除专用合同条款另有约定外，竣工结算申请单应包括以下内容：</w:t>
      </w:r>
    </w:p>
    <w:p w14:paraId="271E0BB1">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（1）竣工结算合同价格；</w:t>
      </w:r>
    </w:p>
    <w:p w14:paraId="46B33AC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（2）发包人已支付承包人的款项；</w:t>
      </w:r>
    </w:p>
    <w:p w14:paraId="64E3987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（3）应扣留的质量保证金； </w:t>
      </w:r>
    </w:p>
    <w:p w14:paraId="0A5D372C">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（4）发包人应支付承包人的合同价款。</w:t>
      </w:r>
    </w:p>
    <w:p w14:paraId="351A44F6">
      <w:pPr>
        <w:pStyle w:val="6"/>
        <w:spacing w:before="120" w:after="120" w:line="312" w:lineRule="auto"/>
        <w:ind w:firstLine="480" w:firstLineChars="200"/>
        <w:rPr>
          <w:rFonts w:hint="eastAsia" w:ascii="宋体" w:hAnsi="宋体" w:cs="宋体"/>
          <w:b w:val="0"/>
          <w:color w:val="auto"/>
          <w:sz w:val="24"/>
          <w:szCs w:val="24"/>
          <w:highlight w:val="none"/>
        </w:rPr>
      </w:pPr>
      <w:bookmarkStart w:id="419" w:name="_Toc351203595"/>
      <w:bookmarkStart w:id="420" w:name="_Toc337558812"/>
      <w:r>
        <w:rPr>
          <w:rFonts w:hint="eastAsia" w:ascii="宋体" w:hAnsi="宋体" w:cs="宋体"/>
          <w:b w:val="0"/>
          <w:color w:val="auto"/>
          <w:sz w:val="24"/>
          <w:szCs w:val="24"/>
          <w:highlight w:val="none"/>
        </w:rPr>
        <w:t>14.2 竣工结算审核</w:t>
      </w:r>
      <w:bookmarkEnd w:id="419"/>
    </w:p>
    <w:bookmarkEnd w:id="420"/>
    <w:p w14:paraId="4BD471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auto"/>
          <w:sz w:val="24"/>
          <w:highlight w:val="none"/>
        </w:rPr>
        <w:t>发包人对竣工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申请单有异议的，有权要求承包人进行修正和提供补充资料，承包人应提交修正后的竣工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w:t>
      </w:r>
    </w:p>
    <w:p w14:paraId="3004B7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00887D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2507B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4A49E1F">
      <w:pPr>
        <w:pStyle w:val="6"/>
        <w:spacing w:before="120" w:after="120" w:line="312" w:lineRule="auto"/>
        <w:ind w:firstLine="480" w:firstLineChars="200"/>
        <w:rPr>
          <w:rFonts w:hint="eastAsia" w:ascii="宋体" w:hAnsi="宋体" w:cs="宋体"/>
          <w:b w:val="0"/>
          <w:color w:val="auto"/>
          <w:sz w:val="24"/>
          <w:szCs w:val="24"/>
          <w:highlight w:val="none"/>
        </w:rPr>
      </w:pPr>
      <w:bookmarkStart w:id="421" w:name="_Toc351203596"/>
      <w:bookmarkStart w:id="422" w:name="_Toc337558813"/>
      <w:r>
        <w:rPr>
          <w:rFonts w:hint="eastAsia" w:ascii="宋体" w:hAnsi="宋体" w:cs="宋体"/>
          <w:b w:val="0"/>
          <w:color w:val="auto"/>
          <w:sz w:val="24"/>
          <w:szCs w:val="24"/>
          <w:highlight w:val="none"/>
        </w:rPr>
        <w:t>14.3 甩项竣工协议</w:t>
      </w:r>
      <w:bookmarkEnd w:id="421"/>
    </w:p>
    <w:bookmarkEnd w:id="422"/>
    <w:p w14:paraId="3A52C6AE">
      <w:pPr>
        <w:autoSpaceDE w:val="0"/>
        <w:autoSpaceDN w:val="0"/>
        <w:adjustRightInd w:val="0"/>
        <w:spacing w:line="312" w:lineRule="auto"/>
        <w:ind w:firstLine="470" w:firstLineChars="196"/>
        <w:jc w:val="left"/>
        <w:rPr>
          <w:rFonts w:hint="eastAsia" w:ascii="宋体" w:hAnsi="宋体" w:cs="宋体"/>
          <w:color w:val="auto"/>
          <w:kern w:val="0"/>
          <w:sz w:val="24"/>
          <w:highlight w:val="none"/>
        </w:rPr>
      </w:pPr>
      <w:r>
        <w:rPr>
          <w:rFonts w:hint="eastAsia" w:ascii="宋体" w:hAnsi="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49CDCA0">
      <w:pPr>
        <w:pStyle w:val="6"/>
        <w:spacing w:before="120" w:after="120" w:line="312" w:lineRule="auto"/>
        <w:ind w:firstLine="480" w:firstLineChars="200"/>
        <w:rPr>
          <w:rFonts w:hint="eastAsia" w:ascii="宋体" w:hAnsi="宋体" w:cs="宋体"/>
          <w:b w:val="0"/>
          <w:color w:val="auto"/>
          <w:sz w:val="24"/>
          <w:szCs w:val="24"/>
          <w:highlight w:val="none"/>
        </w:rPr>
      </w:pPr>
      <w:bookmarkStart w:id="423" w:name="_Toc351203597"/>
      <w:bookmarkStart w:id="424" w:name="_Toc337558814"/>
      <w:r>
        <w:rPr>
          <w:rFonts w:hint="eastAsia" w:ascii="宋体" w:hAnsi="宋体" w:cs="宋体"/>
          <w:b w:val="0"/>
          <w:color w:val="auto"/>
          <w:sz w:val="24"/>
          <w:szCs w:val="24"/>
          <w:highlight w:val="none"/>
        </w:rPr>
        <w:t>14.4 最终结清</w:t>
      </w:r>
      <w:bookmarkEnd w:id="423"/>
    </w:p>
    <w:bookmarkEnd w:id="424"/>
    <w:p w14:paraId="60C8B0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0E2ED2C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35593F1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w:t>
      </w:r>
      <w:r>
        <w:rPr>
          <w:rFonts w:hint="eastAsia" w:ascii="宋体" w:hAnsi="宋体" w:cs="宋体"/>
          <w:color w:val="auto"/>
          <w:kern w:val="0"/>
          <w:sz w:val="24"/>
          <w:highlight w:val="none"/>
        </w:rPr>
        <w:t>最终结清申请单</w:t>
      </w:r>
      <w:r>
        <w:rPr>
          <w:rFonts w:hint="eastAsia" w:ascii="宋体" w:hAnsi="宋体" w:cs="宋体"/>
          <w:color w:val="auto"/>
          <w:sz w:val="24"/>
          <w:highlight w:val="none"/>
        </w:rPr>
        <w:t>应列明质量保证金、应扣除的质量保证金、缺陷责任期内发生的增减费用。</w:t>
      </w:r>
    </w:p>
    <w:p w14:paraId="3BD70A1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（2）发包人对最终结清申请单内容有异议的，有权要求承包人进行修正和提供补充资料，承包人应向发包人提交修正后的最终结清申请单。</w:t>
      </w:r>
    </w:p>
    <w:p w14:paraId="43A9C9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14.4.2 最终结清证书和支付</w:t>
      </w:r>
    </w:p>
    <w:p w14:paraId="6393BFC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63057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7A759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（3）承包人对发包人颁发的最终结清证书有异议的，按第20条〔争议解决〕的约定办理。</w:t>
      </w:r>
    </w:p>
    <w:p w14:paraId="6A1BC801">
      <w:pPr>
        <w:pStyle w:val="5"/>
        <w:spacing w:before="120" w:after="120" w:line="312" w:lineRule="auto"/>
        <w:rPr>
          <w:rFonts w:hint="eastAsia"/>
          <w:b w:val="0"/>
          <w:color w:val="auto"/>
          <w:sz w:val="24"/>
          <w:szCs w:val="24"/>
          <w:highlight w:val="none"/>
        </w:rPr>
      </w:pPr>
      <w:bookmarkStart w:id="425" w:name="_Toc351203598"/>
      <w:bookmarkStart w:id="426" w:name="_Toc337558815"/>
      <w:r>
        <w:rPr>
          <w:rFonts w:hint="eastAsia"/>
          <w:b w:val="0"/>
          <w:color w:val="auto"/>
          <w:sz w:val="24"/>
          <w:szCs w:val="24"/>
          <w:highlight w:val="none"/>
        </w:rPr>
        <w:t>15. 缺陷责任与保修</w:t>
      </w:r>
      <w:bookmarkEnd w:id="425"/>
    </w:p>
    <w:bookmarkEnd w:id="415"/>
    <w:bookmarkEnd w:id="416"/>
    <w:bookmarkEnd w:id="426"/>
    <w:p w14:paraId="46D4C75F">
      <w:pPr>
        <w:pStyle w:val="6"/>
        <w:spacing w:before="120" w:after="120" w:line="312" w:lineRule="auto"/>
        <w:ind w:firstLine="480" w:firstLineChars="200"/>
        <w:rPr>
          <w:rFonts w:hint="eastAsia" w:ascii="宋体" w:hAnsi="宋体" w:cs="宋体"/>
          <w:b w:val="0"/>
          <w:color w:val="auto"/>
          <w:sz w:val="24"/>
          <w:szCs w:val="24"/>
          <w:highlight w:val="none"/>
        </w:rPr>
      </w:pPr>
      <w:bookmarkStart w:id="427" w:name="_Toc351203599"/>
      <w:bookmarkStart w:id="428" w:name="_Toc337558816"/>
      <w:bookmarkStart w:id="429" w:name="_Toc296346615"/>
      <w:bookmarkStart w:id="430" w:name="_Toc296503114"/>
      <w:r>
        <w:rPr>
          <w:rFonts w:hint="eastAsia" w:ascii="宋体" w:hAnsi="宋体" w:cs="宋体"/>
          <w:b w:val="0"/>
          <w:color w:val="auto"/>
          <w:sz w:val="24"/>
          <w:szCs w:val="24"/>
          <w:highlight w:val="none"/>
        </w:rPr>
        <w:t>15.1 工程保修的原则</w:t>
      </w:r>
      <w:bookmarkEnd w:id="427"/>
    </w:p>
    <w:bookmarkEnd w:id="428"/>
    <w:p w14:paraId="6BF16E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28331438">
      <w:pPr>
        <w:pStyle w:val="6"/>
        <w:spacing w:before="120" w:after="120" w:line="312" w:lineRule="auto"/>
        <w:ind w:firstLine="480" w:firstLineChars="200"/>
        <w:rPr>
          <w:rFonts w:hint="eastAsia" w:ascii="宋体" w:hAnsi="宋体" w:cs="宋体"/>
          <w:b w:val="0"/>
          <w:color w:val="auto"/>
          <w:sz w:val="24"/>
          <w:szCs w:val="24"/>
          <w:highlight w:val="none"/>
        </w:rPr>
      </w:pPr>
      <w:bookmarkStart w:id="431" w:name="_Toc351203600"/>
      <w:bookmarkStart w:id="432" w:name="_Toc337558817"/>
      <w:r>
        <w:rPr>
          <w:rFonts w:hint="eastAsia" w:ascii="宋体" w:hAnsi="宋体" w:cs="宋体"/>
          <w:b w:val="0"/>
          <w:color w:val="auto"/>
          <w:sz w:val="24"/>
          <w:szCs w:val="24"/>
          <w:highlight w:val="none"/>
        </w:rPr>
        <w:t>15.2 缺陷责任期</w:t>
      </w:r>
      <w:bookmarkEnd w:id="429"/>
      <w:bookmarkEnd w:id="430"/>
      <w:bookmarkEnd w:id="431"/>
    </w:p>
    <w:bookmarkEnd w:id="432"/>
    <w:p w14:paraId="4A9B79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15.2.1 缺陷责任期自实际竣工日期起计算，合同当事人应在专用合同条款约定缺陷责任期的具体期限，但该期限最长不超过24个月。</w:t>
      </w:r>
    </w:p>
    <w:p w14:paraId="497F66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378D00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cs="宋体"/>
          <w:bCs/>
          <w:color w:val="auto"/>
          <w:sz w:val="24"/>
          <w:highlight w:val="none"/>
        </w:rPr>
        <w:t>包人延长缺陷责任期，</w:t>
      </w:r>
      <w:r>
        <w:rPr>
          <w:rFonts w:hint="eastAsia" w:ascii="宋体" w:hAnsi="宋体" w:cs="宋体"/>
          <w:color w:val="auto"/>
          <w:kern w:val="0"/>
          <w:sz w:val="24"/>
          <w:highlight w:val="none"/>
        </w:rPr>
        <w:t>并应在原缺陷责任期届满前发出延长通知，</w:t>
      </w:r>
      <w:r>
        <w:rPr>
          <w:rFonts w:hint="eastAsia" w:ascii="宋体" w:hAnsi="宋体" w:cs="宋体"/>
          <w:bCs/>
          <w:color w:val="auto"/>
          <w:sz w:val="24"/>
          <w:highlight w:val="none"/>
        </w:rPr>
        <w:t>但缺陷责任期最长</w:t>
      </w:r>
      <w:r>
        <w:rPr>
          <w:rFonts w:hint="eastAsia" w:ascii="宋体" w:hAnsi="宋体" w:cs="宋体"/>
          <w:color w:val="auto"/>
          <w:kern w:val="0"/>
          <w:sz w:val="24"/>
          <w:highlight w:val="none"/>
        </w:rPr>
        <w:t>不能超过24个月。</w:t>
      </w:r>
    </w:p>
    <w:p w14:paraId="374A45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3763DD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D241BEF">
      <w:pPr>
        <w:pStyle w:val="6"/>
        <w:spacing w:before="120" w:after="120" w:line="312" w:lineRule="auto"/>
        <w:ind w:firstLine="480" w:firstLineChars="200"/>
        <w:rPr>
          <w:rFonts w:hint="eastAsia" w:ascii="宋体" w:hAnsi="宋体" w:cs="宋体"/>
          <w:b w:val="0"/>
          <w:color w:val="auto"/>
          <w:sz w:val="24"/>
          <w:szCs w:val="24"/>
          <w:highlight w:val="none"/>
        </w:rPr>
      </w:pPr>
      <w:bookmarkStart w:id="433" w:name="_Toc351203601"/>
      <w:bookmarkStart w:id="434" w:name="_Toc337558818"/>
      <w:bookmarkStart w:id="435" w:name="_Toc296346616"/>
      <w:bookmarkStart w:id="436" w:name="_Toc296503115"/>
      <w:r>
        <w:rPr>
          <w:rFonts w:hint="eastAsia" w:ascii="宋体" w:hAnsi="宋体" w:cs="宋体"/>
          <w:b w:val="0"/>
          <w:color w:val="auto"/>
          <w:sz w:val="24"/>
          <w:szCs w:val="24"/>
          <w:highlight w:val="none"/>
        </w:rPr>
        <w:t>15.3 质量保证金</w:t>
      </w:r>
      <w:bookmarkEnd w:id="433"/>
    </w:p>
    <w:bookmarkEnd w:id="434"/>
    <w:p w14:paraId="3D505BF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经合同当事人协商一致扣留质量保证金的，应在专用合同条款中予以明确。</w:t>
      </w:r>
    </w:p>
    <w:p w14:paraId="4EE5F3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15.3.1 承包人提供质量保证金的方式</w:t>
      </w:r>
    </w:p>
    <w:p w14:paraId="66C0C8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承包人提供质量保证金有以下三种方式：</w:t>
      </w:r>
    </w:p>
    <w:p w14:paraId="0CDE5BA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（1）质量保证金保函； </w:t>
      </w:r>
    </w:p>
    <w:p w14:paraId="496DE25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（2）相应比例的工程款；</w:t>
      </w:r>
    </w:p>
    <w:p w14:paraId="1791F0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（3）双方约定的其他方式。</w:t>
      </w:r>
    </w:p>
    <w:p w14:paraId="54C1CC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除专用合同条款另有约定外，质量保证金原则上采用上述第（1）种方式。</w:t>
      </w:r>
    </w:p>
    <w:p w14:paraId="29D620C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15.3.2 质量保证金的扣留</w:t>
      </w:r>
    </w:p>
    <w:p w14:paraId="16B540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质量保证金的扣留有以下三种方式：</w:t>
      </w:r>
    </w:p>
    <w:p w14:paraId="427460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（1）在支付工程进度款时逐次扣留，在此情形下，质量保证金的计算基数不包括预付款的支付、扣回以及价格调整的金额；</w:t>
      </w:r>
    </w:p>
    <w:p w14:paraId="05A3E12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w:t>
      </w:r>
      <w:bookmarkStart w:id="437" w:name="#go6"/>
      <w:bookmarkEnd w:id="437"/>
      <w:r>
        <w:rPr>
          <w:rFonts w:hint="eastAsia" w:ascii="宋体" w:hAnsi="宋体" w:cs="宋体"/>
          <w:color w:val="auto"/>
          <w:kern w:val="0"/>
          <w:sz w:val="24"/>
          <w:highlight w:val="none"/>
        </w:rPr>
        <w:t>程竣工结算时一次性扣留质量保证金；</w:t>
      </w:r>
    </w:p>
    <w:p w14:paraId="7B009D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（3）双方约定的其他扣留方式。</w:t>
      </w:r>
    </w:p>
    <w:p w14:paraId="619EBB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除专用合同条款另有约定外，质量保证金的扣留原则上采用上述第（1）种方式。</w:t>
      </w:r>
    </w:p>
    <w:p w14:paraId="21876B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w:t>
      </w:r>
      <w:bookmarkStart w:id="438" w:name="#go4"/>
      <w:bookmarkEnd w:id="438"/>
      <w:r>
        <w:rPr>
          <w:rFonts w:hint="eastAsia" w:ascii="宋体" w:hAnsi="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6335EE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15.3.3 </w:t>
      </w:r>
      <w:r>
        <w:rPr>
          <w:rFonts w:hint="eastAsia" w:ascii="宋体" w:hAnsi="宋体" w:cs="宋体"/>
          <w:color w:val="auto"/>
          <w:sz w:val="24"/>
          <w:highlight w:val="none"/>
        </w:rPr>
        <w:t>质量保证金</w:t>
      </w:r>
      <w:r>
        <w:rPr>
          <w:rFonts w:hint="eastAsia" w:ascii="宋体" w:hAnsi="宋体" w:cs="宋体"/>
          <w:color w:val="auto"/>
          <w:kern w:val="0"/>
          <w:sz w:val="24"/>
          <w:highlight w:val="none"/>
        </w:rPr>
        <w:t>的退还</w:t>
      </w:r>
    </w:p>
    <w:p w14:paraId="271D65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发包人应按14.4款〔最终结清〕的约定退还质量保证金。</w:t>
      </w:r>
    </w:p>
    <w:p w14:paraId="2DC7FAEF">
      <w:pPr>
        <w:pStyle w:val="6"/>
        <w:spacing w:before="120" w:after="120" w:line="312" w:lineRule="auto"/>
        <w:ind w:firstLine="480" w:firstLineChars="200"/>
        <w:rPr>
          <w:rFonts w:hint="eastAsia" w:ascii="宋体" w:hAnsi="宋体" w:cs="宋体"/>
          <w:b w:val="0"/>
          <w:color w:val="auto"/>
          <w:sz w:val="24"/>
          <w:szCs w:val="24"/>
          <w:highlight w:val="none"/>
        </w:rPr>
      </w:pPr>
      <w:bookmarkStart w:id="439" w:name="_Toc351203602"/>
      <w:bookmarkStart w:id="440" w:name="_Toc337558819"/>
      <w:r>
        <w:rPr>
          <w:rFonts w:hint="eastAsia" w:ascii="宋体" w:hAnsi="宋体" w:cs="宋体"/>
          <w:b w:val="0"/>
          <w:color w:val="auto"/>
          <w:sz w:val="24"/>
          <w:szCs w:val="24"/>
          <w:highlight w:val="none"/>
        </w:rPr>
        <w:t>15.4 保修</w:t>
      </w:r>
      <w:bookmarkEnd w:id="439"/>
    </w:p>
    <w:bookmarkEnd w:id="435"/>
    <w:bookmarkEnd w:id="436"/>
    <w:bookmarkEnd w:id="440"/>
    <w:p w14:paraId="6BF266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15.4.1保修责任</w:t>
      </w:r>
    </w:p>
    <w:p w14:paraId="4D527D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0AD80DC">
      <w:pPr>
        <w:spacing w:line="312" w:lineRule="auto"/>
        <w:ind w:firstLine="420" w:firstLineChars="200"/>
        <w:jc w:val="left"/>
        <w:rPr>
          <w:rFonts w:hint="eastAsia" w:ascii="宋体" w:hAnsi="宋体" w:cs="宋体"/>
          <w:color w:val="auto"/>
          <w:sz w:val="24"/>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1年</w:t>
      </w:r>
      <w:r>
        <w:rPr>
          <w:color w:val="auto"/>
          <w:kern w:val="0"/>
          <w:highlight w:val="none"/>
          <w:u w:val="single"/>
        </w:rPr>
        <w:t xml:space="preserve">  </w:t>
      </w:r>
      <w:r>
        <w:rPr>
          <w:rFonts w:hint="eastAsia" w:ascii="宋体" w:hAnsi="宋体" w:cs="宋体"/>
          <w:color w:val="auto"/>
          <w:sz w:val="24"/>
          <w:highlight w:val="none"/>
        </w:rPr>
        <w:t>。</w:t>
      </w:r>
    </w:p>
    <w:p w14:paraId="4B357E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15.4.2 修复费用</w:t>
      </w:r>
    </w:p>
    <w:p w14:paraId="5E484A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保修期内，修复的费用按照以下约定处理：</w:t>
      </w:r>
    </w:p>
    <w:p w14:paraId="16533A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（1）保修期内，因承包人原因造成工程的缺陷、损坏，承包人应负责修复，并承担修复的费用以及因工程的缺陷、损坏造成的人身伤害和财产损失；</w:t>
      </w:r>
    </w:p>
    <w:p w14:paraId="11EDA9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（2）保修期内，因发包人使用不当造成工程的缺陷、损坏，可以委托承包人修复，但发包人应承担修复的费用，并支付承包人合理利润；</w:t>
      </w:r>
    </w:p>
    <w:p w14:paraId="659212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2FD6163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15.4.3 修复通知</w:t>
      </w:r>
    </w:p>
    <w:p w14:paraId="431F96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DE22C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15.4.4 未能修复</w:t>
      </w:r>
    </w:p>
    <w:p w14:paraId="58D7C2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85945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15.4.5 承包人出入权</w:t>
      </w:r>
    </w:p>
    <w:p w14:paraId="43C2C87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290A498">
      <w:pPr>
        <w:pStyle w:val="5"/>
        <w:spacing w:before="120" w:after="120" w:line="312" w:lineRule="auto"/>
        <w:rPr>
          <w:rFonts w:hint="eastAsia"/>
          <w:b w:val="0"/>
          <w:color w:val="auto"/>
          <w:sz w:val="24"/>
          <w:szCs w:val="24"/>
          <w:highlight w:val="none"/>
        </w:rPr>
      </w:pPr>
      <w:bookmarkStart w:id="441" w:name="_Toc351203603"/>
      <w:bookmarkStart w:id="442" w:name="_Toc337558820"/>
      <w:r>
        <w:rPr>
          <w:rFonts w:hint="eastAsia"/>
          <w:b w:val="0"/>
          <w:color w:val="auto"/>
          <w:sz w:val="24"/>
          <w:szCs w:val="24"/>
          <w:highlight w:val="none"/>
        </w:rPr>
        <w:t>16. 违约</w:t>
      </w:r>
      <w:bookmarkEnd w:id="441"/>
    </w:p>
    <w:bookmarkEnd w:id="442"/>
    <w:p w14:paraId="22071344">
      <w:pPr>
        <w:pStyle w:val="6"/>
        <w:spacing w:before="120" w:after="120" w:line="312" w:lineRule="auto"/>
        <w:ind w:firstLine="480" w:firstLineChars="200"/>
        <w:rPr>
          <w:rFonts w:hint="eastAsia" w:ascii="宋体" w:hAnsi="宋体" w:cs="宋体"/>
          <w:b w:val="0"/>
          <w:color w:val="auto"/>
          <w:sz w:val="24"/>
          <w:szCs w:val="24"/>
          <w:highlight w:val="none"/>
        </w:rPr>
      </w:pPr>
      <w:bookmarkStart w:id="443" w:name="_Toc296346630"/>
      <w:bookmarkStart w:id="444" w:name="_Toc296503129"/>
      <w:bookmarkStart w:id="445" w:name="_Toc351203604"/>
      <w:bookmarkStart w:id="446" w:name="_Toc337558821"/>
      <w:r>
        <w:rPr>
          <w:rFonts w:hint="eastAsia" w:ascii="宋体" w:hAnsi="宋体" w:cs="宋体"/>
          <w:b w:val="0"/>
          <w:color w:val="auto"/>
          <w:sz w:val="24"/>
          <w:szCs w:val="24"/>
          <w:highlight w:val="none"/>
        </w:rPr>
        <w:t>16.1 发</w:t>
      </w:r>
      <w:bookmarkEnd w:id="443"/>
      <w:bookmarkEnd w:id="444"/>
      <w:r>
        <w:rPr>
          <w:rFonts w:hint="eastAsia" w:ascii="宋体" w:hAnsi="宋体" w:cs="宋体"/>
          <w:b w:val="0"/>
          <w:color w:val="auto"/>
          <w:sz w:val="24"/>
          <w:szCs w:val="24"/>
          <w:highlight w:val="none"/>
        </w:rPr>
        <w:t>包人违约</w:t>
      </w:r>
      <w:bookmarkEnd w:id="445"/>
    </w:p>
    <w:bookmarkEnd w:id="446"/>
    <w:p w14:paraId="047AEC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16.1.1 发包人违约的情形</w:t>
      </w:r>
    </w:p>
    <w:p w14:paraId="7ACDBBF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在合同履行过程中发生的下列情形，属于发包人违约：</w:t>
      </w:r>
    </w:p>
    <w:p w14:paraId="41B0B1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（1）因发包人原因未能在计划开工日期前7天内下达开工通知的；</w:t>
      </w:r>
    </w:p>
    <w:p w14:paraId="32943D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（2）因发包人原因未能按合同约定支付合同价款的；</w:t>
      </w:r>
    </w:p>
    <w:p w14:paraId="7C0C18F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w:t>
      </w:r>
    </w:p>
    <w:p w14:paraId="77264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w:t>
      </w:r>
    </w:p>
    <w:p w14:paraId="1315D4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（5）因发包人违反合同约定造成暂停施工的；</w:t>
      </w:r>
    </w:p>
    <w:p w14:paraId="4789AB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w:t>
      </w:r>
    </w:p>
    <w:p w14:paraId="077F77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（7）发包人明确表示或者以其行为表明不履行合同主要义务的；</w:t>
      </w:r>
    </w:p>
    <w:p w14:paraId="400EF77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（8）发包人未能按照合同约定履行其他义务的。</w:t>
      </w:r>
    </w:p>
    <w:p w14:paraId="19387D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743C3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16.1.2 发包人违约的责任</w:t>
      </w:r>
    </w:p>
    <w:p w14:paraId="6DC0BC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15FA63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16.1.3 因发包人违约解除合同</w:t>
      </w:r>
    </w:p>
    <w:p w14:paraId="41CF16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09581B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16.1.4 因发包人违约解除合同后的付款</w:t>
      </w:r>
    </w:p>
    <w:p w14:paraId="429F56D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承包人按照本款约定解除合同的，发包人应在解除合同后28天内支付下列款项，并解除履约担保：</w:t>
      </w:r>
    </w:p>
    <w:p w14:paraId="75D2BFB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（1）合同解除前所完成工作的价款；</w:t>
      </w:r>
    </w:p>
    <w:p w14:paraId="311161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（2）承包人为工程施工订购并已付款的材料、工程设备和其他物品的价款；</w:t>
      </w:r>
    </w:p>
    <w:p w14:paraId="02D7BC6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（3）承包人撤离施工现场以及遣散承包人人员的款项；</w:t>
      </w:r>
    </w:p>
    <w:p w14:paraId="2964A4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（4）按照合同约定在合同解除前应支付的违约金；</w:t>
      </w:r>
    </w:p>
    <w:p w14:paraId="1515E1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（5）按照合同约定应当支付给承包人的其他款项；</w:t>
      </w:r>
    </w:p>
    <w:p w14:paraId="0385FC5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（6）按照合同约定应退还的质量保证金；</w:t>
      </w:r>
    </w:p>
    <w:p w14:paraId="462EDD3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（7）因解除合同给承包人造成的损失。</w:t>
      </w:r>
    </w:p>
    <w:p w14:paraId="0EE95C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合同当事人未能就解除合同后的结清达成一致的，按照第20条〔争议解决〕的约定处理。</w:t>
      </w:r>
    </w:p>
    <w:p w14:paraId="299331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0ED371E2">
      <w:pPr>
        <w:pStyle w:val="6"/>
        <w:spacing w:before="120" w:after="120" w:line="312" w:lineRule="auto"/>
        <w:ind w:firstLine="480" w:firstLineChars="200"/>
        <w:rPr>
          <w:rFonts w:hint="eastAsia" w:ascii="宋体" w:hAnsi="宋体" w:cs="宋体"/>
          <w:b w:val="0"/>
          <w:color w:val="auto"/>
          <w:sz w:val="24"/>
          <w:szCs w:val="24"/>
          <w:highlight w:val="none"/>
        </w:rPr>
      </w:pPr>
      <w:bookmarkStart w:id="447" w:name="_Toc351203605"/>
      <w:bookmarkStart w:id="448" w:name="_Toc337558822"/>
      <w:bookmarkStart w:id="449" w:name="_Toc296503131"/>
      <w:bookmarkStart w:id="450" w:name="_Toc296346632"/>
      <w:r>
        <w:rPr>
          <w:rFonts w:hint="eastAsia" w:ascii="宋体" w:hAnsi="宋体" w:cs="宋体"/>
          <w:b w:val="0"/>
          <w:color w:val="auto"/>
          <w:sz w:val="24"/>
          <w:szCs w:val="24"/>
          <w:highlight w:val="none"/>
        </w:rPr>
        <w:t>16.2 承包人违约</w:t>
      </w:r>
      <w:bookmarkEnd w:id="447"/>
    </w:p>
    <w:bookmarkEnd w:id="448"/>
    <w:bookmarkEnd w:id="449"/>
    <w:bookmarkEnd w:id="450"/>
    <w:p w14:paraId="60C4A45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72E1BB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在合同履行过程中发生的下列情形，属于承包人违约：</w:t>
      </w:r>
    </w:p>
    <w:p w14:paraId="58E22C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（1）承包人违反合同约定进行转包或违法分包的；</w:t>
      </w:r>
    </w:p>
    <w:p w14:paraId="77D814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（2）承包人违反合同约定采购和使用不合格的材料和工程设备的；</w:t>
      </w:r>
    </w:p>
    <w:p w14:paraId="378DD8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（3）因承包人原因导致工程质量不符合合同要求的； </w:t>
      </w:r>
    </w:p>
    <w:p w14:paraId="57BE67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（4）承包人违反第8.9款〔材料与设备专用要求〕的约定，未经批准，私自将已按照合同约定进入施工现场的材料或设备撤离施工现场的；</w:t>
      </w:r>
    </w:p>
    <w:p w14:paraId="3E9EF0B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（5）承包人未能按施工进度计划及时完成合同约定的工作，造成工期延误的；</w:t>
      </w:r>
    </w:p>
    <w:p w14:paraId="728661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（6）承包人在缺陷责任期及保修期内，未能在合理期限对工程缺陷进行修复，或拒绝按发包人要求进行修复的；</w:t>
      </w:r>
    </w:p>
    <w:p w14:paraId="2849A4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（7）承包人明确表示或者以其行为表明不履行合同主要义务的；</w:t>
      </w:r>
    </w:p>
    <w:p w14:paraId="2C2B52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（8）承包人未能按照合同约定履行其他义务的。</w:t>
      </w:r>
    </w:p>
    <w:p w14:paraId="150C76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承包人发生除本项第（7）目约定以外的其他违约情况时，监理人可向承包人发出整改通知，要求其在指定的期限内改正。</w:t>
      </w:r>
    </w:p>
    <w:p w14:paraId="1A317C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16.2.2 承包人违约的责任</w:t>
      </w:r>
    </w:p>
    <w:p w14:paraId="7771CB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63A09A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16.2.3 因承包人违约解除合同</w:t>
      </w:r>
    </w:p>
    <w:p w14:paraId="234D25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19978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16.2.4因承包人违约解除合同后的处理</w:t>
      </w:r>
    </w:p>
    <w:p w14:paraId="57A76E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因承包人原因导致合同解除的，则合同当事人应在合同解除后28天内完成估价、付款和清算，并按以下约定执行：</w:t>
      </w:r>
    </w:p>
    <w:p w14:paraId="4D4899E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7545BA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（2）合同解除后，承包人应支付的违约金；</w:t>
      </w:r>
    </w:p>
    <w:p w14:paraId="0F1F93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（3）合同解除后，因解除合同给发包人造成的损失；</w:t>
      </w:r>
    </w:p>
    <w:p w14:paraId="496E15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（4）合同解除后，承包人应按照发包人要求和监理人的指示完成现场的清理和撤离；</w:t>
      </w:r>
    </w:p>
    <w:p w14:paraId="1F31E25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（5）发包人和承包人应在合同解除后进行清算，出具最终结清付款证书，结清全部款项。</w:t>
      </w:r>
    </w:p>
    <w:p w14:paraId="57C5C06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8733F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16.2.5采购合同权益转让</w:t>
      </w:r>
    </w:p>
    <w:p w14:paraId="585AFC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5A46E6D">
      <w:pPr>
        <w:pStyle w:val="6"/>
        <w:spacing w:before="120" w:after="120" w:line="312" w:lineRule="auto"/>
        <w:ind w:firstLine="480" w:firstLineChars="200"/>
        <w:rPr>
          <w:rFonts w:hint="eastAsia" w:ascii="宋体" w:hAnsi="宋体" w:cs="宋体"/>
          <w:b w:val="0"/>
          <w:color w:val="auto"/>
          <w:sz w:val="24"/>
          <w:szCs w:val="24"/>
          <w:highlight w:val="none"/>
        </w:rPr>
      </w:pPr>
      <w:bookmarkStart w:id="451" w:name="_Toc351203606"/>
      <w:r>
        <w:rPr>
          <w:rFonts w:hint="eastAsia" w:ascii="宋体" w:hAnsi="宋体" w:cs="宋体"/>
          <w:b w:val="0"/>
          <w:color w:val="auto"/>
          <w:sz w:val="24"/>
          <w:szCs w:val="24"/>
          <w:highlight w:val="none"/>
        </w:rPr>
        <w:t>16.3 第三人造成的违约</w:t>
      </w:r>
      <w:bookmarkEnd w:id="451"/>
    </w:p>
    <w:p w14:paraId="002D1CE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5DBA5A1A">
      <w:pPr>
        <w:pStyle w:val="5"/>
        <w:spacing w:before="120" w:after="120" w:line="312" w:lineRule="auto"/>
        <w:rPr>
          <w:rFonts w:hint="eastAsia"/>
          <w:b w:val="0"/>
          <w:color w:val="auto"/>
          <w:sz w:val="24"/>
          <w:szCs w:val="24"/>
          <w:highlight w:val="none"/>
        </w:rPr>
      </w:pPr>
      <w:bookmarkStart w:id="452" w:name="_Toc351203607"/>
      <w:bookmarkStart w:id="453" w:name="_Toc337558823"/>
      <w:bookmarkStart w:id="454" w:name="_Toc296346617"/>
      <w:bookmarkStart w:id="455" w:name="_Toc296503116"/>
      <w:r>
        <w:rPr>
          <w:rFonts w:hint="eastAsia"/>
          <w:b w:val="0"/>
          <w:color w:val="auto"/>
          <w:sz w:val="24"/>
          <w:szCs w:val="24"/>
          <w:highlight w:val="none"/>
        </w:rPr>
        <w:t>17. 不可抗力</w:t>
      </w:r>
      <w:bookmarkEnd w:id="452"/>
      <w:r>
        <w:rPr>
          <w:rFonts w:hint="eastAsia"/>
          <w:b w:val="0"/>
          <w:color w:val="auto"/>
          <w:sz w:val="24"/>
          <w:szCs w:val="24"/>
          <w:highlight w:val="none"/>
        </w:rPr>
        <w:t xml:space="preserve"> </w:t>
      </w:r>
      <w:bookmarkEnd w:id="453"/>
      <w:bookmarkEnd w:id="454"/>
      <w:bookmarkEnd w:id="455"/>
    </w:p>
    <w:p w14:paraId="511F7A47">
      <w:pPr>
        <w:pStyle w:val="6"/>
        <w:spacing w:before="120" w:after="120" w:line="312" w:lineRule="auto"/>
        <w:ind w:firstLine="480" w:firstLineChars="200"/>
        <w:rPr>
          <w:rFonts w:hint="eastAsia" w:ascii="宋体" w:hAnsi="宋体" w:cs="宋体"/>
          <w:b w:val="0"/>
          <w:color w:val="auto"/>
          <w:sz w:val="24"/>
          <w:szCs w:val="24"/>
          <w:highlight w:val="none"/>
        </w:rPr>
      </w:pPr>
      <w:bookmarkStart w:id="456" w:name="_Toc351203608"/>
      <w:bookmarkStart w:id="457" w:name="_Toc296503117"/>
      <w:bookmarkStart w:id="458" w:name="_Toc296346618"/>
      <w:bookmarkStart w:id="459" w:name="_Toc337558824"/>
      <w:r>
        <w:rPr>
          <w:rFonts w:hint="eastAsia" w:ascii="宋体" w:hAnsi="宋体" w:cs="宋体"/>
          <w:b w:val="0"/>
          <w:color w:val="auto"/>
          <w:sz w:val="24"/>
          <w:szCs w:val="24"/>
          <w:highlight w:val="none"/>
        </w:rPr>
        <w:t>17.1 不可抗力的确认</w:t>
      </w:r>
      <w:bookmarkEnd w:id="456"/>
    </w:p>
    <w:bookmarkEnd w:id="457"/>
    <w:bookmarkEnd w:id="458"/>
    <w:bookmarkEnd w:id="459"/>
    <w:p w14:paraId="3FA2CE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3C7EE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80B7D5E">
      <w:pPr>
        <w:pStyle w:val="6"/>
        <w:spacing w:before="120" w:after="120" w:line="312" w:lineRule="auto"/>
        <w:ind w:firstLine="480" w:firstLineChars="200"/>
        <w:rPr>
          <w:rFonts w:hint="eastAsia" w:ascii="宋体" w:hAnsi="宋体" w:cs="宋体"/>
          <w:b w:val="0"/>
          <w:color w:val="auto"/>
          <w:sz w:val="24"/>
          <w:szCs w:val="24"/>
          <w:highlight w:val="none"/>
        </w:rPr>
      </w:pPr>
      <w:bookmarkStart w:id="460" w:name="_Toc351203609"/>
      <w:bookmarkStart w:id="461" w:name="_Toc337558825"/>
      <w:bookmarkStart w:id="462" w:name="_Toc296346619"/>
      <w:bookmarkStart w:id="463" w:name="_Toc296503118"/>
      <w:r>
        <w:rPr>
          <w:rFonts w:hint="eastAsia" w:ascii="宋体" w:hAnsi="宋体" w:cs="宋体"/>
          <w:b w:val="0"/>
          <w:color w:val="auto"/>
          <w:sz w:val="24"/>
          <w:szCs w:val="24"/>
          <w:highlight w:val="none"/>
        </w:rPr>
        <w:t>17.2 不可抗力的通知</w:t>
      </w:r>
      <w:bookmarkEnd w:id="460"/>
    </w:p>
    <w:bookmarkEnd w:id="461"/>
    <w:bookmarkEnd w:id="462"/>
    <w:bookmarkEnd w:id="463"/>
    <w:p w14:paraId="3BD545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7FD855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949A8F3">
      <w:pPr>
        <w:pStyle w:val="6"/>
        <w:spacing w:before="120" w:after="120" w:line="312" w:lineRule="auto"/>
        <w:ind w:firstLine="480" w:firstLineChars="200"/>
        <w:rPr>
          <w:rFonts w:hint="eastAsia" w:ascii="宋体" w:hAnsi="宋体" w:cs="宋体"/>
          <w:b w:val="0"/>
          <w:color w:val="auto"/>
          <w:sz w:val="24"/>
          <w:szCs w:val="24"/>
          <w:highlight w:val="none"/>
        </w:rPr>
      </w:pPr>
      <w:bookmarkStart w:id="464" w:name="_Toc351203610"/>
      <w:bookmarkStart w:id="465" w:name="_Toc337558826"/>
      <w:bookmarkStart w:id="466" w:name="_Toc296346620"/>
      <w:bookmarkStart w:id="467" w:name="_Toc296503119"/>
      <w:r>
        <w:rPr>
          <w:rFonts w:hint="eastAsia" w:ascii="宋体" w:hAnsi="宋体" w:cs="宋体"/>
          <w:b w:val="0"/>
          <w:color w:val="auto"/>
          <w:sz w:val="24"/>
          <w:szCs w:val="24"/>
          <w:highlight w:val="none"/>
        </w:rPr>
        <w:t>17.3 不可抗力后果的承担</w:t>
      </w:r>
      <w:bookmarkEnd w:id="464"/>
    </w:p>
    <w:bookmarkEnd w:id="465"/>
    <w:bookmarkEnd w:id="466"/>
    <w:bookmarkEnd w:id="467"/>
    <w:p w14:paraId="09E32B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6B17E42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17.3.2 不可抗力导致的人员伤亡、财产损失、费用增加和（或）工期延误等后果，由合同当事人按以下原则承担：</w:t>
      </w:r>
    </w:p>
    <w:p w14:paraId="0E9999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（1）永久工程、已运至施工现场的材料和工程设备的损坏，以及因工程损坏造成的第三人人员伤亡和财产损失由发包人承担；</w:t>
      </w:r>
    </w:p>
    <w:p w14:paraId="35A071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（2）承包人施工设备的损坏由承包人承担；</w:t>
      </w:r>
    </w:p>
    <w:p w14:paraId="671EA4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（3）发包人和承包人承担各自人员伤亡和财产的损失；</w:t>
      </w:r>
    </w:p>
    <w:p w14:paraId="1D957C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AE564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（5）因不可抗力引起或将引起工期延误，发包人要求赶工的，由此增加的赶工费用由发包人承担；</w:t>
      </w:r>
    </w:p>
    <w:p w14:paraId="1D5F10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（6）承包人在停工期间按照发包人要求照管、清理和修复工程的费用由发包人承担。</w:t>
      </w:r>
    </w:p>
    <w:p w14:paraId="6301392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40F99B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因合同一方迟延履行合同义务，在迟延履行期间遭遇不可抗力的，不免除其违约责任。</w:t>
      </w:r>
    </w:p>
    <w:p w14:paraId="42BE296C">
      <w:pPr>
        <w:pStyle w:val="6"/>
        <w:spacing w:before="120" w:after="120" w:line="312" w:lineRule="auto"/>
        <w:ind w:firstLine="480" w:firstLineChars="200"/>
        <w:rPr>
          <w:rFonts w:hint="eastAsia" w:ascii="宋体" w:hAnsi="宋体" w:cs="宋体"/>
          <w:b w:val="0"/>
          <w:color w:val="auto"/>
          <w:sz w:val="24"/>
          <w:szCs w:val="24"/>
          <w:highlight w:val="none"/>
        </w:rPr>
      </w:pPr>
      <w:bookmarkStart w:id="468" w:name="_Toc351203611"/>
      <w:bookmarkStart w:id="469" w:name="_Toc337558827"/>
      <w:r>
        <w:rPr>
          <w:rFonts w:hint="eastAsia" w:ascii="宋体" w:hAnsi="宋体" w:cs="宋体"/>
          <w:b w:val="0"/>
          <w:color w:val="auto"/>
          <w:sz w:val="24"/>
          <w:szCs w:val="24"/>
          <w:highlight w:val="none"/>
        </w:rPr>
        <w:t>17.4 因不可抗力解除合同</w:t>
      </w:r>
      <w:bookmarkEnd w:id="468"/>
    </w:p>
    <w:bookmarkEnd w:id="469"/>
    <w:p w14:paraId="1447FD1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8C406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（1）合同解除前承包人已完成工作的价款；</w:t>
      </w:r>
    </w:p>
    <w:p w14:paraId="03423A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（2）承包人为工程订购的并已交付给承包人，或承包人有责任接受交付的材料、工程设备和其他物品的价款；</w:t>
      </w:r>
    </w:p>
    <w:p w14:paraId="1EDB628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（3）发包人要求承包人退货或解除订货合同而产生的费用，或因不能退货或解除合同而产生的损失；</w:t>
      </w:r>
    </w:p>
    <w:p w14:paraId="615F930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（4）承包人撤离施工现场以及遣散承包人人员的费用；</w:t>
      </w:r>
    </w:p>
    <w:p w14:paraId="2A97AC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（5）按照合同约定在合同解除前应支付给承包人的其他款项；</w:t>
      </w:r>
    </w:p>
    <w:p w14:paraId="17D04F4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（6）扣减承包人按照合同约定应向发包人支付的款项；</w:t>
      </w:r>
    </w:p>
    <w:p w14:paraId="2D7EA7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（7）双方商定或确定的其他款项。</w:t>
      </w:r>
    </w:p>
    <w:p w14:paraId="6EDA3C3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除专用合同条款另有约定外，合同解除后，发包人应在商定或确定上述款项后28天内完成上述款项的支付。</w:t>
      </w:r>
    </w:p>
    <w:p w14:paraId="4543E151">
      <w:pPr>
        <w:pStyle w:val="5"/>
        <w:spacing w:before="120" w:after="120" w:line="312" w:lineRule="auto"/>
        <w:rPr>
          <w:rFonts w:hint="eastAsia"/>
          <w:b w:val="0"/>
          <w:color w:val="auto"/>
          <w:sz w:val="24"/>
          <w:szCs w:val="24"/>
          <w:highlight w:val="none"/>
        </w:rPr>
      </w:pPr>
      <w:bookmarkStart w:id="470" w:name="_Toc351203612"/>
      <w:bookmarkStart w:id="471" w:name="_Toc296346621"/>
      <w:bookmarkStart w:id="472" w:name="_Toc296503120"/>
      <w:bookmarkStart w:id="473" w:name="_Toc337558828"/>
      <w:r>
        <w:rPr>
          <w:rFonts w:hint="eastAsia"/>
          <w:b w:val="0"/>
          <w:color w:val="auto"/>
          <w:sz w:val="24"/>
          <w:szCs w:val="24"/>
          <w:highlight w:val="none"/>
        </w:rPr>
        <w:t>18. 保险</w:t>
      </w:r>
      <w:bookmarkEnd w:id="470"/>
    </w:p>
    <w:bookmarkEnd w:id="471"/>
    <w:bookmarkEnd w:id="472"/>
    <w:bookmarkEnd w:id="473"/>
    <w:p w14:paraId="5827BF35">
      <w:pPr>
        <w:pStyle w:val="6"/>
        <w:spacing w:before="120" w:after="120" w:line="312" w:lineRule="auto"/>
        <w:ind w:firstLine="480" w:firstLineChars="200"/>
        <w:rPr>
          <w:rFonts w:hint="eastAsia" w:ascii="宋体" w:hAnsi="宋体" w:cs="宋体"/>
          <w:b w:val="0"/>
          <w:color w:val="auto"/>
          <w:sz w:val="24"/>
          <w:szCs w:val="24"/>
          <w:highlight w:val="none"/>
        </w:rPr>
      </w:pPr>
      <w:bookmarkStart w:id="474" w:name="_Toc351203613"/>
      <w:bookmarkStart w:id="475" w:name="_Toc296503121"/>
      <w:bookmarkStart w:id="476" w:name="_Toc296346622"/>
      <w:bookmarkStart w:id="477" w:name="_Toc337558829"/>
      <w:r>
        <w:rPr>
          <w:rFonts w:hint="eastAsia" w:ascii="宋体" w:hAnsi="宋体" w:cs="宋体"/>
          <w:b w:val="0"/>
          <w:color w:val="auto"/>
          <w:sz w:val="24"/>
          <w:szCs w:val="24"/>
          <w:highlight w:val="none"/>
        </w:rPr>
        <w:t>18.1 工程保险</w:t>
      </w:r>
      <w:bookmarkEnd w:id="474"/>
    </w:p>
    <w:bookmarkEnd w:id="475"/>
    <w:bookmarkEnd w:id="476"/>
    <w:bookmarkEnd w:id="477"/>
    <w:p w14:paraId="07DF4BD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1C6D4D0D">
      <w:pPr>
        <w:pStyle w:val="6"/>
        <w:spacing w:before="120" w:after="120" w:line="312" w:lineRule="auto"/>
        <w:ind w:firstLine="480" w:firstLineChars="200"/>
        <w:rPr>
          <w:rFonts w:hint="eastAsia" w:ascii="宋体" w:hAnsi="宋体" w:cs="宋体"/>
          <w:b w:val="0"/>
          <w:color w:val="auto"/>
          <w:sz w:val="24"/>
          <w:szCs w:val="24"/>
          <w:highlight w:val="none"/>
        </w:rPr>
      </w:pPr>
      <w:bookmarkStart w:id="478" w:name="_Toc351203614"/>
      <w:bookmarkStart w:id="479" w:name="_Toc337558830"/>
      <w:bookmarkStart w:id="480" w:name="_Toc296346623"/>
      <w:bookmarkStart w:id="481" w:name="_Toc296503122"/>
      <w:r>
        <w:rPr>
          <w:rFonts w:hint="eastAsia" w:ascii="宋体" w:hAnsi="宋体" w:cs="宋体"/>
          <w:b w:val="0"/>
          <w:color w:val="auto"/>
          <w:sz w:val="24"/>
          <w:szCs w:val="24"/>
          <w:highlight w:val="none"/>
        </w:rPr>
        <w:t>18.2 工伤保险</w:t>
      </w:r>
      <w:bookmarkEnd w:id="478"/>
    </w:p>
    <w:bookmarkEnd w:id="479"/>
    <w:bookmarkEnd w:id="480"/>
    <w:bookmarkEnd w:id="481"/>
    <w:p w14:paraId="2831AC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18.2.1 发包人应依照法律规定参加工伤保险。</w:t>
      </w:r>
    </w:p>
    <w:p w14:paraId="14AC42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2F8295C9">
      <w:pPr>
        <w:pStyle w:val="6"/>
        <w:spacing w:before="120" w:after="120" w:line="312" w:lineRule="auto"/>
        <w:ind w:firstLine="480" w:firstLineChars="200"/>
        <w:rPr>
          <w:rFonts w:hint="eastAsia" w:ascii="宋体" w:hAnsi="宋体" w:cs="宋体"/>
          <w:b w:val="0"/>
          <w:color w:val="auto"/>
          <w:sz w:val="24"/>
          <w:szCs w:val="24"/>
          <w:highlight w:val="none"/>
        </w:rPr>
      </w:pPr>
      <w:bookmarkStart w:id="482" w:name="_Toc351203615"/>
      <w:bookmarkStart w:id="483" w:name="_Toc296346626"/>
      <w:bookmarkStart w:id="484" w:name="_Toc337558831"/>
      <w:bookmarkStart w:id="485" w:name="_Toc296503125"/>
      <w:r>
        <w:rPr>
          <w:rFonts w:hint="eastAsia" w:ascii="宋体" w:hAnsi="宋体" w:cs="宋体"/>
          <w:b w:val="0"/>
          <w:color w:val="auto"/>
          <w:sz w:val="24"/>
          <w:szCs w:val="24"/>
          <w:highlight w:val="none"/>
        </w:rPr>
        <w:t>18.3其他保险</w:t>
      </w:r>
      <w:bookmarkEnd w:id="482"/>
    </w:p>
    <w:bookmarkEnd w:id="483"/>
    <w:bookmarkEnd w:id="484"/>
    <w:bookmarkEnd w:id="485"/>
    <w:p w14:paraId="3FB9031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37B805E9">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除专用合同条款另有约定外，承包人应为其施工设备等办理财产保险。</w:t>
      </w:r>
    </w:p>
    <w:p w14:paraId="29C787D9">
      <w:pPr>
        <w:pStyle w:val="6"/>
        <w:spacing w:before="120" w:after="120" w:line="312" w:lineRule="auto"/>
        <w:ind w:firstLine="480" w:firstLineChars="200"/>
        <w:rPr>
          <w:rFonts w:hint="eastAsia" w:ascii="宋体" w:hAnsi="宋体" w:cs="宋体"/>
          <w:b w:val="0"/>
          <w:color w:val="auto"/>
          <w:sz w:val="24"/>
          <w:szCs w:val="24"/>
          <w:highlight w:val="none"/>
        </w:rPr>
      </w:pPr>
      <w:bookmarkStart w:id="486" w:name="_Toc351203616"/>
      <w:r>
        <w:rPr>
          <w:rFonts w:hint="eastAsia" w:ascii="宋体" w:hAnsi="宋体" w:cs="宋体"/>
          <w:b w:val="0"/>
          <w:color w:val="auto"/>
          <w:sz w:val="24"/>
          <w:szCs w:val="24"/>
          <w:highlight w:val="none"/>
        </w:rPr>
        <w:t>18.4持续保险</w:t>
      </w:r>
      <w:bookmarkEnd w:id="486"/>
    </w:p>
    <w:p w14:paraId="66B35F41">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合同当事人应与保险人保持联系，使保险人能够随时了解工程实施中的变动，并确保按保险合同条款要求持续保险。</w:t>
      </w:r>
    </w:p>
    <w:p w14:paraId="0A5A2F23">
      <w:pPr>
        <w:pStyle w:val="6"/>
        <w:spacing w:before="120" w:after="120" w:line="312" w:lineRule="auto"/>
        <w:ind w:firstLine="480" w:firstLineChars="200"/>
        <w:rPr>
          <w:rFonts w:hint="eastAsia" w:ascii="宋体" w:hAnsi="宋体" w:cs="宋体"/>
          <w:b w:val="0"/>
          <w:color w:val="auto"/>
          <w:sz w:val="24"/>
          <w:szCs w:val="24"/>
          <w:highlight w:val="none"/>
        </w:rPr>
      </w:pPr>
      <w:bookmarkStart w:id="487" w:name="_Toc351203617"/>
      <w:bookmarkStart w:id="488" w:name="_Toc296346627"/>
      <w:bookmarkStart w:id="489" w:name="_Toc337558832"/>
      <w:bookmarkStart w:id="490" w:name="_Toc296503126"/>
      <w:r>
        <w:rPr>
          <w:rFonts w:hint="eastAsia" w:ascii="宋体" w:hAnsi="宋体" w:cs="宋体"/>
          <w:b w:val="0"/>
          <w:color w:val="auto"/>
          <w:sz w:val="24"/>
          <w:szCs w:val="24"/>
          <w:highlight w:val="none"/>
        </w:rPr>
        <w:t>18.5 保险凭证</w:t>
      </w:r>
      <w:bookmarkEnd w:id="487"/>
    </w:p>
    <w:bookmarkEnd w:id="488"/>
    <w:bookmarkEnd w:id="489"/>
    <w:bookmarkEnd w:id="490"/>
    <w:p w14:paraId="40CF021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合同当事人应及时向另一方当事人提交其已投保的各项保险的凭证和保险单复印件。</w:t>
      </w:r>
    </w:p>
    <w:p w14:paraId="60911FC6">
      <w:pPr>
        <w:pStyle w:val="6"/>
        <w:spacing w:before="120" w:after="120" w:line="312" w:lineRule="auto"/>
        <w:ind w:firstLine="480" w:firstLineChars="200"/>
        <w:rPr>
          <w:rFonts w:hint="eastAsia" w:ascii="宋体" w:hAnsi="宋体" w:cs="宋体"/>
          <w:b w:val="0"/>
          <w:color w:val="auto"/>
          <w:sz w:val="24"/>
          <w:szCs w:val="24"/>
          <w:highlight w:val="none"/>
        </w:rPr>
      </w:pPr>
      <w:bookmarkStart w:id="491" w:name="_Toc351203618"/>
      <w:bookmarkStart w:id="492" w:name="_Toc296503127"/>
      <w:bookmarkStart w:id="493" w:name="_Toc337558833"/>
      <w:bookmarkStart w:id="494" w:name="_Toc296346628"/>
      <w:r>
        <w:rPr>
          <w:rFonts w:hint="eastAsia" w:ascii="宋体" w:hAnsi="宋体" w:cs="宋体"/>
          <w:b w:val="0"/>
          <w:color w:val="auto"/>
          <w:sz w:val="24"/>
          <w:szCs w:val="24"/>
          <w:highlight w:val="none"/>
        </w:rPr>
        <w:t>18.6 未按约定投保的补救</w:t>
      </w:r>
      <w:bookmarkEnd w:id="491"/>
    </w:p>
    <w:bookmarkEnd w:id="492"/>
    <w:bookmarkEnd w:id="493"/>
    <w:bookmarkEnd w:id="494"/>
    <w:p w14:paraId="3A7CD7D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6270C53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1B4BC493">
      <w:pPr>
        <w:pStyle w:val="6"/>
        <w:spacing w:before="120" w:after="120" w:line="312" w:lineRule="auto"/>
        <w:ind w:firstLine="480" w:firstLineChars="200"/>
        <w:rPr>
          <w:rFonts w:hint="eastAsia" w:ascii="宋体" w:hAnsi="宋体" w:cs="宋体"/>
          <w:b w:val="0"/>
          <w:color w:val="auto"/>
          <w:sz w:val="24"/>
          <w:szCs w:val="24"/>
          <w:highlight w:val="none"/>
        </w:rPr>
      </w:pPr>
      <w:bookmarkStart w:id="495" w:name="_Toc351203619"/>
      <w:bookmarkStart w:id="496" w:name="_Toc337558834"/>
      <w:r>
        <w:rPr>
          <w:rFonts w:hint="eastAsia" w:ascii="宋体" w:hAnsi="宋体" w:cs="宋体"/>
          <w:b w:val="0"/>
          <w:color w:val="auto"/>
          <w:sz w:val="24"/>
          <w:szCs w:val="24"/>
          <w:highlight w:val="none"/>
        </w:rPr>
        <w:t>18.7 通知义务</w:t>
      </w:r>
      <w:bookmarkEnd w:id="495"/>
    </w:p>
    <w:bookmarkEnd w:id="496"/>
    <w:p w14:paraId="44C1083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3C6493B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保险事故发生时，投保人应按照保险合同规定的条件和期限及时向保险人报告。发包人和承包人应当在知道保险事故发生后及时通知对方。</w:t>
      </w:r>
    </w:p>
    <w:p w14:paraId="79830793">
      <w:pPr>
        <w:pStyle w:val="5"/>
        <w:spacing w:before="120" w:after="120" w:line="312" w:lineRule="auto"/>
        <w:rPr>
          <w:rFonts w:hint="eastAsia"/>
          <w:b w:val="0"/>
          <w:color w:val="auto"/>
          <w:sz w:val="24"/>
          <w:szCs w:val="24"/>
          <w:highlight w:val="none"/>
        </w:rPr>
      </w:pPr>
      <w:bookmarkStart w:id="497" w:name="_Toc351203620"/>
      <w:bookmarkStart w:id="498" w:name="_Toc337558835"/>
      <w:bookmarkStart w:id="499" w:name="_Toc296346641"/>
      <w:bookmarkStart w:id="500" w:name="_Toc296503140"/>
      <w:r>
        <w:rPr>
          <w:rFonts w:hint="eastAsia"/>
          <w:b w:val="0"/>
          <w:color w:val="auto"/>
          <w:sz w:val="24"/>
          <w:szCs w:val="24"/>
          <w:highlight w:val="none"/>
        </w:rPr>
        <w:t>19. 索赔</w:t>
      </w:r>
      <w:bookmarkEnd w:id="497"/>
    </w:p>
    <w:bookmarkEnd w:id="498"/>
    <w:bookmarkEnd w:id="499"/>
    <w:bookmarkEnd w:id="500"/>
    <w:p w14:paraId="32C69288">
      <w:pPr>
        <w:pStyle w:val="6"/>
        <w:spacing w:before="120" w:after="120" w:line="312" w:lineRule="auto"/>
        <w:ind w:firstLine="480" w:firstLineChars="200"/>
        <w:rPr>
          <w:rFonts w:hint="eastAsia" w:ascii="宋体" w:hAnsi="宋体" w:cs="宋体"/>
          <w:b w:val="0"/>
          <w:color w:val="auto"/>
          <w:sz w:val="24"/>
          <w:szCs w:val="24"/>
          <w:highlight w:val="none"/>
        </w:rPr>
      </w:pPr>
      <w:bookmarkStart w:id="501" w:name="_Toc351203621"/>
      <w:bookmarkStart w:id="502" w:name="_Toc337558836"/>
      <w:bookmarkStart w:id="503" w:name="_Toc296503141"/>
      <w:bookmarkStart w:id="504" w:name="_Toc296346642"/>
      <w:r>
        <w:rPr>
          <w:rFonts w:hint="eastAsia" w:ascii="宋体" w:hAnsi="宋体" w:cs="宋体"/>
          <w:b w:val="0"/>
          <w:color w:val="auto"/>
          <w:sz w:val="24"/>
          <w:szCs w:val="24"/>
          <w:highlight w:val="none"/>
        </w:rPr>
        <w:t>19.1承包人的索赔</w:t>
      </w:r>
      <w:bookmarkEnd w:id="501"/>
    </w:p>
    <w:bookmarkEnd w:id="502"/>
    <w:bookmarkEnd w:id="503"/>
    <w:bookmarkEnd w:id="504"/>
    <w:p w14:paraId="06F036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根据合同约定，承包人认为有权得到追加付款和（或）延长工期的，应按以下程序向发包人提出索赔：</w:t>
      </w:r>
    </w:p>
    <w:p w14:paraId="485E6D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998B4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224625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7810EE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3C940F0B">
      <w:pPr>
        <w:pStyle w:val="6"/>
        <w:spacing w:before="120" w:after="120" w:line="312" w:lineRule="auto"/>
        <w:ind w:firstLine="480" w:firstLineChars="200"/>
        <w:rPr>
          <w:rFonts w:hint="eastAsia" w:ascii="宋体" w:hAnsi="宋体" w:cs="宋体"/>
          <w:b w:val="0"/>
          <w:color w:val="auto"/>
          <w:sz w:val="24"/>
          <w:szCs w:val="24"/>
          <w:highlight w:val="none"/>
        </w:rPr>
      </w:pPr>
      <w:bookmarkStart w:id="505" w:name="_Toc351203622"/>
      <w:bookmarkStart w:id="506" w:name="_Toc296503142"/>
      <w:bookmarkStart w:id="507" w:name="_Toc337558837"/>
      <w:bookmarkStart w:id="508" w:name="_Toc296346643"/>
      <w:r>
        <w:rPr>
          <w:rFonts w:hint="eastAsia" w:ascii="宋体" w:hAnsi="宋体" w:cs="宋体"/>
          <w:b w:val="0"/>
          <w:color w:val="auto"/>
          <w:sz w:val="24"/>
          <w:szCs w:val="24"/>
          <w:highlight w:val="none"/>
        </w:rPr>
        <w:t>19.2 对承包人索赔的处理</w:t>
      </w:r>
      <w:bookmarkEnd w:id="505"/>
    </w:p>
    <w:bookmarkEnd w:id="506"/>
    <w:bookmarkEnd w:id="507"/>
    <w:bookmarkEnd w:id="508"/>
    <w:p w14:paraId="1711DC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对承包人索赔的处理如下：</w:t>
      </w:r>
    </w:p>
    <w:p w14:paraId="234AF3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（1）监理人应在收到索赔报告后14天内完成审查并报送发包人。监理人对索赔报告存在异议的，有权要求承包人提交全部原始记录副本；</w:t>
      </w:r>
    </w:p>
    <w:p w14:paraId="0D73C5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2D636D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（3）承包人接受索赔处理结果的，索赔款项在当期进度款中进行支付；承包人不接受索赔处理结果的，按照第20条〔争议解决〕约定处理。</w:t>
      </w:r>
    </w:p>
    <w:p w14:paraId="5A76A42F">
      <w:pPr>
        <w:pStyle w:val="6"/>
        <w:spacing w:before="120" w:after="120" w:line="312" w:lineRule="auto"/>
        <w:ind w:firstLine="480" w:firstLineChars="200"/>
        <w:rPr>
          <w:rFonts w:hint="eastAsia" w:ascii="宋体" w:hAnsi="宋体" w:cs="宋体"/>
          <w:b w:val="0"/>
          <w:color w:val="auto"/>
          <w:sz w:val="24"/>
          <w:szCs w:val="24"/>
          <w:highlight w:val="none"/>
        </w:rPr>
      </w:pPr>
      <w:bookmarkStart w:id="509" w:name="_Toc351203623"/>
      <w:bookmarkStart w:id="510" w:name="_Toc296346644"/>
      <w:bookmarkStart w:id="511" w:name="_Toc337558838"/>
      <w:bookmarkStart w:id="512" w:name="_Toc296503143"/>
      <w:r>
        <w:rPr>
          <w:rFonts w:hint="eastAsia" w:ascii="宋体" w:hAnsi="宋体" w:cs="宋体"/>
          <w:b w:val="0"/>
          <w:color w:val="auto"/>
          <w:sz w:val="24"/>
          <w:szCs w:val="24"/>
          <w:highlight w:val="none"/>
        </w:rPr>
        <w:t>19.3发包人的索赔</w:t>
      </w:r>
      <w:bookmarkEnd w:id="509"/>
    </w:p>
    <w:bookmarkEnd w:id="510"/>
    <w:bookmarkEnd w:id="511"/>
    <w:bookmarkEnd w:id="512"/>
    <w:p w14:paraId="14859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根据合同约定，发包人认为有权得到赔付金额和（或）延长缺陷责任期的，监理人应向承包人发出通知并附有详细的证明。</w:t>
      </w:r>
    </w:p>
    <w:p w14:paraId="631171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F3931B9">
      <w:pPr>
        <w:pStyle w:val="6"/>
        <w:spacing w:before="120" w:after="120" w:line="312" w:lineRule="auto"/>
        <w:ind w:firstLine="480" w:firstLineChars="200"/>
        <w:rPr>
          <w:rFonts w:hint="eastAsia" w:ascii="宋体" w:hAnsi="宋体" w:cs="宋体"/>
          <w:b w:val="0"/>
          <w:color w:val="auto"/>
          <w:sz w:val="24"/>
          <w:szCs w:val="24"/>
          <w:highlight w:val="none"/>
        </w:rPr>
      </w:pPr>
      <w:bookmarkStart w:id="513" w:name="_Toc351203624"/>
      <w:bookmarkStart w:id="514" w:name="_Toc296503144"/>
      <w:bookmarkStart w:id="515" w:name="_Toc337558839"/>
      <w:bookmarkStart w:id="516" w:name="_Toc296346645"/>
      <w:r>
        <w:rPr>
          <w:rFonts w:hint="eastAsia" w:ascii="宋体" w:hAnsi="宋体" w:cs="宋体"/>
          <w:b w:val="0"/>
          <w:color w:val="auto"/>
          <w:sz w:val="24"/>
          <w:szCs w:val="24"/>
          <w:highlight w:val="none"/>
        </w:rPr>
        <w:t>19.4 对发包人索赔的处理</w:t>
      </w:r>
      <w:bookmarkEnd w:id="513"/>
    </w:p>
    <w:bookmarkEnd w:id="514"/>
    <w:bookmarkEnd w:id="515"/>
    <w:bookmarkEnd w:id="516"/>
    <w:p w14:paraId="403558D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对发包人索赔的处理如下：</w:t>
      </w:r>
    </w:p>
    <w:p w14:paraId="599E8A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（1）承包人收到发包人提交的索赔报告后，应及时审查索赔报告的内容、查验发包人证明材料；</w:t>
      </w:r>
    </w:p>
    <w:p w14:paraId="32321C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478768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30BBC913">
      <w:pPr>
        <w:pStyle w:val="6"/>
        <w:spacing w:before="120" w:after="120" w:line="312" w:lineRule="auto"/>
        <w:ind w:firstLine="480" w:firstLineChars="200"/>
        <w:rPr>
          <w:rFonts w:hint="eastAsia" w:ascii="宋体" w:hAnsi="宋体" w:cs="宋体"/>
          <w:b w:val="0"/>
          <w:color w:val="auto"/>
          <w:sz w:val="24"/>
          <w:szCs w:val="24"/>
          <w:highlight w:val="none"/>
        </w:rPr>
      </w:pPr>
      <w:bookmarkStart w:id="517" w:name="_Toc351203625"/>
      <w:r>
        <w:rPr>
          <w:rFonts w:hint="eastAsia" w:ascii="宋体" w:hAnsi="宋体" w:cs="宋体"/>
          <w:b w:val="0"/>
          <w:color w:val="auto"/>
          <w:sz w:val="24"/>
          <w:szCs w:val="24"/>
          <w:highlight w:val="none"/>
        </w:rPr>
        <w:t>19.5 提出索赔的期限</w:t>
      </w:r>
      <w:bookmarkEnd w:id="517"/>
    </w:p>
    <w:p w14:paraId="2F1D9919">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（1）承包人按第14.2款〔竣工结算审核〕约定接收竣工付款证书后，应被视为已无权再提出在工程接收证书颁发前所发生的任何索赔。</w:t>
      </w:r>
    </w:p>
    <w:p w14:paraId="1D871A98">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6313E9C5">
      <w:pPr>
        <w:pStyle w:val="5"/>
        <w:spacing w:before="120" w:after="120" w:line="288" w:lineRule="auto"/>
        <w:rPr>
          <w:rFonts w:hint="eastAsia"/>
          <w:b w:val="0"/>
          <w:color w:val="auto"/>
          <w:sz w:val="24"/>
          <w:szCs w:val="24"/>
          <w:highlight w:val="none"/>
        </w:rPr>
      </w:pPr>
      <w:bookmarkStart w:id="518" w:name="_Toc351203626"/>
      <w:r>
        <w:rPr>
          <w:rFonts w:hint="eastAsia"/>
          <w:b w:val="0"/>
          <w:color w:val="auto"/>
          <w:sz w:val="24"/>
          <w:szCs w:val="24"/>
          <w:highlight w:val="none"/>
        </w:rPr>
        <w:t>20</w:t>
      </w:r>
      <w:bookmarkStart w:id="519" w:name="_Toc296346647"/>
      <w:bookmarkStart w:id="520" w:name="_Toc296503146"/>
      <w:bookmarkStart w:id="521" w:name="_Toc337558840"/>
      <w:r>
        <w:rPr>
          <w:rFonts w:hint="eastAsia"/>
          <w:b w:val="0"/>
          <w:color w:val="auto"/>
          <w:sz w:val="24"/>
          <w:szCs w:val="24"/>
          <w:highlight w:val="none"/>
        </w:rPr>
        <w:t>. 争议解决</w:t>
      </w:r>
      <w:bookmarkEnd w:id="518"/>
    </w:p>
    <w:bookmarkEnd w:id="519"/>
    <w:bookmarkEnd w:id="520"/>
    <w:bookmarkEnd w:id="521"/>
    <w:p w14:paraId="0DFC1F62">
      <w:pPr>
        <w:pStyle w:val="6"/>
        <w:spacing w:before="120" w:after="120" w:line="288" w:lineRule="auto"/>
        <w:ind w:firstLine="480" w:firstLineChars="200"/>
        <w:rPr>
          <w:rFonts w:hint="eastAsia" w:ascii="宋体" w:hAnsi="宋体" w:cs="宋体"/>
          <w:b w:val="0"/>
          <w:color w:val="auto"/>
          <w:sz w:val="24"/>
          <w:szCs w:val="24"/>
          <w:highlight w:val="none"/>
        </w:rPr>
      </w:pPr>
      <w:bookmarkStart w:id="522" w:name="_Toc351203627"/>
      <w:bookmarkStart w:id="523" w:name="_Toc337558841"/>
      <w:bookmarkStart w:id="524" w:name="_Toc296503147"/>
      <w:bookmarkStart w:id="525" w:name="_Toc296346648"/>
      <w:r>
        <w:rPr>
          <w:rFonts w:hint="eastAsia" w:ascii="宋体" w:hAnsi="宋体" w:cs="宋体"/>
          <w:b w:val="0"/>
          <w:color w:val="auto"/>
          <w:sz w:val="24"/>
          <w:szCs w:val="24"/>
          <w:highlight w:val="none"/>
        </w:rPr>
        <w:t>20.1和解</w:t>
      </w:r>
      <w:bookmarkEnd w:id="522"/>
    </w:p>
    <w:bookmarkEnd w:id="523"/>
    <w:bookmarkEnd w:id="524"/>
    <w:bookmarkEnd w:id="525"/>
    <w:p w14:paraId="1C4CACE6">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合同当事人可以就争议自行和解，自行和解达成协议的经双方签字并盖章后作为合同补充文件，双方均应遵照执行。</w:t>
      </w:r>
    </w:p>
    <w:p w14:paraId="4491B32B">
      <w:pPr>
        <w:pStyle w:val="6"/>
        <w:spacing w:before="120" w:after="120" w:line="288" w:lineRule="auto"/>
        <w:ind w:firstLine="480" w:firstLineChars="200"/>
        <w:rPr>
          <w:rFonts w:hint="eastAsia" w:ascii="宋体" w:hAnsi="宋体" w:cs="宋体"/>
          <w:b w:val="0"/>
          <w:color w:val="auto"/>
          <w:sz w:val="24"/>
          <w:szCs w:val="24"/>
          <w:highlight w:val="none"/>
        </w:rPr>
      </w:pPr>
      <w:bookmarkStart w:id="526" w:name="_Toc351203628"/>
      <w:r>
        <w:rPr>
          <w:rFonts w:hint="eastAsia" w:ascii="宋体" w:hAnsi="宋体" w:cs="宋体"/>
          <w:b w:val="0"/>
          <w:color w:val="auto"/>
          <w:sz w:val="24"/>
          <w:szCs w:val="24"/>
          <w:highlight w:val="none"/>
        </w:rPr>
        <w:t>20</w:t>
      </w:r>
      <w:bookmarkStart w:id="527" w:name="_Toc296503148"/>
      <w:bookmarkStart w:id="528" w:name="_Toc337558842"/>
      <w:bookmarkStart w:id="529" w:name="_Toc296346649"/>
      <w:r>
        <w:rPr>
          <w:rFonts w:hint="eastAsia" w:ascii="宋体" w:hAnsi="宋体" w:cs="宋体"/>
          <w:b w:val="0"/>
          <w:color w:val="auto"/>
          <w:sz w:val="24"/>
          <w:szCs w:val="24"/>
          <w:highlight w:val="none"/>
        </w:rPr>
        <w:t>.2调解</w:t>
      </w:r>
      <w:bookmarkEnd w:id="526"/>
    </w:p>
    <w:bookmarkEnd w:id="527"/>
    <w:bookmarkEnd w:id="528"/>
    <w:bookmarkEnd w:id="529"/>
    <w:p w14:paraId="24935AA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44089C71">
      <w:pPr>
        <w:pStyle w:val="6"/>
        <w:spacing w:before="120" w:after="120" w:line="288" w:lineRule="auto"/>
        <w:ind w:firstLine="480" w:firstLineChars="200"/>
        <w:rPr>
          <w:rFonts w:hint="eastAsia" w:ascii="宋体" w:hAnsi="宋体" w:cs="宋体"/>
          <w:b w:val="0"/>
          <w:color w:val="auto"/>
          <w:sz w:val="24"/>
          <w:szCs w:val="24"/>
          <w:highlight w:val="none"/>
        </w:rPr>
      </w:pPr>
      <w:bookmarkStart w:id="530" w:name="_Toc351203629"/>
      <w:bookmarkStart w:id="531" w:name="_Toc296346650"/>
      <w:bookmarkStart w:id="532" w:name="_Toc337558843"/>
      <w:bookmarkStart w:id="533" w:name="_Toc296503149"/>
      <w:r>
        <w:rPr>
          <w:rFonts w:hint="eastAsia" w:ascii="宋体" w:hAnsi="宋体" w:cs="宋体"/>
          <w:b w:val="0"/>
          <w:color w:val="auto"/>
          <w:sz w:val="24"/>
          <w:szCs w:val="24"/>
          <w:highlight w:val="none"/>
        </w:rPr>
        <w:t>20.3争议评审</w:t>
      </w:r>
      <w:bookmarkEnd w:id="530"/>
    </w:p>
    <w:bookmarkEnd w:id="531"/>
    <w:bookmarkEnd w:id="532"/>
    <w:bookmarkEnd w:id="533"/>
    <w:p w14:paraId="19667F9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合同当事人在专用合同条款中约定采取争议评审方式解决争议以及评审规则，并按下列约定执行： </w:t>
      </w:r>
    </w:p>
    <w:p w14:paraId="0C3A2E0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20.3.1 争议评审小组的确定</w:t>
      </w:r>
    </w:p>
    <w:p w14:paraId="2F03CE4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400C710D">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859C69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除专用合同条款另有约定外，评审员报酬由发包人和承包人各承担一半。</w:t>
      </w:r>
    </w:p>
    <w:p w14:paraId="6724FBB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20.3.2 争议评审小组的决定</w:t>
      </w:r>
    </w:p>
    <w:p w14:paraId="10D9089A">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12BB81C">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20.3.3 争议评审小组决定的效力</w:t>
      </w:r>
    </w:p>
    <w:p w14:paraId="354304E8">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争议评审小组作出的书面决定经合同当事人签字确认后，对双方具有约束力，双方应遵照执行。</w:t>
      </w:r>
    </w:p>
    <w:p w14:paraId="6720002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任何一方当事人不接受争议评审小组决定或不履行争议评审小组决定的，双方可选择采用其他争议解决方式。</w:t>
      </w:r>
    </w:p>
    <w:p w14:paraId="51B21FF9">
      <w:pPr>
        <w:pStyle w:val="6"/>
        <w:spacing w:before="120" w:after="120" w:line="288" w:lineRule="auto"/>
        <w:ind w:firstLine="480" w:firstLineChars="200"/>
        <w:rPr>
          <w:rFonts w:hint="eastAsia" w:ascii="宋体" w:hAnsi="宋体" w:cs="宋体"/>
          <w:b w:val="0"/>
          <w:color w:val="auto"/>
          <w:sz w:val="24"/>
          <w:szCs w:val="24"/>
          <w:highlight w:val="none"/>
        </w:rPr>
      </w:pPr>
      <w:bookmarkStart w:id="534" w:name="_Toc351203630"/>
      <w:bookmarkStart w:id="535" w:name="_Toc296346651"/>
      <w:bookmarkStart w:id="536" w:name="_Toc296503150"/>
      <w:bookmarkStart w:id="537" w:name="_Toc337558844"/>
      <w:r>
        <w:rPr>
          <w:rFonts w:hint="eastAsia" w:ascii="宋体" w:hAnsi="宋体" w:cs="宋体"/>
          <w:b w:val="0"/>
          <w:color w:val="auto"/>
          <w:sz w:val="24"/>
          <w:szCs w:val="24"/>
          <w:highlight w:val="none"/>
        </w:rPr>
        <w:t>20.4仲裁或诉讼</w:t>
      </w:r>
      <w:bookmarkEnd w:id="534"/>
    </w:p>
    <w:bookmarkEnd w:id="535"/>
    <w:bookmarkEnd w:id="536"/>
    <w:bookmarkEnd w:id="537"/>
    <w:p w14:paraId="39816475">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因合同及合同有关事项产生的争议，合同当事人可以在专用合同条款中约定以下一种方式解决争议：</w:t>
      </w:r>
    </w:p>
    <w:p w14:paraId="33F79D8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（1）向约定的仲裁委员会申请仲裁；</w:t>
      </w:r>
    </w:p>
    <w:p w14:paraId="3D63AA7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（2）向有管辖权的人民法院起诉。</w:t>
      </w:r>
    </w:p>
    <w:p w14:paraId="338EC629">
      <w:pPr>
        <w:pStyle w:val="6"/>
        <w:spacing w:before="120" w:after="120" w:line="288" w:lineRule="auto"/>
        <w:ind w:firstLine="480" w:firstLineChars="200"/>
        <w:rPr>
          <w:rFonts w:hint="eastAsia" w:ascii="宋体" w:hAnsi="宋体" w:cs="宋体"/>
          <w:b w:val="0"/>
          <w:color w:val="auto"/>
          <w:sz w:val="24"/>
          <w:szCs w:val="24"/>
          <w:highlight w:val="none"/>
        </w:rPr>
      </w:pPr>
      <w:bookmarkStart w:id="538" w:name="_Toc351203631"/>
      <w:bookmarkStart w:id="539" w:name="_Toc296346653"/>
      <w:bookmarkStart w:id="540" w:name="_Toc337558845"/>
      <w:bookmarkStart w:id="541" w:name="_Toc296503152"/>
      <w:r>
        <w:rPr>
          <w:rFonts w:hint="eastAsia" w:ascii="宋体" w:hAnsi="宋体" w:cs="宋体"/>
          <w:b w:val="0"/>
          <w:color w:val="auto"/>
          <w:sz w:val="24"/>
          <w:szCs w:val="24"/>
          <w:highlight w:val="none"/>
        </w:rPr>
        <w:t>20.5争议解决条款效力</w:t>
      </w:r>
      <w:bookmarkEnd w:id="538"/>
    </w:p>
    <w:bookmarkEnd w:id="539"/>
    <w:bookmarkEnd w:id="540"/>
    <w:bookmarkEnd w:id="541"/>
    <w:p w14:paraId="0754D835">
      <w:pPr>
        <w:autoSpaceDE w:val="0"/>
        <w:autoSpaceDN w:val="0"/>
        <w:adjustRightInd w:val="0"/>
        <w:spacing w:line="288" w:lineRule="auto"/>
        <w:ind w:firstLine="480" w:firstLineChars="200"/>
        <w:jc w:val="left"/>
        <w:rPr>
          <w:color w:val="auto"/>
          <w:highlight w:val="none"/>
        </w:rPr>
      </w:pPr>
      <w:r>
        <w:rPr>
          <w:rFonts w:hint="eastAsia" w:ascii="宋体" w:hAnsi="宋体" w:cs="宋体"/>
          <w:color w:val="auto"/>
          <w:kern w:val="0"/>
          <w:sz w:val="24"/>
          <w:highlight w:val="none"/>
        </w:rPr>
        <w:t xml:space="preserve">合同有关争议解决的条款独立存在，合同的变更、解除、终止、无效或者被撤销均不影响其效力。 </w:t>
      </w:r>
    </w:p>
    <w:p w14:paraId="5CF71D67">
      <w:pP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br w:type="page"/>
      </w:r>
    </w:p>
    <w:p w14:paraId="0F2FE272">
      <w:pPr>
        <w:pStyle w:val="3"/>
        <w:keepNext w:val="0"/>
        <w:keepLines w:val="0"/>
        <w:spacing w:line="312" w:lineRule="auto"/>
        <w:jc w:val="cente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t>第三部分 专用合同条款</w:t>
      </w:r>
    </w:p>
    <w:p w14:paraId="4542B514">
      <w:pPr>
        <w:pStyle w:val="2"/>
        <w:adjustRightInd w:val="0"/>
        <w:snapToGrid w:val="0"/>
        <w:spacing w:line="356" w:lineRule="auto"/>
        <w:ind w:firstLine="562" w:firstLineChars="200"/>
        <w:rPr>
          <w:rFonts w:hint="eastAsia" w:ascii="宋体" w:hAnsi="宋体" w:eastAsia="宋体" w:cs="宋体"/>
          <w:color w:val="auto"/>
          <w:sz w:val="28"/>
          <w:szCs w:val="44"/>
          <w:highlight w:val="none"/>
        </w:rPr>
      </w:pPr>
      <w:bookmarkStart w:id="542" w:name="_Toc14784"/>
      <w:bookmarkStart w:id="543" w:name="_Toc461982826"/>
      <w:bookmarkStart w:id="544" w:name="_Toc439779031"/>
      <w:bookmarkStart w:id="545" w:name="_Toc14791"/>
      <w:bookmarkStart w:id="546" w:name="_Toc373478339"/>
      <w:bookmarkStart w:id="547" w:name="_Toc351203633"/>
      <w:bookmarkStart w:id="548" w:name="_Toc373227692"/>
      <w:bookmarkStart w:id="549" w:name="_Toc389065258"/>
      <w:bookmarkStart w:id="550" w:name="_Toc296890984"/>
      <w:bookmarkStart w:id="551" w:name="_Toc296346657"/>
      <w:bookmarkStart w:id="552" w:name="_Toc296503156"/>
      <w:bookmarkStart w:id="553" w:name="_Toc296944495"/>
      <w:bookmarkStart w:id="554" w:name="_Toc296891196"/>
      <w:bookmarkStart w:id="555" w:name="_Toc292559866"/>
      <w:bookmarkStart w:id="556" w:name="_Toc296347155"/>
      <w:bookmarkStart w:id="557" w:name="_Toc292559361"/>
      <w:bookmarkStart w:id="558" w:name="_Toc297048342"/>
      <w:bookmarkStart w:id="559" w:name="_Toc297120456"/>
      <w:r>
        <w:rPr>
          <w:rFonts w:hint="eastAsia" w:ascii="宋体" w:hAnsi="宋体" w:eastAsia="宋体" w:cs="宋体"/>
          <w:color w:val="auto"/>
          <w:sz w:val="28"/>
          <w:szCs w:val="44"/>
          <w:highlight w:val="none"/>
        </w:rPr>
        <w:t>一、一般约定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2B2992B0">
      <w:pPr>
        <w:pStyle w:val="4"/>
        <w:adjustRightInd w:val="0"/>
        <w:snapToGrid w:val="0"/>
        <w:spacing w:before="0" w:after="0" w:line="356" w:lineRule="auto"/>
        <w:ind w:firstLine="482" w:firstLineChars="200"/>
        <w:rPr>
          <w:rFonts w:hint="eastAsia" w:cs="宋体"/>
          <w:color w:val="auto"/>
          <w:szCs w:val="40"/>
          <w:highlight w:val="none"/>
        </w:rPr>
      </w:pPr>
      <w:bookmarkStart w:id="560" w:name="_Toc16308"/>
      <w:bookmarkStart w:id="561" w:name="_Toc20097"/>
      <w:bookmarkStart w:id="562" w:name="_Toc373227693"/>
      <w:bookmarkStart w:id="563" w:name="_Toc439779032"/>
      <w:bookmarkStart w:id="564" w:name="_Toc389065259"/>
      <w:bookmarkStart w:id="565" w:name="_Toc373478340"/>
      <w:bookmarkStart w:id="566" w:name="_Toc461982827"/>
      <w:r>
        <w:rPr>
          <w:rFonts w:hint="eastAsia" w:cs="宋体"/>
          <w:color w:val="auto"/>
          <w:szCs w:val="40"/>
          <w:highlight w:val="none"/>
        </w:rPr>
        <w:t>1.1 词语定义</w:t>
      </w:r>
      <w:bookmarkEnd w:id="560"/>
      <w:bookmarkEnd w:id="561"/>
      <w:bookmarkEnd w:id="562"/>
      <w:bookmarkEnd w:id="563"/>
      <w:bookmarkEnd w:id="564"/>
      <w:bookmarkEnd w:id="565"/>
      <w:bookmarkEnd w:id="566"/>
    </w:p>
    <w:p w14:paraId="74ED3C48">
      <w:pPr>
        <w:adjustRightInd w:val="0"/>
        <w:snapToGrid w:val="0"/>
        <w:spacing w:line="356"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1.1.1 合同</w:t>
      </w:r>
    </w:p>
    <w:p w14:paraId="4C2E87E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1.1.1.10 其他合同文件包括：</w:t>
      </w:r>
      <w:r>
        <w:rPr>
          <w:rFonts w:hint="eastAsia" w:ascii="宋体" w:hAnsi="宋体" w:cs="宋体"/>
          <w:color w:val="auto"/>
          <w:sz w:val="24"/>
          <w:highlight w:val="none"/>
          <w:u w:val="single"/>
        </w:rPr>
        <w:t xml:space="preserve">投标（响应）文件及其附件，招标（磋商）文件（含补充通知和答疑），履约过程中双方法定代表人（或双方工地代表人）书面确认的对合同内容有实质性影响的会议纪要、签证、设计变更等资料 </w:t>
      </w:r>
      <w:r>
        <w:rPr>
          <w:rFonts w:hint="eastAsia" w:ascii="宋体" w:hAnsi="宋体" w:cs="宋体"/>
          <w:color w:val="auto"/>
          <w:sz w:val="24"/>
          <w:highlight w:val="none"/>
        </w:rPr>
        <w:t>。</w:t>
      </w:r>
    </w:p>
    <w:p w14:paraId="30205234">
      <w:pPr>
        <w:adjustRightInd w:val="0"/>
        <w:snapToGrid w:val="0"/>
        <w:spacing w:line="356" w:lineRule="auto"/>
        <w:ind w:firstLine="480" w:firstLineChars="200"/>
        <w:rPr>
          <w:rFonts w:hint="eastAsia" w:ascii="宋体" w:hAnsi="宋体" w:cs="宋体"/>
          <w:color w:val="auto"/>
          <w:sz w:val="24"/>
          <w:szCs w:val="32"/>
          <w:highlight w:val="none"/>
        </w:rPr>
      </w:pPr>
      <w:bookmarkStart w:id="567" w:name="_Toc439779035"/>
      <w:bookmarkStart w:id="568" w:name="_Toc25240"/>
      <w:bookmarkStart w:id="569" w:name="_Toc373478343"/>
      <w:bookmarkStart w:id="570" w:name="_Toc373227696"/>
      <w:bookmarkStart w:id="571" w:name="_Toc461982830"/>
      <w:bookmarkStart w:id="572" w:name="_Toc389065262"/>
      <w:bookmarkStart w:id="573" w:name="_Toc26377"/>
      <w:r>
        <w:rPr>
          <w:rFonts w:hint="eastAsia" w:ascii="宋体" w:hAnsi="宋体" w:cs="宋体"/>
          <w:color w:val="auto"/>
          <w:sz w:val="24"/>
          <w:szCs w:val="32"/>
          <w:highlight w:val="none"/>
        </w:rPr>
        <w:t>1.2本合同除使用汉语外，还使用</w:t>
      </w:r>
      <w:r>
        <w:rPr>
          <w:rFonts w:hint="eastAsia" w:ascii="宋体" w:hAnsi="宋体" w:cs="宋体"/>
          <w:color w:val="auto"/>
          <w:sz w:val="24"/>
          <w:szCs w:val="32"/>
          <w:highlight w:val="none"/>
          <w:u w:val="single"/>
        </w:rPr>
        <w:t xml:space="preserve"> 无其他 </w:t>
      </w:r>
      <w:r>
        <w:rPr>
          <w:rFonts w:hint="eastAsia" w:ascii="宋体" w:hAnsi="宋体" w:cs="宋体"/>
          <w:color w:val="auto"/>
          <w:sz w:val="24"/>
          <w:szCs w:val="32"/>
          <w:highlight w:val="none"/>
        </w:rPr>
        <w:t>语言文字</w:t>
      </w:r>
    </w:p>
    <w:p w14:paraId="62FE71F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1.3法律和法规</w:t>
      </w:r>
    </w:p>
    <w:p w14:paraId="5666680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需要明示的法律、行政法规：</w:t>
      </w:r>
      <w:r>
        <w:rPr>
          <w:rFonts w:hint="eastAsia" w:ascii="宋体" w:hAnsi="宋体" w:cs="宋体"/>
          <w:color w:val="auto"/>
          <w:sz w:val="24"/>
          <w:szCs w:val="32"/>
          <w:highlight w:val="none"/>
          <w:u w:val="single"/>
        </w:rPr>
        <w:t xml:space="preserve"> 按合同签订时国家现行法律、行政法规及工程所在地政府的有关法规和规章。</w:t>
      </w:r>
    </w:p>
    <w:p w14:paraId="31B255F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1.4发包人提供标准、规范时间：</w:t>
      </w:r>
      <w:r>
        <w:rPr>
          <w:rFonts w:hint="eastAsia" w:ascii="宋体" w:hAnsi="宋体" w:cs="宋体"/>
          <w:color w:val="auto"/>
          <w:sz w:val="24"/>
          <w:szCs w:val="32"/>
          <w:highlight w:val="none"/>
          <w:u w:val="single"/>
        </w:rPr>
        <w:t xml:space="preserve"> 无 。</w:t>
      </w:r>
    </w:p>
    <w:p w14:paraId="2199F5F9">
      <w:pPr>
        <w:pStyle w:val="4"/>
        <w:adjustRightInd w:val="0"/>
        <w:snapToGrid w:val="0"/>
        <w:spacing w:before="0" w:after="0" w:line="356" w:lineRule="auto"/>
        <w:ind w:firstLine="480" w:firstLineChars="200"/>
        <w:rPr>
          <w:rFonts w:hint="eastAsia" w:cs="宋体"/>
          <w:b w:val="0"/>
          <w:bCs w:val="0"/>
          <w:color w:val="auto"/>
          <w:szCs w:val="40"/>
          <w:highlight w:val="none"/>
        </w:rPr>
      </w:pPr>
      <w:r>
        <w:rPr>
          <w:rFonts w:hint="eastAsia" w:cs="宋体"/>
          <w:b w:val="0"/>
          <w:bCs w:val="0"/>
          <w:color w:val="auto"/>
          <w:highlight w:val="none"/>
        </w:rPr>
        <w:t>国内没有相应的标准、规范时的约定：</w:t>
      </w:r>
      <w:r>
        <w:rPr>
          <w:rFonts w:hint="eastAsia" w:cs="宋体"/>
          <w:b w:val="0"/>
          <w:bCs w:val="0"/>
          <w:color w:val="auto"/>
          <w:highlight w:val="none"/>
          <w:u w:val="single"/>
        </w:rPr>
        <w:t xml:space="preserve"> 无。</w:t>
      </w:r>
    </w:p>
    <w:p w14:paraId="2A7E1F3C">
      <w:pPr>
        <w:pStyle w:val="4"/>
        <w:adjustRightInd w:val="0"/>
        <w:snapToGrid w:val="0"/>
        <w:spacing w:before="0" w:after="0" w:line="356" w:lineRule="auto"/>
        <w:ind w:firstLine="482" w:firstLineChars="200"/>
        <w:rPr>
          <w:rFonts w:hint="eastAsia" w:cs="宋体"/>
          <w:color w:val="auto"/>
          <w:szCs w:val="40"/>
          <w:highlight w:val="none"/>
        </w:rPr>
      </w:pPr>
      <w:r>
        <w:rPr>
          <w:rFonts w:hint="eastAsia" w:cs="宋体"/>
          <w:color w:val="auto"/>
          <w:szCs w:val="40"/>
          <w:highlight w:val="none"/>
        </w:rPr>
        <w:t>1.5合同文件的优先顺序</w:t>
      </w:r>
      <w:bookmarkEnd w:id="567"/>
      <w:bookmarkEnd w:id="568"/>
      <w:bookmarkEnd w:id="569"/>
      <w:bookmarkEnd w:id="570"/>
      <w:bookmarkEnd w:id="571"/>
      <w:bookmarkEnd w:id="572"/>
      <w:bookmarkEnd w:id="573"/>
    </w:p>
    <w:p w14:paraId="4381091A">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合同文件组成及优先顺序为：</w:t>
      </w:r>
    </w:p>
    <w:p w14:paraId="48470F26">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（1）中标（成交）通知书；</w:t>
      </w:r>
    </w:p>
    <w:p w14:paraId="691D0370">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（2）投标（磋商）函及其附录；</w:t>
      </w:r>
    </w:p>
    <w:p w14:paraId="1919C957">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（3）专用合同条款及其附件；</w:t>
      </w:r>
    </w:p>
    <w:p w14:paraId="0D4DC66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（4）通用合同条款；</w:t>
      </w:r>
    </w:p>
    <w:p w14:paraId="7BC229CC">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u w:val="single"/>
        </w:rPr>
        <w:t xml:space="preserve"> 技术标准和要求</w:t>
      </w:r>
      <w:r>
        <w:rPr>
          <w:rFonts w:hint="eastAsia" w:ascii="宋体" w:hAnsi="宋体" w:cs="宋体"/>
          <w:color w:val="auto"/>
          <w:kern w:val="0"/>
          <w:sz w:val="24"/>
          <w:highlight w:val="none"/>
        </w:rPr>
        <w:t>；</w:t>
      </w:r>
    </w:p>
    <w:p w14:paraId="62CA6E05">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u w:val="single"/>
        </w:rPr>
        <w:t xml:space="preserve"> 施工图纸</w:t>
      </w:r>
      <w:r>
        <w:rPr>
          <w:rFonts w:hint="eastAsia" w:ascii="宋体" w:hAnsi="宋体" w:cs="宋体"/>
          <w:color w:val="auto"/>
          <w:kern w:val="0"/>
          <w:sz w:val="24"/>
          <w:highlight w:val="none"/>
        </w:rPr>
        <w:t>；</w:t>
      </w:r>
    </w:p>
    <w:p w14:paraId="0AEB99D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kern w:val="0"/>
          <w:sz w:val="24"/>
          <w:highlight w:val="none"/>
          <w:u w:val="single"/>
        </w:rPr>
        <w:t xml:space="preserve"> 已标价的工程量清单[投标（响应）文件]</w:t>
      </w:r>
      <w:r>
        <w:rPr>
          <w:rFonts w:hint="eastAsia" w:ascii="宋体" w:hAnsi="宋体" w:cs="宋体"/>
          <w:color w:val="auto"/>
          <w:kern w:val="0"/>
          <w:sz w:val="24"/>
          <w:highlight w:val="none"/>
        </w:rPr>
        <w:t>；</w:t>
      </w:r>
    </w:p>
    <w:p w14:paraId="0B79E01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u w:val="single"/>
        </w:rPr>
        <w:t xml:space="preserve"> 其他合同文件、设计变更等文件  </w:t>
      </w:r>
      <w:r>
        <w:rPr>
          <w:rFonts w:hint="eastAsia" w:ascii="宋体" w:hAnsi="宋体" w:cs="宋体"/>
          <w:color w:val="auto"/>
          <w:kern w:val="0"/>
          <w:sz w:val="24"/>
          <w:highlight w:val="none"/>
        </w:rPr>
        <w:t>。</w:t>
      </w:r>
    </w:p>
    <w:p w14:paraId="5D97A0E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（9）《建设工程工程量清单计价规范（GB5050-2013）》及其广西实施细则、《建设工程工程量清单计算规范（GB5854~50862-2013）》及其广西实施细则。</w:t>
      </w:r>
    </w:p>
    <w:p w14:paraId="1D04E57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说明：（6）、（7）、（8）填空内容分别限于技术标准和要求、图纸、已标价工程量清单或预算书、其他合同文件四者之一，其优先顺序可根据采取的不同合同方式由双方约定。</w:t>
      </w:r>
    </w:p>
    <w:p w14:paraId="5FE3990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1.6图纸</w:t>
      </w:r>
    </w:p>
    <w:p w14:paraId="3972DED0">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1.6.1发包人向承包人提供图纸日期和套数：</w:t>
      </w:r>
      <w:r>
        <w:rPr>
          <w:rFonts w:hint="eastAsia" w:ascii="宋体" w:hAnsi="宋体" w:cs="宋体"/>
          <w:color w:val="auto"/>
          <w:sz w:val="24"/>
          <w:szCs w:val="32"/>
          <w:highlight w:val="none"/>
          <w:u w:val="single"/>
        </w:rPr>
        <w:t xml:space="preserve"> 签订合同起5个工作日内提供一式肆份设计图纸。</w:t>
      </w:r>
    </w:p>
    <w:p w14:paraId="06DAA4A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1.12发包人对图纸的保密要求：</w:t>
      </w:r>
      <w:r>
        <w:rPr>
          <w:rFonts w:hint="eastAsia" w:ascii="宋体" w:hAnsi="宋体" w:cs="宋体"/>
          <w:color w:val="auto"/>
          <w:sz w:val="24"/>
          <w:szCs w:val="32"/>
          <w:highlight w:val="none"/>
          <w:u w:val="single"/>
        </w:rPr>
        <w:t>未经发包人同意，承包人不得将图纸转借给第三人。</w:t>
      </w:r>
    </w:p>
    <w:p w14:paraId="0CEBABBC">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二、双方一般权利和义务</w:t>
      </w:r>
    </w:p>
    <w:p w14:paraId="4827F1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2、发包人派驻的工程师</w:t>
      </w:r>
    </w:p>
    <w:p w14:paraId="3F6BDA5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27A4F794">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职权：</w:t>
      </w:r>
      <w:r>
        <w:rPr>
          <w:rFonts w:hint="eastAsia" w:ascii="宋体" w:hAnsi="宋体" w:cs="宋体"/>
          <w:color w:val="auto"/>
          <w:sz w:val="24"/>
          <w:szCs w:val="32"/>
          <w:highlight w:val="none"/>
          <w:u w:val="single"/>
        </w:rPr>
        <w:t xml:space="preserve"> 负责工程施工的协调工作，负责施工工程有关验收、签证、结算、工程资料审查等工作。</w:t>
      </w:r>
    </w:p>
    <w:p w14:paraId="7EBAC1C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不实行监理的，工程师的职权：</w:t>
      </w:r>
      <w:r>
        <w:rPr>
          <w:rFonts w:hint="eastAsia" w:ascii="宋体" w:hAnsi="宋体" w:cs="宋体"/>
          <w:color w:val="auto"/>
          <w:sz w:val="24"/>
          <w:szCs w:val="32"/>
          <w:highlight w:val="none"/>
          <w:u w:val="single"/>
        </w:rPr>
        <w:t xml:space="preserve">  无 </w:t>
      </w:r>
      <w:r>
        <w:rPr>
          <w:rFonts w:hint="eastAsia" w:ascii="宋体" w:hAnsi="宋体" w:cs="宋体"/>
          <w:color w:val="auto"/>
          <w:sz w:val="24"/>
          <w:szCs w:val="32"/>
          <w:highlight w:val="none"/>
        </w:rPr>
        <w:t xml:space="preserve"> 。</w:t>
      </w:r>
    </w:p>
    <w:p w14:paraId="5DA8E76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2.4发包人工作</w:t>
      </w:r>
    </w:p>
    <w:p w14:paraId="33C23AD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发包人应按约定的时间和要求完成以下工作：</w:t>
      </w:r>
    </w:p>
    <w:p w14:paraId="3D588E45">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施工场地具备施工条件的要求及完成的时间：</w:t>
      </w:r>
      <w:r>
        <w:rPr>
          <w:rFonts w:hint="eastAsia" w:ascii="宋体" w:hAnsi="宋体" w:cs="宋体"/>
          <w:color w:val="auto"/>
          <w:sz w:val="24"/>
          <w:szCs w:val="32"/>
          <w:highlight w:val="none"/>
          <w:u w:val="single"/>
        </w:rPr>
        <w:t xml:space="preserve"> 开工前7日，发包人移交施工工地等工作。</w:t>
      </w:r>
    </w:p>
    <w:p w14:paraId="0956B513">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将施工所需的水、电、电讯线路接至施工场地的时间、地点和供应要求：</w:t>
      </w:r>
      <w:r>
        <w:rPr>
          <w:rFonts w:hint="eastAsia" w:ascii="宋体" w:hAnsi="宋体" w:cs="宋体"/>
          <w:color w:val="auto"/>
          <w:sz w:val="24"/>
          <w:szCs w:val="32"/>
          <w:highlight w:val="none"/>
          <w:u w:val="single"/>
        </w:rPr>
        <w:t>协调提供水、电接口；电讯线路由承包人自行处理。水、电、通讯费用由承包人支付。</w:t>
      </w:r>
    </w:p>
    <w:p w14:paraId="5E6D62BB">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施工场地与公共道路的通道开通时间和要求：</w:t>
      </w:r>
      <w:r>
        <w:rPr>
          <w:rFonts w:hint="eastAsia" w:ascii="宋体" w:hAnsi="宋体" w:cs="宋体"/>
          <w:color w:val="auto"/>
          <w:sz w:val="24"/>
          <w:szCs w:val="32"/>
          <w:highlight w:val="none"/>
          <w:u w:val="single"/>
        </w:rPr>
        <w:t xml:space="preserve"> 开工前7天做到施工现场周围道路畅通，并满足施工运输需要。</w:t>
      </w:r>
    </w:p>
    <w:p w14:paraId="25718F0E">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工程地质和地下管线资料的提供时间：</w:t>
      </w:r>
      <w:r>
        <w:rPr>
          <w:rFonts w:hint="eastAsia" w:ascii="宋体" w:hAnsi="宋体" w:cs="宋体"/>
          <w:color w:val="auto"/>
          <w:sz w:val="24"/>
          <w:szCs w:val="32"/>
          <w:highlight w:val="none"/>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color w:val="auto"/>
          <w:sz w:val="24"/>
          <w:szCs w:val="32"/>
          <w:highlight w:val="none"/>
        </w:rPr>
        <w:t>。</w:t>
      </w:r>
    </w:p>
    <w:p w14:paraId="1089CDE0">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由发包人办理的施工所需证件、批件的名称和完成时间：</w:t>
      </w:r>
      <w:r>
        <w:rPr>
          <w:rFonts w:hint="eastAsia" w:ascii="宋体" w:hAnsi="宋体" w:cs="宋体"/>
          <w:color w:val="auto"/>
          <w:sz w:val="24"/>
          <w:szCs w:val="32"/>
          <w:highlight w:val="none"/>
          <w:u w:val="single"/>
        </w:rPr>
        <w:t>开工7日前负责协调办理好施工许可证和临时用地证等开工所需的全部证件和批件。</w:t>
      </w:r>
    </w:p>
    <w:p w14:paraId="11ABD049">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水准点与坐标控制点交验要求：</w:t>
      </w:r>
      <w:r>
        <w:rPr>
          <w:rFonts w:hint="eastAsia" w:ascii="宋体" w:hAnsi="宋体" w:cs="宋体"/>
          <w:color w:val="auto"/>
          <w:sz w:val="24"/>
          <w:szCs w:val="32"/>
          <w:highlight w:val="none"/>
          <w:u w:val="single"/>
        </w:rPr>
        <w:t xml:space="preserve"> 发包人在开工前以书面形式交给承包人，并双方在现场进行交验。</w:t>
      </w:r>
    </w:p>
    <w:p w14:paraId="0762460F">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图纸会审和设计交底时间：</w:t>
      </w:r>
      <w:r>
        <w:rPr>
          <w:rFonts w:hint="eastAsia" w:ascii="宋体" w:hAnsi="宋体" w:cs="宋体"/>
          <w:color w:val="auto"/>
          <w:sz w:val="24"/>
          <w:szCs w:val="32"/>
          <w:highlight w:val="none"/>
          <w:u w:val="single"/>
        </w:rPr>
        <w:t>开工前7天，组织承包人、设计、地质勘探、监理等相关单位进行图纸会审和设计交底。</w:t>
      </w:r>
    </w:p>
    <w:p w14:paraId="60265024">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协调处理施工场地周围地下管线和邻近建筑物、构筑物（含文物保护建筑）、古树名木的保护工作：</w:t>
      </w:r>
      <w:r>
        <w:rPr>
          <w:rFonts w:hint="eastAsia" w:ascii="宋体" w:hAnsi="宋体" w:cs="宋体"/>
          <w:color w:val="auto"/>
          <w:sz w:val="24"/>
          <w:szCs w:val="32"/>
          <w:highlight w:val="none"/>
          <w:u w:val="single"/>
        </w:rPr>
        <w:t>由发包人负责协调，承包人负责保护，费用由发包人承担。</w:t>
      </w:r>
    </w:p>
    <w:p w14:paraId="38DD52BD">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 xml:space="preserve">双方约定发包人应做的其他工作： </w:t>
      </w:r>
      <w:r>
        <w:rPr>
          <w:rFonts w:hint="eastAsia" w:ascii="宋体" w:hAnsi="宋体" w:cs="宋体"/>
          <w:color w:val="auto"/>
          <w:sz w:val="24"/>
          <w:szCs w:val="32"/>
          <w:highlight w:val="none"/>
          <w:u w:val="single"/>
        </w:rPr>
        <w:t>无 。</w:t>
      </w:r>
    </w:p>
    <w:p w14:paraId="1DBBF87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发包人委托承包人办理的工作：</w:t>
      </w:r>
      <w:r>
        <w:rPr>
          <w:rFonts w:hint="eastAsia" w:ascii="宋体" w:hAnsi="宋体" w:cs="宋体"/>
          <w:color w:val="auto"/>
          <w:sz w:val="24"/>
          <w:szCs w:val="32"/>
          <w:highlight w:val="none"/>
          <w:u w:val="single"/>
        </w:rPr>
        <w:t xml:space="preserve"> 无 。</w:t>
      </w:r>
    </w:p>
    <w:p w14:paraId="4F371ACF">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2.5担保</w:t>
      </w:r>
    </w:p>
    <w:p w14:paraId="100C588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本工程双方约定担保内容如下：</w:t>
      </w:r>
    </w:p>
    <w:p w14:paraId="44AD315F">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（1）发包人向承包人提供支付担保，担保方式为：</w:t>
      </w:r>
      <w:r>
        <w:rPr>
          <w:rFonts w:hint="eastAsia" w:ascii="宋体" w:hAnsi="宋体" w:cs="宋体"/>
          <w:color w:val="auto"/>
          <w:sz w:val="24"/>
          <w:highlight w:val="none"/>
          <w:u w:val="single"/>
        </w:rPr>
        <w:t xml:space="preserve"> 无 。</w:t>
      </w:r>
    </w:p>
    <w:p w14:paraId="434BECCB">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（2）承包人向发包人提供履约担保，担保方式为：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p>
    <w:p w14:paraId="2143A1E6">
      <w:pPr>
        <w:adjustRightInd w:val="0"/>
        <w:snapToGrid w:val="0"/>
        <w:spacing w:line="356"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lang w:eastAsia="zh-CN"/>
        </w:rPr>
        <w:t>）如投标人提供虚假材料造成流标、废标的，扣除投标保证金，提交了履约保证金的一并扣除，造成其他损失的由投标人承担。</w:t>
      </w:r>
    </w:p>
    <w:p w14:paraId="52C7F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3、承包人</w:t>
      </w:r>
    </w:p>
    <w:p w14:paraId="5C119EC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项目经理</w:t>
      </w:r>
    </w:p>
    <w:p w14:paraId="2B0475E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 </w:t>
      </w:r>
      <w:r>
        <w:rPr>
          <w:rFonts w:hint="eastAsia" w:ascii="宋体" w:hAnsi="宋体" w:cs="宋体"/>
          <w:color w:val="auto"/>
          <w:sz w:val="24"/>
          <w:szCs w:val="32"/>
          <w:highlight w:val="none"/>
          <w:u w:val="single"/>
        </w:rPr>
        <w:t xml:space="preserve">  项目经理    </w:t>
      </w:r>
    </w:p>
    <w:p w14:paraId="652C21A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3.1承包人工作</w:t>
      </w:r>
    </w:p>
    <w:p w14:paraId="6914758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承包人应按约定时间和要求，完成以下工作：</w:t>
      </w:r>
    </w:p>
    <w:p w14:paraId="50EDEF7F">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需由设计资质等级和业务范围允许的承包人完成的设计文件提交时间：</w:t>
      </w:r>
      <w:r>
        <w:rPr>
          <w:rFonts w:hint="eastAsia" w:ascii="宋体" w:hAnsi="宋体" w:cs="宋体"/>
          <w:color w:val="auto"/>
          <w:sz w:val="24"/>
          <w:szCs w:val="32"/>
          <w:highlight w:val="none"/>
          <w:u w:val="single"/>
        </w:rPr>
        <w:t xml:space="preserve"> 无。</w:t>
      </w:r>
    </w:p>
    <w:p w14:paraId="5309B619">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应提供计划、报表的名称及完成时间：</w:t>
      </w:r>
      <w:r>
        <w:rPr>
          <w:rFonts w:hint="eastAsia" w:ascii="宋体" w:hAnsi="宋体" w:cs="宋体"/>
          <w:color w:val="auto"/>
          <w:sz w:val="24"/>
          <w:szCs w:val="32"/>
          <w:highlight w:val="none"/>
          <w:u w:val="single"/>
        </w:rPr>
        <w:t>每月25日提供当月完成工程量报表、次月计划完成工程量报表各两份。</w:t>
      </w:r>
    </w:p>
    <w:p w14:paraId="369BCA8E">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承担施工安全保卫工作及非夜间施工照明的责任和要求：</w:t>
      </w:r>
      <w:r>
        <w:rPr>
          <w:rFonts w:hint="eastAsia" w:ascii="宋体" w:hAnsi="宋体" w:cs="宋体"/>
          <w:color w:val="auto"/>
          <w:sz w:val="24"/>
          <w:szCs w:val="32"/>
          <w:highlight w:val="none"/>
          <w:u w:val="single"/>
        </w:rPr>
        <w:t>提供和维修非夜间施工使用的照明、围栏设施，并负责安全保卫。</w:t>
      </w:r>
    </w:p>
    <w:p w14:paraId="11B66B87">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已完工程品保护的特殊要求及费用承担：</w:t>
      </w:r>
      <w:r>
        <w:rPr>
          <w:rFonts w:hint="eastAsia" w:ascii="宋体" w:hAnsi="宋体" w:cs="宋体"/>
          <w:color w:val="auto"/>
          <w:sz w:val="24"/>
          <w:szCs w:val="32"/>
          <w:highlight w:val="none"/>
          <w:u w:val="single"/>
        </w:rPr>
        <w:t>在竣工验收移交全部工程前，由承包人负责采取保护措施，并承担费用。</w:t>
      </w:r>
    </w:p>
    <w:p w14:paraId="1E47C787">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施工场地设置地下管线和邻近建筑物、构筑物（含文物保护建筑）、古树名木的保护要求及费用承担：</w:t>
      </w:r>
      <w:r>
        <w:rPr>
          <w:rFonts w:hint="eastAsia" w:ascii="宋体" w:hAnsi="宋体" w:cs="宋体"/>
          <w:color w:val="auto"/>
          <w:sz w:val="24"/>
          <w:szCs w:val="32"/>
          <w:highlight w:val="none"/>
          <w:u w:val="single"/>
        </w:rPr>
        <w:t>由发包人负责协调，相关费用由发包人承担，承包人负责保护，施工时如因承包人原因损坏地下管线，邻近建筑物、构筑物，所发生的费用由承包人负责承担。</w:t>
      </w:r>
    </w:p>
    <w:p w14:paraId="42BE4356">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施工场地清洁卫生的要求：</w:t>
      </w:r>
      <w:r>
        <w:rPr>
          <w:rFonts w:hint="eastAsia" w:ascii="宋体" w:hAnsi="宋体" w:cs="宋体"/>
          <w:color w:val="auto"/>
          <w:sz w:val="24"/>
          <w:szCs w:val="32"/>
          <w:highlight w:val="none"/>
          <w:u w:val="single"/>
        </w:rPr>
        <w:t>承包人保证施工场地清洁符合环境卫生管理的有关规定，交工前清理现场做到工完场清，并承担因自身原因违反有关规定造成损失和罚款。</w:t>
      </w:r>
    </w:p>
    <w:p w14:paraId="182A040D">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双方约定承包人应做的其他工作：</w:t>
      </w:r>
      <w:r>
        <w:rPr>
          <w:rFonts w:hint="eastAsia" w:ascii="宋体" w:hAnsi="宋体" w:cs="宋体"/>
          <w:color w:val="auto"/>
          <w:sz w:val="24"/>
          <w:szCs w:val="32"/>
          <w:highlight w:val="none"/>
          <w:u w:val="single"/>
        </w:rPr>
        <w:t>无。</w:t>
      </w:r>
    </w:p>
    <w:p w14:paraId="1EEA16F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3.5工程分包</w:t>
      </w:r>
    </w:p>
    <w:p w14:paraId="15804DC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3.5.2本工程发包人同意承包人分包的工程：</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633FC9E">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分包施工单位为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36F1DE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4.1监理单位：</w:t>
      </w:r>
      <w:r>
        <w:rPr>
          <w:rFonts w:hint="eastAsia" w:ascii="宋体" w:hAnsi="宋体" w:cs="宋体"/>
          <w:color w:val="auto"/>
          <w:sz w:val="24"/>
          <w:szCs w:val="32"/>
          <w:highlight w:val="none"/>
          <w:u w:val="single"/>
        </w:rPr>
        <w:t xml:space="preserve">                 </w:t>
      </w:r>
    </w:p>
    <w:p w14:paraId="18DA0A8C">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委派的工程师姓名：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7FD34D1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发包人委托的职权：</w:t>
      </w:r>
      <w:r>
        <w:rPr>
          <w:rFonts w:hint="eastAsia" w:ascii="宋体" w:hAnsi="宋体" w:cs="宋体"/>
          <w:color w:val="auto"/>
          <w:sz w:val="24"/>
          <w:szCs w:val="32"/>
          <w:highlight w:val="none"/>
          <w:u w:val="single"/>
        </w:rPr>
        <w:t xml:space="preserve"> 按本工程委托监理合同 </w:t>
      </w:r>
    </w:p>
    <w:p w14:paraId="68422A79">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需要取得发包人批准才能行使的职权：</w:t>
      </w:r>
      <w:r>
        <w:rPr>
          <w:rFonts w:hint="eastAsia" w:ascii="宋体" w:hAnsi="宋体" w:cs="宋体"/>
          <w:color w:val="auto"/>
          <w:sz w:val="24"/>
          <w:szCs w:val="32"/>
          <w:highlight w:val="none"/>
          <w:u w:val="single"/>
        </w:rPr>
        <w:t xml:space="preserve">  按本合同委托监理合同 。</w:t>
      </w:r>
    </w:p>
    <w:p w14:paraId="4D64552C">
      <w:pPr>
        <w:pStyle w:val="16"/>
        <w:spacing w:after="0" w:line="356" w:lineRule="auto"/>
        <w:ind w:left="0" w:leftChars="0"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三、施工组织设计个工期</w:t>
      </w:r>
    </w:p>
    <w:p w14:paraId="1D24646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7、进度计划</w:t>
      </w:r>
    </w:p>
    <w:p w14:paraId="182DBBE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7.1.2承包人提供施工组织设计（施工方案）和进度计划的时间：</w:t>
      </w:r>
      <w:r>
        <w:rPr>
          <w:rFonts w:hint="eastAsia" w:ascii="宋体" w:hAnsi="宋体" w:cs="宋体"/>
          <w:color w:val="auto"/>
          <w:sz w:val="24"/>
          <w:szCs w:val="32"/>
          <w:highlight w:val="none"/>
          <w:u w:val="single"/>
        </w:rPr>
        <w:t>合同签订之日起15日内，并全面动工建设。</w:t>
      </w:r>
    </w:p>
    <w:p w14:paraId="2D8F8FD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工程师确认的时间：</w:t>
      </w:r>
      <w:r>
        <w:rPr>
          <w:rFonts w:hint="eastAsia" w:ascii="宋体" w:hAnsi="宋体" w:cs="宋体"/>
          <w:color w:val="auto"/>
          <w:sz w:val="24"/>
          <w:szCs w:val="32"/>
          <w:highlight w:val="none"/>
          <w:u w:val="single"/>
        </w:rPr>
        <w:t>于收到之日起5日内批复。</w:t>
      </w:r>
    </w:p>
    <w:p w14:paraId="778E515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群体工程中有关进度计划的要求：</w:t>
      </w:r>
      <w:r>
        <w:rPr>
          <w:rFonts w:hint="eastAsia" w:ascii="宋体" w:hAnsi="宋体" w:cs="宋体"/>
          <w:color w:val="auto"/>
          <w:sz w:val="24"/>
          <w:szCs w:val="32"/>
          <w:highlight w:val="none"/>
          <w:u w:val="single"/>
        </w:rPr>
        <w:t>按投标（响应）文件计划。</w:t>
      </w:r>
    </w:p>
    <w:p w14:paraId="29D485A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7.5工期延误</w:t>
      </w:r>
    </w:p>
    <w:p w14:paraId="591901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7.5.1双方约定工期顺延的其他情况：</w:t>
      </w:r>
      <w:r>
        <w:rPr>
          <w:rFonts w:hint="eastAsia" w:ascii="宋体" w:hAnsi="宋体" w:cs="宋体"/>
          <w:color w:val="auto"/>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2F5BB2E4">
      <w:pPr>
        <w:pStyle w:val="2"/>
        <w:adjustRightInd w:val="0"/>
        <w:snapToGrid w:val="0"/>
        <w:spacing w:line="356"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四、材料设备供应</w:t>
      </w:r>
    </w:p>
    <w:p w14:paraId="6BEAA66C">
      <w:pPr>
        <w:pStyle w:val="2"/>
        <w:adjustRightInd w:val="0"/>
        <w:snapToGrid w:val="0"/>
        <w:spacing w:line="356"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8.1发包人供应材料设备：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无  </w:t>
      </w:r>
      <w:r>
        <w:rPr>
          <w:rFonts w:hint="eastAsia" w:ascii="宋体" w:hAnsi="宋体" w:eastAsia="宋体" w:cs="宋体"/>
          <w:b w:val="0"/>
          <w:bCs w:val="0"/>
          <w:color w:val="auto"/>
          <w:sz w:val="24"/>
          <w:szCs w:val="24"/>
          <w:highlight w:val="none"/>
        </w:rPr>
        <w:t xml:space="preserve"> 。</w:t>
      </w:r>
    </w:p>
    <w:p w14:paraId="23FF7605">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8.3.1发包人供应的材料设备与一览表不符时，双方约定发包人承担责任如下：</w:t>
      </w:r>
    </w:p>
    <w:p w14:paraId="1A5F702A">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材料设备单价与一览表不符：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A5EC6A2">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材料设备的品种、规格、型号、质量等级与一览表不符：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0F72AB8">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承包人可代为调剂串换的材料：</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52E7D9B">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到货地点与一览表不符：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39575F6">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供应数量与一览表不符：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7DB0465">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到货时间与一览表不符：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844645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发包人供应材料设备的</w:t>
      </w:r>
      <w:r>
        <w:rPr>
          <w:rFonts w:hint="eastAsia" w:ascii="宋体" w:hAnsi="宋体" w:cs="宋体"/>
          <w:bCs/>
          <w:color w:val="auto"/>
          <w:sz w:val="24"/>
          <w:highlight w:val="none"/>
        </w:rPr>
        <w:t>结算方法：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2CAC81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w:t>
      </w:r>
    </w:p>
    <w:p w14:paraId="386B1863">
      <w:pPr>
        <w:adjustRightInd w:val="0"/>
        <w:snapToGrid w:val="0"/>
        <w:spacing w:line="356" w:lineRule="auto"/>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材料设备的约定：</w:t>
      </w:r>
      <w:r>
        <w:rPr>
          <w:rFonts w:hint="eastAsia" w:ascii="宋体" w:hAnsi="宋体" w:cs="宋体"/>
          <w:color w:val="auto"/>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7F93555F">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五、变更</w:t>
      </w:r>
    </w:p>
    <w:p w14:paraId="523F125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按《通用条款》10.1、10.2、10.3、10.4款执行。</w:t>
      </w:r>
    </w:p>
    <w:p w14:paraId="58AEDAE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10.4.1变更的估价原则</w:t>
      </w:r>
    </w:p>
    <w:p w14:paraId="470FFD0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因变更引起的价格调整按照本款约定处理。</w:t>
      </w:r>
    </w:p>
    <w:p w14:paraId="4B6B933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（1）已标价工程量清单中有使用于变更工作的子目的，采用该子目的单价。</w:t>
      </w:r>
    </w:p>
    <w:p w14:paraId="78FCA23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（2）已标价工程量清单中无适用于变更工作的子目的，但有类似子目的，可在合理范围内参照类似子目的单价。</w:t>
      </w:r>
    </w:p>
    <w:p w14:paraId="0EE7F90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（3）已标价工程量清单中无适用或类似子目的单价，</w:t>
      </w:r>
      <w:r>
        <w:rPr>
          <w:rFonts w:hint="eastAsia" w:ascii="宋体" w:hAnsi="宋体" w:cs="宋体"/>
          <w:color w:val="auto"/>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7448CA9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11、价格调整</w:t>
      </w:r>
    </w:p>
    <w:p w14:paraId="27920A2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11.1物价波动引起价格调整：</w:t>
      </w:r>
      <w:r>
        <w:rPr>
          <w:rFonts w:hint="eastAsia" w:ascii="宋体" w:hAnsi="宋体" w:cs="宋体"/>
          <w:color w:val="auto"/>
          <w:sz w:val="24"/>
          <w:szCs w:val="32"/>
          <w:highlight w:val="none"/>
          <w:u w:val="single"/>
        </w:rPr>
        <w:t xml:space="preserve"> 无。</w:t>
      </w:r>
    </w:p>
    <w:p w14:paraId="289B8236">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11.1.1采用价格指数调整价格差额：</w:t>
      </w:r>
      <w:r>
        <w:rPr>
          <w:rFonts w:hint="eastAsia" w:ascii="宋体" w:hAnsi="宋体" w:cs="宋体"/>
          <w:color w:val="auto"/>
          <w:sz w:val="24"/>
          <w:szCs w:val="32"/>
          <w:highlight w:val="none"/>
          <w:u w:val="single"/>
        </w:rPr>
        <w:t>无。</w:t>
      </w:r>
    </w:p>
    <w:p w14:paraId="70DF0C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11.1.2采用造价信息调整价格差额：</w:t>
      </w:r>
      <w:r>
        <w:rPr>
          <w:rFonts w:hint="eastAsia" w:ascii="宋体" w:hAnsi="宋体" w:cs="宋体"/>
          <w:color w:val="auto"/>
          <w:sz w:val="24"/>
          <w:szCs w:val="32"/>
          <w:highlight w:val="none"/>
          <w:u w:val="single"/>
        </w:rPr>
        <w:t>无。</w:t>
      </w:r>
    </w:p>
    <w:p w14:paraId="37EFCE9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双方约定合同价款的其他调整因素：</w:t>
      </w:r>
      <w:r>
        <w:rPr>
          <w:rFonts w:hint="eastAsia" w:ascii="宋体" w:hAnsi="宋体" w:cs="宋体"/>
          <w:color w:val="auto"/>
          <w:sz w:val="24"/>
          <w:szCs w:val="32"/>
          <w:highlight w:val="none"/>
          <w:u w:val="single"/>
        </w:rPr>
        <w:t>无。</w:t>
      </w:r>
    </w:p>
    <w:p w14:paraId="05D537F9">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六、合同价款与支付</w:t>
      </w:r>
    </w:p>
    <w:p w14:paraId="5FD0F90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12、合同价款及调整</w:t>
      </w:r>
    </w:p>
    <w:p w14:paraId="6EEDD2B6">
      <w:pPr>
        <w:pStyle w:val="6"/>
        <w:spacing w:line="356"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12.2预付款</w:t>
      </w:r>
    </w:p>
    <w:p w14:paraId="34B97C2A">
      <w:pPr>
        <w:spacing w:line="35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12.2.1</w:t>
      </w:r>
      <w:r>
        <w:rPr>
          <w:rFonts w:hint="eastAsia" w:ascii="宋体" w:hAnsi="宋体" w:cs="宋体"/>
          <w:color w:val="auto"/>
          <w:kern w:val="0"/>
          <w:sz w:val="24"/>
          <w:highlight w:val="none"/>
        </w:rPr>
        <w:t>预付款的支付</w:t>
      </w:r>
    </w:p>
    <w:p w14:paraId="4ADD2E66">
      <w:pPr>
        <w:spacing w:line="356"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kern w:val="0"/>
          <w:sz w:val="24"/>
          <w:highlight w:val="none"/>
        </w:rPr>
        <w:t>项目实质性开工7天后，可以向财政部门申请不高于合同价30%项目预付款，同时提供合同价30%的预付款保函（必须为无条件的预付款保函且有效期至少12个月）。预付款应当用于材料、工程设备、施工设备的采购及修建临时工程、组织施工队伍进场等。预付款在第一次进度付款中扣回。</w:t>
      </w:r>
    </w:p>
    <w:p w14:paraId="2249E26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12.1</w:t>
      </w:r>
      <w:r>
        <w:rPr>
          <w:rFonts w:hint="eastAsia" w:ascii="宋体" w:hAnsi="宋体" w:cs="宋体"/>
          <w:color w:val="auto"/>
          <w:sz w:val="24"/>
          <w:szCs w:val="32"/>
          <w:highlight w:val="none"/>
        </w:rPr>
        <w:t>本合同价款采用</w:t>
      </w:r>
      <w:r>
        <w:rPr>
          <w:rFonts w:hint="eastAsia" w:ascii="宋体" w:hAnsi="宋体" w:cs="宋体"/>
          <w:color w:val="auto"/>
          <w:sz w:val="24"/>
          <w:szCs w:val="32"/>
          <w:highlight w:val="none"/>
          <w:u w:val="single"/>
        </w:rPr>
        <w:t xml:space="preserve"> 固定综合单价（指工程量清单所包含的内容）</w:t>
      </w:r>
      <w:r>
        <w:rPr>
          <w:rFonts w:hint="eastAsia" w:ascii="宋体" w:hAnsi="宋体" w:cs="宋体"/>
          <w:color w:val="auto"/>
          <w:sz w:val="24"/>
          <w:szCs w:val="32"/>
          <w:highlight w:val="none"/>
        </w:rPr>
        <w:t>合同方式确定。</w:t>
      </w:r>
    </w:p>
    <w:p w14:paraId="077FAA71">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风险费用的计算方式：</w:t>
      </w:r>
      <w:r>
        <w:rPr>
          <w:rFonts w:hint="eastAsia" w:ascii="宋体" w:hAnsi="宋体" w:cs="宋体"/>
          <w:color w:val="auto"/>
          <w:sz w:val="24"/>
          <w:szCs w:val="32"/>
          <w:highlight w:val="none"/>
          <w:u w:val="single"/>
        </w:rPr>
        <w:t>无。</w:t>
      </w:r>
    </w:p>
    <w:p w14:paraId="47BA71CA">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采用可调价格合同，合同价款调整方式：</w:t>
      </w:r>
      <w:r>
        <w:rPr>
          <w:rFonts w:hint="eastAsia" w:ascii="宋体" w:hAnsi="宋体" w:cs="宋体"/>
          <w:color w:val="auto"/>
          <w:sz w:val="24"/>
          <w:szCs w:val="32"/>
          <w:highlight w:val="none"/>
          <w:u w:val="single"/>
        </w:rPr>
        <w:t>无。</w:t>
      </w:r>
    </w:p>
    <w:p w14:paraId="56AC29D3">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采用成本加酬金合同，有关成本和酬金的约定：</w:t>
      </w:r>
      <w:r>
        <w:rPr>
          <w:rFonts w:hint="eastAsia" w:ascii="宋体" w:hAnsi="宋体" w:cs="宋体"/>
          <w:color w:val="auto"/>
          <w:sz w:val="24"/>
          <w:szCs w:val="32"/>
          <w:highlight w:val="none"/>
          <w:u w:val="single"/>
        </w:rPr>
        <w:t>无。</w:t>
      </w:r>
    </w:p>
    <w:p w14:paraId="25CD5C85">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1.双方约定合同价款及其他调整因素：</w:t>
      </w:r>
      <w:r>
        <w:rPr>
          <w:rFonts w:hint="eastAsia" w:ascii="宋体" w:hAnsi="宋体" w:cs="宋体"/>
          <w:color w:val="auto"/>
          <w:sz w:val="24"/>
          <w:szCs w:val="32"/>
          <w:highlight w:val="none"/>
          <w:u w:val="single"/>
        </w:rPr>
        <w:t>工程量清单所包含的内容以外部分。</w:t>
      </w:r>
    </w:p>
    <w:p w14:paraId="52631E2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12.2.1</w:t>
      </w:r>
      <w:r>
        <w:rPr>
          <w:rFonts w:hint="eastAsia" w:ascii="宋体" w:hAnsi="宋体" w:cs="宋体"/>
          <w:color w:val="auto"/>
          <w:sz w:val="24"/>
          <w:szCs w:val="32"/>
          <w:highlight w:val="none"/>
        </w:rPr>
        <w:t>工程款付款</w:t>
      </w:r>
    </w:p>
    <w:p w14:paraId="3F879A3A">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发包人向承包人预付工程款的时间和金额或占合同价款总额的比例：</w:t>
      </w:r>
      <w:r>
        <w:rPr>
          <w:rFonts w:hint="eastAsia" w:ascii="宋体" w:hAnsi="宋体" w:cs="宋体"/>
          <w:color w:val="auto"/>
          <w:sz w:val="24"/>
          <w:szCs w:val="32"/>
          <w:highlight w:val="none"/>
          <w:u w:val="single"/>
        </w:rPr>
        <w:t>在合同协议书签订和承包人依据经监理人出具开工令工人进场开工后，承包人将合同价</w:t>
      </w:r>
      <w:r>
        <w:rPr>
          <w:rFonts w:hint="eastAsia" w:ascii="宋体" w:hAnsi="宋体" w:cs="宋体"/>
          <w:color w:val="auto"/>
          <w:sz w:val="24"/>
          <w:szCs w:val="32"/>
          <w:highlight w:val="none"/>
          <w:u w:val="single"/>
          <w:lang w:val="en-US" w:eastAsia="zh-CN"/>
        </w:rPr>
        <w:t>30%的</w:t>
      </w:r>
      <w:r>
        <w:rPr>
          <w:rFonts w:hint="eastAsia" w:ascii="宋体" w:hAnsi="宋体" w:cs="宋体"/>
          <w:color w:val="auto"/>
          <w:sz w:val="24"/>
          <w:szCs w:val="32"/>
          <w:highlight w:val="none"/>
          <w:u w:val="single"/>
        </w:rPr>
        <w:t>预付款申请材料报送发包人审核批准后予以支付</w:t>
      </w:r>
      <w:r>
        <w:rPr>
          <w:rFonts w:hint="eastAsia" w:ascii="宋体" w:hAnsi="宋体" w:cs="宋体"/>
          <w:color w:val="auto"/>
          <w:sz w:val="24"/>
          <w:szCs w:val="32"/>
          <w:highlight w:val="none"/>
          <w:u w:val="single"/>
          <w:lang w:eastAsia="zh-CN"/>
        </w:rPr>
        <w:t>。</w:t>
      </w:r>
    </w:p>
    <w:p w14:paraId="50346C6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扣回工程款的时间、比例：</w:t>
      </w:r>
      <w:r>
        <w:rPr>
          <w:rFonts w:hint="eastAsia" w:ascii="宋体" w:hAnsi="宋体" w:cs="宋体"/>
          <w:color w:val="auto"/>
          <w:sz w:val="24"/>
          <w:szCs w:val="32"/>
          <w:highlight w:val="none"/>
          <w:u w:val="single"/>
        </w:rPr>
        <w:t>第一次申请进度款时扣回30%预付款。</w:t>
      </w:r>
    </w:p>
    <w:p w14:paraId="063064C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12.3</w:t>
      </w:r>
      <w:r>
        <w:rPr>
          <w:rFonts w:hint="eastAsia" w:ascii="宋体" w:hAnsi="宋体" w:cs="宋体"/>
          <w:color w:val="auto"/>
          <w:sz w:val="24"/>
          <w:szCs w:val="32"/>
          <w:highlight w:val="none"/>
        </w:rPr>
        <w:t>工程量确认</w:t>
      </w:r>
    </w:p>
    <w:p w14:paraId="0996A4D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highlight w:val="none"/>
        </w:rPr>
        <w:t>12.3.3</w:t>
      </w:r>
      <w:r>
        <w:rPr>
          <w:rFonts w:hint="eastAsia" w:ascii="宋体" w:hAnsi="宋体" w:cs="宋体"/>
          <w:color w:val="auto"/>
          <w:sz w:val="24"/>
          <w:szCs w:val="32"/>
          <w:highlight w:val="none"/>
        </w:rPr>
        <w:t>承包人向工程师提交已完工程量报告的时间：</w:t>
      </w:r>
      <w:r>
        <w:rPr>
          <w:rFonts w:hint="eastAsia" w:ascii="宋体" w:hAnsi="宋体" w:cs="宋体"/>
          <w:color w:val="auto"/>
          <w:sz w:val="24"/>
          <w:szCs w:val="32"/>
          <w:highlight w:val="none"/>
          <w:u w:val="single"/>
        </w:rPr>
        <w:t>每月25日。</w:t>
      </w:r>
    </w:p>
    <w:p w14:paraId="733FC78A">
      <w:pPr>
        <w:pStyle w:val="4"/>
        <w:adjustRightInd w:val="0"/>
        <w:snapToGrid w:val="0"/>
        <w:spacing w:before="0" w:after="0" w:line="356" w:lineRule="auto"/>
        <w:ind w:firstLine="480" w:firstLineChars="200"/>
        <w:rPr>
          <w:rFonts w:hint="eastAsia" w:cs="宋体"/>
          <w:b w:val="0"/>
          <w:bCs w:val="0"/>
          <w:color w:val="auto"/>
          <w:szCs w:val="24"/>
          <w:highlight w:val="none"/>
        </w:rPr>
      </w:pPr>
      <w:r>
        <w:rPr>
          <w:rFonts w:hint="eastAsia" w:cs="宋体"/>
          <w:b w:val="0"/>
          <w:bCs w:val="0"/>
          <w:color w:val="auto"/>
          <w:kern w:val="2"/>
          <w:szCs w:val="24"/>
          <w:highlight w:val="none"/>
        </w:rPr>
        <w:t>12.4</w:t>
      </w:r>
      <w:r>
        <w:rPr>
          <w:rFonts w:hint="eastAsia" w:cs="宋体"/>
          <w:b w:val="0"/>
          <w:bCs w:val="0"/>
          <w:color w:val="auto"/>
          <w:szCs w:val="24"/>
          <w:highlight w:val="none"/>
        </w:rPr>
        <w:t>工程款（进度款）支付</w:t>
      </w:r>
    </w:p>
    <w:p w14:paraId="54072D70">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双方约定的工程款（进度款）的支付方式和时间：</w:t>
      </w:r>
    </w:p>
    <w:p w14:paraId="5F2A0EC5">
      <w:pPr>
        <w:adjustRightInd w:val="0"/>
        <w:snapToGrid w:val="0"/>
        <w:spacing w:line="356" w:lineRule="auto"/>
        <w:ind w:firstLine="480" w:firstLineChars="200"/>
        <w:rPr>
          <w:rFonts w:hint="eastAsia" w:ascii="宋体" w:hAnsi="宋体" w:cs="宋体"/>
          <w:color w:val="auto"/>
          <w:sz w:val="24"/>
          <w:highlight w:val="yellow"/>
          <w:lang w:val="en-US" w:eastAsia="zh-CN"/>
        </w:rPr>
      </w:pPr>
      <w:r>
        <w:rPr>
          <w:rFonts w:hint="eastAsia" w:ascii="宋体" w:hAnsi="宋体" w:cs="宋体"/>
          <w:color w:val="auto"/>
          <w:sz w:val="24"/>
          <w:highlight w:val="yellow"/>
        </w:rPr>
        <w:t>①</w:t>
      </w:r>
      <w:r>
        <w:rPr>
          <w:rFonts w:hint="eastAsia" w:ascii="宋体" w:hAnsi="宋体" w:cs="宋体"/>
          <w:color w:val="auto"/>
          <w:sz w:val="24"/>
          <w:highlight w:val="yellow"/>
          <w:lang w:val="en-US" w:eastAsia="zh-CN"/>
        </w:rPr>
        <w:t>签订合同并开工后拨付合同价的30%预付款；</w:t>
      </w:r>
    </w:p>
    <w:p w14:paraId="09A48511">
      <w:pPr>
        <w:adjustRightInd w:val="0"/>
        <w:snapToGrid w:val="0"/>
        <w:spacing w:line="356" w:lineRule="auto"/>
        <w:ind w:firstLine="480" w:firstLineChars="200"/>
        <w:rPr>
          <w:rFonts w:hint="eastAsia" w:ascii="宋体" w:hAnsi="宋体" w:cs="宋体"/>
          <w:color w:val="auto"/>
          <w:sz w:val="24"/>
          <w:highlight w:val="yellow"/>
          <w:lang w:val="en-US" w:eastAsia="zh-CN"/>
        </w:rPr>
      </w:pPr>
      <w:r>
        <w:rPr>
          <w:rFonts w:hint="eastAsia" w:ascii="宋体" w:hAnsi="宋体" w:cs="宋体"/>
          <w:color w:val="auto"/>
          <w:sz w:val="24"/>
          <w:highlight w:val="yellow"/>
        </w:rPr>
        <w:t>②工程进度款(含农民工工资)按实际完成工程量申报，每个付款周期按实际完成工程</w:t>
      </w:r>
      <w:r>
        <w:rPr>
          <w:rFonts w:hint="eastAsia" w:ascii="宋体" w:hAnsi="宋体" w:cs="宋体"/>
          <w:color w:val="auto"/>
          <w:sz w:val="24"/>
          <w:highlight w:val="yellow"/>
          <w:lang w:eastAsia="zh-CN"/>
        </w:rPr>
        <w:t>量支付工程进度款，支付比例为：</w:t>
      </w:r>
      <w:r>
        <w:rPr>
          <w:rFonts w:hint="eastAsia" w:ascii="宋体" w:hAnsi="宋体" w:cs="宋体"/>
          <w:color w:val="auto"/>
          <w:sz w:val="24"/>
          <w:highlight w:val="yellow"/>
        </w:rPr>
        <w:t>合同内按工程计量周期内完成工程量的80%，合同外按</w:t>
      </w:r>
      <w:r>
        <w:rPr>
          <w:rFonts w:hint="eastAsia" w:ascii="宋体" w:hAnsi="宋体" w:cs="宋体"/>
          <w:color w:val="auto"/>
          <w:sz w:val="24"/>
          <w:highlight w:val="yellow"/>
          <w:lang w:eastAsia="zh-CN"/>
        </w:rPr>
        <w:t>工程量计量周期完成工程量的</w:t>
      </w:r>
      <w:r>
        <w:rPr>
          <w:rFonts w:hint="eastAsia" w:ascii="宋体" w:hAnsi="宋体" w:cs="宋体"/>
          <w:color w:val="auto"/>
          <w:sz w:val="24"/>
          <w:highlight w:val="yellow"/>
          <w:lang w:val="en-US" w:eastAsia="zh-CN"/>
        </w:rPr>
        <w:t>60%；</w:t>
      </w:r>
    </w:p>
    <w:p w14:paraId="70D6F2BD">
      <w:pPr>
        <w:adjustRightInd w:val="0"/>
        <w:snapToGrid w:val="0"/>
        <w:spacing w:line="356" w:lineRule="auto"/>
        <w:ind w:firstLine="480" w:firstLineChars="200"/>
        <w:rPr>
          <w:rFonts w:hint="eastAsia" w:ascii="宋体" w:hAnsi="宋体" w:cs="宋体"/>
          <w:color w:val="auto"/>
          <w:sz w:val="24"/>
          <w:highlight w:val="yellow"/>
          <w:u w:val="single"/>
        </w:rPr>
      </w:pPr>
      <w:r>
        <w:rPr>
          <w:rFonts w:hint="eastAsia" w:ascii="宋体" w:hAnsi="宋体" w:cs="宋体"/>
          <w:color w:val="auto"/>
          <w:sz w:val="24"/>
          <w:highlight w:val="yellow"/>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012B3560">
      <w:pPr>
        <w:tabs>
          <w:tab w:val="left" w:pos="4173"/>
        </w:tabs>
        <w:adjustRightInd w:val="0"/>
        <w:snapToGrid w:val="0"/>
        <w:spacing w:line="356" w:lineRule="auto"/>
        <w:ind w:firstLine="562" w:firstLineChars="200"/>
        <w:rPr>
          <w:rFonts w:hint="eastAsia" w:ascii="宋体" w:hAnsi="宋体" w:eastAsia="宋体" w:cs="宋体"/>
          <w:b/>
          <w:bCs/>
          <w:color w:val="auto"/>
          <w:sz w:val="28"/>
          <w:szCs w:val="36"/>
          <w:highlight w:val="none"/>
          <w:lang w:eastAsia="zh-CN"/>
        </w:rPr>
      </w:pPr>
      <w:r>
        <w:rPr>
          <w:rFonts w:hint="eastAsia" w:ascii="宋体" w:hAnsi="宋体" w:cs="宋体"/>
          <w:b/>
          <w:bCs/>
          <w:color w:val="auto"/>
          <w:sz w:val="28"/>
          <w:szCs w:val="36"/>
          <w:highlight w:val="none"/>
        </w:rPr>
        <w:t>七、质量与验收</w:t>
      </w:r>
      <w:r>
        <w:rPr>
          <w:rFonts w:hint="eastAsia" w:ascii="宋体" w:hAnsi="宋体" w:cs="宋体"/>
          <w:b/>
          <w:bCs/>
          <w:color w:val="auto"/>
          <w:sz w:val="28"/>
          <w:szCs w:val="36"/>
          <w:highlight w:val="none"/>
          <w:lang w:eastAsia="zh-CN"/>
        </w:rPr>
        <w:tab/>
      </w:r>
    </w:p>
    <w:p w14:paraId="71AB48F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13.1隐蔽工程和中间验收</w:t>
      </w:r>
    </w:p>
    <w:p w14:paraId="531B023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13.1.1双方约定中间验收部位：</w:t>
      </w:r>
      <w:r>
        <w:rPr>
          <w:rFonts w:hint="eastAsia" w:ascii="宋体" w:hAnsi="宋体" w:cs="宋体"/>
          <w:color w:val="auto"/>
          <w:sz w:val="24"/>
          <w:szCs w:val="32"/>
          <w:highlight w:val="none"/>
          <w:u w:val="single"/>
        </w:rPr>
        <w:t xml:space="preserve">     /    。</w:t>
      </w:r>
    </w:p>
    <w:p w14:paraId="4E303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13.3工程试车</w:t>
      </w:r>
    </w:p>
    <w:p w14:paraId="2A70C58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13.3.1试车费用的承担：</w:t>
      </w:r>
      <w:r>
        <w:rPr>
          <w:rFonts w:hint="eastAsia" w:ascii="宋体" w:hAnsi="宋体" w:cs="宋体"/>
          <w:color w:val="auto"/>
          <w:sz w:val="24"/>
          <w:szCs w:val="32"/>
          <w:highlight w:val="none"/>
          <w:u w:val="single"/>
        </w:rPr>
        <w:t>无。</w:t>
      </w:r>
    </w:p>
    <w:p w14:paraId="4356017D">
      <w:p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八、竣工验收与结算</w:t>
      </w:r>
    </w:p>
    <w:p w14:paraId="5583FC83">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13.2竣工验收</w:t>
      </w:r>
    </w:p>
    <w:p w14:paraId="437B2134">
      <w:pPr>
        <w:tabs>
          <w:tab w:val="left" w:pos="463"/>
        </w:tabs>
        <w:adjustRightInd w:val="0"/>
        <w:snapToGrid w:val="0"/>
        <w:spacing w:line="356"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13.2.2承包人</w:t>
      </w:r>
      <w:r>
        <w:rPr>
          <w:rFonts w:hint="eastAsia" w:ascii="宋体" w:hAnsi="宋体" w:cs="宋体"/>
          <w:bCs/>
          <w:color w:val="auto"/>
          <w:sz w:val="24"/>
          <w:highlight w:val="none"/>
        </w:rPr>
        <w:t>提供竣工图的约定：</w:t>
      </w:r>
      <w:r>
        <w:rPr>
          <w:rFonts w:hint="eastAsia" w:ascii="宋体" w:hAnsi="宋体" w:cs="宋体"/>
          <w:bCs/>
          <w:color w:val="auto"/>
          <w:sz w:val="24"/>
          <w:highlight w:val="none"/>
          <w:u w:val="single"/>
        </w:rPr>
        <w:t>项目完工后，承包人按工程竣工验收有关规定要先进行自验，并在合同期后6个月内向发包人提交完整竣工资料、自验报告和申请初验。</w:t>
      </w:r>
    </w:p>
    <w:p w14:paraId="65B5AC25">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中间交工工程的范围和竣工时间：</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599E2A2">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14、竣工结算</w:t>
      </w:r>
    </w:p>
    <w:p w14:paraId="7B98167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工程完工验收达到质量要求，结算经有资质审计机构审定后，承包人缴纳结算金额3%的工程质量保证金，工程款支付至结算总价的100 %。</w:t>
      </w:r>
    </w:p>
    <w:p w14:paraId="14A40871">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15、质量保修</w:t>
      </w:r>
    </w:p>
    <w:p w14:paraId="73E485BA">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质量保修书的主要内容包括：</w:t>
      </w:r>
    </w:p>
    <w:p w14:paraId="20EB36FE">
      <w:pPr>
        <w:numPr>
          <w:ilvl w:val="0"/>
          <w:numId w:val="10"/>
        </w:num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质量保证金的支付方法：</w:t>
      </w:r>
    </w:p>
    <w:p w14:paraId="7AA98304">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在工程保修期在内，发包人可以根据国家有关规定和合同规定的金额，在支付承包人的工程款内预留质量保证金。质量保证金为</w:t>
      </w:r>
      <w:r>
        <w:rPr>
          <w:rFonts w:hint="eastAsia" w:ascii="宋体" w:hAnsi="宋体" w:cs="宋体"/>
          <w:color w:val="auto"/>
          <w:sz w:val="24"/>
          <w:highlight w:val="none"/>
          <w:lang w:eastAsia="zh-CN"/>
        </w:rPr>
        <w:t>结算金额</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。发包人在工程质量保修</w:t>
      </w:r>
      <w:r>
        <w:rPr>
          <w:rFonts w:hint="eastAsia" w:ascii="宋体" w:hAnsi="宋体" w:cs="宋体"/>
          <w:color w:val="auto"/>
          <w:sz w:val="24"/>
          <w:highlight w:val="none"/>
          <w:u w:val="single"/>
        </w:rPr>
        <w:t>满壹年之日起</w:t>
      </w:r>
      <w:r>
        <w:rPr>
          <w:rFonts w:hint="eastAsia" w:ascii="宋体" w:hAnsi="宋体" w:cs="宋体"/>
          <w:color w:val="auto"/>
          <w:sz w:val="24"/>
          <w:highlight w:val="none"/>
          <w:u w:val="single"/>
          <w:lang w:eastAsia="zh-CN"/>
        </w:rPr>
        <w:t>经发包人复核合格</w:t>
      </w:r>
      <w:r>
        <w:rPr>
          <w:rFonts w:hint="eastAsia" w:ascii="宋体" w:hAnsi="宋体" w:cs="宋体"/>
          <w:color w:val="auto"/>
          <w:sz w:val="24"/>
          <w:highlight w:val="none"/>
          <w:u w:val="single"/>
        </w:rPr>
        <w:t>后可向财政部门申请全部退回质量保证金</w:t>
      </w:r>
      <w:r>
        <w:rPr>
          <w:rFonts w:hint="eastAsia" w:ascii="宋体" w:hAnsi="宋体" w:cs="宋体"/>
          <w:color w:val="auto"/>
          <w:sz w:val="24"/>
          <w:highlight w:val="none"/>
        </w:rPr>
        <w:t>给承包人（无息）。</w:t>
      </w:r>
    </w:p>
    <w:p w14:paraId="54141B00">
      <w:pPr>
        <w:keepNext w:val="0"/>
        <w:keepLines w:val="0"/>
        <w:pageBreakBefore w:val="0"/>
        <w:widowControl w:val="0"/>
        <w:numPr>
          <w:ilvl w:val="0"/>
          <w:numId w:val="11"/>
        </w:numPr>
        <w:tabs>
          <w:tab w:val="left" w:pos="463"/>
        </w:tabs>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违约和索赔</w:t>
      </w:r>
    </w:p>
    <w:p w14:paraId="225CB43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16、违约</w:t>
      </w:r>
    </w:p>
    <w:p w14:paraId="597AFE1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16.1.2本合同中关于发包人违约的具体责任如下：</w:t>
      </w:r>
    </w:p>
    <w:p w14:paraId="5E73B8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本合同通用条款第16.1.2条约定发包人违约应承担的违约责任：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8691E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本合同通用条款第16.1.3款约定发包人违约应承担的违约责任：</w:t>
      </w:r>
      <w:r>
        <w:rPr>
          <w:rFonts w:hint="eastAsia" w:ascii="宋体" w:hAnsi="宋体" w:cs="宋体"/>
          <w:color w:val="auto"/>
          <w:sz w:val="24"/>
          <w:highlight w:val="none"/>
          <w:u w:val="single"/>
        </w:rPr>
        <w:t>按通用条款第16.1.3款执行。</w:t>
      </w:r>
    </w:p>
    <w:p w14:paraId="13C887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本合同通用条款第16.1.4款约定发包人违约应承担的违约责任：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EFBE1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双方约定的发包人其他违约责任：</w:t>
      </w:r>
      <w:r>
        <w:rPr>
          <w:rFonts w:hint="eastAsia" w:ascii="宋体" w:hAnsi="宋体" w:cs="宋体"/>
          <w:color w:val="auto"/>
          <w:sz w:val="24"/>
          <w:highlight w:val="none"/>
          <w:u w:val="single"/>
        </w:rPr>
        <w:t>按通用条款执行。</w:t>
      </w:r>
    </w:p>
    <w:p w14:paraId="70134CB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 承包人违约</w:t>
      </w:r>
    </w:p>
    <w:p w14:paraId="2F730C5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16.2.1 承包人违约的情形</w:t>
      </w:r>
    </w:p>
    <w:p w14:paraId="6BADCCE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承包人违约的其他情形： </w:t>
      </w:r>
    </w:p>
    <w:p w14:paraId="059AD5E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 28 天内仍未提交。</w:t>
      </w:r>
    </w:p>
    <w:p w14:paraId="200D791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16.2.2承包人违约的责任</w:t>
      </w:r>
    </w:p>
    <w:p w14:paraId="3FEBC76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承包人违约责任的承担方式和计算方法： </w:t>
      </w:r>
    </w:p>
    <w:p w14:paraId="534D2536">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（1）承包人违反合同约定进行转包或违法分包的，监理人可向承包人发出整改通知，要求其在指定的期限内改正，并且承包人应按合同价款20%向发包人支付违约金；</w:t>
      </w:r>
    </w:p>
    <w:p w14:paraId="5199794F">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（2）承包人违反合同约定采购和使用不合格的材料和工程设备的，承包人应将不合格的材料和工程设备的限期清理出施工场地，并负责承担返工及造成损失的费用；</w:t>
      </w:r>
    </w:p>
    <w:p w14:paraId="07CFACB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（3）因承包人原因导致工程质量不符合合同要求的，承包人应负责返工或修整，并负责由此产生的费用和损失； </w:t>
      </w:r>
    </w:p>
    <w:p w14:paraId="4522646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（4）承包人违反通用合同条款第8.9款〔材料与设备专用要求〕的约定，未经批准，私自将已按照合同约定进入施工现场的材料或设备撤离施工现场的，承包人应负责承担由此产生的费用和损失；</w:t>
      </w:r>
    </w:p>
    <w:p w14:paraId="53721DBA">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（5）承包人未能按施工进度计划及时完成合同约定的工作，造成工期延误的，承包人应进行施工进度计划调整并按时完成合同约定的工作，并承担赶工所产生的费用；</w:t>
      </w:r>
    </w:p>
    <w:p w14:paraId="5BEB5AC2">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6F05BDC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（7）承包人明确表示或者以其行为表明不履行合同主要义务的，发包人有权解除合同，并承担发包人不能按期投入使用所造成全部的损失。</w:t>
      </w:r>
    </w:p>
    <w:p w14:paraId="4A4EA4C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461461B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（9）承包人的其他违约见本合同其他条款的约定。</w:t>
      </w:r>
    </w:p>
    <w:p w14:paraId="16F4F01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16.2.2本合同中关于承包人违约的具体责任如下：</w:t>
      </w:r>
    </w:p>
    <w:p w14:paraId="4DAB50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双方约定的承包人其他违约责任：</w:t>
      </w:r>
      <w:r>
        <w:rPr>
          <w:rFonts w:hint="eastAsia" w:ascii="宋体" w:hAnsi="宋体" w:cs="宋体"/>
          <w:color w:val="auto"/>
          <w:sz w:val="24"/>
          <w:highlight w:val="none"/>
          <w:u w:val="single"/>
        </w:rPr>
        <w:t>按通用条款执行。</w:t>
      </w:r>
    </w:p>
    <w:p w14:paraId="403F67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5B633DC4">
      <w:pPr>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不可抗力、保险及争议</w:t>
      </w:r>
    </w:p>
    <w:p w14:paraId="09456292">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17、不可抗力</w:t>
      </w:r>
    </w:p>
    <w:p w14:paraId="45E330C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17.1双方关于不可抗力的约定：按《通用条款》第17款执行。</w:t>
      </w:r>
    </w:p>
    <w:p w14:paraId="37D28B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18、保险</w:t>
      </w:r>
    </w:p>
    <w:p w14:paraId="2347EF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18.1本工程双方约定投保内容如下：</w:t>
      </w:r>
    </w:p>
    <w:p w14:paraId="19B1AA44">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发包人投保内容：</w:t>
      </w:r>
      <w:r>
        <w:rPr>
          <w:rFonts w:hint="eastAsia" w:ascii="宋体" w:hAnsi="宋体" w:cs="宋体"/>
          <w:color w:val="auto"/>
          <w:sz w:val="24"/>
          <w:highlight w:val="none"/>
          <w:u w:val="single"/>
        </w:rPr>
        <w:t>按国家政策自行办理。</w:t>
      </w:r>
    </w:p>
    <w:p w14:paraId="4FDDA1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发包人委托承包人办理的保险事项：</w:t>
      </w:r>
      <w:r>
        <w:rPr>
          <w:rFonts w:hint="eastAsia" w:ascii="宋体" w:hAnsi="宋体" w:cs="宋体"/>
          <w:color w:val="auto"/>
          <w:sz w:val="24"/>
          <w:highlight w:val="none"/>
          <w:u w:val="single"/>
        </w:rPr>
        <w:t xml:space="preserve"> 无 。</w:t>
      </w:r>
    </w:p>
    <w:p w14:paraId="048ACC68">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承包人投保内容：</w:t>
      </w:r>
      <w:r>
        <w:rPr>
          <w:rFonts w:hint="eastAsia" w:ascii="宋体" w:hAnsi="宋体" w:cs="宋体"/>
          <w:color w:val="auto"/>
          <w:sz w:val="24"/>
          <w:highlight w:val="none"/>
          <w:u w:val="single"/>
        </w:rPr>
        <w:t>承包人应按有关规定自行投保施工人员的人身事故保险，该保险应不属于储蓄险等。承包人应于签订</w:t>
      </w:r>
      <w:r>
        <w:rPr>
          <w:rFonts w:hint="eastAsia" w:ascii="宋体" w:hAnsi="宋体" w:cs="宋体"/>
          <w:color w:val="auto"/>
          <w:sz w:val="24"/>
          <w:highlight w:val="none"/>
          <w:u w:val="single"/>
          <w:lang w:eastAsia="zh-CN"/>
        </w:rPr>
        <w:t>合同</w:t>
      </w:r>
      <w:r>
        <w:rPr>
          <w:rFonts w:hint="eastAsia" w:ascii="宋体" w:hAnsi="宋体" w:cs="宋体"/>
          <w:color w:val="auto"/>
          <w:sz w:val="24"/>
          <w:highlight w:val="none"/>
          <w:u w:val="single"/>
        </w:rPr>
        <w:t>之日起10日内按有关规定自行办理。</w:t>
      </w:r>
    </w:p>
    <w:p w14:paraId="5BD057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20、争议</w:t>
      </w:r>
    </w:p>
    <w:p w14:paraId="62C3F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20.4本合同在履行过程中发生的争议，由双方当事人协商解决，协商不成的按下列</w:t>
      </w:r>
      <w:r>
        <w:rPr>
          <w:rFonts w:hint="eastAsia" w:ascii="宋体" w:hAnsi="宋体" w:cs="宋体"/>
          <w:color w:val="auto"/>
          <w:sz w:val="24"/>
          <w:highlight w:val="none"/>
          <w:u w:val="single"/>
        </w:rPr>
        <w:t>第（二）</w:t>
      </w:r>
      <w:r>
        <w:rPr>
          <w:rFonts w:hint="eastAsia" w:ascii="宋体" w:hAnsi="宋体" w:cs="宋体"/>
          <w:color w:val="auto"/>
          <w:sz w:val="24"/>
          <w:highlight w:val="none"/>
        </w:rPr>
        <w:t>种方式解决：</w:t>
      </w:r>
    </w:p>
    <w:p w14:paraId="13F15361">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u w:val="single"/>
        </w:rPr>
        <w:t>约定的</w:t>
      </w:r>
      <w:r>
        <w:rPr>
          <w:rFonts w:hint="eastAsia" w:ascii="宋体" w:hAnsi="宋体" w:cs="宋体"/>
          <w:color w:val="auto"/>
          <w:sz w:val="24"/>
          <w:highlight w:val="none"/>
        </w:rPr>
        <w:t>仲裁委员会申请仲裁：</w:t>
      </w:r>
    </w:p>
    <w:p w14:paraId="2C186165">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依法向发包人所在地人民法院起诉。</w:t>
      </w:r>
    </w:p>
    <w:p w14:paraId="3E5D1929">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十一、其他</w:t>
      </w:r>
    </w:p>
    <w:p w14:paraId="149B1F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21、合同份数</w:t>
      </w:r>
    </w:p>
    <w:p w14:paraId="1E256F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21.1双方约定合同份数：</w:t>
      </w:r>
      <w:r>
        <w:rPr>
          <w:rFonts w:hint="eastAsia" w:ascii="宋体" w:hAnsi="宋体" w:cs="宋体"/>
          <w:color w:val="auto"/>
          <w:sz w:val="24"/>
          <w:highlight w:val="none"/>
          <w:u w:val="single"/>
          <w:lang w:eastAsia="zh-CN"/>
        </w:rPr>
        <w:t>一式陆份，均具有同等法律效力，发包人执 叁 份，承包人执 叁 份</w:t>
      </w:r>
      <w:r>
        <w:rPr>
          <w:rFonts w:hint="eastAsia" w:ascii="宋体" w:hAnsi="宋体" w:cs="宋体"/>
          <w:color w:val="auto"/>
          <w:sz w:val="24"/>
          <w:highlight w:val="none"/>
          <w:u w:val="single"/>
        </w:rPr>
        <w:t>。</w:t>
      </w:r>
    </w:p>
    <w:p w14:paraId="1ACA4389">
      <w:pPr>
        <w:spacing w:before="156" w:beforeLines="50" w:after="156" w:afterLines="50" w:line="360" w:lineRule="auto"/>
        <w:rPr>
          <w:rFonts w:hint="eastAsia" w:ascii="宋体" w:hAnsi="宋体" w:cs="宋体"/>
          <w:color w:val="auto"/>
          <w:spacing w:val="20"/>
          <w:sz w:val="24"/>
          <w:highlight w:val="none"/>
        </w:rPr>
      </w:pPr>
    </w:p>
    <w:p w14:paraId="4A0ABB3D">
      <w:pPr>
        <w:pStyle w:val="2"/>
        <w:rPr>
          <w:rFonts w:hint="eastAsia" w:ascii="宋体" w:hAnsi="宋体" w:cs="宋体"/>
          <w:color w:val="auto"/>
          <w:spacing w:val="20"/>
          <w:sz w:val="24"/>
          <w:highlight w:val="none"/>
        </w:rPr>
      </w:pPr>
    </w:p>
    <w:p w14:paraId="6FC6B714">
      <w:pPr>
        <w:rPr>
          <w:rFonts w:hint="eastAsia" w:ascii="宋体" w:hAnsi="宋体" w:cs="宋体"/>
          <w:color w:val="auto"/>
          <w:spacing w:val="20"/>
          <w:sz w:val="24"/>
          <w:highlight w:val="none"/>
        </w:rPr>
      </w:pPr>
    </w:p>
    <w:p w14:paraId="215D6D9E">
      <w:pPr>
        <w:pStyle w:val="2"/>
        <w:rPr>
          <w:rFonts w:hint="eastAsia" w:ascii="宋体" w:hAnsi="宋体" w:cs="宋体"/>
          <w:color w:val="auto"/>
          <w:spacing w:val="20"/>
          <w:sz w:val="24"/>
          <w:highlight w:val="none"/>
        </w:rPr>
      </w:pPr>
    </w:p>
    <w:p w14:paraId="690DC3EB">
      <w:pPr>
        <w:rPr>
          <w:rFonts w:hint="eastAsia" w:ascii="宋体" w:hAnsi="宋体" w:cs="宋体"/>
          <w:color w:val="auto"/>
          <w:spacing w:val="20"/>
          <w:sz w:val="24"/>
          <w:highlight w:val="none"/>
        </w:rPr>
      </w:pPr>
    </w:p>
    <w:p w14:paraId="47CD2661">
      <w:pPr>
        <w:pStyle w:val="2"/>
        <w:rPr>
          <w:rFonts w:hint="eastAsia" w:ascii="宋体" w:hAnsi="宋体" w:cs="宋体"/>
          <w:color w:val="auto"/>
          <w:spacing w:val="20"/>
          <w:sz w:val="24"/>
          <w:highlight w:val="none"/>
        </w:rPr>
      </w:pPr>
    </w:p>
    <w:p w14:paraId="7C905352">
      <w:pPr>
        <w:rPr>
          <w:rFonts w:hint="eastAsia" w:ascii="宋体" w:hAnsi="宋体" w:cs="宋体"/>
          <w:color w:val="auto"/>
          <w:spacing w:val="20"/>
          <w:sz w:val="24"/>
          <w:highlight w:val="none"/>
        </w:rPr>
      </w:pPr>
    </w:p>
    <w:p w14:paraId="20584B43">
      <w:pPr>
        <w:pStyle w:val="2"/>
        <w:rPr>
          <w:rFonts w:hint="eastAsia" w:ascii="宋体" w:hAnsi="宋体" w:cs="宋体"/>
          <w:color w:val="auto"/>
          <w:spacing w:val="20"/>
          <w:sz w:val="24"/>
          <w:highlight w:val="none"/>
        </w:rPr>
      </w:pPr>
    </w:p>
    <w:p w14:paraId="24036EEC">
      <w:pPr>
        <w:rPr>
          <w:rFonts w:hint="eastAsia" w:ascii="宋体" w:hAnsi="宋体" w:cs="宋体"/>
          <w:color w:val="auto"/>
          <w:spacing w:val="20"/>
          <w:sz w:val="24"/>
          <w:highlight w:val="none"/>
        </w:rPr>
      </w:pPr>
    </w:p>
    <w:p w14:paraId="523FBBEA">
      <w:pPr>
        <w:pStyle w:val="2"/>
        <w:rPr>
          <w:rFonts w:hint="eastAsia" w:ascii="宋体" w:hAnsi="宋体" w:cs="宋体"/>
          <w:color w:val="auto"/>
          <w:spacing w:val="20"/>
          <w:sz w:val="24"/>
          <w:highlight w:val="none"/>
        </w:rPr>
      </w:pPr>
    </w:p>
    <w:p w14:paraId="1CBE491D">
      <w:pPr>
        <w:rPr>
          <w:rFonts w:hint="eastAsia" w:ascii="宋体" w:hAnsi="宋体" w:cs="宋体"/>
          <w:color w:val="auto"/>
          <w:spacing w:val="20"/>
          <w:sz w:val="24"/>
          <w:highlight w:val="none"/>
        </w:rPr>
      </w:pPr>
    </w:p>
    <w:p w14:paraId="31606D87">
      <w:pPr>
        <w:pStyle w:val="2"/>
        <w:rPr>
          <w:rFonts w:hint="eastAsia" w:ascii="宋体" w:hAnsi="宋体" w:cs="宋体"/>
          <w:color w:val="auto"/>
          <w:spacing w:val="20"/>
          <w:sz w:val="24"/>
          <w:highlight w:val="none"/>
        </w:rPr>
      </w:pPr>
    </w:p>
    <w:p w14:paraId="449082FC">
      <w:pPr>
        <w:rPr>
          <w:rFonts w:hint="eastAsia" w:ascii="宋体" w:hAnsi="宋体" w:cs="宋体"/>
          <w:color w:val="auto"/>
          <w:spacing w:val="20"/>
          <w:sz w:val="24"/>
          <w:highlight w:val="none"/>
        </w:rPr>
      </w:pPr>
    </w:p>
    <w:p w14:paraId="1EF2A2FD">
      <w:pPr>
        <w:pStyle w:val="2"/>
        <w:rPr>
          <w:rFonts w:hint="eastAsia" w:ascii="宋体" w:hAnsi="宋体" w:cs="宋体"/>
          <w:color w:val="auto"/>
          <w:spacing w:val="20"/>
          <w:sz w:val="24"/>
          <w:highlight w:val="none"/>
        </w:rPr>
      </w:pPr>
    </w:p>
    <w:p w14:paraId="0EC68085">
      <w:pPr>
        <w:rPr>
          <w:rFonts w:hint="eastAsia" w:ascii="宋体" w:hAnsi="宋体" w:cs="宋体"/>
          <w:color w:val="auto"/>
          <w:spacing w:val="20"/>
          <w:sz w:val="24"/>
          <w:highlight w:val="none"/>
        </w:rPr>
      </w:pPr>
    </w:p>
    <w:p w14:paraId="29964B15">
      <w:pPr>
        <w:pStyle w:val="2"/>
        <w:rPr>
          <w:rFonts w:hint="eastAsia" w:ascii="宋体" w:hAnsi="宋体" w:cs="宋体"/>
          <w:color w:val="auto"/>
          <w:spacing w:val="20"/>
          <w:sz w:val="24"/>
          <w:highlight w:val="none"/>
        </w:rPr>
      </w:pPr>
    </w:p>
    <w:p w14:paraId="21A62094">
      <w:pPr>
        <w:rPr>
          <w:rFonts w:hint="eastAsia" w:ascii="宋体" w:hAnsi="宋体" w:cs="宋体"/>
          <w:color w:val="auto"/>
          <w:spacing w:val="20"/>
          <w:sz w:val="24"/>
          <w:highlight w:val="none"/>
        </w:rPr>
      </w:pPr>
    </w:p>
    <w:p w14:paraId="3895D5ED">
      <w:pPr>
        <w:pStyle w:val="2"/>
        <w:rPr>
          <w:rFonts w:hint="eastAsia"/>
        </w:rPr>
      </w:pPr>
    </w:p>
    <w:p w14:paraId="2D03E92D">
      <w:pPr>
        <w:spacing w:before="156" w:beforeLines="50" w:after="156" w:afterLines="50" w:line="360" w:lineRule="auto"/>
        <w:rPr>
          <w:rFonts w:hint="eastAsia" w:ascii="宋体" w:hAnsi="宋体" w:cs="宋体"/>
          <w:color w:val="auto"/>
          <w:spacing w:val="20"/>
          <w:sz w:val="24"/>
          <w:highlight w:val="none"/>
        </w:rPr>
      </w:pPr>
    </w:p>
    <w:p w14:paraId="665DB4E0">
      <w:pPr>
        <w:spacing w:before="156" w:beforeLines="50" w:after="156" w:afterLines="50" w:line="360" w:lineRule="auto"/>
        <w:rPr>
          <w:rFonts w:hint="eastAsia" w:ascii="宋体" w:hAnsi="宋体" w:cs="宋体"/>
          <w:color w:val="auto"/>
          <w:spacing w:val="20"/>
          <w:sz w:val="24"/>
          <w:highlight w:val="none"/>
        </w:rPr>
      </w:pPr>
    </w:p>
    <w:p w14:paraId="1D529FCA">
      <w:pPr>
        <w:spacing w:before="156" w:beforeLines="50" w:after="156" w:afterLines="50" w:line="360" w:lineRule="auto"/>
        <w:rPr>
          <w:rFonts w:hint="eastAsia" w:ascii="宋体" w:hAnsi="宋体" w:cs="宋体"/>
          <w:color w:val="auto"/>
          <w:spacing w:val="20"/>
          <w:sz w:val="24"/>
          <w:highlight w:val="none"/>
        </w:rPr>
      </w:pPr>
    </w:p>
    <w:p w14:paraId="7FA83190">
      <w:pPr>
        <w:spacing w:before="156" w:beforeLines="50" w:after="156" w:afterLines="50" w:line="360" w:lineRule="auto"/>
        <w:rPr>
          <w:rFonts w:hint="eastAsia" w:ascii="宋体" w:hAnsi="宋体" w:cs="宋体"/>
          <w:color w:val="auto"/>
          <w:spacing w:val="20"/>
          <w:sz w:val="24"/>
          <w:highlight w:val="none"/>
        </w:rPr>
      </w:pPr>
    </w:p>
    <w:p w14:paraId="36FB0DCA">
      <w:pPr>
        <w:spacing w:before="156" w:beforeLines="50" w:after="156" w:afterLines="50" w:line="360" w:lineRule="auto"/>
        <w:rPr>
          <w:rFonts w:hint="eastAsia" w:ascii="宋体" w:hAnsi="宋体" w:cs="宋体"/>
          <w:color w:val="auto"/>
          <w:spacing w:val="20"/>
          <w:sz w:val="24"/>
          <w:highlight w:val="none"/>
        </w:rPr>
      </w:pPr>
    </w:p>
    <w:p w14:paraId="24E22DF5">
      <w:pPr>
        <w:spacing w:before="156" w:beforeLines="50" w:after="156" w:afterLines="50" w:line="360" w:lineRule="auto"/>
        <w:rPr>
          <w:rFonts w:hint="eastAsia" w:ascii="宋体" w:hAnsi="宋体" w:cs="宋体"/>
          <w:color w:val="auto"/>
          <w:spacing w:val="20"/>
          <w:sz w:val="24"/>
          <w:highlight w:val="none"/>
        </w:rPr>
      </w:pPr>
    </w:p>
    <w:p w14:paraId="54B7B98E">
      <w:pPr>
        <w:spacing w:before="156" w:beforeLines="50" w:after="156" w:afterLines="50" w:line="360" w:lineRule="auto"/>
        <w:rPr>
          <w:rFonts w:hint="eastAsia" w:ascii="宋体" w:hAnsi="宋体" w:cs="宋体"/>
          <w:color w:val="auto"/>
          <w:spacing w:val="20"/>
          <w:sz w:val="24"/>
          <w:highlight w:val="none"/>
        </w:rPr>
      </w:pPr>
    </w:p>
    <w:p w14:paraId="122A8F53">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附件1</w:t>
      </w:r>
    </w:p>
    <w:p w14:paraId="05C93055">
      <w:pPr>
        <w:spacing w:before="156" w:beforeLines="50" w:after="156" w:afterLines="50" w:line="360" w:lineRule="auto"/>
        <w:jc w:val="center"/>
        <w:rPr>
          <w:rFonts w:hint="eastAsia" w:ascii="宋体" w:hAnsi="宋体" w:cs="宋体"/>
          <w:b/>
          <w:bCs/>
          <w:color w:val="auto"/>
          <w:spacing w:val="20"/>
          <w:sz w:val="36"/>
          <w:szCs w:val="36"/>
          <w:highlight w:val="none"/>
        </w:rPr>
      </w:pPr>
      <w:r>
        <w:rPr>
          <w:rFonts w:hint="eastAsia" w:ascii="宋体" w:hAnsi="宋体" w:cs="宋体"/>
          <w:b/>
          <w:bCs/>
          <w:color w:val="auto"/>
          <w:spacing w:val="20"/>
          <w:sz w:val="40"/>
          <w:szCs w:val="40"/>
          <w:highlight w:val="none"/>
        </w:rPr>
        <w:t>工程质量保修书</w:t>
      </w:r>
    </w:p>
    <w:p w14:paraId="124FE3CE">
      <w:pPr>
        <w:spacing w:before="156" w:beforeLines="50" w:after="156" w:afterLines="50" w:line="360" w:lineRule="auto"/>
        <w:jc w:val="center"/>
        <w:rPr>
          <w:rFonts w:hint="eastAsia" w:ascii="宋体" w:hAnsi="宋体" w:cs="宋体"/>
          <w:b/>
          <w:bCs/>
          <w:color w:val="auto"/>
          <w:spacing w:val="20"/>
          <w:sz w:val="36"/>
          <w:szCs w:val="36"/>
          <w:highlight w:val="none"/>
        </w:rPr>
      </w:pPr>
    </w:p>
    <w:p w14:paraId="1DE30EC9">
      <w:pPr>
        <w:adjustRightInd w:val="0"/>
        <w:snapToGrid w:val="0"/>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浦北县民政局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2ABAEA4C">
      <w:pPr>
        <w:adjustRightInd w:val="0"/>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FBB1EB4">
      <w:pPr>
        <w:adjustRightInd w:val="0"/>
        <w:snapToGrid w:val="0"/>
        <w:spacing w:line="360" w:lineRule="auto"/>
        <w:ind w:firstLine="42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张黄镇农村养老服务中心土方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签订工程质量保修书。</w:t>
      </w:r>
    </w:p>
    <w:p w14:paraId="2895C8F7">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1、工程质量保修范围和内容</w:t>
      </w:r>
    </w:p>
    <w:p w14:paraId="154B82F3">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承包人在质量保修期内，按照有关法律、法规、规章的管理规定和双方约定，承担工程质量保修责任。</w:t>
      </w:r>
    </w:p>
    <w:p w14:paraId="0CEB683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E0ABC5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rPr>
        <w:t xml:space="preserve"> 质量保修范围包括  工程等承包人施工的项目  </w:t>
      </w:r>
      <w:r>
        <w:rPr>
          <w:rFonts w:hint="eastAsia" w:ascii="宋体" w:hAnsi="宋体" w:cs="宋体"/>
          <w:color w:val="auto"/>
          <w:spacing w:val="20"/>
          <w:sz w:val="24"/>
          <w:highlight w:val="none"/>
        </w:rPr>
        <w:t>。</w:t>
      </w:r>
    </w:p>
    <w:p w14:paraId="3CE7F05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28FCA6F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因使用不当或者第三方造成质量缺陷的，承包人不负担责任 。 </w:t>
      </w:r>
    </w:p>
    <w:p w14:paraId="7F9EAF71">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因不可抗力造成质量缺陷的，承包人不负担责任 。 </w:t>
      </w:r>
    </w:p>
    <w:p w14:paraId="05BD6E1A">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2、质量保修期</w:t>
      </w:r>
    </w:p>
    <w:p w14:paraId="4F358C3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根据《建设工程质量管理条例》及有关规定，约定本工程的质量保修期如下：</w:t>
      </w:r>
    </w:p>
    <w:p w14:paraId="54514A10">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lang w:eastAsia="zh-CN"/>
        </w:rPr>
        <w:t>主体</w:t>
      </w:r>
      <w:r>
        <w:rPr>
          <w:rFonts w:hint="eastAsia" w:ascii="宋体" w:hAnsi="宋体" w:cs="宋体"/>
          <w:color w:val="auto"/>
          <w:spacing w:val="20"/>
          <w:sz w:val="24"/>
          <w:highlight w:val="none"/>
        </w:rPr>
        <w:t>工程为设计文件规定的该工程合理使用年限。</w:t>
      </w:r>
    </w:p>
    <w:p w14:paraId="4D931C1B">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其他工程项目保修期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1</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p>
    <w:p w14:paraId="1FAA1EEA">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质量保修期自工程竣工验收合格之日起计算。</w:t>
      </w:r>
    </w:p>
    <w:p w14:paraId="5C70A816">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3、质量保修责任</w:t>
      </w:r>
    </w:p>
    <w:p w14:paraId="68ED2CD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1．属于保修范围、内容的项目，承包人应当在接到保修通知之日起</w:t>
      </w:r>
      <w:r>
        <w:rPr>
          <w:rFonts w:hint="eastAsia" w:ascii="宋体" w:hAnsi="宋体" w:cs="宋体"/>
          <w:color w:val="auto"/>
          <w:spacing w:val="20"/>
          <w:sz w:val="24"/>
          <w:highlight w:val="none"/>
          <w:u w:val="single"/>
        </w:rPr>
        <w:t xml:space="preserve">  7    </w:t>
      </w:r>
      <w:r>
        <w:rPr>
          <w:rFonts w:hint="eastAsia" w:ascii="宋体" w:hAnsi="宋体" w:cs="宋体"/>
          <w:color w:val="auto"/>
          <w:spacing w:val="20"/>
          <w:sz w:val="24"/>
          <w:highlight w:val="none"/>
        </w:rPr>
        <w:t>天内派人保修。承包人不在约定期限内派人保修的，发包人可以委托他人修理，发生费用由承包人承担。</w:t>
      </w:r>
    </w:p>
    <w:p w14:paraId="6DDEB7B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2．发生须紧急抢修事故的，承包人在接到事故通知后，应当立即到达事故现场抢修。</w:t>
      </w:r>
    </w:p>
    <w:p w14:paraId="143B698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64C7620">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4．质量保修完成后，由发包人组织验收。</w:t>
      </w:r>
    </w:p>
    <w:p w14:paraId="7E5C7CCB">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4、保修费用</w:t>
      </w:r>
    </w:p>
    <w:p w14:paraId="3D2C696A">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保修费用由造成质量缺陷的责任方承担。</w:t>
      </w:r>
    </w:p>
    <w:p w14:paraId="6BD4D01C">
      <w:pPr>
        <w:numPr>
          <w:ilvl w:val="0"/>
          <w:numId w:val="15"/>
        </w:num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其他</w:t>
      </w:r>
    </w:p>
    <w:p w14:paraId="5E40C2BF">
      <w:p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双方约定的其他工程质量保修事项：</w:t>
      </w:r>
      <w:r>
        <w:rPr>
          <w:rFonts w:hint="eastAsia" w:ascii="宋体" w:hAnsi="宋体" w:cs="宋体"/>
          <w:color w:val="auto"/>
          <w:spacing w:val="20"/>
          <w:sz w:val="24"/>
          <w:highlight w:val="none"/>
          <w:u w:val="single"/>
        </w:rPr>
        <w:t xml:space="preserve"> 在工程保修期内，发包人根据合同规定的金额，在支付承包人的工程款内预留质量保证金。质量保证金为：</w:t>
      </w:r>
      <w:r>
        <w:rPr>
          <w:rFonts w:hint="eastAsia" w:ascii="宋体" w:hAnsi="宋体" w:cs="宋体"/>
          <w:color w:val="auto"/>
          <w:spacing w:val="20"/>
          <w:sz w:val="24"/>
          <w:highlight w:val="none"/>
          <w:u w:val="single"/>
          <w:lang w:eastAsia="zh-CN"/>
        </w:rPr>
        <w:t>无</w:t>
      </w:r>
      <w:r>
        <w:rPr>
          <w:rFonts w:hint="eastAsia" w:ascii="宋体" w:hAnsi="宋体" w:cs="宋体"/>
          <w:color w:val="auto"/>
          <w:spacing w:val="20"/>
          <w:sz w:val="24"/>
          <w:highlight w:val="none"/>
          <w:u w:val="single"/>
        </w:rPr>
        <w:t>，质量保证金银行利率为：0。发包人在工程质量保修期满壹年之日起可向财政部门申请返还（无息）</w:t>
      </w:r>
      <w:r>
        <w:rPr>
          <w:rFonts w:hint="eastAsia" w:ascii="宋体" w:hAnsi="宋体" w:cs="宋体"/>
          <w:color w:val="auto"/>
          <w:spacing w:val="20"/>
          <w:sz w:val="24"/>
          <w:highlight w:val="none"/>
        </w:rPr>
        <w:t>。</w:t>
      </w:r>
    </w:p>
    <w:p w14:paraId="757C0DE6">
      <w:pPr>
        <w:adjustRightInd w:val="0"/>
        <w:snapToGrid w:val="0"/>
        <w:spacing w:line="360" w:lineRule="auto"/>
        <w:ind w:firstLine="532" w:firstLineChars="190"/>
        <w:rPr>
          <w:rFonts w:hint="eastAsia" w:ascii="宋体" w:hAnsi="宋体" w:cs="宋体"/>
          <w:color w:val="auto"/>
          <w:spacing w:val="20"/>
          <w:sz w:val="24"/>
          <w:highlight w:val="none"/>
        </w:rPr>
      </w:pPr>
      <w:r>
        <w:rPr>
          <w:rFonts w:hint="eastAsia" w:ascii="宋体" w:hAnsi="宋体" w:cs="宋体"/>
          <w:color w:val="auto"/>
          <w:spacing w:val="20"/>
          <w:sz w:val="24"/>
          <w:highlight w:val="none"/>
        </w:rPr>
        <w:t>本工程质量保修书，由施工合同发包人、承包人双方在竣工验收前共同签署，作为施工合同附件，其有效期限至保修期满。</w:t>
      </w:r>
    </w:p>
    <w:p w14:paraId="332E1BB4">
      <w:pPr>
        <w:adjustRightInd w:val="0"/>
        <w:snapToGrid w:val="0"/>
        <w:spacing w:line="360" w:lineRule="auto"/>
        <w:rPr>
          <w:rFonts w:hint="eastAsia" w:ascii="宋体" w:hAnsi="宋体" w:cs="宋体"/>
          <w:color w:val="auto"/>
          <w:spacing w:val="20"/>
          <w:sz w:val="24"/>
          <w:highlight w:val="none"/>
        </w:rPr>
      </w:pPr>
    </w:p>
    <w:p w14:paraId="0AE998A4">
      <w:pPr>
        <w:adjustRightInd w:val="0"/>
        <w:snapToGrid w:val="0"/>
        <w:spacing w:line="360" w:lineRule="auto"/>
        <w:rPr>
          <w:rFonts w:hint="eastAsia" w:ascii="宋体" w:hAnsi="宋体" w:cs="宋体"/>
          <w:color w:val="auto"/>
          <w:spacing w:val="20"/>
          <w:sz w:val="24"/>
          <w:highlight w:val="none"/>
        </w:rPr>
      </w:pPr>
    </w:p>
    <w:p w14:paraId="3E9193A9">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71DA8A31">
      <w:pPr>
        <w:adjustRightInd w:val="0"/>
        <w:snapToGrid w:val="0"/>
        <w:spacing w:line="360" w:lineRule="auto"/>
        <w:rPr>
          <w:rFonts w:hint="eastAsia" w:ascii="宋体" w:hAnsi="宋体" w:cs="宋体"/>
          <w:color w:val="auto"/>
          <w:spacing w:val="20"/>
          <w:sz w:val="24"/>
          <w:highlight w:val="none"/>
          <w:u w:val="single"/>
        </w:rPr>
      </w:pPr>
    </w:p>
    <w:p w14:paraId="67F464C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浦北县民政局</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25CBCEA3">
      <w:pPr>
        <w:adjustRightInd w:val="0"/>
        <w:snapToGrid w:val="0"/>
        <w:spacing w:line="360" w:lineRule="auto"/>
        <w:rPr>
          <w:rFonts w:hint="eastAsia" w:ascii="宋体" w:hAnsi="宋体" w:cs="宋体"/>
          <w:color w:val="auto"/>
          <w:spacing w:val="20"/>
          <w:sz w:val="24"/>
          <w:highlight w:val="none"/>
          <w:u w:val="single"/>
        </w:rPr>
      </w:pPr>
    </w:p>
    <w:p w14:paraId="16C3059B">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52BABC3C">
      <w:pPr>
        <w:adjustRightInd w:val="0"/>
        <w:snapToGrid w:val="0"/>
        <w:spacing w:line="360" w:lineRule="auto"/>
        <w:rPr>
          <w:rFonts w:hint="eastAsia" w:ascii="宋体" w:hAnsi="宋体" w:cs="宋体"/>
          <w:color w:val="auto"/>
          <w:spacing w:val="20"/>
          <w:sz w:val="24"/>
          <w:highlight w:val="none"/>
          <w:u w:val="single"/>
        </w:rPr>
      </w:pPr>
    </w:p>
    <w:p w14:paraId="60D43B16">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p>
    <w:p w14:paraId="4CF2C873">
      <w:pPr>
        <w:spacing w:before="156" w:beforeLines="50" w:after="156" w:afterLines="50" w:line="360" w:lineRule="auto"/>
        <w:rPr>
          <w:rFonts w:hint="eastAsia" w:ascii="宋体" w:hAnsi="宋体" w:cs="宋体"/>
          <w:color w:val="auto"/>
          <w:spacing w:val="20"/>
          <w:sz w:val="24"/>
          <w:highlight w:val="none"/>
        </w:rPr>
      </w:pPr>
    </w:p>
    <w:p w14:paraId="48EBAD68">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附件2</w:t>
      </w:r>
    </w:p>
    <w:p w14:paraId="146856A3">
      <w:pPr>
        <w:spacing w:line="480" w:lineRule="auto"/>
        <w:jc w:val="center"/>
        <w:outlineLvl w:val="3"/>
        <w:rPr>
          <w:rFonts w:hint="eastAsia" w:ascii="宋体" w:hAnsi="宋体" w:cs="宋体"/>
          <w:b/>
          <w:bCs/>
          <w:color w:val="auto"/>
          <w:kern w:val="1"/>
          <w:sz w:val="24"/>
          <w:highlight w:val="none"/>
        </w:rPr>
      </w:pPr>
      <w:r>
        <w:rPr>
          <w:rFonts w:hint="eastAsia" w:ascii="宋体" w:hAnsi="宋体" w:cs="宋体"/>
          <w:b/>
          <w:bCs/>
          <w:color w:val="auto"/>
          <w:sz w:val="24"/>
          <w:highlight w:val="none"/>
        </w:rPr>
        <w:t>安全生产合同</w:t>
      </w:r>
    </w:p>
    <w:p w14:paraId="01D05541">
      <w:pPr>
        <w:rPr>
          <w:rFonts w:hint="eastAsia" w:ascii="宋体" w:hAnsi="宋体" w:cs="宋体"/>
          <w:color w:val="auto"/>
          <w:kern w:val="1"/>
          <w:sz w:val="24"/>
          <w:highlight w:val="none"/>
        </w:rPr>
      </w:pPr>
    </w:p>
    <w:p w14:paraId="30634E4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为在</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张黄镇农村养老服务中心土方</w:t>
      </w:r>
      <w:r>
        <w:rPr>
          <w:rFonts w:hint="eastAsia" w:ascii="宋体" w:hAnsi="宋体" w:cs="宋体"/>
          <w:b/>
          <w:color w:val="auto"/>
          <w:sz w:val="24"/>
          <w:highlight w:val="none"/>
          <w:u w:val="single"/>
        </w:rPr>
        <w:t xml:space="preserve">  </w:t>
      </w:r>
      <w:r>
        <w:rPr>
          <w:rFonts w:hint="eastAsia" w:ascii="宋体" w:hAnsi="宋体" w:cs="宋体"/>
          <w:color w:val="auto"/>
          <w:kern w:val="1"/>
          <w:sz w:val="24"/>
          <w:highlight w:val="none"/>
        </w:rPr>
        <w:t>的实施过程中创造安全、高效的施工环境，切实搞好本项目的安全管理工作，本项目业主</w:t>
      </w:r>
      <w:r>
        <w:rPr>
          <w:rFonts w:hint="eastAsia" w:ascii="宋体" w:hAnsi="宋体" w:cs="宋体"/>
          <w:color w:val="auto"/>
          <w:kern w:val="1"/>
          <w:sz w:val="24"/>
          <w:highlight w:val="none"/>
          <w:u w:val="single"/>
        </w:rPr>
        <w:t xml:space="preserve"> </w:t>
      </w:r>
      <w:r>
        <w:rPr>
          <w:rFonts w:hint="eastAsia" w:ascii="宋体" w:hAnsi="宋体" w:cs="宋体"/>
          <w:color w:val="auto"/>
          <w:spacing w:val="20"/>
          <w:sz w:val="24"/>
          <w:highlight w:val="none"/>
          <w:u w:val="single"/>
          <w:lang w:eastAsia="zh-CN"/>
        </w:rPr>
        <w:t>浦北县民政局</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（以下简称“甲方”）与承包人</w:t>
      </w:r>
      <w:r>
        <w:rPr>
          <w:rFonts w:hint="eastAsia" w:ascii="宋体" w:hAnsi="宋体" w:cs="宋体"/>
          <w:b/>
          <w:bCs/>
          <w:color w:val="auto"/>
          <w:kern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（以下简称“乙方”）特此签订安全生产合同：</w:t>
      </w:r>
    </w:p>
    <w:p w14:paraId="6CBE749F">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一、甲方职责</w:t>
      </w:r>
    </w:p>
    <w:p w14:paraId="618CFA8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严格遵守国家有关安全生产的法律法规，认真执行工程承包合同中的有关安全要求。</w:t>
      </w:r>
    </w:p>
    <w:p w14:paraId="78734C1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按照“安全第一、预防为主”和坚持“管生产必须管安全”的原则进行安全生产管理，做到生产与安全工作同时计划、布置、检查、总结和评比。</w:t>
      </w:r>
    </w:p>
    <w:p w14:paraId="7A3A88F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重要的安全设施必须坚持与主体工程“三同时”的原则，即：同时设计、审批，同时施工，同时验收，投入使用。</w:t>
      </w:r>
    </w:p>
    <w:p w14:paraId="32A51C36">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定期召开安全生产调度会，及时传达中央及地方有关安全生产的精神。</w:t>
      </w:r>
    </w:p>
    <w:p w14:paraId="03380B2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组织对乙方施工现场安全生产检查，监督乙方及时处理发现的各种安全隐患。</w:t>
      </w:r>
    </w:p>
    <w:p w14:paraId="181182BC">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二、乙方职责</w:t>
      </w:r>
    </w:p>
    <w:p w14:paraId="72D1216A">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严格遵守国家有关安全生产的法律法规、农业农村部、水利部颁发的有关安全生产的规定，认真执行工程承包合同中的有关安全要求。</w:t>
      </w:r>
    </w:p>
    <w:p w14:paraId="5BFBDC69">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843A08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5733D7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乙方在任何时候都应采取各种合理的预防措施，防止其员工发生任何违法、违禁、暴力或妨碍治安的行为。</w:t>
      </w:r>
    </w:p>
    <w:p w14:paraId="31096B2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515F784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6950FF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7. 操作人员上岗，必须按规定穿戴防护用品。施工负责人和安全检查员应随时检查劳动防护用品的穿戴情况，不按规定穿戴防护用品的人员不得上岗。</w:t>
      </w:r>
    </w:p>
    <w:p w14:paraId="2F92FD21">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8. 所有施工机具设备和高空作业的设备均应定期检查，并有安全员的签字记录，保证其经常处于完好状态；不合格的机具、设备和劳动保护用品严禁使用。</w:t>
      </w:r>
    </w:p>
    <w:p w14:paraId="3505B8E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9. 施工中采用新技术、新工艺、新设备、新材料时，必须制定相应的安全技术措施，施工现场必须具有相关的安全标志牌。</w:t>
      </w:r>
    </w:p>
    <w:p w14:paraId="379233B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ED6616B">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三、违约责任</w:t>
      </w:r>
    </w:p>
    <w:p w14:paraId="01644EB2">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如因甲方或乙方违约造成安全事故，将依法追究责任。</w:t>
      </w:r>
    </w:p>
    <w:p w14:paraId="002BA9DB">
      <w:pPr>
        <w:adjustRightInd w:val="0"/>
        <w:snapToGrid w:val="0"/>
        <w:spacing w:line="360" w:lineRule="auto"/>
        <w:ind w:firstLine="840" w:firstLineChars="300"/>
        <w:rPr>
          <w:rFonts w:hint="eastAsia" w:ascii="宋体" w:hAnsi="宋体" w:cs="宋体"/>
          <w:color w:val="auto"/>
          <w:spacing w:val="20"/>
          <w:sz w:val="24"/>
          <w:highlight w:val="none"/>
        </w:rPr>
      </w:pPr>
    </w:p>
    <w:p w14:paraId="261FE9F6">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315F5892">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浦北县民政局</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31D5B115">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6DF73683">
      <w:pPr>
        <w:spacing w:line="360" w:lineRule="auto"/>
        <w:rPr>
          <w:color w:val="auto"/>
          <w:szCs w:val="21"/>
          <w:highlight w:val="non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bookmarkEnd w:id="105"/>
      <w:bookmarkEnd w:id="106"/>
      <w:bookmarkEnd w:id="107"/>
      <w:bookmarkEnd w:id="109"/>
      <w:bookmarkEnd w:id="110"/>
      <w:bookmarkEnd w:id="111"/>
      <w:bookmarkEnd w:id="112"/>
      <w:bookmarkEnd w:id="113"/>
      <w:bookmarkEnd w:id="114"/>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AD0678A-1AE2-4236-99A1-00DCAD1BE71E}"/>
  </w:font>
  <w:font w:name="黑体">
    <w:panose1 w:val="02010609060101010101"/>
    <w:charset w:val="86"/>
    <w:family w:val="auto"/>
    <w:pitch w:val="default"/>
    <w:sig w:usb0="800002BF" w:usb1="38CF7CFA" w:usb2="00000016" w:usb3="00000000" w:csb0="00040001" w:csb1="00000000"/>
    <w:embedRegular r:id="rId2" w:fontKey="{39C19500-096A-4283-886E-075246FF19B6}"/>
  </w:font>
  <w:font w:name="Courier New">
    <w:panose1 w:val="02070309020205020404"/>
    <w:charset w:val="01"/>
    <w:family w:val="modern"/>
    <w:pitch w:val="default"/>
    <w:sig w:usb0="E0002AFF" w:usb1="C0007843" w:usb2="00000009" w:usb3="00000000" w:csb0="400001FF" w:csb1="FFFF0000"/>
    <w:embedRegular r:id="rId3" w:fontKey="{C92C271E-0A44-4167-AAC0-C90472671E3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D7FA2DC7-8C72-4322-B8CC-D44302ECBEC8}"/>
  </w:font>
  <w:font w:name="Cambria">
    <w:panose1 w:val="02040503050406030204"/>
    <w:charset w:val="00"/>
    <w:family w:val="roman"/>
    <w:pitch w:val="default"/>
    <w:sig w:usb0="E00002FF" w:usb1="400004FF" w:usb2="00000000" w:usb3="00000000" w:csb0="2000019F" w:csb1="00000000"/>
    <w:embedRegular r:id="rId5" w:fontKey="{C352A23F-380E-4F64-B3F2-BD0584862BD3}"/>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0000000000000000000"/>
    <w:charset w:val="86"/>
    <w:family w:val="modern"/>
    <w:pitch w:val="default"/>
    <w:sig w:usb0="00000000" w:usb1="00000000" w:usb2="00000012"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方正小标宋简体">
    <w:panose1 w:val="02000000000000000000"/>
    <w:charset w:val="86"/>
    <w:family w:val="auto"/>
    <w:pitch w:val="default"/>
    <w:sig w:usb0="A00002BF" w:usb1="184F6CFA" w:usb2="00000012" w:usb3="00000000" w:csb0="00040001" w:csb1="00000000"/>
    <w:embedRegular r:id="rId6" w:fontKey="{CF78F680-9BAF-4710-96DD-25E0F612F296}"/>
  </w:font>
  <w:font w:name="Helvetica">
    <w:panose1 w:val="020B0604020202020204"/>
    <w:charset w:val="00"/>
    <w:family w:val="swiss"/>
    <w:pitch w:val="default"/>
    <w:sig w:usb0="00000000" w:usb1="00000000" w:usb2="00000000" w:usb3="00000000" w:csb0="00000000" w:csb1="00000000"/>
    <w:embedRegular r:id="rId7" w:fontKey="{9E8B0CF8-9EDF-42F1-BFC2-3DA3145F4A96}"/>
  </w:font>
  <w:font w:name="Tahoma">
    <w:panose1 w:val="020B0604030504040204"/>
    <w:charset w:val="00"/>
    <w:family w:val="swiss"/>
    <w:pitch w:val="default"/>
    <w:sig w:usb0="E1002EFF" w:usb1="C000605B" w:usb2="00000029" w:usb3="00000000" w:csb0="200101FF" w:csb1="20280000"/>
    <w:embedRegular r:id="rId8" w:fontKey="{444E0AF4-3F45-41FD-99F0-8F5BA7A4E541}"/>
  </w:font>
  <w:font w:name="仿宋">
    <w:panose1 w:val="02010609060101010101"/>
    <w:charset w:val="86"/>
    <w:family w:val="modern"/>
    <w:pitch w:val="default"/>
    <w:sig w:usb0="800002BF" w:usb1="38CF7CFA" w:usb2="00000016" w:usb3="00000000" w:csb0="00040001" w:csb1="00000000"/>
    <w:embedRegular r:id="rId9" w:fontKey="{FC2081DE-E9E6-44A1-A615-18CED1CC3A51}"/>
  </w:font>
  <w:font w:name="WPSEMBED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92A8">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618B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A618B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C3F6">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4148B">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44148B">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F504">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AD5DD">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2AD5DD">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AB58">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D09E">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0E26">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D370C4B2"/>
    <w:multiLevelType w:val="singleLevel"/>
    <w:tmpl w:val="D370C4B2"/>
    <w:lvl w:ilvl="0" w:tentative="0">
      <w:start w:val="1"/>
      <w:numFmt w:val="decimal"/>
      <w:suff w:val="nothing"/>
      <w:lvlText w:val="（%1）"/>
      <w:lvlJc w:val="left"/>
    </w:lvl>
  </w:abstractNum>
  <w:abstractNum w:abstractNumId="4">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5">
    <w:nsid w:val="F8BDD49A"/>
    <w:multiLevelType w:val="singleLevel"/>
    <w:tmpl w:val="F8BDD49A"/>
    <w:lvl w:ilvl="0" w:tentative="0">
      <w:start w:val="4"/>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A8D7890"/>
    <w:multiLevelType w:val="singleLevel"/>
    <w:tmpl w:val="0A8D7890"/>
    <w:lvl w:ilvl="0" w:tentative="0">
      <w:start w:val="1"/>
      <w:numFmt w:val="decimal"/>
      <w:lvlText w:val="%1."/>
      <w:lvlJc w:val="left"/>
      <w:pPr>
        <w:tabs>
          <w:tab w:val="left" w:pos="312"/>
        </w:tabs>
      </w:pPr>
    </w:lvl>
  </w:abstractNum>
  <w:abstractNum w:abstractNumId="8">
    <w:nsid w:val="21A205B0"/>
    <w:multiLevelType w:val="singleLevel"/>
    <w:tmpl w:val="21A205B0"/>
    <w:lvl w:ilvl="0" w:tentative="0">
      <w:start w:val="2"/>
      <w:numFmt w:val="chineseCounting"/>
      <w:suff w:val="space"/>
      <w:lvlText w:val="第%1章"/>
      <w:lvlJc w:val="left"/>
      <w:rPr>
        <w:rFonts w:hint="eastAsia"/>
      </w:rPr>
    </w:lvl>
  </w:abstractNum>
  <w:abstractNum w:abstractNumId="9">
    <w:nsid w:val="27E2D8D2"/>
    <w:multiLevelType w:val="singleLevel"/>
    <w:tmpl w:val="27E2D8D2"/>
    <w:lvl w:ilvl="0" w:tentative="0">
      <w:start w:val="1"/>
      <w:numFmt w:val="decimal"/>
      <w:suff w:val="nothing"/>
      <w:lvlText w:val="（%1）"/>
      <w:lvlJc w:val="left"/>
    </w:lvl>
  </w:abstractNum>
  <w:abstractNum w:abstractNumId="10">
    <w:nsid w:val="3B3D739F"/>
    <w:multiLevelType w:val="singleLevel"/>
    <w:tmpl w:val="3B3D739F"/>
    <w:lvl w:ilvl="0" w:tentative="0">
      <w:start w:val="1"/>
      <w:numFmt w:val="decimal"/>
      <w:suff w:val="nothing"/>
      <w:lvlText w:val="（%1）"/>
      <w:lvlJc w:val="left"/>
    </w:lvl>
  </w:abstractNum>
  <w:abstractNum w:abstractNumId="11">
    <w:nsid w:val="4FC6D619"/>
    <w:multiLevelType w:val="singleLevel"/>
    <w:tmpl w:val="4FC6D619"/>
    <w:lvl w:ilvl="0" w:tentative="0">
      <w:start w:val="1"/>
      <w:numFmt w:val="chineseCounting"/>
      <w:suff w:val="nothing"/>
      <w:lvlText w:val="（%1）"/>
      <w:lvlJc w:val="left"/>
      <w:rPr>
        <w:rFonts w:hint="eastAsia"/>
      </w:rPr>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A53F4EB"/>
    <w:multiLevelType w:val="singleLevel"/>
    <w:tmpl w:val="6A53F4EB"/>
    <w:lvl w:ilvl="0" w:tentative="0">
      <w:start w:val="11"/>
      <w:numFmt w:val="decimal"/>
      <w:suff w:val="space"/>
      <w:lvlText w:val="%1."/>
      <w:lvlJc w:val="left"/>
    </w:lvl>
  </w:abstractNum>
  <w:abstractNum w:abstractNumId="14">
    <w:nsid w:val="6C688773"/>
    <w:multiLevelType w:val="singleLevel"/>
    <w:tmpl w:val="6C688773"/>
    <w:lvl w:ilvl="0" w:tentative="0">
      <w:start w:val="1"/>
      <w:numFmt w:val="decimal"/>
      <w:suff w:val="nothing"/>
      <w:lvlText w:val="（%1）"/>
      <w:lvlJc w:val="left"/>
    </w:lvl>
  </w:abstractNum>
  <w:num w:numId="1">
    <w:abstractNumId w:val="8"/>
  </w:num>
  <w:num w:numId="2">
    <w:abstractNumId w:val="0"/>
  </w:num>
  <w:num w:numId="3">
    <w:abstractNumId w:val="4"/>
  </w:num>
  <w:num w:numId="4">
    <w:abstractNumId w:val="6"/>
  </w:num>
  <w:num w:numId="5">
    <w:abstractNumId w:val="13"/>
  </w:num>
  <w:num w:numId="6">
    <w:abstractNumId w:val="1"/>
  </w:num>
  <w:num w:numId="7">
    <w:abstractNumId w:val="9"/>
  </w:num>
  <w:num w:numId="8">
    <w:abstractNumId w:val="10"/>
  </w:num>
  <w:num w:numId="9">
    <w:abstractNumId w:val="14"/>
  </w:num>
  <w:num w:numId="10">
    <w:abstractNumId w:val="5"/>
  </w:num>
  <w:num w:numId="11">
    <w:abstractNumId w:val="12"/>
  </w:num>
  <w:num w:numId="12">
    <w:abstractNumId w:val="3"/>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F1692"/>
    <w:rsid w:val="005F3F1A"/>
    <w:rsid w:val="00613155"/>
    <w:rsid w:val="0067547C"/>
    <w:rsid w:val="006C03D0"/>
    <w:rsid w:val="006E49D4"/>
    <w:rsid w:val="006F4DB7"/>
    <w:rsid w:val="007051D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5A95"/>
    <w:rsid w:val="009942A1"/>
    <w:rsid w:val="009A2CCA"/>
    <w:rsid w:val="009B2168"/>
    <w:rsid w:val="009D2098"/>
    <w:rsid w:val="009E6A77"/>
    <w:rsid w:val="00A02201"/>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57815"/>
    <w:rsid w:val="00B94E97"/>
    <w:rsid w:val="00BA74DD"/>
    <w:rsid w:val="00BC04D1"/>
    <w:rsid w:val="00BC2F65"/>
    <w:rsid w:val="00C720D9"/>
    <w:rsid w:val="00CD32AF"/>
    <w:rsid w:val="00CE6497"/>
    <w:rsid w:val="00D077EC"/>
    <w:rsid w:val="00D12F80"/>
    <w:rsid w:val="00D17065"/>
    <w:rsid w:val="00D676B2"/>
    <w:rsid w:val="00D7037D"/>
    <w:rsid w:val="00DA25AA"/>
    <w:rsid w:val="00DC35A4"/>
    <w:rsid w:val="00DD6B5C"/>
    <w:rsid w:val="00E828D2"/>
    <w:rsid w:val="00E85F78"/>
    <w:rsid w:val="00F447E0"/>
    <w:rsid w:val="00F5573C"/>
    <w:rsid w:val="00FA5913"/>
    <w:rsid w:val="00FF0247"/>
    <w:rsid w:val="00FF6368"/>
    <w:rsid w:val="01003FCC"/>
    <w:rsid w:val="010A3DC7"/>
    <w:rsid w:val="01104A24"/>
    <w:rsid w:val="013730A5"/>
    <w:rsid w:val="01457570"/>
    <w:rsid w:val="014C3BDB"/>
    <w:rsid w:val="016D676E"/>
    <w:rsid w:val="01813E16"/>
    <w:rsid w:val="0190392E"/>
    <w:rsid w:val="01A340D1"/>
    <w:rsid w:val="01BA6796"/>
    <w:rsid w:val="01D152A8"/>
    <w:rsid w:val="01D16F05"/>
    <w:rsid w:val="01D9471B"/>
    <w:rsid w:val="01E112F3"/>
    <w:rsid w:val="01E5765B"/>
    <w:rsid w:val="01E8610D"/>
    <w:rsid w:val="02076F1C"/>
    <w:rsid w:val="0217360F"/>
    <w:rsid w:val="02365E7D"/>
    <w:rsid w:val="02756169"/>
    <w:rsid w:val="027827AD"/>
    <w:rsid w:val="02806C74"/>
    <w:rsid w:val="02932757"/>
    <w:rsid w:val="02B62811"/>
    <w:rsid w:val="02C47A2B"/>
    <w:rsid w:val="02DC227F"/>
    <w:rsid w:val="02E80E6A"/>
    <w:rsid w:val="02E93C7C"/>
    <w:rsid w:val="02F76F90"/>
    <w:rsid w:val="03097F81"/>
    <w:rsid w:val="032075CD"/>
    <w:rsid w:val="03244D3B"/>
    <w:rsid w:val="03361F3B"/>
    <w:rsid w:val="03773C2D"/>
    <w:rsid w:val="03A41F96"/>
    <w:rsid w:val="03BE5C4F"/>
    <w:rsid w:val="03C57F1D"/>
    <w:rsid w:val="03D3354B"/>
    <w:rsid w:val="043C2B7C"/>
    <w:rsid w:val="04415B0D"/>
    <w:rsid w:val="045D6149"/>
    <w:rsid w:val="04631E56"/>
    <w:rsid w:val="047553ED"/>
    <w:rsid w:val="04832496"/>
    <w:rsid w:val="048838BB"/>
    <w:rsid w:val="04903C37"/>
    <w:rsid w:val="04912ACD"/>
    <w:rsid w:val="04924FE3"/>
    <w:rsid w:val="04A24CDA"/>
    <w:rsid w:val="04AF1326"/>
    <w:rsid w:val="04FD0E31"/>
    <w:rsid w:val="050637A5"/>
    <w:rsid w:val="050B287F"/>
    <w:rsid w:val="05230D78"/>
    <w:rsid w:val="054769B3"/>
    <w:rsid w:val="05480B39"/>
    <w:rsid w:val="05571F68"/>
    <w:rsid w:val="05A0262C"/>
    <w:rsid w:val="05F46366"/>
    <w:rsid w:val="06021BFE"/>
    <w:rsid w:val="06155868"/>
    <w:rsid w:val="061631B2"/>
    <w:rsid w:val="06191E33"/>
    <w:rsid w:val="061C3D5B"/>
    <w:rsid w:val="06352C8D"/>
    <w:rsid w:val="06376F97"/>
    <w:rsid w:val="065A3ABE"/>
    <w:rsid w:val="068154EF"/>
    <w:rsid w:val="06836237"/>
    <w:rsid w:val="06937776"/>
    <w:rsid w:val="06A7419D"/>
    <w:rsid w:val="06E35353"/>
    <w:rsid w:val="06EC222A"/>
    <w:rsid w:val="070E75FA"/>
    <w:rsid w:val="07245A59"/>
    <w:rsid w:val="0745028B"/>
    <w:rsid w:val="075A22F1"/>
    <w:rsid w:val="07AD2721"/>
    <w:rsid w:val="07AF6F49"/>
    <w:rsid w:val="07BB664B"/>
    <w:rsid w:val="07F82E00"/>
    <w:rsid w:val="082006F3"/>
    <w:rsid w:val="083C3003"/>
    <w:rsid w:val="08406DEA"/>
    <w:rsid w:val="086871CD"/>
    <w:rsid w:val="08687FE8"/>
    <w:rsid w:val="086E336F"/>
    <w:rsid w:val="087B43C8"/>
    <w:rsid w:val="0882554E"/>
    <w:rsid w:val="08AD7237"/>
    <w:rsid w:val="08B017D6"/>
    <w:rsid w:val="08B531C4"/>
    <w:rsid w:val="08B74801"/>
    <w:rsid w:val="08E06F07"/>
    <w:rsid w:val="08FC404A"/>
    <w:rsid w:val="0903492F"/>
    <w:rsid w:val="090A71E9"/>
    <w:rsid w:val="0916122C"/>
    <w:rsid w:val="094B34E5"/>
    <w:rsid w:val="0950282C"/>
    <w:rsid w:val="099D12AF"/>
    <w:rsid w:val="09AD5E3C"/>
    <w:rsid w:val="09B12057"/>
    <w:rsid w:val="09C735AB"/>
    <w:rsid w:val="09D41DD9"/>
    <w:rsid w:val="09FB0360"/>
    <w:rsid w:val="0A312D88"/>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C03028C"/>
    <w:rsid w:val="0C142961"/>
    <w:rsid w:val="0C5636E2"/>
    <w:rsid w:val="0C770701"/>
    <w:rsid w:val="0C78199D"/>
    <w:rsid w:val="0C816B43"/>
    <w:rsid w:val="0CB060DE"/>
    <w:rsid w:val="0CB43D56"/>
    <w:rsid w:val="0CBA47E6"/>
    <w:rsid w:val="0CBF41E0"/>
    <w:rsid w:val="0CCC6BCF"/>
    <w:rsid w:val="0CEC6862"/>
    <w:rsid w:val="0D001946"/>
    <w:rsid w:val="0D006A41"/>
    <w:rsid w:val="0D1A6DAB"/>
    <w:rsid w:val="0D236286"/>
    <w:rsid w:val="0D4357F1"/>
    <w:rsid w:val="0D896A37"/>
    <w:rsid w:val="0D98311E"/>
    <w:rsid w:val="0DB22432"/>
    <w:rsid w:val="0DB92613"/>
    <w:rsid w:val="0DC3449B"/>
    <w:rsid w:val="0DF13383"/>
    <w:rsid w:val="0E1D31AF"/>
    <w:rsid w:val="0E2E5189"/>
    <w:rsid w:val="0E3B3FA0"/>
    <w:rsid w:val="0E4531F0"/>
    <w:rsid w:val="0E5114F5"/>
    <w:rsid w:val="0E71088B"/>
    <w:rsid w:val="0E8A703D"/>
    <w:rsid w:val="0E8D69FB"/>
    <w:rsid w:val="0EA504CD"/>
    <w:rsid w:val="0EB12B04"/>
    <w:rsid w:val="0EB8284C"/>
    <w:rsid w:val="0EBF4D9D"/>
    <w:rsid w:val="0EC853E9"/>
    <w:rsid w:val="0EDA48F5"/>
    <w:rsid w:val="0F37609A"/>
    <w:rsid w:val="0F5E7FAF"/>
    <w:rsid w:val="0F666CCA"/>
    <w:rsid w:val="0F801C32"/>
    <w:rsid w:val="0FC73BE9"/>
    <w:rsid w:val="0FDA0B8C"/>
    <w:rsid w:val="0FDD010F"/>
    <w:rsid w:val="0FEC00EE"/>
    <w:rsid w:val="0FEE6836"/>
    <w:rsid w:val="101A1FFE"/>
    <w:rsid w:val="103F1456"/>
    <w:rsid w:val="10574280"/>
    <w:rsid w:val="108A2DF9"/>
    <w:rsid w:val="109218D9"/>
    <w:rsid w:val="109501C0"/>
    <w:rsid w:val="10A1515D"/>
    <w:rsid w:val="10AB7642"/>
    <w:rsid w:val="10B637C0"/>
    <w:rsid w:val="10E66141"/>
    <w:rsid w:val="10EB474A"/>
    <w:rsid w:val="11170ED8"/>
    <w:rsid w:val="11347157"/>
    <w:rsid w:val="11467149"/>
    <w:rsid w:val="114E2AEE"/>
    <w:rsid w:val="115B567E"/>
    <w:rsid w:val="11633F2C"/>
    <w:rsid w:val="11A823B3"/>
    <w:rsid w:val="11AD4D9B"/>
    <w:rsid w:val="11BF6701"/>
    <w:rsid w:val="11C436DA"/>
    <w:rsid w:val="11CC3E60"/>
    <w:rsid w:val="11DC229F"/>
    <w:rsid w:val="121C224C"/>
    <w:rsid w:val="121E0907"/>
    <w:rsid w:val="12417917"/>
    <w:rsid w:val="12423A2C"/>
    <w:rsid w:val="125C359D"/>
    <w:rsid w:val="12972A6D"/>
    <w:rsid w:val="12A03046"/>
    <w:rsid w:val="12F16C1F"/>
    <w:rsid w:val="132A0CBC"/>
    <w:rsid w:val="137F578F"/>
    <w:rsid w:val="138A5D40"/>
    <w:rsid w:val="138C7281"/>
    <w:rsid w:val="13B33EEB"/>
    <w:rsid w:val="13BC12BF"/>
    <w:rsid w:val="13BF768D"/>
    <w:rsid w:val="13CF3AB0"/>
    <w:rsid w:val="14034BB8"/>
    <w:rsid w:val="14236617"/>
    <w:rsid w:val="14405D22"/>
    <w:rsid w:val="1444201F"/>
    <w:rsid w:val="14806C8E"/>
    <w:rsid w:val="14990D44"/>
    <w:rsid w:val="149E3AC3"/>
    <w:rsid w:val="14AA2186"/>
    <w:rsid w:val="14BE5716"/>
    <w:rsid w:val="14C34F24"/>
    <w:rsid w:val="14EB19FB"/>
    <w:rsid w:val="14F670A8"/>
    <w:rsid w:val="151F00E8"/>
    <w:rsid w:val="153170A0"/>
    <w:rsid w:val="153C1486"/>
    <w:rsid w:val="1574696E"/>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B56AEF"/>
    <w:rsid w:val="16E77B3D"/>
    <w:rsid w:val="16F23CD8"/>
    <w:rsid w:val="16FA4E2C"/>
    <w:rsid w:val="171C17FB"/>
    <w:rsid w:val="171D46C2"/>
    <w:rsid w:val="171F74F7"/>
    <w:rsid w:val="174119F0"/>
    <w:rsid w:val="17580A4C"/>
    <w:rsid w:val="17593127"/>
    <w:rsid w:val="17607065"/>
    <w:rsid w:val="176F2E6E"/>
    <w:rsid w:val="17716EB9"/>
    <w:rsid w:val="17863661"/>
    <w:rsid w:val="17A941B6"/>
    <w:rsid w:val="17E2165E"/>
    <w:rsid w:val="180C7126"/>
    <w:rsid w:val="181C7503"/>
    <w:rsid w:val="18236833"/>
    <w:rsid w:val="18333BE2"/>
    <w:rsid w:val="18664E5B"/>
    <w:rsid w:val="18776039"/>
    <w:rsid w:val="188305B7"/>
    <w:rsid w:val="189E26B3"/>
    <w:rsid w:val="18B2001B"/>
    <w:rsid w:val="191C7213"/>
    <w:rsid w:val="196D36B1"/>
    <w:rsid w:val="19813A83"/>
    <w:rsid w:val="19845EE9"/>
    <w:rsid w:val="19874772"/>
    <w:rsid w:val="199D157A"/>
    <w:rsid w:val="199D5C40"/>
    <w:rsid w:val="19A940E1"/>
    <w:rsid w:val="19A9585A"/>
    <w:rsid w:val="19BA6784"/>
    <w:rsid w:val="19E80221"/>
    <w:rsid w:val="1A0B3DC0"/>
    <w:rsid w:val="1A2F6BB8"/>
    <w:rsid w:val="1A397664"/>
    <w:rsid w:val="1A700B7C"/>
    <w:rsid w:val="1A873FD2"/>
    <w:rsid w:val="1A9C70C5"/>
    <w:rsid w:val="1AB8269D"/>
    <w:rsid w:val="1AE41258"/>
    <w:rsid w:val="1AEB00AB"/>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6305B"/>
    <w:rsid w:val="1BF84AF8"/>
    <w:rsid w:val="1BFB09A3"/>
    <w:rsid w:val="1BFD6C7E"/>
    <w:rsid w:val="1C0B3C6C"/>
    <w:rsid w:val="1C164185"/>
    <w:rsid w:val="1C262354"/>
    <w:rsid w:val="1C374917"/>
    <w:rsid w:val="1C4D58A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1D0FA8"/>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75E82"/>
    <w:rsid w:val="1E096100"/>
    <w:rsid w:val="1E1D673B"/>
    <w:rsid w:val="1E231AEA"/>
    <w:rsid w:val="1E3824DF"/>
    <w:rsid w:val="1E5C7AA3"/>
    <w:rsid w:val="1E6426A0"/>
    <w:rsid w:val="1E8500B7"/>
    <w:rsid w:val="1E8D2FC4"/>
    <w:rsid w:val="1EAF7CA6"/>
    <w:rsid w:val="1ECA5910"/>
    <w:rsid w:val="1F5E1AA4"/>
    <w:rsid w:val="1F655403"/>
    <w:rsid w:val="1F7171A3"/>
    <w:rsid w:val="1F807C45"/>
    <w:rsid w:val="1F86142A"/>
    <w:rsid w:val="1F8D47B9"/>
    <w:rsid w:val="1F8E2E26"/>
    <w:rsid w:val="1F9E53C0"/>
    <w:rsid w:val="1FAB4F33"/>
    <w:rsid w:val="1FCE7D9B"/>
    <w:rsid w:val="1FD224BF"/>
    <w:rsid w:val="1FE67D3D"/>
    <w:rsid w:val="1FE80522"/>
    <w:rsid w:val="1FE9475C"/>
    <w:rsid w:val="1FFC7D8E"/>
    <w:rsid w:val="20115428"/>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1794A"/>
    <w:rsid w:val="21F3425F"/>
    <w:rsid w:val="21F44361"/>
    <w:rsid w:val="21F84180"/>
    <w:rsid w:val="22001A09"/>
    <w:rsid w:val="22096FE7"/>
    <w:rsid w:val="221E50FA"/>
    <w:rsid w:val="222D1D02"/>
    <w:rsid w:val="227B4DAD"/>
    <w:rsid w:val="22AD31A5"/>
    <w:rsid w:val="22B4097F"/>
    <w:rsid w:val="22B64134"/>
    <w:rsid w:val="22D15291"/>
    <w:rsid w:val="22F22FF9"/>
    <w:rsid w:val="2302130E"/>
    <w:rsid w:val="230F42A2"/>
    <w:rsid w:val="23141D1B"/>
    <w:rsid w:val="231470B2"/>
    <w:rsid w:val="23260413"/>
    <w:rsid w:val="232E5C5F"/>
    <w:rsid w:val="236B31BC"/>
    <w:rsid w:val="236D4D88"/>
    <w:rsid w:val="237B3D5E"/>
    <w:rsid w:val="237D3953"/>
    <w:rsid w:val="23856F77"/>
    <w:rsid w:val="239177CA"/>
    <w:rsid w:val="23CB3857"/>
    <w:rsid w:val="23F35D0C"/>
    <w:rsid w:val="23FA7E69"/>
    <w:rsid w:val="241412F8"/>
    <w:rsid w:val="24315C04"/>
    <w:rsid w:val="244627A5"/>
    <w:rsid w:val="245323A6"/>
    <w:rsid w:val="2460107D"/>
    <w:rsid w:val="24756BA6"/>
    <w:rsid w:val="24B060A4"/>
    <w:rsid w:val="24B16B47"/>
    <w:rsid w:val="24B43F14"/>
    <w:rsid w:val="24E309A7"/>
    <w:rsid w:val="24E449CE"/>
    <w:rsid w:val="25116E92"/>
    <w:rsid w:val="2532575D"/>
    <w:rsid w:val="25555D52"/>
    <w:rsid w:val="255D2553"/>
    <w:rsid w:val="258E50DA"/>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B1340"/>
    <w:rsid w:val="267257B3"/>
    <w:rsid w:val="267A636E"/>
    <w:rsid w:val="268D7140"/>
    <w:rsid w:val="269711B9"/>
    <w:rsid w:val="269F39AF"/>
    <w:rsid w:val="26B26A7B"/>
    <w:rsid w:val="26BD6D0E"/>
    <w:rsid w:val="26D121AE"/>
    <w:rsid w:val="26E873DA"/>
    <w:rsid w:val="270933F2"/>
    <w:rsid w:val="27187560"/>
    <w:rsid w:val="272A0C68"/>
    <w:rsid w:val="273D765A"/>
    <w:rsid w:val="27433C4E"/>
    <w:rsid w:val="27665E21"/>
    <w:rsid w:val="27736981"/>
    <w:rsid w:val="277C2603"/>
    <w:rsid w:val="278230B3"/>
    <w:rsid w:val="279961FC"/>
    <w:rsid w:val="27AE44D5"/>
    <w:rsid w:val="27D80610"/>
    <w:rsid w:val="27F52732"/>
    <w:rsid w:val="280944AF"/>
    <w:rsid w:val="282615FA"/>
    <w:rsid w:val="282646EC"/>
    <w:rsid w:val="282C6E8B"/>
    <w:rsid w:val="283C2BCC"/>
    <w:rsid w:val="28662581"/>
    <w:rsid w:val="28687751"/>
    <w:rsid w:val="286B4291"/>
    <w:rsid w:val="289A528E"/>
    <w:rsid w:val="28A8460E"/>
    <w:rsid w:val="28C130D1"/>
    <w:rsid w:val="28C24CA3"/>
    <w:rsid w:val="28D74A8E"/>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9A3781"/>
    <w:rsid w:val="2AB26607"/>
    <w:rsid w:val="2ACE4FC6"/>
    <w:rsid w:val="2AD94755"/>
    <w:rsid w:val="2AF77367"/>
    <w:rsid w:val="2B0A0BD5"/>
    <w:rsid w:val="2B0A326E"/>
    <w:rsid w:val="2B381D70"/>
    <w:rsid w:val="2B411857"/>
    <w:rsid w:val="2B54148E"/>
    <w:rsid w:val="2B5C73EB"/>
    <w:rsid w:val="2B5E61B8"/>
    <w:rsid w:val="2B6E4F22"/>
    <w:rsid w:val="2B7118BF"/>
    <w:rsid w:val="2B724E22"/>
    <w:rsid w:val="2B8818D0"/>
    <w:rsid w:val="2B8A1EA0"/>
    <w:rsid w:val="2B9C27E4"/>
    <w:rsid w:val="2BE13188"/>
    <w:rsid w:val="2BE713FE"/>
    <w:rsid w:val="2C053476"/>
    <w:rsid w:val="2C113654"/>
    <w:rsid w:val="2C1B212D"/>
    <w:rsid w:val="2C3E2C44"/>
    <w:rsid w:val="2C44674C"/>
    <w:rsid w:val="2C920372"/>
    <w:rsid w:val="2CC01D55"/>
    <w:rsid w:val="2CDD2828"/>
    <w:rsid w:val="2D1D294F"/>
    <w:rsid w:val="2D28535E"/>
    <w:rsid w:val="2D5C59D6"/>
    <w:rsid w:val="2D66175A"/>
    <w:rsid w:val="2D735A67"/>
    <w:rsid w:val="2D8070AF"/>
    <w:rsid w:val="2DB94CBF"/>
    <w:rsid w:val="2DBA131A"/>
    <w:rsid w:val="2DBA5AC8"/>
    <w:rsid w:val="2DCB735A"/>
    <w:rsid w:val="2DD13DB6"/>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4A5657"/>
    <w:rsid w:val="2F4D6B27"/>
    <w:rsid w:val="2F543A38"/>
    <w:rsid w:val="2F553B82"/>
    <w:rsid w:val="2F7B59FE"/>
    <w:rsid w:val="2F9C2E37"/>
    <w:rsid w:val="2FB000FC"/>
    <w:rsid w:val="2FC93316"/>
    <w:rsid w:val="2FCC5583"/>
    <w:rsid w:val="2FD61001"/>
    <w:rsid w:val="30030473"/>
    <w:rsid w:val="300852DE"/>
    <w:rsid w:val="30464020"/>
    <w:rsid w:val="30497A4F"/>
    <w:rsid w:val="306B512F"/>
    <w:rsid w:val="306D5C41"/>
    <w:rsid w:val="30A83EC2"/>
    <w:rsid w:val="30B80D4C"/>
    <w:rsid w:val="30BD2B5F"/>
    <w:rsid w:val="30E1509C"/>
    <w:rsid w:val="30F84E6F"/>
    <w:rsid w:val="31127E0D"/>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2D75F52"/>
    <w:rsid w:val="3311647A"/>
    <w:rsid w:val="332854D5"/>
    <w:rsid w:val="3329346A"/>
    <w:rsid w:val="333472C1"/>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AE1E6A"/>
    <w:rsid w:val="34F85D6A"/>
    <w:rsid w:val="350E3B42"/>
    <w:rsid w:val="35125628"/>
    <w:rsid w:val="352100FF"/>
    <w:rsid w:val="352167CF"/>
    <w:rsid w:val="354B08F2"/>
    <w:rsid w:val="35660444"/>
    <w:rsid w:val="3566212E"/>
    <w:rsid w:val="356B276A"/>
    <w:rsid w:val="358E654C"/>
    <w:rsid w:val="35965B9C"/>
    <w:rsid w:val="359F0A1F"/>
    <w:rsid w:val="35C43240"/>
    <w:rsid w:val="35D42CBE"/>
    <w:rsid w:val="360D03D3"/>
    <w:rsid w:val="361B3EDC"/>
    <w:rsid w:val="361F6493"/>
    <w:rsid w:val="365C025C"/>
    <w:rsid w:val="36626692"/>
    <w:rsid w:val="3671332B"/>
    <w:rsid w:val="367242E0"/>
    <w:rsid w:val="36897340"/>
    <w:rsid w:val="36A63BA7"/>
    <w:rsid w:val="36D05609"/>
    <w:rsid w:val="36E35E9F"/>
    <w:rsid w:val="36EC24B8"/>
    <w:rsid w:val="36FF2B34"/>
    <w:rsid w:val="3712448B"/>
    <w:rsid w:val="37734130"/>
    <w:rsid w:val="378E76E4"/>
    <w:rsid w:val="37936580"/>
    <w:rsid w:val="37A34A15"/>
    <w:rsid w:val="37A52ECC"/>
    <w:rsid w:val="37C64260"/>
    <w:rsid w:val="38282D9D"/>
    <w:rsid w:val="38473444"/>
    <w:rsid w:val="38496EE5"/>
    <w:rsid w:val="385308AB"/>
    <w:rsid w:val="38854458"/>
    <w:rsid w:val="38910EBC"/>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B0953A4"/>
    <w:rsid w:val="3B256DAF"/>
    <w:rsid w:val="3B3616FD"/>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8051A6"/>
    <w:rsid w:val="3C9A335A"/>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D16045"/>
    <w:rsid w:val="3FE6347C"/>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3B57D4"/>
    <w:rsid w:val="415C5513"/>
    <w:rsid w:val="41661CEC"/>
    <w:rsid w:val="417304D2"/>
    <w:rsid w:val="41756B51"/>
    <w:rsid w:val="41B67760"/>
    <w:rsid w:val="41F63571"/>
    <w:rsid w:val="4200486D"/>
    <w:rsid w:val="42084854"/>
    <w:rsid w:val="420A4AA8"/>
    <w:rsid w:val="42204EB5"/>
    <w:rsid w:val="42341E3D"/>
    <w:rsid w:val="423C231C"/>
    <w:rsid w:val="424E5D3B"/>
    <w:rsid w:val="427C06FC"/>
    <w:rsid w:val="42894103"/>
    <w:rsid w:val="42B749AD"/>
    <w:rsid w:val="42DA35EB"/>
    <w:rsid w:val="42DC1373"/>
    <w:rsid w:val="42EB5F3F"/>
    <w:rsid w:val="42EE4ACA"/>
    <w:rsid w:val="433B4FAD"/>
    <w:rsid w:val="43494E83"/>
    <w:rsid w:val="434A1ED7"/>
    <w:rsid w:val="434B5F61"/>
    <w:rsid w:val="437769C4"/>
    <w:rsid w:val="439452CD"/>
    <w:rsid w:val="43987C3E"/>
    <w:rsid w:val="43DF168F"/>
    <w:rsid w:val="43EE52AD"/>
    <w:rsid w:val="43F70347"/>
    <w:rsid w:val="44051FFE"/>
    <w:rsid w:val="440D2A75"/>
    <w:rsid w:val="44151500"/>
    <w:rsid w:val="44225771"/>
    <w:rsid w:val="442E2C0A"/>
    <w:rsid w:val="443415E8"/>
    <w:rsid w:val="44471AAC"/>
    <w:rsid w:val="4491321B"/>
    <w:rsid w:val="449604FB"/>
    <w:rsid w:val="449A2A3E"/>
    <w:rsid w:val="44A616A1"/>
    <w:rsid w:val="44C0114A"/>
    <w:rsid w:val="44CA2639"/>
    <w:rsid w:val="44D50E68"/>
    <w:rsid w:val="44E25F72"/>
    <w:rsid w:val="44E32866"/>
    <w:rsid w:val="44EB189F"/>
    <w:rsid w:val="44FD7B3F"/>
    <w:rsid w:val="451136F6"/>
    <w:rsid w:val="45127E77"/>
    <w:rsid w:val="451417BD"/>
    <w:rsid w:val="45355F69"/>
    <w:rsid w:val="45356EC9"/>
    <w:rsid w:val="45387544"/>
    <w:rsid w:val="453975C8"/>
    <w:rsid w:val="453B0148"/>
    <w:rsid w:val="453B36EE"/>
    <w:rsid w:val="4552145A"/>
    <w:rsid w:val="45681A93"/>
    <w:rsid w:val="456F0597"/>
    <w:rsid w:val="458047D3"/>
    <w:rsid w:val="459020E6"/>
    <w:rsid w:val="45BF7797"/>
    <w:rsid w:val="45EB5B41"/>
    <w:rsid w:val="45FC5122"/>
    <w:rsid w:val="4608625E"/>
    <w:rsid w:val="460E37F4"/>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706721"/>
    <w:rsid w:val="49803BA8"/>
    <w:rsid w:val="49A25D9E"/>
    <w:rsid w:val="49A96B07"/>
    <w:rsid w:val="49C51CAF"/>
    <w:rsid w:val="49F50A0E"/>
    <w:rsid w:val="49F53957"/>
    <w:rsid w:val="4A2057D5"/>
    <w:rsid w:val="4A2A06C4"/>
    <w:rsid w:val="4A38723F"/>
    <w:rsid w:val="4A6819DC"/>
    <w:rsid w:val="4A8A479E"/>
    <w:rsid w:val="4A8F0E29"/>
    <w:rsid w:val="4A902D26"/>
    <w:rsid w:val="4AAF4651"/>
    <w:rsid w:val="4AC17322"/>
    <w:rsid w:val="4AEB7F8C"/>
    <w:rsid w:val="4B1506E1"/>
    <w:rsid w:val="4B182BCD"/>
    <w:rsid w:val="4B2E3F72"/>
    <w:rsid w:val="4B341A2A"/>
    <w:rsid w:val="4B375FBE"/>
    <w:rsid w:val="4B3B7B1E"/>
    <w:rsid w:val="4B414BEA"/>
    <w:rsid w:val="4B587F93"/>
    <w:rsid w:val="4B7103C2"/>
    <w:rsid w:val="4B812B8E"/>
    <w:rsid w:val="4B85737C"/>
    <w:rsid w:val="4B9F74CF"/>
    <w:rsid w:val="4BA34B8C"/>
    <w:rsid w:val="4BD22165"/>
    <w:rsid w:val="4C073223"/>
    <w:rsid w:val="4C1A464A"/>
    <w:rsid w:val="4C274913"/>
    <w:rsid w:val="4C941131"/>
    <w:rsid w:val="4CA14D01"/>
    <w:rsid w:val="4CAC3D23"/>
    <w:rsid w:val="4CBB0999"/>
    <w:rsid w:val="4CCF792C"/>
    <w:rsid w:val="4CD64AED"/>
    <w:rsid w:val="4CED7708"/>
    <w:rsid w:val="4CFB7F38"/>
    <w:rsid w:val="4CFE7AD0"/>
    <w:rsid w:val="4D033455"/>
    <w:rsid w:val="4D10719D"/>
    <w:rsid w:val="4D2211D8"/>
    <w:rsid w:val="4D583F97"/>
    <w:rsid w:val="4D725764"/>
    <w:rsid w:val="4DC002E1"/>
    <w:rsid w:val="4DC07059"/>
    <w:rsid w:val="4DC332C4"/>
    <w:rsid w:val="4DD44A19"/>
    <w:rsid w:val="4DE75FC1"/>
    <w:rsid w:val="4E23527B"/>
    <w:rsid w:val="4E3E10AE"/>
    <w:rsid w:val="4E607B90"/>
    <w:rsid w:val="4E6E58E7"/>
    <w:rsid w:val="4E9B5FEF"/>
    <w:rsid w:val="4EA551CE"/>
    <w:rsid w:val="4EA57992"/>
    <w:rsid w:val="4EC86811"/>
    <w:rsid w:val="4F112BD8"/>
    <w:rsid w:val="4F2359D6"/>
    <w:rsid w:val="4F27534F"/>
    <w:rsid w:val="4F3A6B04"/>
    <w:rsid w:val="4F6621C1"/>
    <w:rsid w:val="4F69181E"/>
    <w:rsid w:val="4F9A2167"/>
    <w:rsid w:val="4FD0029E"/>
    <w:rsid w:val="4FD96283"/>
    <w:rsid w:val="4FEA6A82"/>
    <w:rsid w:val="502B1AD6"/>
    <w:rsid w:val="503112E9"/>
    <w:rsid w:val="50596932"/>
    <w:rsid w:val="50833C49"/>
    <w:rsid w:val="50880633"/>
    <w:rsid w:val="508F5958"/>
    <w:rsid w:val="509F4C2A"/>
    <w:rsid w:val="50A32944"/>
    <w:rsid w:val="50A32F39"/>
    <w:rsid w:val="50CC1778"/>
    <w:rsid w:val="50DD469C"/>
    <w:rsid w:val="50E26118"/>
    <w:rsid w:val="50E41AF7"/>
    <w:rsid w:val="50EC3EA9"/>
    <w:rsid w:val="50ED0E10"/>
    <w:rsid w:val="51053BF3"/>
    <w:rsid w:val="513B0119"/>
    <w:rsid w:val="513C7D41"/>
    <w:rsid w:val="515A0C65"/>
    <w:rsid w:val="515E27BB"/>
    <w:rsid w:val="51766187"/>
    <w:rsid w:val="51814622"/>
    <w:rsid w:val="518B5EA5"/>
    <w:rsid w:val="51A45F6D"/>
    <w:rsid w:val="51B907B6"/>
    <w:rsid w:val="51B96ABA"/>
    <w:rsid w:val="51DF0CDF"/>
    <w:rsid w:val="51E30B98"/>
    <w:rsid w:val="51E97071"/>
    <w:rsid w:val="51FD61FC"/>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1DEB"/>
    <w:rsid w:val="52F6441F"/>
    <w:rsid w:val="5309719A"/>
    <w:rsid w:val="53140C09"/>
    <w:rsid w:val="531E1115"/>
    <w:rsid w:val="53311A2E"/>
    <w:rsid w:val="53397B84"/>
    <w:rsid w:val="535D78A6"/>
    <w:rsid w:val="5366484D"/>
    <w:rsid w:val="53731EF1"/>
    <w:rsid w:val="53733493"/>
    <w:rsid w:val="53912B90"/>
    <w:rsid w:val="53941181"/>
    <w:rsid w:val="53AC07DC"/>
    <w:rsid w:val="53C41B44"/>
    <w:rsid w:val="53C71F85"/>
    <w:rsid w:val="53E75832"/>
    <w:rsid w:val="53F969C4"/>
    <w:rsid w:val="5404740A"/>
    <w:rsid w:val="54050B1A"/>
    <w:rsid w:val="542362A5"/>
    <w:rsid w:val="54280325"/>
    <w:rsid w:val="543B00DA"/>
    <w:rsid w:val="546D41B1"/>
    <w:rsid w:val="547701CD"/>
    <w:rsid w:val="549501D8"/>
    <w:rsid w:val="54A65B3A"/>
    <w:rsid w:val="54BB475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14339A"/>
    <w:rsid w:val="5717042A"/>
    <w:rsid w:val="571A1A7B"/>
    <w:rsid w:val="57234DD3"/>
    <w:rsid w:val="572E4DA3"/>
    <w:rsid w:val="572E781C"/>
    <w:rsid w:val="575952E3"/>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66556"/>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81656F"/>
    <w:rsid w:val="59A06B52"/>
    <w:rsid w:val="59A26243"/>
    <w:rsid w:val="59C76055"/>
    <w:rsid w:val="59E75FD1"/>
    <w:rsid w:val="59F42A57"/>
    <w:rsid w:val="5A065F4B"/>
    <w:rsid w:val="5A0B1C28"/>
    <w:rsid w:val="5A2255E6"/>
    <w:rsid w:val="5A317807"/>
    <w:rsid w:val="5A851E01"/>
    <w:rsid w:val="5A8F2EB6"/>
    <w:rsid w:val="5AA15ABA"/>
    <w:rsid w:val="5AB06C76"/>
    <w:rsid w:val="5AF63E2E"/>
    <w:rsid w:val="5B070568"/>
    <w:rsid w:val="5B1128EC"/>
    <w:rsid w:val="5B29025F"/>
    <w:rsid w:val="5B3143F9"/>
    <w:rsid w:val="5B503CBD"/>
    <w:rsid w:val="5BA069F2"/>
    <w:rsid w:val="5BF21181"/>
    <w:rsid w:val="5BFA46DF"/>
    <w:rsid w:val="5BFD0432"/>
    <w:rsid w:val="5C133668"/>
    <w:rsid w:val="5C1974E5"/>
    <w:rsid w:val="5C1C7E80"/>
    <w:rsid w:val="5C4828EE"/>
    <w:rsid w:val="5C856CEB"/>
    <w:rsid w:val="5CA72002"/>
    <w:rsid w:val="5CBD3C20"/>
    <w:rsid w:val="5CBF734C"/>
    <w:rsid w:val="5CE075FF"/>
    <w:rsid w:val="5CE9518C"/>
    <w:rsid w:val="5D2166D8"/>
    <w:rsid w:val="5D272680"/>
    <w:rsid w:val="5D45468E"/>
    <w:rsid w:val="5D6B04DF"/>
    <w:rsid w:val="5D707B84"/>
    <w:rsid w:val="5D8F09AD"/>
    <w:rsid w:val="5D9B1497"/>
    <w:rsid w:val="5DA43D6D"/>
    <w:rsid w:val="5DDC51F6"/>
    <w:rsid w:val="5DE3422A"/>
    <w:rsid w:val="5E05130E"/>
    <w:rsid w:val="5E135B29"/>
    <w:rsid w:val="5E466F37"/>
    <w:rsid w:val="5E4E0751"/>
    <w:rsid w:val="5E597988"/>
    <w:rsid w:val="5E6A0CC2"/>
    <w:rsid w:val="5E7D74BF"/>
    <w:rsid w:val="5E845B3F"/>
    <w:rsid w:val="5E8D1899"/>
    <w:rsid w:val="5E9B47BF"/>
    <w:rsid w:val="5ED063E1"/>
    <w:rsid w:val="5EF4213A"/>
    <w:rsid w:val="5EF778DD"/>
    <w:rsid w:val="5F012051"/>
    <w:rsid w:val="5F150F5D"/>
    <w:rsid w:val="5F151A68"/>
    <w:rsid w:val="5F1E594E"/>
    <w:rsid w:val="5F2306D2"/>
    <w:rsid w:val="5F364291"/>
    <w:rsid w:val="5F720D05"/>
    <w:rsid w:val="5FB038A7"/>
    <w:rsid w:val="5FBB2542"/>
    <w:rsid w:val="5FF15F2D"/>
    <w:rsid w:val="5FFB489D"/>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3E3C59"/>
    <w:rsid w:val="61481242"/>
    <w:rsid w:val="61717233"/>
    <w:rsid w:val="61734481"/>
    <w:rsid w:val="61842912"/>
    <w:rsid w:val="619513BF"/>
    <w:rsid w:val="61A55E2E"/>
    <w:rsid w:val="61B90EE2"/>
    <w:rsid w:val="61C34C9F"/>
    <w:rsid w:val="61CF1FDD"/>
    <w:rsid w:val="61FA205F"/>
    <w:rsid w:val="620D15FF"/>
    <w:rsid w:val="624F2F20"/>
    <w:rsid w:val="626C2C39"/>
    <w:rsid w:val="627A61C5"/>
    <w:rsid w:val="62841CE0"/>
    <w:rsid w:val="62B524F7"/>
    <w:rsid w:val="62E513AE"/>
    <w:rsid w:val="62EF4D57"/>
    <w:rsid w:val="62F1602A"/>
    <w:rsid w:val="630860C9"/>
    <w:rsid w:val="63203A10"/>
    <w:rsid w:val="6321699F"/>
    <w:rsid w:val="63360CF0"/>
    <w:rsid w:val="63554E4D"/>
    <w:rsid w:val="63652DBD"/>
    <w:rsid w:val="63687E84"/>
    <w:rsid w:val="637257E9"/>
    <w:rsid w:val="638C5AAE"/>
    <w:rsid w:val="63951967"/>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D401A5"/>
    <w:rsid w:val="65024685"/>
    <w:rsid w:val="652A7FEB"/>
    <w:rsid w:val="652B00E3"/>
    <w:rsid w:val="65535A5A"/>
    <w:rsid w:val="656424CF"/>
    <w:rsid w:val="659361E9"/>
    <w:rsid w:val="659D0DEE"/>
    <w:rsid w:val="65A6262A"/>
    <w:rsid w:val="65D219C2"/>
    <w:rsid w:val="65D21E1C"/>
    <w:rsid w:val="65DA54B3"/>
    <w:rsid w:val="65F549BD"/>
    <w:rsid w:val="65FB4D18"/>
    <w:rsid w:val="660A7073"/>
    <w:rsid w:val="660E3C9E"/>
    <w:rsid w:val="66164CE6"/>
    <w:rsid w:val="66425F55"/>
    <w:rsid w:val="664E5D65"/>
    <w:rsid w:val="665C5C0C"/>
    <w:rsid w:val="66BF254A"/>
    <w:rsid w:val="66E10ADE"/>
    <w:rsid w:val="66EE49DE"/>
    <w:rsid w:val="676F09D5"/>
    <w:rsid w:val="67790849"/>
    <w:rsid w:val="6795499F"/>
    <w:rsid w:val="67AA7DCF"/>
    <w:rsid w:val="67B34464"/>
    <w:rsid w:val="67BD22B9"/>
    <w:rsid w:val="67F17500"/>
    <w:rsid w:val="67FE1162"/>
    <w:rsid w:val="681B0E12"/>
    <w:rsid w:val="688F28E2"/>
    <w:rsid w:val="68A11DD7"/>
    <w:rsid w:val="68A51FB8"/>
    <w:rsid w:val="68B731E7"/>
    <w:rsid w:val="68D76C11"/>
    <w:rsid w:val="68DB53E7"/>
    <w:rsid w:val="68E40F86"/>
    <w:rsid w:val="68EA3016"/>
    <w:rsid w:val="68EB7ABC"/>
    <w:rsid w:val="69062705"/>
    <w:rsid w:val="691B0B6B"/>
    <w:rsid w:val="692E16A7"/>
    <w:rsid w:val="693C3BC4"/>
    <w:rsid w:val="694E3F32"/>
    <w:rsid w:val="69782CD3"/>
    <w:rsid w:val="697F5EFC"/>
    <w:rsid w:val="698A7439"/>
    <w:rsid w:val="69936875"/>
    <w:rsid w:val="69964E32"/>
    <w:rsid w:val="69AE114D"/>
    <w:rsid w:val="69DC7E67"/>
    <w:rsid w:val="69E80350"/>
    <w:rsid w:val="69EF047B"/>
    <w:rsid w:val="69FB1963"/>
    <w:rsid w:val="6A087387"/>
    <w:rsid w:val="6A1D56B2"/>
    <w:rsid w:val="6A2B6FC3"/>
    <w:rsid w:val="6A2E3D63"/>
    <w:rsid w:val="6A3A339B"/>
    <w:rsid w:val="6A3A5E65"/>
    <w:rsid w:val="6A6F1C4C"/>
    <w:rsid w:val="6A7202DC"/>
    <w:rsid w:val="6AA45DD3"/>
    <w:rsid w:val="6AA74E35"/>
    <w:rsid w:val="6AC6225B"/>
    <w:rsid w:val="6B505BBB"/>
    <w:rsid w:val="6B560E7C"/>
    <w:rsid w:val="6B6333A7"/>
    <w:rsid w:val="6BCA5C39"/>
    <w:rsid w:val="6BE02E3B"/>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927F95"/>
    <w:rsid w:val="6DA31776"/>
    <w:rsid w:val="6DA45FD5"/>
    <w:rsid w:val="6DA65016"/>
    <w:rsid w:val="6DB921CC"/>
    <w:rsid w:val="6DCB15BA"/>
    <w:rsid w:val="6DEF5697"/>
    <w:rsid w:val="6E290AC9"/>
    <w:rsid w:val="6E2E4332"/>
    <w:rsid w:val="6E366026"/>
    <w:rsid w:val="6E3C157B"/>
    <w:rsid w:val="6E4628B1"/>
    <w:rsid w:val="6E5F7F64"/>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A813AA"/>
    <w:rsid w:val="6FAF019B"/>
    <w:rsid w:val="6FB202FC"/>
    <w:rsid w:val="6FBA5851"/>
    <w:rsid w:val="6FD431BC"/>
    <w:rsid w:val="6FD64D8A"/>
    <w:rsid w:val="70225B85"/>
    <w:rsid w:val="70934920"/>
    <w:rsid w:val="709649ED"/>
    <w:rsid w:val="70A84AD3"/>
    <w:rsid w:val="70AE3508"/>
    <w:rsid w:val="70B351A6"/>
    <w:rsid w:val="70BF773C"/>
    <w:rsid w:val="70C41831"/>
    <w:rsid w:val="70CF7DE8"/>
    <w:rsid w:val="70E94F37"/>
    <w:rsid w:val="7117334E"/>
    <w:rsid w:val="711F7F62"/>
    <w:rsid w:val="712719C8"/>
    <w:rsid w:val="71336359"/>
    <w:rsid w:val="71492755"/>
    <w:rsid w:val="714B63FF"/>
    <w:rsid w:val="71527F65"/>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36E18"/>
    <w:rsid w:val="728D1118"/>
    <w:rsid w:val="72B03A9F"/>
    <w:rsid w:val="72B25F6B"/>
    <w:rsid w:val="72B81190"/>
    <w:rsid w:val="72EF7206"/>
    <w:rsid w:val="7303055F"/>
    <w:rsid w:val="73032A0D"/>
    <w:rsid w:val="731F3B82"/>
    <w:rsid w:val="733D0DD5"/>
    <w:rsid w:val="734D21A1"/>
    <w:rsid w:val="73836ECE"/>
    <w:rsid w:val="73C67500"/>
    <w:rsid w:val="73C864B5"/>
    <w:rsid w:val="73DE7E71"/>
    <w:rsid w:val="74087657"/>
    <w:rsid w:val="744D411F"/>
    <w:rsid w:val="745C2CF4"/>
    <w:rsid w:val="74641182"/>
    <w:rsid w:val="74744A68"/>
    <w:rsid w:val="749D4770"/>
    <w:rsid w:val="74A622B2"/>
    <w:rsid w:val="74B50C75"/>
    <w:rsid w:val="74D01C2F"/>
    <w:rsid w:val="74D43FCD"/>
    <w:rsid w:val="74D736BD"/>
    <w:rsid w:val="74E403D4"/>
    <w:rsid w:val="74EA6DE6"/>
    <w:rsid w:val="74FC6F38"/>
    <w:rsid w:val="74FE3413"/>
    <w:rsid w:val="751029AE"/>
    <w:rsid w:val="751111C4"/>
    <w:rsid w:val="753649D0"/>
    <w:rsid w:val="756A1040"/>
    <w:rsid w:val="75921044"/>
    <w:rsid w:val="75970512"/>
    <w:rsid w:val="759944E1"/>
    <w:rsid w:val="759B5199"/>
    <w:rsid w:val="76053BCA"/>
    <w:rsid w:val="761262E7"/>
    <w:rsid w:val="761A6BC1"/>
    <w:rsid w:val="763E74B8"/>
    <w:rsid w:val="765C476B"/>
    <w:rsid w:val="765D6FD0"/>
    <w:rsid w:val="76764904"/>
    <w:rsid w:val="76952171"/>
    <w:rsid w:val="76BA690C"/>
    <w:rsid w:val="76EF17B7"/>
    <w:rsid w:val="76F275B7"/>
    <w:rsid w:val="77057570"/>
    <w:rsid w:val="773118FC"/>
    <w:rsid w:val="77313A2D"/>
    <w:rsid w:val="77484146"/>
    <w:rsid w:val="774A6DC8"/>
    <w:rsid w:val="77503EB2"/>
    <w:rsid w:val="77752D13"/>
    <w:rsid w:val="77953B9B"/>
    <w:rsid w:val="77CD4DD9"/>
    <w:rsid w:val="77EB51F5"/>
    <w:rsid w:val="77F2017E"/>
    <w:rsid w:val="77FA423A"/>
    <w:rsid w:val="78005019"/>
    <w:rsid w:val="78092CC0"/>
    <w:rsid w:val="780C2435"/>
    <w:rsid w:val="7825164E"/>
    <w:rsid w:val="782A0B51"/>
    <w:rsid w:val="78353363"/>
    <w:rsid w:val="783A31FE"/>
    <w:rsid w:val="78486CF0"/>
    <w:rsid w:val="78534919"/>
    <w:rsid w:val="785663DA"/>
    <w:rsid w:val="78584462"/>
    <w:rsid w:val="78770683"/>
    <w:rsid w:val="7895462E"/>
    <w:rsid w:val="78AF42C1"/>
    <w:rsid w:val="78D631FC"/>
    <w:rsid w:val="78FC2FBF"/>
    <w:rsid w:val="78FD5501"/>
    <w:rsid w:val="791467F0"/>
    <w:rsid w:val="79430114"/>
    <w:rsid w:val="79430A37"/>
    <w:rsid w:val="795E7C16"/>
    <w:rsid w:val="795F01E3"/>
    <w:rsid w:val="79A81D28"/>
    <w:rsid w:val="79AD6C40"/>
    <w:rsid w:val="79B10333"/>
    <w:rsid w:val="79C95ADF"/>
    <w:rsid w:val="79D041B3"/>
    <w:rsid w:val="79EF0BCC"/>
    <w:rsid w:val="79FF02D1"/>
    <w:rsid w:val="7A0612C2"/>
    <w:rsid w:val="7A1833CE"/>
    <w:rsid w:val="7A1F3257"/>
    <w:rsid w:val="7A3376D8"/>
    <w:rsid w:val="7A3C1967"/>
    <w:rsid w:val="7A60132A"/>
    <w:rsid w:val="7A6E2CF1"/>
    <w:rsid w:val="7A817696"/>
    <w:rsid w:val="7A8316B7"/>
    <w:rsid w:val="7AA05017"/>
    <w:rsid w:val="7AA86BBE"/>
    <w:rsid w:val="7AC51B7A"/>
    <w:rsid w:val="7AC94AC1"/>
    <w:rsid w:val="7AC977F9"/>
    <w:rsid w:val="7ACA7597"/>
    <w:rsid w:val="7AE11572"/>
    <w:rsid w:val="7AE31524"/>
    <w:rsid w:val="7AE70BEB"/>
    <w:rsid w:val="7B057C25"/>
    <w:rsid w:val="7B457D65"/>
    <w:rsid w:val="7B4C6C66"/>
    <w:rsid w:val="7B5C332E"/>
    <w:rsid w:val="7B904C22"/>
    <w:rsid w:val="7B9E18EF"/>
    <w:rsid w:val="7BB9672E"/>
    <w:rsid w:val="7BE45955"/>
    <w:rsid w:val="7C0968F5"/>
    <w:rsid w:val="7C1235AA"/>
    <w:rsid w:val="7C160893"/>
    <w:rsid w:val="7C5622FF"/>
    <w:rsid w:val="7C571497"/>
    <w:rsid w:val="7C585051"/>
    <w:rsid w:val="7C920181"/>
    <w:rsid w:val="7CB95588"/>
    <w:rsid w:val="7CBA56FF"/>
    <w:rsid w:val="7CE64D15"/>
    <w:rsid w:val="7CF732D1"/>
    <w:rsid w:val="7D131D7B"/>
    <w:rsid w:val="7D1E10B2"/>
    <w:rsid w:val="7D3D5EFF"/>
    <w:rsid w:val="7D435739"/>
    <w:rsid w:val="7D4B1C96"/>
    <w:rsid w:val="7D586CD5"/>
    <w:rsid w:val="7D7004C3"/>
    <w:rsid w:val="7D93221A"/>
    <w:rsid w:val="7DA977AA"/>
    <w:rsid w:val="7DAC0454"/>
    <w:rsid w:val="7DED2A89"/>
    <w:rsid w:val="7DFA3D48"/>
    <w:rsid w:val="7E4D4360"/>
    <w:rsid w:val="7E63789F"/>
    <w:rsid w:val="7E980733"/>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360" w:lineRule="auto"/>
      <w:outlineLvl w:val="0"/>
    </w:pPr>
    <w:rPr>
      <w:b/>
      <w:bCs/>
      <w:kern w:val="44"/>
      <w:sz w:val="28"/>
      <w:szCs w:val="44"/>
    </w:rPr>
  </w:style>
  <w:style w:type="paragraph" w:styleId="2">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24" w:lineRule="auto"/>
      <w:outlineLvl w:val="2"/>
    </w:pPr>
    <w:rPr>
      <w:rFonts w:ascii="宋体" w:hAnsi="宋体"/>
      <w:b/>
      <w:bCs/>
      <w:kern w:val="0"/>
      <w:sz w:val="24"/>
      <w:szCs w:val="32"/>
    </w:rPr>
  </w:style>
  <w:style w:type="paragraph" w:styleId="5">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autoRedefine/>
    <w:qFormat/>
    <w:uiPriority w:val="0"/>
    <w:pPr>
      <w:keepNext/>
      <w:keepLines/>
      <w:spacing w:line="372" w:lineRule="auto"/>
      <w:outlineLvl w:val="4"/>
    </w:pPr>
    <w:rPr>
      <w:b/>
      <w:bCs/>
      <w:sz w:val="28"/>
      <w:szCs w:val="28"/>
    </w:rPr>
  </w:style>
  <w:style w:type="paragraph" w:styleId="7">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unhideWhenUsed/>
    <w:qFormat/>
    <w:uiPriority w:val="0"/>
    <w:pPr>
      <w:ind w:firstLine="420" w:firstLineChars="200"/>
    </w:pPr>
  </w:style>
  <w:style w:type="paragraph" w:styleId="9">
    <w:name w:val="annotation text"/>
    <w:basedOn w:val="1"/>
    <w:link w:val="51"/>
    <w:autoRedefine/>
    <w:qFormat/>
    <w:uiPriority w:val="0"/>
    <w:pPr>
      <w:jc w:val="left"/>
    </w:pPr>
  </w:style>
  <w:style w:type="paragraph" w:styleId="10">
    <w:name w:val="Body Text"/>
    <w:basedOn w:val="1"/>
    <w:autoRedefine/>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next w:val="12"/>
    <w:autoRedefine/>
    <w:qFormat/>
    <w:uiPriority w:val="0"/>
    <w:pPr>
      <w:ind w:firstLine="830" w:firstLineChars="352"/>
    </w:pPr>
    <w:rPr>
      <w:rFonts w:ascii="仿宋_GB2312" w:eastAsia="仿宋_GB2312"/>
      <w:sz w:val="32"/>
      <w:szCs w:val="20"/>
    </w:rPr>
  </w:style>
  <w:style w:type="paragraph" w:styleId="12">
    <w:name w:val="envelope return"/>
    <w:basedOn w:val="1"/>
    <w:autoRedefine/>
    <w:unhideWhenUsed/>
    <w:qFormat/>
    <w:uiPriority w:val="0"/>
    <w:pPr>
      <w:snapToGrid w:val="0"/>
    </w:pPr>
    <w:rPr>
      <w:rFonts w:ascii="Arial" w:hAnsi="Arial"/>
    </w:rPr>
  </w:style>
  <w:style w:type="paragraph" w:styleId="13">
    <w:name w:val="List 2"/>
    <w:basedOn w:val="1"/>
    <w:autoRedefine/>
    <w:unhideWhenUsed/>
    <w:qFormat/>
    <w:uiPriority w:val="99"/>
    <w:pPr>
      <w:ind w:left="100" w:leftChars="200" w:hanging="200" w:hangingChars="200"/>
      <w:contextualSpacing/>
    </w:pPr>
  </w:style>
  <w:style w:type="paragraph" w:styleId="14">
    <w:name w:val="Plain Text"/>
    <w:basedOn w:val="1"/>
    <w:autoRedefine/>
    <w:qFormat/>
    <w:uiPriority w:val="0"/>
    <w:rPr>
      <w:rFonts w:ascii="宋体" w:hAnsi="Courier New" w:cs="Courier New"/>
      <w:szCs w:val="21"/>
    </w:rPr>
  </w:style>
  <w:style w:type="paragraph" w:styleId="15">
    <w:name w:val="Date"/>
    <w:basedOn w:val="1"/>
    <w:next w:val="1"/>
    <w:autoRedefine/>
    <w:qFormat/>
    <w:uiPriority w:val="0"/>
    <w:pPr>
      <w:ind w:left="100" w:leftChars="2500"/>
    </w:pPr>
    <w:rPr>
      <w:rFonts w:ascii="宋体" w:hAnsi="Courier New"/>
      <w:bCs/>
      <w:sz w:val="24"/>
    </w:rPr>
  </w:style>
  <w:style w:type="paragraph" w:styleId="16">
    <w:name w:val="Body Text Indent 2"/>
    <w:basedOn w:val="1"/>
    <w:autoRedefine/>
    <w:qFormat/>
    <w:uiPriority w:val="0"/>
    <w:pPr>
      <w:spacing w:after="120" w:line="480" w:lineRule="auto"/>
      <w:ind w:left="200" w:leftChars="200"/>
    </w:pPr>
  </w:style>
  <w:style w:type="paragraph" w:styleId="17">
    <w:name w:val="Balloon Text"/>
    <w:basedOn w:val="1"/>
    <w:link w:val="53"/>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Body Text Indent 3"/>
    <w:basedOn w:val="1"/>
    <w:autoRedefine/>
    <w:qFormat/>
    <w:uiPriority w:val="0"/>
    <w:pPr>
      <w:spacing w:after="120"/>
      <w:ind w:left="420" w:leftChars="200"/>
    </w:pPr>
    <w:rPr>
      <w:sz w:val="16"/>
      <w:szCs w:val="16"/>
    </w:rPr>
  </w:style>
  <w:style w:type="paragraph" w:styleId="2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autoRedefine/>
    <w:qFormat/>
    <w:uiPriority w:val="0"/>
    <w:rPr>
      <w:lang w:eastAsia="en-US"/>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52"/>
    <w:autoRedefine/>
    <w:qFormat/>
    <w:uiPriority w:val="0"/>
    <w:rPr>
      <w:b/>
      <w:bCs/>
    </w:rPr>
  </w:style>
  <w:style w:type="paragraph" w:styleId="28">
    <w:name w:val="Body Text First Indent"/>
    <w:basedOn w:val="10"/>
    <w:next w:val="1"/>
    <w:autoRedefine/>
    <w:qFormat/>
    <w:uiPriority w:val="0"/>
    <w:pPr>
      <w:ind w:firstLine="420" w:firstLineChars="100"/>
    </w:pPr>
    <w:rPr>
      <w:rFonts w:ascii="Times New Roman"/>
      <w:sz w:val="21"/>
      <w:szCs w:val="24"/>
    </w:rPr>
  </w:style>
  <w:style w:type="paragraph" w:styleId="29">
    <w:name w:val="Body Text First Indent 2"/>
    <w:basedOn w:val="11"/>
    <w:next w:val="1"/>
    <w:autoRedefine/>
    <w:qFormat/>
    <w:uiPriority w:val="0"/>
    <w:pPr>
      <w:spacing w:line="360" w:lineRule="auto"/>
      <w:ind w:firstLine="420" w:firstLineChars="200"/>
    </w:pPr>
    <w:rPr>
      <w:sz w:val="24"/>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page number"/>
    <w:basedOn w:val="32"/>
    <w:autoRedefine/>
    <w:qFormat/>
    <w:uiPriority w:val="0"/>
  </w:style>
  <w:style w:type="character" w:styleId="35">
    <w:name w:val="FollowedHyperlink"/>
    <w:basedOn w:val="32"/>
    <w:qFormat/>
    <w:uiPriority w:val="0"/>
    <w:rPr>
      <w:color w:val="800080"/>
      <w:u w:val="none"/>
    </w:rPr>
  </w:style>
  <w:style w:type="character" w:styleId="36">
    <w:name w:val="HTML Definition"/>
    <w:basedOn w:val="32"/>
    <w:qFormat/>
    <w:uiPriority w:val="0"/>
  </w:style>
  <w:style w:type="character" w:styleId="37">
    <w:name w:val="HTML Typewriter"/>
    <w:basedOn w:val="32"/>
    <w:qFormat/>
    <w:uiPriority w:val="0"/>
    <w:rPr>
      <w:rFonts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basedOn w:val="32"/>
    <w:autoRedefine/>
    <w:unhideWhenUsed/>
    <w:qFormat/>
    <w:uiPriority w:val="99"/>
    <w:rPr>
      <w:color w:val="0000FF"/>
      <w:u w:val="single"/>
    </w:rPr>
  </w:style>
  <w:style w:type="character" w:styleId="41">
    <w:name w:val="HTML Code"/>
    <w:basedOn w:val="32"/>
    <w:qFormat/>
    <w:uiPriority w:val="0"/>
    <w:rPr>
      <w:rFonts w:hint="default" w:ascii="monospace" w:hAnsi="monospace" w:eastAsia="monospace" w:cs="monospace"/>
      <w:sz w:val="20"/>
    </w:rPr>
  </w:style>
  <w:style w:type="character" w:styleId="42">
    <w:name w:val="annotation reference"/>
    <w:autoRedefine/>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autoRedefine/>
    <w:qFormat/>
    <w:uiPriority w:val="0"/>
    <w:rPr>
      <w:rFonts w:hint="default" w:ascii="monospace" w:hAnsi="monospace" w:eastAsia="monospace" w:cs="monospace"/>
    </w:rPr>
  </w:style>
  <w:style w:type="paragraph" w:customStyle="1" w:styleId="46">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47">
    <w:name w:val="表格文字"/>
    <w:basedOn w:val="11"/>
    <w:next w:val="10"/>
    <w:autoRedefine/>
    <w:qFormat/>
    <w:uiPriority w:val="99"/>
    <w:pPr>
      <w:spacing w:before="25" w:after="25"/>
      <w:jc w:val="left"/>
    </w:pPr>
    <w:rPr>
      <w:bCs/>
      <w:spacing w:val="10"/>
      <w:kern w:val="0"/>
      <w:sz w:val="24"/>
    </w:rPr>
  </w:style>
  <w:style w:type="paragraph" w:styleId="48">
    <w:name w:val="List Paragraph"/>
    <w:basedOn w:val="1"/>
    <w:autoRedefine/>
    <w:qFormat/>
    <w:uiPriority w:val="34"/>
    <w:pPr>
      <w:ind w:firstLine="420" w:firstLineChars="200"/>
    </w:pPr>
  </w:style>
  <w:style w:type="paragraph" w:customStyle="1" w:styleId="49">
    <w:name w:val="Plain Text1"/>
    <w:basedOn w:val="1"/>
    <w:autoRedefine/>
    <w:qFormat/>
    <w:uiPriority w:val="0"/>
    <w:rPr>
      <w:rFonts w:ascii="宋体" w:hAnsi="Courier New" w:cs="Courier New"/>
      <w:szCs w:val="21"/>
    </w:rPr>
  </w:style>
  <w:style w:type="paragraph" w:customStyle="1" w:styleId="50">
    <w:name w:val="Table Paragraph"/>
    <w:basedOn w:val="1"/>
    <w:autoRedefine/>
    <w:qFormat/>
    <w:uiPriority w:val="1"/>
    <w:rPr>
      <w:rFonts w:ascii="宋体" w:hAnsi="宋体" w:cs="宋体"/>
      <w:lang w:val="zh-CN" w:bidi="zh-CN"/>
    </w:rPr>
  </w:style>
  <w:style w:type="character" w:customStyle="1" w:styleId="51">
    <w:name w:val="批注文字 字符"/>
    <w:basedOn w:val="32"/>
    <w:link w:val="9"/>
    <w:autoRedefine/>
    <w:qFormat/>
    <w:uiPriority w:val="0"/>
    <w:rPr>
      <w:kern w:val="2"/>
      <w:sz w:val="21"/>
      <w:szCs w:val="24"/>
    </w:rPr>
  </w:style>
  <w:style w:type="character" w:customStyle="1" w:styleId="52">
    <w:name w:val="批注主题 字符"/>
    <w:basedOn w:val="51"/>
    <w:link w:val="27"/>
    <w:autoRedefine/>
    <w:qFormat/>
    <w:uiPriority w:val="0"/>
    <w:rPr>
      <w:b/>
      <w:bCs/>
      <w:kern w:val="2"/>
      <w:sz w:val="21"/>
      <w:szCs w:val="24"/>
    </w:rPr>
  </w:style>
  <w:style w:type="character" w:customStyle="1" w:styleId="53">
    <w:name w:val="批注框文本 字符"/>
    <w:basedOn w:val="32"/>
    <w:link w:val="17"/>
    <w:autoRedefine/>
    <w:qFormat/>
    <w:uiPriority w:val="0"/>
    <w:rPr>
      <w:kern w:val="2"/>
      <w:sz w:val="18"/>
      <w:szCs w:val="18"/>
    </w:rPr>
  </w:style>
  <w:style w:type="paragraph" w:customStyle="1" w:styleId="54">
    <w:name w:val="纯文本1"/>
    <w:basedOn w:val="1"/>
    <w:autoRedefine/>
    <w:qFormat/>
    <w:uiPriority w:val="0"/>
    <w:pPr>
      <w:suppressAutoHyphens/>
    </w:pPr>
    <w:rPr>
      <w:rFonts w:ascii="宋体" w:hAnsi="宋体" w:cs="Courier New"/>
      <w:szCs w:val="21"/>
      <w:lang w:eastAsia="ar-SA"/>
    </w:rPr>
  </w:style>
  <w:style w:type="paragraph" w:customStyle="1" w:styleId="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2"/>
    <w:autoRedefine/>
    <w:qFormat/>
    <w:uiPriority w:val="0"/>
  </w:style>
  <w:style w:type="paragraph" w:customStyle="1" w:styleId="5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autoRedefine/>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autoRedefine/>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autoRedefine/>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autoRedefine/>
    <w:qFormat/>
    <w:uiPriority w:val="0"/>
    <w:rPr>
      <w:rFonts w:ascii="Times New Roman" w:hAnsi="Times New Roman" w:eastAsia="Times New Roman"/>
      <w:color w:val="000000"/>
      <w:sz w:val="24"/>
      <w:szCs w:val="24"/>
      <w:lang w:eastAsia="en-US" w:bidi="en-US"/>
    </w:rPr>
  </w:style>
  <w:style w:type="paragraph" w:customStyle="1" w:styleId="69">
    <w:name w:val="正文_3"/>
    <w:basedOn w:val="60"/>
    <w:autoRedefine/>
    <w:qFormat/>
    <w:uiPriority w:val="0"/>
  </w:style>
  <w:style w:type="paragraph" w:customStyle="1" w:styleId="70">
    <w:name w:val="标题 3_1"/>
    <w:basedOn w:val="68"/>
    <w:next w:val="68"/>
    <w:autoRedefine/>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autoRedefine/>
    <w:qFormat/>
    <w:uiPriority w:val="0"/>
    <w:pPr>
      <w:spacing w:after="30"/>
      <w:ind w:firstLine="420"/>
    </w:pPr>
    <w:rPr>
      <w:rFonts w:eastAsia="宋体"/>
      <w:color w:val="auto"/>
      <w:sz w:val="20"/>
      <w:szCs w:val="20"/>
      <w:lang w:bidi="ar-SA"/>
    </w:rPr>
  </w:style>
  <w:style w:type="paragraph" w:customStyle="1" w:styleId="73">
    <w:name w:val="Other|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autoRedefine/>
    <w:qFormat/>
    <w:uiPriority w:val="0"/>
    <w:rPr>
      <w:rFonts w:eastAsia="宋体"/>
      <w:lang w:eastAsia="zh-CN" w:bidi="ar-SA"/>
    </w:rPr>
  </w:style>
  <w:style w:type="character" w:customStyle="1" w:styleId="75">
    <w:name w:val="10"/>
    <w:autoRedefine/>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autoRedefine/>
    <w:qFormat/>
    <w:uiPriority w:val="99"/>
    <w:rPr>
      <w:szCs w:val="20"/>
    </w:rPr>
  </w:style>
  <w:style w:type="paragraph" w:customStyle="1" w:styleId="81">
    <w:name w:val="纯文本_0"/>
    <w:basedOn w:val="1"/>
    <w:autoRedefine/>
    <w:qFormat/>
    <w:uiPriority w:val="99"/>
    <w:rPr>
      <w:szCs w:val="20"/>
    </w:rPr>
  </w:style>
  <w:style w:type="paragraph" w:customStyle="1" w:styleId="8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83">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Unresolved Mention"/>
    <w:basedOn w:val="32"/>
    <w:semiHidden/>
    <w:unhideWhenUsed/>
    <w:qFormat/>
    <w:uiPriority w:val="99"/>
    <w:rPr>
      <w:color w:val="605E5C"/>
      <w:shd w:val="clear" w:color="auto" w:fill="E1DFDD"/>
    </w:rPr>
  </w:style>
  <w:style w:type="character" w:customStyle="1" w:styleId="85">
    <w:name w:val="layui-layer-tabnow"/>
    <w:basedOn w:val="32"/>
    <w:qFormat/>
    <w:uiPriority w:val="0"/>
    <w:rPr>
      <w:bdr w:val="single" w:color="CCCCCC" w:sz="6" w:space="0"/>
      <w:shd w:val="clear" w:fill="FFFFFF"/>
    </w:rPr>
  </w:style>
  <w:style w:type="character" w:customStyle="1" w:styleId="86">
    <w:name w:val="first-child"/>
    <w:basedOn w:val="32"/>
    <w:qFormat/>
    <w:uiPriority w:val="0"/>
  </w:style>
  <w:style w:type="paragraph" w:customStyle="1" w:styleId="87">
    <w:name w:val="正文_2_0_0"/>
    <w:basedOn w:val="88"/>
    <w:qFormat/>
    <w:uiPriority w:val="0"/>
    <w:rPr>
      <w:rFonts w:ascii="Calibri" w:hAnsi="Calibri" w:cs="宋体"/>
      <w:szCs w:val="21"/>
    </w:rPr>
  </w:style>
  <w:style w:type="paragraph" w:customStyle="1" w:styleId="88">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9">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134</Pages>
  <Words>88201</Words>
  <Characters>92885</Characters>
  <Lines>729</Lines>
  <Paragraphs>205</Paragraphs>
  <TotalTime>6</TotalTime>
  <ScaleCrop>false</ScaleCrop>
  <LinksUpToDate>false</LinksUpToDate>
  <CharactersWithSpaces>99769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鱼刺@猫骨</cp:lastModifiedBy>
  <cp:lastPrinted>2023-12-28T08:32:00Z</cp:lastPrinted>
  <dcterms:modified xsi:type="dcterms:W3CDTF">2026-01-09T08:51:11Z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B4F11B0C4B1044E6933CEA860604A3D8_13</vt:lpwstr>
  </property>
  <property fmtid="{D5CDD505-2E9C-101B-9397-08002B2CF9AE}" pid="4" name="KSOTemplateDocerSaveRecord">
    <vt:lpwstr>eyJoZGlkIjoiYTY3NjZlMTJjMmU4NjIyNThiZjFhM2Q5Y2FkODUwYzciLCJ1c2VySWQiOiIxMzIwNjU4OTIyIn0=</vt:lpwstr>
  </property>
</Properties>
</file>